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8EF73" w14:textId="77777777" w:rsidR="00E361C4" w:rsidRDefault="00E361C4" w:rsidP="00E361C4">
      <w:pPr>
        <w:ind w:firstLine="0"/>
      </w:pPr>
    </w:p>
    <w:p w14:paraId="0EC7059E" w14:textId="77777777" w:rsidR="00E361C4" w:rsidRDefault="00E361C4" w:rsidP="00E361C4">
      <w:pPr>
        <w:ind w:firstLine="0"/>
      </w:pPr>
    </w:p>
    <w:p w14:paraId="042F3506" w14:textId="77777777" w:rsidR="00E361C4" w:rsidRDefault="00E361C4" w:rsidP="00E361C4">
      <w:pPr>
        <w:ind w:firstLine="0"/>
      </w:pPr>
    </w:p>
    <w:p w14:paraId="2211EA9E" w14:textId="77777777" w:rsidR="00E361C4" w:rsidRDefault="00E361C4" w:rsidP="00E361C4">
      <w:pPr>
        <w:ind w:firstLine="0"/>
      </w:pPr>
    </w:p>
    <w:p w14:paraId="24627529" w14:textId="77777777" w:rsidR="00E361C4" w:rsidRDefault="00E361C4" w:rsidP="00E361C4">
      <w:pPr>
        <w:ind w:firstLine="0"/>
      </w:pPr>
    </w:p>
    <w:p w14:paraId="70355D7D" w14:textId="77777777" w:rsidR="00E361C4" w:rsidRDefault="00E361C4" w:rsidP="00E361C4">
      <w:pPr>
        <w:ind w:firstLine="0"/>
      </w:pPr>
    </w:p>
    <w:p w14:paraId="4A507C12" w14:textId="075E4741" w:rsidR="00E361C4" w:rsidRPr="00A11734" w:rsidRDefault="00884E2A" w:rsidP="00E361C4">
      <w:pPr>
        <w:ind w:firstLine="0"/>
        <w:jc w:val="center"/>
        <w:rPr>
          <w:sz w:val="44"/>
          <w:szCs w:val="44"/>
        </w:rPr>
      </w:pPr>
      <w:r w:rsidRPr="00A11734">
        <w:rPr>
          <w:sz w:val="44"/>
          <w:szCs w:val="44"/>
        </w:rPr>
        <w:t>Understanding the Multifaceted Legacy of the Celts</w:t>
      </w:r>
    </w:p>
    <w:p w14:paraId="55A6D94F" w14:textId="77777777" w:rsidR="00E9328C" w:rsidRDefault="00E9328C">
      <w:pPr>
        <w:spacing w:before="0" w:after="160" w:line="259" w:lineRule="auto"/>
        <w:ind w:firstLine="0"/>
        <w:jc w:val="left"/>
      </w:pPr>
      <w:r>
        <w:br w:type="page"/>
      </w:r>
    </w:p>
    <w:p w14:paraId="1E385A3F" w14:textId="1B82B722" w:rsidR="00462FE4" w:rsidRDefault="00462FE4" w:rsidP="00C44EA5">
      <w:pPr>
        <w:pStyle w:val="Heading1"/>
      </w:pPr>
      <w:r w:rsidRPr="00462FE4">
        <w:lastRenderedPageBreak/>
        <w:t>Introduction</w:t>
      </w:r>
    </w:p>
    <w:p w14:paraId="1529AE7E" w14:textId="7D4154D8" w:rsidR="007D368C" w:rsidRDefault="004863F4" w:rsidP="007D368C">
      <w:r w:rsidRPr="004863F4">
        <w:t xml:space="preserve">The Celts were a well-known ancient </w:t>
      </w:r>
      <w:proofErr w:type="spellStart"/>
      <w:r w:rsidRPr="004863F4">
        <w:t>civilisation</w:t>
      </w:r>
      <w:proofErr w:type="spellEnd"/>
      <w:r w:rsidRPr="004863F4">
        <w:t xml:space="preserve"> whose unique inventions, traditions, and culture had an impact on people over a wide range of geographical locations</w:t>
      </w:r>
      <w:r w:rsidR="00695560">
        <w:rPr>
          <w:rStyle w:val="FootnoteReference"/>
        </w:rPr>
        <w:footnoteReference w:id="1"/>
      </w:r>
      <w:r w:rsidR="006367B5" w:rsidRPr="006367B5">
        <w:t xml:space="preserve">. </w:t>
      </w:r>
      <w:r w:rsidR="008E5922" w:rsidRPr="008E5922">
        <w:t>With roots firmly established in the chronicles of time, their presence has shaped historical narratives and provides crucial insights into the fundamentals of medieval and Celtic studies. This assignment provides a thorough understanding of the Celtic people, covering everything from their prehistoric beginnings to their enduring impact. A wide range of subjects are covered in the assignment, such as their social structures and artistic traditions. This guarantees that readers will fully understand their significant impact on history.</w:t>
      </w:r>
    </w:p>
    <w:p w14:paraId="5B9F0BB6" w14:textId="1E827D05" w:rsidR="00C44EA5" w:rsidRDefault="00C44EA5" w:rsidP="007D368C">
      <w:pPr>
        <w:pStyle w:val="Heading1"/>
      </w:pPr>
      <w:r>
        <w:t>Main Body</w:t>
      </w:r>
    </w:p>
    <w:p w14:paraId="7DD9171D" w14:textId="5E2C869B" w:rsidR="006A7FF4" w:rsidRDefault="007D050C" w:rsidP="006A7FF4">
      <w:r w:rsidRPr="007D050C">
        <w:t xml:space="preserve">The Celtic people have their roots in central Europe, where they first appeared as a group of tribes with similar customs, languages, and cultural aspects. </w:t>
      </w:r>
      <w:r w:rsidR="005F7AB7">
        <w:t>Historically, the name "Celts" is a contemporary term, as these groups were identified more by their individual tribal names during the Iron Age</w:t>
      </w:r>
      <w:r w:rsidR="009A7E0F">
        <w:rPr>
          <w:rStyle w:val="FootnoteReference"/>
        </w:rPr>
        <w:footnoteReference w:id="2"/>
      </w:r>
      <w:r w:rsidR="005F7AB7">
        <w:t>. The Greeks first referenced them between 540 and 424BC as "</w:t>
      </w:r>
      <w:proofErr w:type="spellStart"/>
      <w:r w:rsidR="005F7AB7">
        <w:t>Keltoi</w:t>
      </w:r>
      <w:proofErr w:type="spellEnd"/>
      <w:r w:rsidR="005F7AB7">
        <w:t>" or "</w:t>
      </w:r>
      <w:proofErr w:type="spellStart"/>
      <w:r w:rsidR="005F7AB7">
        <w:t>Keltai</w:t>
      </w:r>
      <w:proofErr w:type="spellEnd"/>
      <w:r w:rsidR="005F7AB7">
        <w:t xml:space="preserve">." </w:t>
      </w:r>
      <w:r w:rsidR="00D0613C">
        <w:t>Nevertheless</w:t>
      </w:r>
      <w:r w:rsidR="005F7AB7">
        <w:t>, it is the Roman accounts that offer deeper insights, especially as the expanding Roman territories interacted with the Celts on their northern frontiers. However, it</w:t>
      </w:r>
      <w:r w:rsidR="00196803">
        <w:t xml:space="preserve"> i</w:t>
      </w:r>
      <w:r w:rsidR="005F7AB7">
        <w:t xml:space="preserve">s crucial to note that </w:t>
      </w:r>
      <w:r w:rsidR="008A4890">
        <w:t>‘</w:t>
      </w:r>
      <w:r w:rsidR="005F7AB7">
        <w:t>the information we have provides, at best, an occasional snapshot of the Celts.</w:t>
      </w:r>
      <w:r w:rsidR="008A4890">
        <w:t>’</w:t>
      </w:r>
      <w:r w:rsidR="008A4890">
        <w:rPr>
          <w:rStyle w:val="FootnoteReference"/>
        </w:rPr>
        <w:footnoteReference w:id="3"/>
      </w:r>
      <w:r w:rsidR="009E3F76">
        <w:t xml:space="preserve"> </w:t>
      </w:r>
      <w:r w:rsidR="009E3F76" w:rsidRPr="009E3F76">
        <w:t xml:space="preserve">By connecting these historical accounts with modern interpretations, a multi-layered vision of the Celts is presented. Modern study </w:t>
      </w:r>
      <w:proofErr w:type="spellStart"/>
      <w:r w:rsidR="009E3F76" w:rsidRPr="009E3F76">
        <w:t>emphasises</w:t>
      </w:r>
      <w:proofErr w:type="spellEnd"/>
      <w:r w:rsidR="009E3F76" w:rsidRPr="009E3F76">
        <w:t xml:space="preserve"> the necessity to view the Celts beyond a one-dimensional perspective, much as their early beginnings and interactions with </w:t>
      </w:r>
      <w:proofErr w:type="spellStart"/>
      <w:r w:rsidR="009E3F76" w:rsidRPr="009E3F76">
        <w:t>neighbouring</w:t>
      </w:r>
      <w:proofErr w:type="spellEnd"/>
      <w:r w:rsidR="009E3F76" w:rsidRPr="009E3F76">
        <w:t> </w:t>
      </w:r>
      <w:proofErr w:type="spellStart"/>
      <w:r w:rsidR="009E3F76" w:rsidRPr="009E3F76">
        <w:t>civilisations</w:t>
      </w:r>
      <w:proofErr w:type="spellEnd"/>
      <w:r w:rsidR="009E3F76" w:rsidRPr="009E3F76">
        <w:t> portrayed a complex image</w:t>
      </w:r>
      <w:r w:rsidR="009E3F76">
        <w:rPr>
          <w:rStyle w:val="FootnoteReference"/>
        </w:rPr>
        <w:footnoteReference w:id="4"/>
      </w:r>
      <w:r w:rsidR="009E3F76" w:rsidRPr="009E3F76">
        <w:t>. It is a journey from identifying their emergence to understanding every aspect of their social complexities.</w:t>
      </w:r>
      <w:r w:rsidR="006A7FF4">
        <w:t xml:space="preserve"> </w:t>
      </w:r>
      <w:r w:rsidR="00703C10">
        <w:t>Therefore, e</w:t>
      </w:r>
      <w:r w:rsidR="00422FEA" w:rsidRPr="00422FEA">
        <w:t xml:space="preserve">arly interpretations of Celtic society tend to lean towards a </w:t>
      </w:r>
      <w:proofErr w:type="spellStart"/>
      <w:r w:rsidR="00422FEA" w:rsidRPr="00422FEA">
        <w:t>romantici</w:t>
      </w:r>
      <w:r w:rsidR="007448EA">
        <w:t>s</w:t>
      </w:r>
      <w:r w:rsidR="00422FEA" w:rsidRPr="00422FEA">
        <w:t>ed</w:t>
      </w:r>
      <w:proofErr w:type="spellEnd"/>
      <w:r w:rsidR="00422FEA" w:rsidRPr="00422FEA">
        <w:t xml:space="preserve"> and static perspective, potentially misconstruing the vibrant </w:t>
      </w:r>
      <w:r w:rsidR="007448EA" w:rsidRPr="007448EA">
        <w:t xml:space="preserve">pattern </w:t>
      </w:r>
      <w:r w:rsidR="00422FEA" w:rsidRPr="00422FEA">
        <w:t>that formed the early Celtic communities</w:t>
      </w:r>
      <w:r w:rsidR="0019278F">
        <w:rPr>
          <w:rStyle w:val="FootnoteReference"/>
        </w:rPr>
        <w:footnoteReference w:id="5"/>
      </w:r>
      <w:r w:rsidR="00422FEA" w:rsidRPr="00422FEA">
        <w:t xml:space="preserve">. </w:t>
      </w:r>
      <w:r w:rsidR="006A7FF4">
        <w:t xml:space="preserve">Contemporary scholars disagree against the oversimplification of classical accounts, which over a millennium sometimes combined a multitude of distinct Celtic identities into a single, </w:t>
      </w:r>
      <w:proofErr w:type="spellStart"/>
      <w:r w:rsidR="006A7FF4">
        <w:t>homogenised</w:t>
      </w:r>
      <w:proofErr w:type="spellEnd"/>
      <w:r w:rsidR="006A7FF4">
        <w:t xml:space="preserve"> </w:t>
      </w:r>
      <w:r w:rsidR="004A1B67">
        <w:t>“</w:t>
      </w:r>
      <w:r w:rsidR="006A7FF4">
        <w:t>Celtic society</w:t>
      </w:r>
      <w:r w:rsidR="004A1B67">
        <w:t>”</w:t>
      </w:r>
      <w:r w:rsidR="002540CD">
        <w:rPr>
          <w:rStyle w:val="FootnoteReference"/>
        </w:rPr>
        <w:footnoteReference w:id="6"/>
      </w:r>
      <w:r w:rsidR="006A7FF4">
        <w:t>. These interpretations obscure the inherent geographical differences and unique traits of each Celtic tribes.</w:t>
      </w:r>
    </w:p>
    <w:p w14:paraId="5C880335" w14:textId="77777777" w:rsidR="001D04C3" w:rsidRDefault="001D04C3">
      <w:pPr>
        <w:spacing w:before="0" w:after="160" w:line="259" w:lineRule="auto"/>
        <w:ind w:firstLine="0"/>
        <w:jc w:val="left"/>
      </w:pPr>
      <w:r>
        <w:br w:type="page"/>
      </w:r>
    </w:p>
    <w:p w14:paraId="5D042A44" w14:textId="589EBB65" w:rsidR="00422FEA" w:rsidRDefault="006A7FF4" w:rsidP="006A7FF4">
      <w:r>
        <w:lastRenderedPageBreak/>
        <w:t>Although the information supplied does not go into further depth, the early Celtic society</w:t>
      </w:r>
      <w:r w:rsidR="002540CD">
        <w:t>’</w:t>
      </w:r>
      <w:r>
        <w:t xml:space="preserve">s hierarchical framework was often composed of a tiered structure. The chieftains, powerful figures essential to maintaining the social structure and guaranteeing its unity, occupied the position of governor. The warriors who followed after them were essential to </w:t>
      </w:r>
      <w:proofErr w:type="spellStart"/>
      <w:r>
        <w:t>defence</w:t>
      </w:r>
      <w:proofErr w:type="spellEnd"/>
      <w:r>
        <w:t xml:space="preserve">, territorial expansion and preserving societal order. The druids were equally important; they were spiritual guides and knowledgeable elders whose influence extended beyond religious ceremonies to include education and law. </w:t>
      </w:r>
      <w:r w:rsidR="00E57251">
        <w:t>Nevertheless</w:t>
      </w:r>
      <w:r w:rsidR="00422FEA" w:rsidRPr="00422FEA">
        <w:t>, it</w:t>
      </w:r>
      <w:r w:rsidR="00E57251">
        <w:t xml:space="preserve"> i</w:t>
      </w:r>
      <w:r w:rsidR="00422FEA" w:rsidRPr="00422FEA">
        <w:t xml:space="preserve">s essential to </w:t>
      </w:r>
      <w:proofErr w:type="spellStart"/>
      <w:r w:rsidR="00422FEA" w:rsidRPr="00422FEA">
        <w:t>recogni</w:t>
      </w:r>
      <w:r w:rsidR="00E9596E">
        <w:t>s</w:t>
      </w:r>
      <w:r w:rsidR="00422FEA" w:rsidRPr="00422FEA">
        <w:t>e</w:t>
      </w:r>
      <w:proofErr w:type="spellEnd"/>
      <w:r w:rsidR="00422FEA" w:rsidRPr="00422FEA">
        <w:t xml:space="preserve"> that </w:t>
      </w:r>
      <w:proofErr w:type="spellStart"/>
      <w:r w:rsidR="00E9596E" w:rsidRPr="00E9596E">
        <w:t>generalis</w:t>
      </w:r>
      <w:r w:rsidR="00C95322">
        <w:t>ed</w:t>
      </w:r>
      <w:proofErr w:type="spellEnd"/>
      <w:r w:rsidR="00E9596E">
        <w:t xml:space="preserve"> </w:t>
      </w:r>
      <w:r w:rsidR="00422FEA" w:rsidRPr="00422FEA">
        <w:t xml:space="preserve">interpretations </w:t>
      </w:r>
      <w:r w:rsidR="00E9596E">
        <w:t>are</w:t>
      </w:r>
      <w:r w:rsidR="00422FEA" w:rsidRPr="00422FEA">
        <w:t xml:space="preserve"> misleading. As expressed in the text, </w:t>
      </w:r>
      <w:r w:rsidR="00BA33AF">
        <w:t>‘</w:t>
      </w:r>
      <w:r w:rsidR="00422FEA" w:rsidRPr="00422FEA">
        <w:t>Broad similarities in material culture over large geographical areas do not make those groups the same; ideas travel further than people.</w:t>
      </w:r>
      <w:r w:rsidR="0019278F">
        <w:t>’</w:t>
      </w:r>
      <w:r w:rsidR="0019278F">
        <w:rPr>
          <w:rStyle w:val="FootnoteReference"/>
        </w:rPr>
        <w:footnoteReference w:id="7"/>
      </w:r>
      <w:r w:rsidR="00422FEA" w:rsidRPr="00422FEA">
        <w:t xml:space="preserve"> It</w:t>
      </w:r>
      <w:r w:rsidR="00AA10FF">
        <w:t xml:space="preserve"> i</w:t>
      </w:r>
      <w:r w:rsidR="00422FEA" w:rsidRPr="00422FEA">
        <w:t>s a reminder that the essence of Celtic society, like any other, resided in its diversities rather than monolithic assumptions.</w:t>
      </w:r>
    </w:p>
    <w:p w14:paraId="6DA4F0E8" w14:textId="339E4748" w:rsidR="003D61EF" w:rsidRPr="00422FEA" w:rsidRDefault="00E8206E" w:rsidP="006A7FF4">
      <w:r w:rsidRPr="00E8206E">
        <w:t>Furthermore, exploring into the complex social norms and beliefs of the Celts, their artistic legacy becomes even more evident. This highly symbolic creative expression mixes seamlessly with their larger cultural identity.</w:t>
      </w:r>
      <w:r>
        <w:t xml:space="preserve"> </w:t>
      </w:r>
      <w:r w:rsidR="003D61EF" w:rsidRPr="003D61EF">
        <w:t>Celtic art is distinguished by its special combination of meaning and complexity</w:t>
      </w:r>
      <w:r w:rsidR="00E36636">
        <w:rPr>
          <w:rStyle w:val="FootnoteReference"/>
        </w:rPr>
        <w:footnoteReference w:id="8"/>
      </w:r>
      <w:r w:rsidR="003D61EF" w:rsidRPr="003D61EF">
        <w:t xml:space="preserve">. With its wavy patterns, woven patterns and </w:t>
      </w:r>
      <w:proofErr w:type="spellStart"/>
      <w:r w:rsidR="003D61EF" w:rsidRPr="003D61EF">
        <w:t>recognisable</w:t>
      </w:r>
      <w:proofErr w:type="spellEnd"/>
      <w:r w:rsidR="003D61EF" w:rsidRPr="003D61EF">
        <w:t xml:space="preserve"> themes, the artwork conveys a strong spiritual and natural connection. Notable items that embody this spirit are torcs, elaborate neck ornaments that frequently convey bravery or rank. Both ornamental and utilitarian, brooches often display the Celtic artists' exquisite metalworking abilities. More than just functional objects, cauldrons frequently contain complex writing and are thought to have ritualistic significance. These iconic objects, which stand for Celtic material culture provide insight into the aesthetic standards and social mores of the prehistoric Celts.</w:t>
      </w:r>
    </w:p>
    <w:p w14:paraId="76BD8A94" w14:textId="77777777" w:rsidR="004B30BE" w:rsidRDefault="00462FE4" w:rsidP="004B30BE">
      <w:pPr>
        <w:pStyle w:val="Heading1"/>
      </w:pPr>
      <w:r w:rsidRPr="00462FE4">
        <w:t>Conclusion</w:t>
      </w:r>
    </w:p>
    <w:p w14:paraId="4643D66F" w14:textId="3068FEC1" w:rsidR="000C026F" w:rsidRPr="000C026F" w:rsidRDefault="000C026F" w:rsidP="000C026F">
      <w:r w:rsidRPr="000C026F">
        <w:t xml:space="preserve">It is concluded that the Celts were not a single, homogenous group but rather a diverse collection of tribes, each with unique characteristics and connected by common language and culture. Their profound impact on history, art, and social institutions extended over vast areas of geography. The Celtic people had a society immersed in spirituality and a strong connection to the natural world. This was reflected in everything from their complex innovative creations to their hierarchical social structure. Although historical documents offer insights into their past, it is crucial to investigate more and identify the subtle differences that </w:t>
      </w:r>
      <w:proofErr w:type="spellStart"/>
      <w:r w:rsidRPr="000C026F">
        <w:t>characterise</w:t>
      </w:r>
      <w:proofErr w:type="spellEnd"/>
      <w:r w:rsidRPr="000C026F">
        <w:t xml:space="preserve"> them. It is concluded that artefacts and cultural standards testify to their legacy, which reflects their complex character and significant historical impact.</w:t>
      </w:r>
    </w:p>
    <w:p w14:paraId="3620AD6A" w14:textId="77777777" w:rsidR="00B038E2" w:rsidRDefault="00B038E2" w:rsidP="004B30BE"/>
    <w:p w14:paraId="67C84C0D" w14:textId="77777777" w:rsidR="00B038E2" w:rsidRDefault="00B038E2" w:rsidP="004B30BE"/>
    <w:p w14:paraId="32BCC764" w14:textId="77777777" w:rsidR="00B038E2" w:rsidRDefault="00B038E2" w:rsidP="004B30BE"/>
    <w:p w14:paraId="4145C0C1" w14:textId="77777777" w:rsidR="00B038E2" w:rsidRDefault="00B038E2" w:rsidP="004B30BE"/>
    <w:p w14:paraId="2AD7D68C" w14:textId="77777777" w:rsidR="00B038E2" w:rsidRDefault="00B038E2" w:rsidP="004B30BE"/>
    <w:p w14:paraId="207EA44D" w14:textId="77777777" w:rsidR="00B038E2" w:rsidRDefault="00B038E2" w:rsidP="004B30BE"/>
    <w:p w14:paraId="22B90998" w14:textId="73CED593" w:rsidR="005A3C15" w:rsidRDefault="005A3C15" w:rsidP="004B30BE">
      <w:pPr>
        <w:rPr>
          <w:rFonts w:eastAsiaTheme="majorEastAsia" w:cstheme="majorBidi"/>
          <w:color w:val="000000" w:themeColor="text1"/>
          <w:szCs w:val="32"/>
        </w:rPr>
      </w:pPr>
    </w:p>
    <w:p w14:paraId="46BD57CD" w14:textId="061D0798" w:rsidR="00462FE4" w:rsidRDefault="00462FE4" w:rsidP="005A3C15">
      <w:pPr>
        <w:pStyle w:val="Heading1"/>
      </w:pPr>
      <w:r w:rsidRPr="00462FE4">
        <w:lastRenderedPageBreak/>
        <w:t>Bibliography</w:t>
      </w:r>
    </w:p>
    <w:p w14:paraId="03203AC9" w14:textId="4304F265" w:rsidR="00D5468D" w:rsidRDefault="00D5468D" w:rsidP="00D5468D">
      <w:pPr>
        <w:ind w:left="720" w:hanging="720"/>
      </w:pPr>
      <w:r w:rsidRPr="00695560">
        <w:t>Celts. 2023. </w:t>
      </w:r>
      <w:r w:rsidRPr="00695560">
        <w:rPr>
          <w:i/>
          <w:iCs/>
        </w:rPr>
        <w:t>History.Com</w:t>
      </w:r>
      <w:r w:rsidRPr="00695560">
        <w:t xml:space="preserve">. A&amp;E Television Networks. Accessed October 25. </w:t>
      </w:r>
      <w:r w:rsidRPr="00C82449">
        <w:t>https://www.history.com/topics/european-history/celts</w:t>
      </w:r>
      <w:r w:rsidRPr="00695560">
        <w:t>.</w:t>
      </w:r>
    </w:p>
    <w:p w14:paraId="067BDE0E" w14:textId="77777777" w:rsidR="00D5468D" w:rsidRDefault="00D5468D" w:rsidP="00D5468D">
      <w:pPr>
        <w:ind w:left="720" w:hanging="720"/>
      </w:pPr>
      <w:r w:rsidRPr="0019278F">
        <w:t>Cunliffe, B., B. Cunliffe, and J. T. Koch. "Setting the scene." </w:t>
      </w:r>
      <w:r w:rsidRPr="0019278F">
        <w:rPr>
          <w:i/>
          <w:iCs/>
        </w:rPr>
        <w:t>Exploring Celtic Origins: New ways forward in archaeology, linguistics, and genetics</w:t>
      </w:r>
      <w:r w:rsidRPr="0019278F">
        <w:t> (2019): 1-17.</w:t>
      </w:r>
    </w:p>
    <w:p w14:paraId="590278EF" w14:textId="77777777" w:rsidR="00D5468D" w:rsidRDefault="00D5468D" w:rsidP="00D5468D">
      <w:pPr>
        <w:ind w:left="720" w:hanging="720"/>
      </w:pPr>
      <w:r w:rsidRPr="009E3F76">
        <w:t>Dahmer, Adam. "Revisiting the achievements of the Ancient Celts: evidence that the Celtic civilization surpassed contemporary European civilizations in its technical sophistication and social complexity, and continues to influence later cultures." (2013).</w:t>
      </w:r>
    </w:p>
    <w:p w14:paraId="4EE63BFC" w14:textId="77777777" w:rsidR="00D5468D" w:rsidRDefault="00D5468D" w:rsidP="00D5468D">
      <w:pPr>
        <w:ind w:left="720" w:hanging="720"/>
      </w:pPr>
      <w:r w:rsidRPr="008A4890">
        <w:t>Pope, Rachel. "Re-approaching Celts: Origins, society, and social change." </w:t>
      </w:r>
      <w:r w:rsidRPr="008A4890">
        <w:rPr>
          <w:i/>
          <w:iCs/>
        </w:rPr>
        <w:t>Journal of Archaeological Research</w:t>
      </w:r>
      <w:r w:rsidRPr="008A4890">
        <w:t> (2021): 1-67.</w:t>
      </w:r>
    </w:p>
    <w:p w14:paraId="719814ED" w14:textId="77777777" w:rsidR="00D5468D" w:rsidRPr="00695560" w:rsidRDefault="00D5468D" w:rsidP="00D5468D">
      <w:pPr>
        <w:ind w:left="720" w:hanging="720"/>
      </w:pPr>
      <w:r w:rsidRPr="00D5468D">
        <w:t>Robb, John. "Art (pre) history: ritual, narrative and visual culture in Neolithic and Bronze Age Europe." </w:t>
      </w:r>
      <w:r w:rsidRPr="00D5468D">
        <w:rPr>
          <w:i/>
          <w:iCs/>
        </w:rPr>
        <w:t>Journal of archaeological method and theory</w:t>
      </w:r>
      <w:r w:rsidRPr="00D5468D">
        <w:t> 27, no. 3 (2020): 454-480.</w:t>
      </w:r>
    </w:p>
    <w:p w14:paraId="7267B4E4" w14:textId="77777777" w:rsidR="00D5468D" w:rsidRDefault="00D5468D" w:rsidP="00D5468D">
      <w:pPr>
        <w:ind w:left="720" w:hanging="720"/>
      </w:pPr>
      <w:r w:rsidRPr="009A7E0F">
        <w:t xml:space="preserve">Sims-Williams, Patrick. "An Alternative to ‘Celtic from the </w:t>
      </w:r>
      <w:proofErr w:type="spellStart"/>
      <w:r w:rsidRPr="009A7E0F">
        <w:t>East’and</w:t>
      </w:r>
      <w:proofErr w:type="spellEnd"/>
      <w:r w:rsidRPr="009A7E0F">
        <w:t xml:space="preserve"> ‘Celtic from the West’." </w:t>
      </w:r>
      <w:r w:rsidRPr="009A7E0F">
        <w:rPr>
          <w:i/>
          <w:iCs/>
        </w:rPr>
        <w:t>Cambridge Archaeological Journal</w:t>
      </w:r>
      <w:r w:rsidRPr="009A7E0F">
        <w:t> 30, no. 3 (2020): 511-529.</w:t>
      </w:r>
    </w:p>
    <w:p w14:paraId="0F938525" w14:textId="55BEE57D" w:rsidR="00D5468D" w:rsidRDefault="00D5468D" w:rsidP="00D5468D">
      <w:pPr>
        <w:ind w:left="720" w:hanging="720"/>
      </w:pPr>
      <w:r w:rsidRPr="00387990">
        <w:t xml:space="preserve">Who Were the Celts? 2023. Museum Wales. Accessed October 25. </w:t>
      </w:r>
      <w:r w:rsidRPr="00C82449">
        <w:t>https://museum.wales/articles/1341/Who-were-the-Celts/</w:t>
      </w:r>
      <w:r w:rsidRPr="00387990">
        <w:t>.</w:t>
      </w:r>
    </w:p>
    <w:p w14:paraId="4212FDAB" w14:textId="77777777" w:rsidR="00695560" w:rsidRPr="00387990" w:rsidRDefault="00695560" w:rsidP="00387990"/>
    <w:p w14:paraId="51137829" w14:textId="77777777" w:rsidR="00E361C4" w:rsidRDefault="00E361C4" w:rsidP="00E9328C">
      <w:pPr>
        <w:ind w:firstLine="0"/>
      </w:pPr>
    </w:p>
    <w:p w14:paraId="13E64521" w14:textId="77777777" w:rsidR="003855B6" w:rsidRDefault="003855B6" w:rsidP="00E361C4">
      <w:pPr>
        <w:ind w:firstLine="0"/>
      </w:pPr>
    </w:p>
    <w:sectPr w:rsidR="003855B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AC9C8" w14:textId="77777777" w:rsidR="00423374" w:rsidRDefault="00423374" w:rsidP="008A4890">
      <w:pPr>
        <w:spacing w:before="0" w:after="0"/>
      </w:pPr>
      <w:r>
        <w:separator/>
      </w:r>
    </w:p>
  </w:endnote>
  <w:endnote w:type="continuationSeparator" w:id="0">
    <w:p w14:paraId="015B4E39" w14:textId="77777777" w:rsidR="00423374" w:rsidRDefault="00423374" w:rsidP="008A489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0F21A" w14:textId="77777777" w:rsidR="00423374" w:rsidRDefault="00423374" w:rsidP="008A4890">
      <w:pPr>
        <w:spacing w:before="0" w:after="0"/>
      </w:pPr>
      <w:r>
        <w:separator/>
      </w:r>
    </w:p>
  </w:footnote>
  <w:footnote w:type="continuationSeparator" w:id="0">
    <w:p w14:paraId="24D693E2" w14:textId="77777777" w:rsidR="00423374" w:rsidRDefault="00423374" w:rsidP="008A4890">
      <w:pPr>
        <w:spacing w:before="0" w:after="0"/>
      </w:pPr>
      <w:r>
        <w:continuationSeparator/>
      </w:r>
    </w:p>
  </w:footnote>
  <w:footnote w:id="1">
    <w:p w14:paraId="4B7A2383" w14:textId="40F3312B" w:rsidR="00695560" w:rsidRDefault="00695560" w:rsidP="00695560">
      <w:pPr>
        <w:pStyle w:val="FootnoteText"/>
        <w:ind w:firstLine="0"/>
      </w:pPr>
      <w:r>
        <w:rPr>
          <w:rStyle w:val="FootnoteReference"/>
        </w:rPr>
        <w:footnoteRef/>
      </w:r>
      <w:r>
        <w:t xml:space="preserve"> </w:t>
      </w:r>
      <w:r w:rsidRPr="00695560">
        <w:t>Celts. 2023. </w:t>
      </w:r>
      <w:r w:rsidRPr="00695560">
        <w:rPr>
          <w:i/>
          <w:iCs/>
        </w:rPr>
        <w:t>History.Com</w:t>
      </w:r>
      <w:r w:rsidRPr="00695560">
        <w:t>. A&amp;E Television Networks. Accessed October 25. https://www.history.com/topics/european-history/celts.</w:t>
      </w:r>
    </w:p>
  </w:footnote>
  <w:footnote w:id="2">
    <w:p w14:paraId="556CAA31" w14:textId="401CE765" w:rsidR="009A7E0F" w:rsidRDefault="009A7E0F" w:rsidP="009A7E0F">
      <w:pPr>
        <w:pStyle w:val="FootnoteText"/>
        <w:ind w:firstLine="0"/>
      </w:pPr>
      <w:r>
        <w:rPr>
          <w:rStyle w:val="FootnoteReference"/>
        </w:rPr>
        <w:footnoteRef/>
      </w:r>
      <w:r>
        <w:t xml:space="preserve"> </w:t>
      </w:r>
      <w:r w:rsidRPr="009A7E0F">
        <w:t xml:space="preserve">Sims-Williams, Patrick. "An Alternative to ‘Celtic from the </w:t>
      </w:r>
      <w:proofErr w:type="spellStart"/>
      <w:r w:rsidRPr="009A7E0F">
        <w:t>East’and</w:t>
      </w:r>
      <w:proofErr w:type="spellEnd"/>
      <w:r w:rsidRPr="009A7E0F">
        <w:t xml:space="preserve"> ‘Celtic from the West’." </w:t>
      </w:r>
      <w:r w:rsidRPr="009A7E0F">
        <w:rPr>
          <w:i/>
          <w:iCs/>
        </w:rPr>
        <w:t>Cambridge Archaeological Journal</w:t>
      </w:r>
      <w:r w:rsidRPr="009A7E0F">
        <w:t> 30, no. 3 (2020): 511-529.</w:t>
      </w:r>
    </w:p>
  </w:footnote>
  <w:footnote w:id="3">
    <w:p w14:paraId="58C6D7A0" w14:textId="737CE874" w:rsidR="008A4890" w:rsidRDefault="008A4890" w:rsidP="009E3F76">
      <w:pPr>
        <w:pStyle w:val="FootnoteText"/>
        <w:ind w:firstLine="0"/>
      </w:pPr>
      <w:r>
        <w:rPr>
          <w:rStyle w:val="FootnoteReference"/>
        </w:rPr>
        <w:footnoteRef/>
      </w:r>
      <w:r>
        <w:t xml:space="preserve"> </w:t>
      </w:r>
      <w:r w:rsidR="009A7E0F" w:rsidRPr="009A7E0F">
        <w:t>Who Were the Celts? 2023. Museum Wales. Accessed October 25. https://museum.wales/articles/1341/Who-were-the-Celts/.</w:t>
      </w:r>
    </w:p>
  </w:footnote>
  <w:footnote w:id="4">
    <w:p w14:paraId="5BB128CE" w14:textId="2AB95374" w:rsidR="009E3F76" w:rsidRDefault="009E3F76" w:rsidP="009E3F76">
      <w:pPr>
        <w:pStyle w:val="FootnoteText"/>
        <w:ind w:firstLine="0"/>
      </w:pPr>
      <w:r>
        <w:rPr>
          <w:rStyle w:val="FootnoteReference"/>
        </w:rPr>
        <w:footnoteRef/>
      </w:r>
      <w:r>
        <w:t xml:space="preserve"> </w:t>
      </w:r>
      <w:r w:rsidRPr="009E3F76">
        <w:t>Dahmer, Adam. "Revisiting the achievements of the Ancient Celts: evidence that the Celtic civilization surpassed contemporary European civilizations in its technical sophistication and social complexity, and continues to influence later cultures." (2013).</w:t>
      </w:r>
    </w:p>
  </w:footnote>
  <w:footnote w:id="5">
    <w:p w14:paraId="60A9CD9C" w14:textId="393E3F41" w:rsidR="0019278F" w:rsidRDefault="0019278F" w:rsidP="0019278F">
      <w:pPr>
        <w:pStyle w:val="FootnoteText"/>
        <w:ind w:firstLine="0"/>
      </w:pPr>
      <w:r>
        <w:rPr>
          <w:rStyle w:val="FootnoteReference"/>
        </w:rPr>
        <w:footnoteRef/>
      </w:r>
      <w:r>
        <w:t xml:space="preserve"> </w:t>
      </w:r>
      <w:r w:rsidRPr="0019278F">
        <w:t>Cunliffe, B., B. Cunliffe, and J. T. Koch. "Setting the scene." </w:t>
      </w:r>
      <w:r w:rsidRPr="0019278F">
        <w:rPr>
          <w:i/>
          <w:iCs/>
        </w:rPr>
        <w:t>Exploring Celtic Origins: New ways forward in archaeology, linguistics, and genetics</w:t>
      </w:r>
      <w:r w:rsidRPr="0019278F">
        <w:t> (2019): 1-17.</w:t>
      </w:r>
    </w:p>
  </w:footnote>
  <w:footnote w:id="6">
    <w:p w14:paraId="7606672B" w14:textId="22F274FA" w:rsidR="002540CD" w:rsidRDefault="002540CD" w:rsidP="002540CD">
      <w:pPr>
        <w:pStyle w:val="FootnoteText"/>
        <w:ind w:firstLine="0"/>
      </w:pPr>
      <w:r>
        <w:rPr>
          <w:rStyle w:val="FootnoteReference"/>
        </w:rPr>
        <w:footnoteRef/>
      </w:r>
      <w:r>
        <w:t xml:space="preserve"> </w:t>
      </w:r>
      <w:r w:rsidRPr="0019278F">
        <w:t>Pope, Rachel. "Re-approaching Celts: Origins, society, and social change." </w:t>
      </w:r>
      <w:r w:rsidRPr="0019278F">
        <w:rPr>
          <w:i/>
          <w:iCs/>
        </w:rPr>
        <w:t>Journal of Archaeological Research</w:t>
      </w:r>
      <w:r w:rsidRPr="0019278F">
        <w:t> (2021): 1-67.</w:t>
      </w:r>
    </w:p>
  </w:footnote>
  <w:footnote w:id="7">
    <w:p w14:paraId="3AE355B9" w14:textId="228F89BD" w:rsidR="0019278F" w:rsidRDefault="0019278F" w:rsidP="0019278F">
      <w:pPr>
        <w:pStyle w:val="FootnoteText"/>
        <w:ind w:firstLine="0"/>
      </w:pPr>
      <w:r>
        <w:rPr>
          <w:rStyle w:val="FootnoteReference"/>
        </w:rPr>
        <w:footnoteRef/>
      </w:r>
      <w:r>
        <w:t xml:space="preserve"> </w:t>
      </w:r>
      <w:r w:rsidR="007523FC">
        <w:t>Ibid. 6. p.2</w:t>
      </w:r>
    </w:p>
  </w:footnote>
  <w:footnote w:id="8">
    <w:p w14:paraId="5A2175E3" w14:textId="7FEB4511" w:rsidR="00E36636" w:rsidRDefault="00E36636" w:rsidP="00E36636">
      <w:pPr>
        <w:pStyle w:val="FootnoteText"/>
        <w:ind w:firstLine="0"/>
      </w:pPr>
      <w:r>
        <w:rPr>
          <w:rStyle w:val="FootnoteReference"/>
        </w:rPr>
        <w:footnoteRef/>
      </w:r>
      <w:r>
        <w:t xml:space="preserve"> </w:t>
      </w:r>
      <w:r w:rsidRPr="00E36636">
        <w:t>Robb, John. "Art (pre) history: ritual, narrative and visual culture in Neolithic and Bronze Age Europe." </w:t>
      </w:r>
      <w:r w:rsidRPr="00E36636">
        <w:rPr>
          <w:i/>
          <w:iCs/>
        </w:rPr>
        <w:t>Journal of archaeological method and theory</w:t>
      </w:r>
      <w:r w:rsidRPr="00E36636">
        <w:t> 27, no. 3 (2020): 454-480.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5986315"/>
      <w:docPartObj>
        <w:docPartGallery w:val="Page Numbers (Top of Page)"/>
        <w:docPartUnique/>
      </w:docPartObj>
    </w:sdtPr>
    <w:sdtEndPr>
      <w:rPr>
        <w:noProof/>
      </w:rPr>
    </w:sdtEndPr>
    <w:sdtContent>
      <w:p w14:paraId="4ACA5C0B" w14:textId="257BAA3F" w:rsidR="00884E2A" w:rsidRDefault="00884E2A">
        <w:pPr>
          <w:pStyle w:val="Header"/>
          <w:jc w:val="right"/>
        </w:pPr>
        <w:r>
          <w:fldChar w:fldCharType="begin"/>
        </w:r>
        <w:r>
          <w:instrText xml:space="preserve"> PAGE   \* MERGEFORMAT </w:instrText>
        </w:r>
        <w:r>
          <w:fldChar w:fldCharType="separate"/>
        </w:r>
        <w:r w:rsidR="00894455">
          <w:rPr>
            <w:noProof/>
          </w:rPr>
          <w:t>2</w:t>
        </w:r>
        <w:r>
          <w:rPr>
            <w:noProof/>
          </w:rPr>
          <w:fldChar w:fldCharType="end"/>
        </w:r>
      </w:p>
    </w:sdtContent>
  </w:sdt>
  <w:p w14:paraId="1D5DCB90" w14:textId="77777777" w:rsidR="00884E2A" w:rsidRDefault="00884E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46B83"/>
    <w:multiLevelType w:val="multilevel"/>
    <w:tmpl w:val="C4602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0B65DB"/>
    <w:multiLevelType w:val="multilevel"/>
    <w:tmpl w:val="9B8A8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C015328"/>
    <w:multiLevelType w:val="multilevel"/>
    <w:tmpl w:val="BDBED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793749"/>
    <w:multiLevelType w:val="multilevel"/>
    <w:tmpl w:val="62E42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37D25B0"/>
    <w:multiLevelType w:val="multilevel"/>
    <w:tmpl w:val="268E7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CA80B30"/>
    <w:multiLevelType w:val="multilevel"/>
    <w:tmpl w:val="DFC8B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F65079E"/>
    <w:multiLevelType w:val="multilevel"/>
    <w:tmpl w:val="CECCE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9539341">
    <w:abstractNumId w:val="4"/>
  </w:num>
  <w:num w:numId="2" w16cid:durableId="26833450">
    <w:abstractNumId w:val="5"/>
  </w:num>
  <w:num w:numId="3" w16cid:durableId="1333676139">
    <w:abstractNumId w:val="2"/>
  </w:num>
  <w:num w:numId="4" w16cid:durableId="1834641855">
    <w:abstractNumId w:val="0"/>
  </w:num>
  <w:num w:numId="5" w16cid:durableId="1889024556">
    <w:abstractNumId w:val="3"/>
  </w:num>
  <w:num w:numId="6" w16cid:durableId="184712919">
    <w:abstractNumId w:val="1"/>
  </w:num>
  <w:num w:numId="7" w16cid:durableId="21197151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1C4"/>
    <w:rsid w:val="00055510"/>
    <w:rsid w:val="00091E4A"/>
    <w:rsid w:val="00094E35"/>
    <w:rsid w:val="000A3603"/>
    <w:rsid w:val="000C026F"/>
    <w:rsid w:val="0015426A"/>
    <w:rsid w:val="0019278F"/>
    <w:rsid w:val="00195085"/>
    <w:rsid w:val="00196803"/>
    <w:rsid w:val="001D04C3"/>
    <w:rsid w:val="002540CD"/>
    <w:rsid w:val="00274E88"/>
    <w:rsid w:val="00363C71"/>
    <w:rsid w:val="00376A1F"/>
    <w:rsid w:val="003855B6"/>
    <w:rsid w:val="00387990"/>
    <w:rsid w:val="003D61EF"/>
    <w:rsid w:val="00422FEA"/>
    <w:rsid w:val="00423374"/>
    <w:rsid w:val="00462FE4"/>
    <w:rsid w:val="0046485B"/>
    <w:rsid w:val="004863F4"/>
    <w:rsid w:val="00487505"/>
    <w:rsid w:val="004A1B67"/>
    <w:rsid w:val="004B30BE"/>
    <w:rsid w:val="004E406A"/>
    <w:rsid w:val="004F4987"/>
    <w:rsid w:val="005A3C15"/>
    <w:rsid w:val="005F7AB7"/>
    <w:rsid w:val="00605744"/>
    <w:rsid w:val="006367B5"/>
    <w:rsid w:val="006665C8"/>
    <w:rsid w:val="00695560"/>
    <w:rsid w:val="006A7FF4"/>
    <w:rsid w:val="00703C10"/>
    <w:rsid w:val="007448EA"/>
    <w:rsid w:val="00751490"/>
    <w:rsid w:val="007523FC"/>
    <w:rsid w:val="007813CF"/>
    <w:rsid w:val="007D050C"/>
    <w:rsid w:val="007D368C"/>
    <w:rsid w:val="007F384D"/>
    <w:rsid w:val="00826B63"/>
    <w:rsid w:val="00836FF7"/>
    <w:rsid w:val="00884E2A"/>
    <w:rsid w:val="00894455"/>
    <w:rsid w:val="008A4890"/>
    <w:rsid w:val="008E5922"/>
    <w:rsid w:val="00981CFF"/>
    <w:rsid w:val="009A7E0F"/>
    <w:rsid w:val="009E3F76"/>
    <w:rsid w:val="00A11734"/>
    <w:rsid w:val="00A5551B"/>
    <w:rsid w:val="00AA10FF"/>
    <w:rsid w:val="00B038E2"/>
    <w:rsid w:val="00B457CF"/>
    <w:rsid w:val="00BA33AF"/>
    <w:rsid w:val="00C10DE2"/>
    <w:rsid w:val="00C44EA5"/>
    <w:rsid w:val="00C82449"/>
    <w:rsid w:val="00C95322"/>
    <w:rsid w:val="00D0613C"/>
    <w:rsid w:val="00D5468D"/>
    <w:rsid w:val="00E06689"/>
    <w:rsid w:val="00E361C4"/>
    <w:rsid w:val="00E36636"/>
    <w:rsid w:val="00E50D9B"/>
    <w:rsid w:val="00E57251"/>
    <w:rsid w:val="00E8206E"/>
    <w:rsid w:val="00E9328C"/>
    <w:rsid w:val="00E95634"/>
    <w:rsid w:val="00E9596E"/>
    <w:rsid w:val="00EA6285"/>
    <w:rsid w:val="00EE25FD"/>
    <w:rsid w:val="00F0022E"/>
    <w:rsid w:val="00F44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4113B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1C4"/>
    <w:pPr>
      <w:spacing w:before="120" w:after="120" w:line="240" w:lineRule="auto"/>
      <w:ind w:firstLine="720"/>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487505"/>
    <w:pPr>
      <w:keepNext/>
      <w:keepLines/>
      <w:ind w:firstLine="0"/>
      <w:jc w:val="left"/>
      <w:outlineLvl w:val="0"/>
    </w:pPr>
    <w:rPr>
      <w:rFonts w:eastAsiaTheme="majorEastAsia" w:cstheme="majorBidi"/>
      <w:b/>
      <w:i/>
      <w:color w:val="000000" w:themeColor="text1"/>
      <w:szCs w:val="32"/>
    </w:rPr>
  </w:style>
  <w:style w:type="paragraph" w:styleId="Heading2">
    <w:name w:val="heading 2"/>
    <w:basedOn w:val="Normal"/>
    <w:next w:val="Normal"/>
    <w:link w:val="Heading2Char"/>
    <w:autoRedefine/>
    <w:uiPriority w:val="9"/>
    <w:unhideWhenUsed/>
    <w:qFormat/>
    <w:rsid w:val="00A5551B"/>
    <w:pPr>
      <w:keepNext/>
      <w:keepLines/>
      <w:ind w:firstLine="0"/>
      <w:jc w:val="left"/>
      <w:outlineLvl w:val="1"/>
    </w:pPr>
    <w:rPr>
      <w:rFonts w:eastAsiaTheme="majorEastAsia" w:cstheme="majorBidi"/>
      <w:bCs/>
      <w:i/>
      <w:color w:val="000000" w:themeColor="text1"/>
      <w:szCs w:val="26"/>
    </w:rPr>
  </w:style>
  <w:style w:type="paragraph" w:styleId="Heading3">
    <w:name w:val="heading 3"/>
    <w:basedOn w:val="Normal"/>
    <w:next w:val="Normal"/>
    <w:link w:val="Heading3Char"/>
    <w:qFormat/>
    <w:rsid w:val="007F384D"/>
    <w:pPr>
      <w:keepNext/>
      <w:keepLines/>
      <w:ind w:firstLine="0"/>
      <w:outlineLvl w:val="2"/>
    </w:pPr>
    <w:rPr>
      <w:rFonts w:eastAsia="Calibri" w:cs="Calibri"/>
      <w:i/>
      <w:kern w:val="2"/>
      <w:szCs w:val="24"/>
      <w:lang w:val="en-GB"/>
      <w14:ligatures w14:val="standardContextual"/>
    </w:rPr>
  </w:style>
  <w:style w:type="paragraph" w:styleId="Heading4">
    <w:name w:val="heading 4"/>
    <w:basedOn w:val="Normal"/>
    <w:next w:val="Normal"/>
    <w:link w:val="Heading4Char"/>
    <w:uiPriority w:val="9"/>
    <w:semiHidden/>
    <w:unhideWhenUsed/>
    <w:qFormat/>
    <w:rsid w:val="0069556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5551B"/>
    <w:rPr>
      <w:rFonts w:ascii="Times New Roman" w:eastAsiaTheme="majorEastAsia" w:hAnsi="Times New Roman" w:cstheme="majorBidi"/>
      <w:bCs/>
      <w:i/>
      <w:color w:val="000000" w:themeColor="text1"/>
      <w:sz w:val="24"/>
      <w:szCs w:val="26"/>
    </w:rPr>
  </w:style>
  <w:style w:type="character" w:customStyle="1" w:styleId="Heading1Char">
    <w:name w:val="Heading 1 Char"/>
    <w:basedOn w:val="DefaultParagraphFont"/>
    <w:link w:val="Heading1"/>
    <w:uiPriority w:val="9"/>
    <w:rsid w:val="00487505"/>
    <w:rPr>
      <w:rFonts w:ascii="Times New Roman" w:eastAsiaTheme="majorEastAsia" w:hAnsi="Times New Roman" w:cstheme="majorBidi"/>
      <w:b/>
      <w:i/>
      <w:color w:val="000000" w:themeColor="text1"/>
      <w:sz w:val="24"/>
      <w:szCs w:val="32"/>
    </w:rPr>
  </w:style>
  <w:style w:type="character" w:customStyle="1" w:styleId="Heading3Char">
    <w:name w:val="Heading 3 Char"/>
    <w:basedOn w:val="DefaultParagraphFont"/>
    <w:link w:val="Heading3"/>
    <w:rsid w:val="007F384D"/>
    <w:rPr>
      <w:rFonts w:ascii="Times New Roman" w:eastAsia="Calibri" w:hAnsi="Times New Roman" w:cs="Calibri"/>
      <w:i/>
      <w:sz w:val="24"/>
      <w:szCs w:val="24"/>
      <w:lang w:val="en-GB"/>
    </w:rPr>
  </w:style>
  <w:style w:type="paragraph" w:styleId="FootnoteText">
    <w:name w:val="footnote text"/>
    <w:basedOn w:val="Normal"/>
    <w:link w:val="FootnoteTextChar"/>
    <w:uiPriority w:val="99"/>
    <w:semiHidden/>
    <w:unhideWhenUsed/>
    <w:rsid w:val="008A4890"/>
    <w:pPr>
      <w:spacing w:before="0" w:after="0"/>
    </w:pPr>
    <w:rPr>
      <w:sz w:val="20"/>
      <w:szCs w:val="20"/>
    </w:rPr>
  </w:style>
  <w:style w:type="character" w:customStyle="1" w:styleId="FootnoteTextChar">
    <w:name w:val="Footnote Text Char"/>
    <w:basedOn w:val="DefaultParagraphFont"/>
    <w:link w:val="FootnoteText"/>
    <w:uiPriority w:val="99"/>
    <w:semiHidden/>
    <w:rsid w:val="008A4890"/>
    <w:rPr>
      <w:rFonts w:ascii="Times New Roman" w:hAnsi="Times New Roman"/>
      <w:kern w:val="0"/>
      <w:sz w:val="20"/>
      <w:szCs w:val="20"/>
      <w14:ligatures w14:val="none"/>
    </w:rPr>
  </w:style>
  <w:style w:type="character" w:styleId="FootnoteReference">
    <w:name w:val="footnote reference"/>
    <w:basedOn w:val="DefaultParagraphFont"/>
    <w:uiPriority w:val="99"/>
    <w:semiHidden/>
    <w:unhideWhenUsed/>
    <w:rsid w:val="008A4890"/>
    <w:rPr>
      <w:vertAlign w:val="superscript"/>
    </w:rPr>
  </w:style>
  <w:style w:type="character" w:styleId="Hyperlink">
    <w:name w:val="Hyperlink"/>
    <w:basedOn w:val="DefaultParagraphFont"/>
    <w:uiPriority w:val="99"/>
    <w:unhideWhenUsed/>
    <w:rsid w:val="008A4890"/>
    <w:rPr>
      <w:color w:val="0563C1" w:themeColor="hyperlink"/>
      <w:u w:val="single"/>
    </w:rPr>
  </w:style>
  <w:style w:type="character" w:customStyle="1" w:styleId="UnresolvedMention1">
    <w:name w:val="Unresolved Mention1"/>
    <w:basedOn w:val="DefaultParagraphFont"/>
    <w:uiPriority w:val="99"/>
    <w:semiHidden/>
    <w:unhideWhenUsed/>
    <w:rsid w:val="008A4890"/>
    <w:rPr>
      <w:color w:val="605E5C"/>
      <w:shd w:val="clear" w:color="auto" w:fill="E1DFDD"/>
    </w:rPr>
  </w:style>
  <w:style w:type="character" w:customStyle="1" w:styleId="Heading4Char">
    <w:name w:val="Heading 4 Char"/>
    <w:basedOn w:val="DefaultParagraphFont"/>
    <w:link w:val="Heading4"/>
    <w:uiPriority w:val="9"/>
    <w:semiHidden/>
    <w:rsid w:val="00695560"/>
    <w:rPr>
      <w:rFonts w:asciiTheme="majorHAnsi" w:eastAsiaTheme="majorEastAsia" w:hAnsiTheme="majorHAnsi" w:cstheme="majorBidi"/>
      <w:i/>
      <w:iCs/>
      <w:color w:val="2F5496" w:themeColor="accent1" w:themeShade="BF"/>
      <w:kern w:val="0"/>
      <w:sz w:val="24"/>
      <w14:ligatures w14:val="none"/>
    </w:rPr>
  </w:style>
  <w:style w:type="paragraph" w:styleId="Header">
    <w:name w:val="header"/>
    <w:basedOn w:val="Normal"/>
    <w:link w:val="HeaderChar"/>
    <w:uiPriority w:val="99"/>
    <w:unhideWhenUsed/>
    <w:rsid w:val="00274E88"/>
    <w:pPr>
      <w:tabs>
        <w:tab w:val="center" w:pos="4680"/>
        <w:tab w:val="right" w:pos="9360"/>
      </w:tabs>
      <w:spacing w:before="0" w:after="0"/>
    </w:pPr>
  </w:style>
  <w:style w:type="character" w:customStyle="1" w:styleId="HeaderChar">
    <w:name w:val="Header Char"/>
    <w:basedOn w:val="DefaultParagraphFont"/>
    <w:link w:val="Header"/>
    <w:uiPriority w:val="99"/>
    <w:rsid w:val="00274E88"/>
    <w:rPr>
      <w:rFonts w:ascii="Times New Roman" w:hAnsi="Times New Roman"/>
      <w:kern w:val="0"/>
      <w:sz w:val="24"/>
      <w14:ligatures w14:val="none"/>
    </w:rPr>
  </w:style>
  <w:style w:type="paragraph" w:styleId="Footer">
    <w:name w:val="footer"/>
    <w:basedOn w:val="Normal"/>
    <w:link w:val="FooterChar"/>
    <w:uiPriority w:val="99"/>
    <w:unhideWhenUsed/>
    <w:rsid w:val="00274E88"/>
    <w:pPr>
      <w:tabs>
        <w:tab w:val="center" w:pos="4680"/>
        <w:tab w:val="right" w:pos="9360"/>
      </w:tabs>
      <w:spacing w:before="0" w:after="0"/>
    </w:pPr>
  </w:style>
  <w:style w:type="character" w:customStyle="1" w:styleId="FooterChar">
    <w:name w:val="Footer Char"/>
    <w:basedOn w:val="DefaultParagraphFont"/>
    <w:link w:val="Footer"/>
    <w:uiPriority w:val="99"/>
    <w:rsid w:val="00274E88"/>
    <w:rPr>
      <w:rFonts w:ascii="Times New Roman" w:hAnsi="Times New Roman"/>
      <w:kern w:val="0"/>
      <w:sz w:val="24"/>
      <w14:ligatures w14:val="none"/>
    </w:rPr>
  </w:style>
  <w:style w:type="character" w:styleId="CommentReference">
    <w:name w:val="annotation reference"/>
    <w:basedOn w:val="DefaultParagraphFont"/>
    <w:uiPriority w:val="99"/>
    <w:semiHidden/>
    <w:unhideWhenUsed/>
    <w:rsid w:val="00C10DE2"/>
    <w:rPr>
      <w:sz w:val="16"/>
      <w:szCs w:val="16"/>
    </w:rPr>
  </w:style>
  <w:style w:type="paragraph" w:styleId="CommentText">
    <w:name w:val="annotation text"/>
    <w:basedOn w:val="Normal"/>
    <w:link w:val="CommentTextChar"/>
    <w:uiPriority w:val="99"/>
    <w:semiHidden/>
    <w:unhideWhenUsed/>
    <w:rsid w:val="00C10DE2"/>
    <w:rPr>
      <w:sz w:val="20"/>
      <w:szCs w:val="20"/>
    </w:rPr>
  </w:style>
  <w:style w:type="character" w:customStyle="1" w:styleId="CommentTextChar">
    <w:name w:val="Comment Text Char"/>
    <w:basedOn w:val="DefaultParagraphFont"/>
    <w:link w:val="CommentText"/>
    <w:uiPriority w:val="99"/>
    <w:semiHidden/>
    <w:rsid w:val="00C10DE2"/>
    <w:rPr>
      <w:rFonts w:ascii="Times New Roman" w:hAnsi="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10DE2"/>
    <w:rPr>
      <w:b/>
      <w:bCs/>
    </w:rPr>
  </w:style>
  <w:style w:type="character" w:customStyle="1" w:styleId="CommentSubjectChar">
    <w:name w:val="Comment Subject Char"/>
    <w:basedOn w:val="CommentTextChar"/>
    <w:link w:val="CommentSubject"/>
    <w:uiPriority w:val="99"/>
    <w:semiHidden/>
    <w:rsid w:val="00C10DE2"/>
    <w:rPr>
      <w:rFonts w:ascii="Times New Roman" w:hAnsi="Times New Roman"/>
      <w:b/>
      <w:bCs/>
      <w:kern w:val="0"/>
      <w:sz w:val="20"/>
      <w:szCs w:val="20"/>
      <w14:ligatures w14:val="none"/>
    </w:rPr>
  </w:style>
  <w:style w:type="paragraph" w:styleId="BalloonText">
    <w:name w:val="Balloon Text"/>
    <w:basedOn w:val="Normal"/>
    <w:link w:val="BalloonTextChar"/>
    <w:uiPriority w:val="99"/>
    <w:semiHidden/>
    <w:unhideWhenUsed/>
    <w:rsid w:val="00884E2A"/>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E2A"/>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561106">
      <w:bodyDiv w:val="1"/>
      <w:marLeft w:val="0"/>
      <w:marRight w:val="0"/>
      <w:marTop w:val="0"/>
      <w:marBottom w:val="0"/>
      <w:divBdr>
        <w:top w:val="none" w:sz="0" w:space="0" w:color="auto"/>
        <w:left w:val="none" w:sz="0" w:space="0" w:color="auto"/>
        <w:bottom w:val="none" w:sz="0" w:space="0" w:color="auto"/>
        <w:right w:val="none" w:sz="0" w:space="0" w:color="auto"/>
      </w:divBdr>
    </w:div>
    <w:div w:id="1309822153">
      <w:bodyDiv w:val="1"/>
      <w:marLeft w:val="0"/>
      <w:marRight w:val="0"/>
      <w:marTop w:val="0"/>
      <w:marBottom w:val="0"/>
      <w:divBdr>
        <w:top w:val="none" w:sz="0" w:space="0" w:color="auto"/>
        <w:left w:val="none" w:sz="0" w:space="0" w:color="auto"/>
        <w:bottom w:val="none" w:sz="0" w:space="0" w:color="auto"/>
        <w:right w:val="none" w:sz="0" w:space="0" w:color="auto"/>
      </w:divBdr>
      <w:divsChild>
        <w:div w:id="1444111669">
          <w:marLeft w:val="0"/>
          <w:marRight w:val="0"/>
          <w:marTop w:val="0"/>
          <w:marBottom w:val="0"/>
          <w:divBdr>
            <w:top w:val="single" w:sz="2" w:space="0" w:color="auto"/>
            <w:left w:val="single" w:sz="2" w:space="0" w:color="auto"/>
            <w:bottom w:val="single" w:sz="6" w:space="0" w:color="auto"/>
            <w:right w:val="single" w:sz="2" w:space="0" w:color="auto"/>
          </w:divBdr>
          <w:divsChild>
            <w:div w:id="1584100709">
              <w:marLeft w:val="0"/>
              <w:marRight w:val="0"/>
              <w:marTop w:val="100"/>
              <w:marBottom w:val="100"/>
              <w:divBdr>
                <w:top w:val="single" w:sz="2" w:space="0" w:color="D9D9E3"/>
                <w:left w:val="single" w:sz="2" w:space="0" w:color="D9D9E3"/>
                <w:bottom w:val="single" w:sz="2" w:space="0" w:color="D9D9E3"/>
                <w:right w:val="single" w:sz="2" w:space="0" w:color="D9D9E3"/>
              </w:divBdr>
              <w:divsChild>
                <w:div w:id="745149580">
                  <w:marLeft w:val="0"/>
                  <w:marRight w:val="0"/>
                  <w:marTop w:val="0"/>
                  <w:marBottom w:val="0"/>
                  <w:divBdr>
                    <w:top w:val="single" w:sz="2" w:space="0" w:color="D9D9E3"/>
                    <w:left w:val="single" w:sz="2" w:space="0" w:color="D9D9E3"/>
                    <w:bottom w:val="single" w:sz="2" w:space="0" w:color="D9D9E3"/>
                    <w:right w:val="single" w:sz="2" w:space="0" w:color="D9D9E3"/>
                  </w:divBdr>
                  <w:divsChild>
                    <w:div w:id="2035036334">
                      <w:marLeft w:val="0"/>
                      <w:marRight w:val="0"/>
                      <w:marTop w:val="0"/>
                      <w:marBottom w:val="0"/>
                      <w:divBdr>
                        <w:top w:val="single" w:sz="2" w:space="0" w:color="D9D9E3"/>
                        <w:left w:val="single" w:sz="2" w:space="0" w:color="D9D9E3"/>
                        <w:bottom w:val="single" w:sz="2" w:space="0" w:color="D9D9E3"/>
                        <w:right w:val="single" w:sz="2" w:space="0" w:color="D9D9E3"/>
                      </w:divBdr>
                      <w:divsChild>
                        <w:div w:id="702556489">
                          <w:marLeft w:val="0"/>
                          <w:marRight w:val="0"/>
                          <w:marTop w:val="0"/>
                          <w:marBottom w:val="0"/>
                          <w:divBdr>
                            <w:top w:val="single" w:sz="2" w:space="0" w:color="D9D9E3"/>
                            <w:left w:val="single" w:sz="2" w:space="0" w:color="D9D9E3"/>
                            <w:bottom w:val="single" w:sz="2" w:space="0" w:color="D9D9E3"/>
                            <w:right w:val="single" w:sz="2" w:space="0" w:color="D9D9E3"/>
                          </w:divBdr>
                          <w:divsChild>
                            <w:div w:id="1673752538">
                              <w:marLeft w:val="0"/>
                              <w:marRight w:val="0"/>
                              <w:marTop w:val="0"/>
                              <w:marBottom w:val="0"/>
                              <w:divBdr>
                                <w:top w:val="single" w:sz="2" w:space="0" w:color="D9D9E3"/>
                                <w:left w:val="single" w:sz="2" w:space="0" w:color="D9D9E3"/>
                                <w:bottom w:val="single" w:sz="2" w:space="0" w:color="D9D9E3"/>
                                <w:right w:val="single" w:sz="2" w:space="0" w:color="D9D9E3"/>
                              </w:divBdr>
                              <w:divsChild>
                                <w:div w:id="583222730">
                                  <w:marLeft w:val="0"/>
                                  <w:marRight w:val="0"/>
                                  <w:marTop w:val="0"/>
                                  <w:marBottom w:val="0"/>
                                  <w:divBdr>
                                    <w:top w:val="single" w:sz="2" w:space="0" w:color="D9D9E3"/>
                                    <w:left w:val="single" w:sz="2" w:space="0" w:color="D9D9E3"/>
                                    <w:bottom w:val="single" w:sz="2" w:space="0" w:color="D9D9E3"/>
                                    <w:right w:val="single" w:sz="2" w:space="0" w:color="D9D9E3"/>
                                  </w:divBdr>
                                  <w:divsChild>
                                    <w:div w:id="1241789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18772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940</Words>
  <Characters>5362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2023-10-25T14:12:00Z</dcterms:created>
  <dcterms:modified xsi:type="dcterms:W3CDTF">2023-10-27T23:16:00Z</dcterms:modified>
</cp:coreProperties>
</file>