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C8B7D1" w14:textId="17A1F178" w:rsidR="00404855" w:rsidRPr="003E71DE" w:rsidRDefault="00B07DFF" w:rsidP="003E71DE">
      <w:pPr>
        <w:spacing w:line="360" w:lineRule="auto"/>
        <w:jc w:val="center"/>
        <w:rPr>
          <w:rFonts w:ascii="Arial" w:hAnsi="Arial" w:cs="Arial"/>
          <w:b/>
          <w:bCs/>
          <w:color w:val="000000" w:themeColor="text1"/>
          <w:sz w:val="32"/>
          <w:szCs w:val="32"/>
        </w:rPr>
      </w:pPr>
      <w:r w:rsidRPr="003E71DE">
        <w:rPr>
          <w:rFonts w:ascii="Arial" w:hAnsi="Arial" w:cs="Arial"/>
          <w:b/>
          <w:bCs/>
          <w:noProof/>
          <w:color w:val="000000" w:themeColor="text1"/>
          <w:sz w:val="32"/>
          <w:szCs w:val="32"/>
        </w:rPr>
        <w:drawing>
          <wp:inline distT="0" distB="0" distL="0" distR="0" wp14:anchorId="3AB938EC" wp14:editId="6BC52699">
            <wp:extent cx="3062122" cy="1152945"/>
            <wp:effectExtent l="0" t="0" r="5080" b="9525"/>
            <wp:docPr id="93588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8364" name=""/>
                    <pic:cNvPicPr/>
                  </pic:nvPicPr>
                  <pic:blipFill>
                    <a:blip r:embed="rId8"/>
                    <a:stretch>
                      <a:fillRect/>
                    </a:stretch>
                  </pic:blipFill>
                  <pic:spPr>
                    <a:xfrm>
                      <a:off x="0" y="0"/>
                      <a:ext cx="3070773" cy="1156202"/>
                    </a:xfrm>
                    <a:prstGeom prst="rect">
                      <a:avLst/>
                    </a:prstGeom>
                  </pic:spPr>
                </pic:pic>
              </a:graphicData>
            </a:graphic>
          </wp:inline>
        </w:drawing>
      </w:r>
    </w:p>
    <w:p w14:paraId="3140B0BB" w14:textId="77777777" w:rsidR="00C35934" w:rsidRPr="003E71DE" w:rsidRDefault="00C35934" w:rsidP="003E71DE">
      <w:pPr>
        <w:spacing w:before="240" w:line="360" w:lineRule="auto"/>
        <w:rPr>
          <w:rFonts w:ascii="Arial" w:hAnsi="Arial" w:cs="Arial"/>
          <w:b/>
          <w:bCs/>
          <w:color w:val="000000" w:themeColor="text1"/>
          <w:sz w:val="28"/>
          <w:szCs w:val="28"/>
          <w:lang w:val="en-GB"/>
        </w:rPr>
      </w:pPr>
    </w:p>
    <w:p w14:paraId="5D0F7BE1" w14:textId="77777777" w:rsidR="009A069F" w:rsidRPr="003E71DE" w:rsidRDefault="009A069F" w:rsidP="00C36758">
      <w:pPr>
        <w:spacing w:before="240" w:line="360" w:lineRule="auto"/>
        <w:rPr>
          <w:rFonts w:ascii="Arial" w:hAnsi="Arial" w:cs="Arial"/>
          <w:b/>
          <w:bCs/>
          <w:color w:val="000000" w:themeColor="text1"/>
          <w:sz w:val="32"/>
          <w:szCs w:val="32"/>
          <w:lang w:val="en-GB"/>
        </w:rPr>
      </w:pPr>
    </w:p>
    <w:p w14:paraId="36608176" w14:textId="0FAF93A5" w:rsidR="009A069F" w:rsidRPr="003E71DE" w:rsidRDefault="009A069F" w:rsidP="003E71DE">
      <w:pPr>
        <w:spacing w:before="240" w:line="360" w:lineRule="auto"/>
        <w:jc w:val="center"/>
        <w:rPr>
          <w:rFonts w:ascii="Arial" w:hAnsi="Arial" w:cs="Arial"/>
          <w:b/>
          <w:bCs/>
          <w:color w:val="000000" w:themeColor="text1"/>
          <w:sz w:val="32"/>
          <w:szCs w:val="32"/>
          <w:lang w:val="en-GB"/>
        </w:rPr>
      </w:pPr>
      <w:r w:rsidRPr="003E71DE">
        <w:rPr>
          <w:rFonts w:ascii="Arial" w:hAnsi="Arial" w:cs="Arial"/>
          <w:b/>
          <w:bCs/>
          <w:color w:val="000000" w:themeColor="text1"/>
          <w:sz w:val="32"/>
          <w:szCs w:val="32"/>
          <w:lang w:val="en-GB"/>
        </w:rPr>
        <w:t>Student Name:</w:t>
      </w:r>
      <w:r w:rsidR="00BE73FB">
        <w:rPr>
          <w:rFonts w:ascii="Arial" w:hAnsi="Arial" w:cs="Arial"/>
          <w:b/>
          <w:bCs/>
          <w:color w:val="000000" w:themeColor="text1"/>
          <w:sz w:val="32"/>
          <w:szCs w:val="32"/>
          <w:lang w:val="en-GB"/>
        </w:rPr>
        <w:t xml:space="preserve"> Meghna </w:t>
      </w:r>
      <w:proofErr w:type="spellStart"/>
      <w:r w:rsidR="00BE73FB">
        <w:rPr>
          <w:rFonts w:ascii="Arial" w:hAnsi="Arial" w:cs="Arial"/>
          <w:b/>
          <w:bCs/>
          <w:color w:val="000000" w:themeColor="text1"/>
          <w:sz w:val="32"/>
          <w:szCs w:val="32"/>
          <w:lang w:val="en-GB"/>
        </w:rPr>
        <w:t>JagdishBhai</w:t>
      </w:r>
      <w:proofErr w:type="spellEnd"/>
      <w:r w:rsidR="00BE73FB">
        <w:rPr>
          <w:rFonts w:ascii="Arial" w:hAnsi="Arial" w:cs="Arial"/>
          <w:b/>
          <w:bCs/>
          <w:color w:val="000000" w:themeColor="text1"/>
          <w:sz w:val="32"/>
          <w:szCs w:val="32"/>
          <w:lang w:val="en-GB"/>
        </w:rPr>
        <w:t xml:space="preserve"> Balar</w:t>
      </w:r>
    </w:p>
    <w:p w14:paraId="1F418C87" w14:textId="5E4C62E1" w:rsidR="009A069F" w:rsidRPr="003E71DE" w:rsidRDefault="009A069F" w:rsidP="003E71DE">
      <w:pPr>
        <w:spacing w:before="240" w:line="360" w:lineRule="auto"/>
        <w:jc w:val="center"/>
        <w:rPr>
          <w:rFonts w:ascii="Arial" w:hAnsi="Arial" w:cs="Arial"/>
          <w:b/>
          <w:bCs/>
          <w:color w:val="000000" w:themeColor="text1"/>
          <w:sz w:val="32"/>
          <w:szCs w:val="32"/>
          <w:lang w:val="en-GB"/>
        </w:rPr>
      </w:pPr>
      <w:r w:rsidRPr="003E71DE">
        <w:rPr>
          <w:rFonts w:ascii="Arial" w:hAnsi="Arial" w:cs="Arial"/>
          <w:b/>
          <w:bCs/>
          <w:color w:val="000000" w:themeColor="text1"/>
          <w:sz w:val="32"/>
          <w:szCs w:val="32"/>
          <w:lang w:val="en-GB"/>
        </w:rPr>
        <w:t>Student ID:</w:t>
      </w:r>
      <w:r w:rsidR="00BE73FB">
        <w:rPr>
          <w:rFonts w:ascii="Arial" w:hAnsi="Arial" w:cs="Arial"/>
          <w:b/>
          <w:bCs/>
          <w:color w:val="000000" w:themeColor="text1"/>
          <w:sz w:val="32"/>
          <w:szCs w:val="32"/>
          <w:lang w:val="en-GB"/>
        </w:rPr>
        <w:t xml:space="preserve"> 2427835</w:t>
      </w:r>
    </w:p>
    <w:p w14:paraId="29C67137" w14:textId="77777777" w:rsidR="009A069F" w:rsidRPr="003E71DE" w:rsidRDefault="009A069F" w:rsidP="003E71DE">
      <w:pPr>
        <w:spacing w:before="240" w:line="360" w:lineRule="auto"/>
        <w:jc w:val="center"/>
        <w:rPr>
          <w:rFonts w:ascii="Arial" w:hAnsi="Arial" w:cs="Arial"/>
          <w:b/>
          <w:bCs/>
          <w:color w:val="000000" w:themeColor="text1"/>
          <w:sz w:val="32"/>
          <w:szCs w:val="32"/>
          <w:lang w:val="en-GB"/>
        </w:rPr>
      </w:pPr>
    </w:p>
    <w:p w14:paraId="47873439" w14:textId="2B3B5BE8" w:rsidR="003975E2" w:rsidRPr="003E71DE" w:rsidRDefault="00000000" w:rsidP="003E71DE">
      <w:pPr>
        <w:spacing w:before="240" w:line="360" w:lineRule="auto"/>
        <w:jc w:val="center"/>
        <w:rPr>
          <w:rFonts w:ascii="Arial" w:hAnsi="Arial" w:cs="Arial"/>
          <w:b/>
          <w:bCs/>
          <w:color w:val="000000" w:themeColor="text1"/>
          <w:sz w:val="32"/>
          <w:szCs w:val="32"/>
          <w:lang w:val="en-GB"/>
        </w:rPr>
      </w:pPr>
      <w:r w:rsidRPr="003E71DE">
        <w:rPr>
          <w:rFonts w:ascii="Arial" w:hAnsi="Arial" w:cs="Arial"/>
          <w:b/>
          <w:bCs/>
          <w:color w:val="000000" w:themeColor="text1"/>
          <w:sz w:val="32"/>
          <w:szCs w:val="32"/>
          <w:lang w:val="en-GB"/>
        </w:rPr>
        <w:t xml:space="preserve">Module: </w:t>
      </w:r>
      <w:r w:rsidR="000F40FB" w:rsidRPr="003E71DE">
        <w:rPr>
          <w:rFonts w:ascii="Arial" w:hAnsi="Arial" w:cs="Arial"/>
          <w:b/>
          <w:bCs/>
          <w:color w:val="000000" w:themeColor="text1"/>
          <w:sz w:val="32"/>
          <w:szCs w:val="32"/>
        </w:rPr>
        <w:t>Marketing Management</w:t>
      </w:r>
    </w:p>
    <w:p w14:paraId="4B968D00" w14:textId="77777777" w:rsidR="009A069F" w:rsidRPr="003E71DE" w:rsidRDefault="00000000" w:rsidP="003E71DE">
      <w:pPr>
        <w:spacing w:before="240" w:line="360" w:lineRule="auto"/>
        <w:jc w:val="center"/>
        <w:rPr>
          <w:rFonts w:ascii="Arial" w:hAnsi="Arial" w:cs="Arial"/>
          <w:b/>
          <w:bCs/>
          <w:color w:val="000000" w:themeColor="text1"/>
          <w:sz w:val="32"/>
          <w:szCs w:val="32"/>
          <w:lang w:val="en-GB"/>
        </w:rPr>
      </w:pPr>
      <w:r w:rsidRPr="003E71DE">
        <w:rPr>
          <w:rFonts w:ascii="Arial" w:hAnsi="Arial" w:cs="Arial"/>
          <w:b/>
          <w:bCs/>
          <w:color w:val="000000" w:themeColor="text1"/>
          <w:sz w:val="32"/>
          <w:szCs w:val="32"/>
          <w:lang w:val="en-GB"/>
        </w:rPr>
        <w:t>Module code: LCMB702</w:t>
      </w:r>
      <w:r w:rsidR="000F40FB" w:rsidRPr="003E71DE">
        <w:rPr>
          <w:rFonts w:ascii="Arial" w:hAnsi="Arial" w:cs="Arial"/>
          <w:b/>
          <w:bCs/>
          <w:color w:val="000000" w:themeColor="text1"/>
          <w:sz w:val="32"/>
          <w:szCs w:val="32"/>
          <w:lang w:val="en-GB"/>
        </w:rPr>
        <w:t>4</w:t>
      </w:r>
    </w:p>
    <w:p w14:paraId="2BB894CC" w14:textId="77777777" w:rsidR="009A069F" w:rsidRPr="003E71DE" w:rsidRDefault="009A069F" w:rsidP="003E71DE">
      <w:pPr>
        <w:spacing w:before="240" w:line="360" w:lineRule="auto"/>
        <w:jc w:val="center"/>
        <w:rPr>
          <w:rFonts w:ascii="Arial" w:hAnsi="Arial" w:cs="Arial"/>
          <w:b/>
          <w:bCs/>
          <w:color w:val="000000" w:themeColor="text1"/>
          <w:sz w:val="32"/>
          <w:szCs w:val="32"/>
          <w:lang w:val="en-GB"/>
        </w:rPr>
      </w:pPr>
    </w:p>
    <w:p w14:paraId="16BE9D16" w14:textId="005BC349" w:rsidR="009A069F" w:rsidRPr="003E71DE" w:rsidRDefault="00000000" w:rsidP="003E71DE">
      <w:pPr>
        <w:spacing w:before="240" w:line="360" w:lineRule="auto"/>
        <w:jc w:val="center"/>
        <w:rPr>
          <w:rFonts w:ascii="Arial" w:hAnsi="Arial" w:cs="Arial"/>
          <w:color w:val="000000" w:themeColor="text1"/>
          <w:sz w:val="32"/>
          <w:szCs w:val="32"/>
        </w:rPr>
      </w:pPr>
      <w:r w:rsidRPr="003E71DE">
        <w:rPr>
          <w:rFonts w:ascii="Arial" w:hAnsi="Arial" w:cs="Arial"/>
          <w:b/>
          <w:bCs/>
          <w:color w:val="000000" w:themeColor="text1"/>
          <w:sz w:val="32"/>
          <w:szCs w:val="32"/>
          <w:lang w:val="en-GB"/>
        </w:rPr>
        <w:t xml:space="preserve">Name of the Lecturer: </w:t>
      </w:r>
      <w:r w:rsidR="00BE73FB" w:rsidRPr="00BE73FB">
        <w:rPr>
          <w:rFonts w:ascii="Arial" w:hAnsi="Arial" w:cs="Arial"/>
          <w:b/>
          <w:bCs/>
          <w:color w:val="000000" w:themeColor="text1"/>
          <w:sz w:val="32"/>
          <w:szCs w:val="32"/>
          <w:lang w:val="en-GB"/>
        </w:rPr>
        <w:t>Dr Haoran Liu</w:t>
      </w:r>
    </w:p>
    <w:p w14:paraId="6E5D2DBA" w14:textId="77777777" w:rsidR="009A069F" w:rsidRPr="003E71DE" w:rsidRDefault="009A069F" w:rsidP="003E71DE">
      <w:pPr>
        <w:spacing w:before="240" w:line="360" w:lineRule="auto"/>
        <w:jc w:val="center"/>
        <w:rPr>
          <w:rFonts w:ascii="Arial" w:hAnsi="Arial" w:cs="Arial"/>
          <w:b/>
          <w:bCs/>
          <w:color w:val="000000" w:themeColor="text1"/>
          <w:sz w:val="32"/>
          <w:szCs w:val="32"/>
          <w:lang w:val="en-GB"/>
        </w:rPr>
      </w:pPr>
    </w:p>
    <w:p w14:paraId="53BD1E1E" w14:textId="2F0E333D" w:rsidR="00404855" w:rsidRPr="003E71DE" w:rsidRDefault="00000000" w:rsidP="003E71DE">
      <w:pPr>
        <w:spacing w:before="240" w:line="360" w:lineRule="auto"/>
        <w:jc w:val="center"/>
        <w:rPr>
          <w:rFonts w:ascii="Arial" w:hAnsi="Arial" w:cs="Arial"/>
          <w:b/>
          <w:bCs/>
          <w:color w:val="000000" w:themeColor="text1"/>
          <w:sz w:val="32"/>
          <w:szCs w:val="32"/>
          <w:lang w:val="en-GB"/>
        </w:rPr>
      </w:pPr>
      <w:r w:rsidRPr="003E71DE">
        <w:rPr>
          <w:rFonts w:ascii="Arial" w:hAnsi="Arial" w:cs="Arial"/>
          <w:b/>
          <w:bCs/>
          <w:color w:val="000000" w:themeColor="text1"/>
          <w:sz w:val="32"/>
          <w:szCs w:val="32"/>
          <w:lang w:val="en-GB"/>
        </w:rPr>
        <w:t xml:space="preserve">Word count: </w:t>
      </w:r>
      <w:r w:rsidRPr="003E71DE">
        <w:rPr>
          <w:rFonts w:ascii="Arial" w:hAnsi="Arial" w:cs="Arial"/>
          <w:color w:val="000000" w:themeColor="text1"/>
          <w:sz w:val="32"/>
          <w:szCs w:val="32"/>
          <w:lang w:val="en-GB"/>
        </w:rPr>
        <w:t>25</w:t>
      </w:r>
      <w:r w:rsidR="004A21A5">
        <w:rPr>
          <w:rFonts w:ascii="Arial" w:hAnsi="Arial" w:cs="Arial"/>
          <w:color w:val="000000" w:themeColor="text1"/>
          <w:sz w:val="32"/>
          <w:szCs w:val="32"/>
          <w:lang w:val="en-GB"/>
        </w:rPr>
        <w:t>16</w:t>
      </w:r>
      <w:r w:rsidRPr="003E71DE">
        <w:rPr>
          <w:rFonts w:ascii="Arial" w:hAnsi="Arial" w:cs="Arial"/>
          <w:b/>
          <w:bCs/>
          <w:color w:val="000000" w:themeColor="text1"/>
          <w:sz w:val="32"/>
          <w:szCs w:val="32"/>
        </w:rPr>
        <w:br w:type="page"/>
      </w:r>
    </w:p>
    <w:sdt>
      <w:sdtPr>
        <w:rPr>
          <w:rFonts w:ascii="Arial" w:eastAsiaTheme="minorHAnsi" w:hAnsi="Arial" w:cs="Arial"/>
          <w:color w:val="000000" w:themeColor="text1"/>
          <w:kern w:val="2"/>
          <w:sz w:val="24"/>
          <w:szCs w:val="24"/>
          <w:lang w:val="en-IN"/>
          <w14:ligatures w14:val="standardContextual"/>
        </w:rPr>
        <w:id w:val="-103120488"/>
        <w:docPartObj>
          <w:docPartGallery w:val="Table of Contents"/>
          <w:docPartUnique/>
        </w:docPartObj>
      </w:sdtPr>
      <w:sdtEndPr>
        <w:rPr>
          <w:b/>
          <w:bCs/>
          <w:noProof/>
        </w:rPr>
      </w:sdtEndPr>
      <w:sdtContent>
        <w:p w14:paraId="19393AD8" w14:textId="77777777" w:rsidR="00661196" w:rsidRPr="003E71DE" w:rsidRDefault="00000000" w:rsidP="003E71DE">
          <w:pPr>
            <w:pStyle w:val="TOCHeading"/>
            <w:spacing w:line="360" w:lineRule="auto"/>
            <w:jc w:val="center"/>
            <w:rPr>
              <w:rFonts w:ascii="Arial" w:hAnsi="Arial" w:cs="Arial"/>
              <w:b/>
              <w:bCs/>
              <w:color w:val="000000" w:themeColor="text1"/>
              <w:sz w:val="28"/>
              <w:szCs w:val="28"/>
            </w:rPr>
          </w:pPr>
          <w:r w:rsidRPr="003E71DE">
            <w:rPr>
              <w:rFonts w:ascii="Arial" w:hAnsi="Arial" w:cs="Arial"/>
              <w:b/>
              <w:bCs/>
              <w:color w:val="000000" w:themeColor="text1"/>
              <w:sz w:val="28"/>
              <w:szCs w:val="28"/>
            </w:rPr>
            <w:t>Table of Contents</w:t>
          </w:r>
        </w:p>
        <w:p w14:paraId="4393310F" w14:textId="4EACF2CE" w:rsidR="00661196" w:rsidRPr="003E71DE" w:rsidRDefault="00000000" w:rsidP="003E71DE">
          <w:pPr>
            <w:pStyle w:val="TOC1"/>
            <w:tabs>
              <w:tab w:val="right" w:leader="dot" w:pos="9016"/>
            </w:tabs>
            <w:spacing w:line="360" w:lineRule="auto"/>
            <w:jc w:val="both"/>
            <w:rPr>
              <w:rFonts w:ascii="Arial" w:eastAsiaTheme="minorEastAsia" w:hAnsi="Arial" w:cs="Arial"/>
              <w:noProof/>
              <w:color w:val="000000" w:themeColor="text1"/>
              <w:sz w:val="24"/>
              <w:szCs w:val="24"/>
              <w:lang w:eastAsia="en-IN"/>
            </w:rPr>
          </w:pPr>
          <w:r w:rsidRPr="003E71DE">
            <w:rPr>
              <w:rFonts w:ascii="Arial" w:hAnsi="Arial" w:cs="Arial"/>
              <w:color w:val="000000" w:themeColor="text1"/>
              <w:sz w:val="24"/>
              <w:szCs w:val="24"/>
            </w:rPr>
            <w:fldChar w:fldCharType="begin"/>
          </w:r>
          <w:r w:rsidRPr="003E71DE">
            <w:rPr>
              <w:rFonts w:ascii="Arial" w:hAnsi="Arial" w:cs="Arial"/>
              <w:color w:val="000000" w:themeColor="text1"/>
              <w:sz w:val="24"/>
              <w:szCs w:val="24"/>
            </w:rPr>
            <w:instrText xml:space="preserve"> TOC \o "1-3" \h \z \u </w:instrText>
          </w:r>
          <w:r w:rsidRPr="003E71DE">
            <w:rPr>
              <w:rFonts w:ascii="Arial" w:hAnsi="Arial" w:cs="Arial"/>
              <w:color w:val="000000" w:themeColor="text1"/>
              <w:sz w:val="24"/>
              <w:szCs w:val="24"/>
            </w:rPr>
            <w:fldChar w:fldCharType="separate"/>
          </w:r>
          <w:hyperlink w:anchor="_Toc193367287" w:history="1">
            <w:r w:rsidR="00661196" w:rsidRPr="003E71DE">
              <w:rPr>
                <w:rStyle w:val="Hyperlink"/>
                <w:rFonts w:ascii="Arial" w:hAnsi="Arial" w:cs="Arial"/>
                <w:noProof/>
                <w:color w:val="000000" w:themeColor="text1"/>
                <w:sz w:val="24"/>
                <w:szCs w:val="24"/>
              </w:rPr>
              <w:t>Introduction</w:t>
            </w:r>
            <w:r w:rsidR="00661196" w:rsidRPr="003E71DE">
              <w:rPr>
                <w:rFonts w:ascii="Arial" w:hAnsi="Arial" w:cs="Arial"/>
                <w:noProof/>
                <w:webHidden/>
                <w:color w:val="000000" w:themeColor="text1"/>
                <w:sz w:val="24"/>
                <w:szCs w:val="24"/>
              </w:rPr>
              <w:tab/>
            </w:r>
            <w:r w:rsidR="00661196" w:rsidRPr="003E71DE">
              <w:rPr>
                <w:rFonts w:ascii="Arial" w:hAnsi="Arial" w:cs="Arial"/>
                <w:noProof/>
                <w:webHidden/>
                <w:color w:val="000000" w:themeColor="text1"/>
                <w:sz w:val="24"/>
                <w:szCs w:val="24"/>
              </w:rPr>
              <w:fldChar w:fldCharType="begin"/>
            </w:r>
            <w:r w:rsidR="00661196" w:rsidRPr="003E71DE">
              <w:rPr>
                <w:rFonts w:ascii="Arial" w:hAnsi="Arial" w:cs="Arial"/>
                <w:noProof/>
                <w:webHidden/>
                <w:color w:val="000000" w:themeColor="text1"/>
                <w:sz w:val="24"/>
                <w:szCs w:val="24"/>
              </w:rPr>
              <w:instrText xml:space="preserve"> PAGEREF _Toc193367287 \h </w:instrText>
            </w:r>
            <w:r w:rsidR="00661196" w:rsidRPr="003E71DE">
              <w:rPr>
                <w:rFonts w:ascii="Arial" w:hAnsi="Arial" w:cs="Arial"/>
                <w:noProof/>
                <w:webHidden/>
                <w:color w:val="000000" w:themeColor="text1"/>
                <w:sz w:val="24"/>
                <w:szCs w:val="24"/>
              </w:rPr>
            </w:r>
            <w:r w:rsidR="00661196"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3</w:t>
            </w:r>
            <w:r w:rsidR="00661196" w:rsidRPr="003E71DE">
              <w:rPr>
                <w:rFonts w:ascii="Arial" w:hAnsi="Arial" w:cs="Arial"/>
                <w:noProof/>
                <w:webHidden/>
                <w:color w:val="000000" w:themeColor="text1"/>
                <w:sz w:val="24"/>
                <w:szCs w:val="24"/>
              </w:rPr>
              <w:fldChar w:fldCharType="end"/>
            </w:r>
          </w:hyperlink>
        </w:p>
        <w:p w14:paraId="00CDD5F5" w14:textId="1C2EB3FD" w:rsidR="00661196" w:rsidRPr="003E71DE" w:rsidRDefault="00661196" w:rsidP="003E71DE">
          <w:pPr>
            <w:pStyle w:val="TOC1"/>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193367288" w:history="1">
            <w:r w:rsidRPr="003E71DE">
              <w:rPr>
                <w:rStyle w:val="Hyperlink"/>
                <w:rFonts w:ascii="Arial" w:hAnsi="Arial" w:cs="Arial"/>
                <w:noProof/>
                <w:color w:val="000000" w:themeColor="text1"/>
                <w:sz w:val="24"/>
                <w:szCs w:val="24"/>
              </w:rPr>
              <w:t>Pioneer vs. Follower Strategy in Strategic Marketing</w:t>
            </w:r>
            <w:r w:rsidRPr="003E71DE">
              <w:rPr>
                <w:rFonts w:ascii="Arial" w:hAnsi="Arial" w:cs="Arial"/>
                <w:noProof/>
                <w:webHidden/>
                <w:color w:val="000000" w:themeColor="text1"/>
                <w:sz w:val="24"/>
                <w:szCs w:val="24"/>
              </w:rPr>
              <w:tab/>
            </w:r>
            <w:r w:rsidRPr="003E71DE">
              <w:rPr>
                <w:rFonts w:ascii="Arial" w:hAnsi="Arial" w:cs="Arial"/>
                <w:noProof/>
                <w:webHidden/>
                <w:color w:val="000000" w:themeColor="text1"/>
                <w:sz w:val="24"/>
                <w:szCs w:val="24"/>
              </w:rPr>
              <w:fldChar w:fldCharType="begin"/>
            </w:r>
            <w:r w:rsidRPr="003E71DE">
              <w:rPr>
                <w:rFonts w:ascii="Arial" w:hAnsi="Arial" w:cs="Arial"/>
                <w:noProof/>
                <w:webHidden/>
                <w:color w:val="000000" w:themeColor="text1"/>
                <w:sz w:val="24"/>
                <w:szCs w:val="24"/>
              </w:rPr>
              <w:instrText xml:space="preserve"> PAGEREF _Toc193367288 \h </w:instrText>
            </w:r>
            <w:r w:rsidRPr="003E71DE">
              <w:rPr>
                <w:rFonts w:ascii="Arial" w:hAnsi="Arial" w:cs="Arial"/>
                <w:noProof/>
                <w:webHidden/>
                <w:color w:val="000000" w:themeColor="text1"/>
                <w:sz w:val="24"/>
                <w:szCs w:val="24"/>
              </w:rPr>
            </w:r>
            <w:r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3</w:t>
            </w:r>
            <w:r w:rsidRPr="003E71DE">
              <w:rPr>
                <w:rFonts w:ascii="Arial" w:hAnsi="Arial" w:cs="Arial"/>
                <w:noProof/>
                <w:webHidden/>
                <w:color w:val="000000" w:themeColor="text1"/>
                <w:sz w:val="24"/>
                <w:szCs w:val="24"/>
              </w:rPr>
              <w:fldChar w:fldCharType="end"/>
            </w:r>
          </w:hyperlink>
        </w:p>
        <w:p w14:paraId="7395D2BF" w14:textId="78EB692E" w:rsidR="00661196" w:rsidRPr="003E71DE" w:rsidRDefault="00661196" w:rsidP="003E71DE">
          <w:pPr>
            <w:pStyle w:val="TOC2"/>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193367289" w:history="1">
            <w:r w:rsidRPr="003E71DE">
              <w:rPr>
                <w:rStyle w:val="Hyperlink"/>
                <w:rFonts w:ascii="Arial" w:hAnsi="Arial" w:cs="Arial"/>
                <w:noProof/>
                <w:color w:val="000000" w:themeColor="text1"/>
                <w:sz w:val="24"/>
                <w:szCs w:val="24"/>
              </w:rPr>
              <w:t>Advantages of Being a Pioneer</w:t>
            </w:r>
            <w:r w:rsidRPr="003E71DE">
              <w:rPr>
                <w:rFonts w:ascii="Arial" w:hAnsi="Arial" w:cs="Arial"/>
                <w:noProof/>
                <w:webHidden/>
                <w:color w:val="000000" w:themeColor="text1"/>
                <w:sz w:val="24"/>
                <w:szCs w:val="24"/>
              </w:rPr>
              <w:tab/>
            </w:r>
            <w:r w:rsidRPr="003E71DE">
              <w:rPr>
                <w:rFonts w:ascii="Arial" w:hAnsi="Arial" w:cs="Arial"/>
                <w:noProof/>
                <w:webHidden/>
                <w:color w:val="000000" w:themeColor="text1"/>
                <w:sz w:val="24"/>
                <w:szCs w:val="24"/>
              </w:rPr>
              <w:fldChar w:fldCharType="begin"/>
            </w:r>
            <w:r w:rsidRPr="003E71DE">
              <w:rPr>
                <w:rFonts w:ascii="Arial" w:hAnsi="Arial" w:cs="Arial"/>
                <w:noProof/>
                <w:webHidden/>
                <w:color w:val="000000" w:themeColor="text1"/>
                <w:sz w:val="24"/>
                <w:szCs w:val="24"/>
              </w:rPr>
              <w:instrText xml:space="preserve"> PAGEREF _Toc193367289 \h </w:instrText>
            </w:r>
            <w:r w:rsidRPr="003E71DE">
              <w:rPr>
                <w:rFonts w:ascii="Arial" w:hAnsi="Arial" w:cs="Arial"/>
                <w:noProof/>
                <w:webHidden/>
                <w:color w:val="000000" w:themeColor="text1"/>
                <w:sz w:val="24"/>
                <w:szCs w:val="24"/>
              </w:rPr>
            </w:r>
            <w:r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4</w:t>
            </w:r>
            <w:r w:rsidRPr="003E71DE">
              <w:rPr>
                <w:rFonts w:ascii="Arial" w:hAnsi="Arial" w:cs="Arial"/>
                <w:noProof/>
                <w:webHidden/>
                <w:color w:val="000000" w:themeColor="text1"/>
                <w:sz w:val="24"/>
                <w:szCs w:val="24"/>
              </w:rPr>
              <w:fldChar w:fldCharType="end"/>
            </w:r>
          </w:hyperlink>
        </w:p>
        <w:p w14:paraId="55C2D2D0" w14:textId="5F82A72E" w:rsidR="00661196" w:rsidRPr="003E71DE" w:rsidRDefault="00661196" w:rsidP="003E71DE">
          <w:pPr>
            <w:pStyle w:val="TOC2"/>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193367290" w:history="1">
            <w:r w:rsidRPr="003E71DE">
              <w:rPr>
                <w:rStyle w:val="Hyperlink"/>
                <w:rFonts w:ascii="Arial" w:hAnsi="Arial" w:cs="Arial"/>
                <w:noProof/>
                <w:color w:val="000000" w:themeColor="text1"/>
                <w:sz w:val="24"/>
                <w:szCs w:val="24"/>
              </w:rPr>
              <w:t>Advantages of Being a Follower</w:t>
            </w:r>
            <w:r w:rsidRPr="003E71DE">
              <w:rPr>
                <w:rFonts w:ascii="Arial" w:hAnsi="Arial" w:cs="Arial"/>
                <w:noProof/>
                <w:webHidden/>
                <w:color w:val="000000" w:themeColor="text1"/>
                <w:sz w:val="24"/>
                <w:szCs w:val="24"/>
              </w:rPr>
              <w:tab/>
            </w:r>
            <w:r w:rsidRPr="003E71DE">
              <w:rPr>
                <w:rFonts w:ascii="Arial" w:hAnsi="Arial" w:cs="Arial"/>
                <w:noProof/>
                <w:webHidden/>
                <w:color w:val="000000" w:themeColor="text1"/>
                <w:sz w:val="24"/>
                <w:szCs w:val="24"/>
              </w:rPr>
              <w:fldChar w:fldCharType="begin"/>
            </w:r>
            <w:r w:rsidRPr="003E71DE">
              <w:rPr>
                <w:rFonts w:ascii="Arial" w:hAnsi="Arial" w:cs="Arial"/>
                <w:noProof/>
                <w:webHidden/>
                <w:color w:val="000000" w:themeColor="text1"/>
                <w:sz w:val="24"/>
                <w:szCs w:val="24"/>
              </w:rPr>
              <w:instrText xml:space="preserve"> PAGEREF _Toc193367290 \h </w:instrText>
            </w:r>
            <w:r w:rsidRPr="003E71DE">
              <w:rPr>
                <w:rFonts w:ascii="Arial" w:hAnsi="Arial" w:cs="Arial"/>
                <w:noProof/>
                <w:webHidden/>
                <w:color w:val="000000" w:themeColor="text1"/>
                <w:sz w:val="24"/>
                <w:szCs w:val="24"/>
              </w:rPr>
            </w:r>
            <w:r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5</w:t>
            </w:r>
            <w:r w:rsidRPr="003E71DE">
              <w:rPr>
                <w:rFonts w:ascii="Arial" w:hAnsi="Arial" w:cs="Arial"/>
                <w:noProof/>
                <w:webHidden/>
                <w:color w:val="000000" w:themeColor="text1"/>
                <w:sz w:val="24"/>
                <w:szCs w:val="24"/>
              </w:rPr>
              <w:fldChar w:fldCharType="end"/>
            </w:r>
          </w:hyperlink>
        </w:p>
        <w:p w14:paraId="2E1E4A75" w14:textId="2EF1BECE" w:rsidR="00661196" w:rsidRPr="003E71DE" w:rsidRDefault="00661196" w:rsidP="003E71DE">
          <w:pPr>
            <w:pStyle w:val="TOC1"/>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193367291" w:history="1">
            <w:r w:rsidRPr="003E71DE">
              <w:rPr>
                <w:rStyle w:val="Hyperlink"/>
                <w:rFonts w:ascii="Arial" w:hAnsi="Arial" w:cs="Arial"/>
                <w:noProof/>
                <w:color w:val="000000" w:themeColor="text1"/>
                <w:sz w:val="24"/>
                <w:szCs w:val="24"/>
              </w:rPr>
              <w:t>Product Life Cycle Strategies of Successful Pioneer and Follower Companies</w:t>
            </w:r>
            <w:r w:rsidRPr="003E71DE">
              <w:rPr>
                <w:rFonts w:ascii="Arial" w:hAnsi="Arial" w:cs="Arial"/>
                <w:noProof/>
                <w:webHidden/>
                <w:color w:val="000000" w:themeColor="text1"/>
                <w:sz w:val="24"/>
                <w:szCs w:val="24"/>
              </w:rPr>
              <w:tab/>
            </w:r>
            <w:r w:rsidRPr="003E71DE">
              <w:rPr>
                <w:rFonts w:ascii="Arial" w:hAnsi="Arial" w:cs="Arial"/>
                <w:noProof/>
                <w:webHidden/>
                <w:color w:val="000000" w:themeColor="text1"/>
                <w:sz w:val="24"/>
                <w:szCs w:val="24"/>
              </w:rPr>
              <w:fldChar w:fldCharType="begin"/>
            </w:r>
            <w:r w:rsidRPr="003E71DE">
              <w:rPr>
                <w:rFonts w:ascii="Arial" w:hAnsi="Arial" w:cs="Arial"/>
                <w:noProof/>
                <w:webHidden/>
                <w:color w:val="000000" w:themeColor="text1"/>
                <w:sz w:val="24"/>
                <w:szCs w:val="24"/>
              </w:rPr>
              <w:instrText xml:space="preserve"> PAGEREF _Toc193367291 \h </w:instrText>
            </w:r>
            <w:r w:rsidRPr="003E71DE">
              <w:rPr>
                <w:rFonts w:ascii="Arial" w:hAnsi="Arial" w:cs="Arial"/>
                <w:noProof/>
                <w:webHidden/>
                <w:color w:val="000000" w:themeColor="text1"/>
                <w:sz w:val="24"/>
                <w:szCs w:val="24"/>
              </w:rPr>
            </w:r>
            <w:r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6</w:t>
            </w:r>
            <w:r w:rsidRPr="003E71DE">
              <w:rPr>
                <w:rFonts w:ascii="Arial" w:hAnsi="Arial" w:cs="Arial"/>
                <w:noProof/>
                <w:webHidden/>
                <w:color w:val="000000" w:themeColor="text1"/>
                <w:sz w:val="24"/>
                <w:szCs w:val="24"/>
              </w:rPr>
              <w:fldChar w:fldCharType="end"/>
            </w:r>
          </w:hyperlink>
        </w:p>
        <w:p w14:paraId="5B1B3CA0" w14:textId="22D94D7F" w:rsidR="00661196" w:rsidRPr="003E71DE" w:rsidRDefault="00661196" w:rsidP="003E71DE">
          <w:pPr>
            <w:pStyle w:val="TOC2"/>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193367292" w:history="1">
            <w:r w:rsidRPr="003E71DE">
              <w:rPr>
                <w:rStyle w:val="Hyperlink"/>
                <w:rFonts w:ascii="Arial" w:hAnsi="Arial" w:cs="Arial"/>
                <w:noProof/>
                <w:color w:val="000000" w:themeColor="text1"/>
                <w:sz w:val="24"/>
                <w:szCs w:val="24"/>
              </w:rPr>
              <w:t>Pioneer Companies</w:t>
            </w:r>
            <w:r w:rsidRPr="003E71DE">
              <w:rPr>
                <w:rFonts w:ascii="Arial" w:hAnsi="Arial" w:cs="Arial"/>
                <w:noProof/>
                <w:webHidden/>
                <w:color w:val="000000" w:themeColor="text1"/>
                <w:sz w:val="24"/>
                <w:szCs w:val="24"/>
              </w:rPr>
              <w:tab/>
            </w:r>
            <w:r w:rsidRPr="003E71DE">
              <w:rPr>
                <w:rFonts w:ascii="Arial" w:hAnsi="Arial" w:cs="Arial"/>
                <w:noProof/>
                <w:webHidden/>
                <w:color w:val="000000" w:themeColor="text1"/>
                <w:sz w:val="24"/>
                <w:szCs w:val="24"/>
              </w:rPr>
              <w:fldChar w:fldCharType="begin"/>
            </w:r>
            <w:r w:rsidRPr="003E71DE">
              <w:rPr>
                <w:rFonts w:ascii="Arial" w:hAnsi="Arial" w:cs="Arial"/>
                <w:noProof/>
                <w:webHidden/>
                <w:color w:val="000000" w:themeColor="text1"/>
                <w:sz w:val="24"/>
                <w:szCs w:val="24"/>
              </w:rPr>
              <w:instrText xml:space="preserve"> PAGEREF _Toc193367292 \h </w:instrText>
            </w:r>
            <w:r w:rsidRPr="003E71DE">
              <w:rPr>
                <w:rFonts w:ascii="Arial" w:hAnsi="Arial" w:cs="Arial"/>
                <w:noProof/>
                <w:webHidden/>
                <w:color w:val="000000" w:themeColor="text1"/>
                <w:sz w:val="24"/>
                <w:szCs w:val="24"/>
              </w:rPr>
            </w:r>
            <w:r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6</w:t>
            </w:r>
            <w:r w:rsidRPr="003E71DE">
              <w:rPr>
                <w:rFonts w:ascii="Arial" w:hAnsi="Arial" w:cs="Arial"/>
                <w:noProof/>
                <w:webHidden/>
                <w:color w:val="000000" w:themeColor="text1"/>
                <w:sz w:val="24"/>
                <w:szCs w:val="24"/>
              </w:rPr>
              <w:fldChar w:fldCharType="end"/>
            </w:r>
          </w:hyperlink>
        </w:p>
        <w:p w14:paraId="3EF1A2F6" w14:textId="3A5B6AD1" w:rsidR="00661196" w:rsidRPr="003E71DE" w:rsidRDefault="00661196" w:rsidP="003E71DE">
          <w:pPr>
            <w:pStyle w:val="TOC2"/>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193367293" w:history="1">
            <w:r w:rsidRPr="003E71DE">
              <w:rPr>
                <w:rStyle w:val="Hyperlink"/>
                <w:rFonts w:ascii="Arial" w:hAnsi="Arial" w:cs="Arial"/>
                <w:noProof/>
                <w:color w:val="000000" w:themeColor="text1"/>
                <w:sz w:val="24"/>
                <w:szCs w:val="24"/>
              </w:rPr>
              <w:t>Follower Companies</w:t>
            </w:r>
            <w:r w:rsidRPr="003E71DE">
              <w:rPr>
                <w:rFonts w:ascii="Arial" w:hAnsi="Arial" w:cs="Arial"/>
                <w:noProof/>
                <w:webHidden/>
                <w:color w:val="000000" w:themeColor="text1"/>
                <w:sz w:val="24"/>
                <w:szCs w:val="24"/>
              </w:rPr>
              <w:tab/>
            </w:r>
            <w:r w:rsidRPr="003E71DE">
              <w:rPr>
                <w:rFonts w:ascii="Arial" w:hAnsi="Arial" w:cs="Arial"/>
                <w:noProof/>
                <w:webHidden/>
                <w:color w:val="000000" w:themeColor="text1"/>
                <w:sz w:val="24"/>
                <w:szCs w:val="24"/>
              </w:rPr>
              <w:fldChar w:fldCharType="begin"/>
            </w:r>
            <w:r w:rsidRPr="003E71DE">
              <w:rPr>
                <w:rFonts w:ascii="Arial" w:hAnsi="Arial" w:cs="Arial"/>
                <w:noProof/>
                <w:webHidden/>
                <w:color w:val="000000" w:themeColor="text1"/>
                <w:sz w:val="24"/>
                <w:szCs w:val="24"/>
              </w:rPr>
              <w:instrText xml:space="preserve"> PAGEREF _Toc193367293 \h </w:instrText>
            </w:r>
            <w:r w:rsidRPr="003E71DE">
              <w:rPr>
                <w:rFonts w:ascii="Arial" w:hAnsi="Arial" w:cs="Arial"/>
                <w:noProof/>
                <w:webHidden/>
                <w:color w:val="000000" w:themeColor="text1"/>
                <w:sz w:val="24"/>
                <w:szCs w:val="24"/>
              </w:rPr>
            </w:r>
            <w:r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9</w:t>
            </w:r>
            <w:r w:rsidRPr="003E71DE">
              <w:rPr>
                <w:rFonts w:ascii="Arial" w:hAnsi="Arial" w:cs="Arial"/>
                <w:noProof/>
                <w:webHidden/>
                <w:color w:val="000000" w:themeColor="text1"/>
                <w:sz w:val="24"/>
                <w:szCs w:val="24"/>
              </w:rPr>
              <w:fldChar w:fldCharType="end"/>
            </w:r>
          </w:hyperlink>
        </w:p>
        <w:p w14:paraId="5705933A" w14:textId="088BBC82" w:rsidR="00661196" w:rsidRPr="003E71DE" w:rsidRDefault="00661196" w:rsidP="003E71DE">
          <w:pPr>
            <w:pStyle w:val="TOC1"/>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193367294" w:history="1">
            <w:r w:rsidRPr="003E71DE">
              <w:rPr>
                <w:rStyle w:val="Hyperlink"/>
                <w:rFonts w:ascii="Arial" w:hAnsi="Arial" w:cs="Arial"/>
                <w:noProof/>
                <w:color w:val="000000" w:themeColor="text1"/>
                <w:sz w:val="24"/>
                <w:szCs w:val="24"/>
              </w:rPr>
              <w:t>Conclusion</w:t>
            </w:r>
            <w:r w:rsidRPr="003E71DE">
              <w:rPr>
                <w:rFonts w:ascii="Arial" w:hAnsi="Arial" w:cs="Arial"/>
                <w:noProof/>
                <w:webHidden/>
                <w:color w:val="000000" w:themeColor="text1"/>
                <w:sz w:val="24"/>
                <w:szCs w:val="24"/>
              </w:rPr>
              <w:tab/>
            </w:r>
            <w:r w:rsidRPr="003E71DE">
              <w:rPr>
                <w:rFonts w:ascii="Arial" w:hAnsi="Arial" w:cs="Arial"/>
                <w:noProof/>
                <w:webHidden/>
                <w:color w:val="000000" w:themeColor="text1"/>
                <w:sz w:val="24"/>
                <w:szCs w:val="24"/>
              </w:rPr>
              <w:fldChar w:fldCharType="begin"/>
            </w:r>
            <w:r w:rsidRPr="003E71DE">
              <w:rPr>
                <w:rFonts w:ascii="Arial" w:hAnsi="Arial" w:cs="Arial"/>
                <w:noProof/>
                <w:webHidden/>
                <w:color w:val="000000" w:themeColor="text1"/>
                <w:sz w:val="24"/>
                <w:szCs w:val="24"/>
              </w:rPr>
              <w:instrText xml:space="preserve"> PAGEREF _Toc193367294 \h </w:instrText>
            </w:r>
            <w:r w:rsidRPr="003E71DE">
              <w:rPr>
                <w:rFonts w:ascii="Arial" w:hAnsi="Arial" w:cs="Arial"/>
                <w:noProof/>
                <w:webHidden/>
                <w:color w:val="000000" w:themeColor="text1"/>
                <w:sz w:val="24"/>
                <w:szCs w:val="24"/>
              </w:rPr>
            </w:r>
            <w:r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10</w:t>
            </w:r>
            <w:r w:rsidRPr="003E71DE">
              <w:rPr>
                <w:rFonts w:ascii="Arial" w:hAnsi="Arial" w:cs="Arial"/>
                <w:noProof/>
                <w:webHidden/>
                <w:color w:val="000000" w:themeColor="text1"/>
                <w:sz w:val="24"/>
                <w:szCs w:val="24"/>
              </w:rPr>
              <w:fldChar w:fldCharType="end"/>
            </w:r>
          </w:hyperlink>
        </w:p>
        <w:p w14:paraId="0BEE0C70" w14:textId="313399B5" w:rsidR="00661196" w:rsidRPr="003E71DE" w:rsidRDefault="00661196" w:rsidP="003E71DE">
          <w:pPr>
            <w:pStyle w:val="TOC1"/>
            <w:tabs>
              <w:tab w:val="right" w:leader="dot" w:pos="9016"/>
            </w:tabs>
            <w:spacing w:line="360" w:lineRule="auto"/>
            <w:jc w:val="both"/>
            <w:rPr>
              <w:rFonts w:ascii="Arial" w:eastAsiaTheme="minorEastAsia" w:hAnsi="Arial" w:cs="Arial"/>
              <w:noProof/>
              <w:color w:val="000000" w:themeColor="text1"/>
              <w:sz w:val="24"/>
              <w:szCs w:val="24"/>
              <w:lang w:eastAsia="en-IN"/>
            </w:rPr>
          </w:pPr>
          <w:hyperlink w:anchor="_Toc193367295" w:history="1">
            <w:r w:rsidRPr="003E71DE">
              <w:rPr>
                <w:rStyle w:val="Hyperlink"/>
                <w:rFonts w:ascii="Arial" w:hAnsi="Arial" w:cs="Arial"/>
                <w:noProof/>
                <w:color w:val="000000" w:themeColor="text1"/>
                <w:sz w:val="24"/>
                <w:szCs w:val="24"/>
              </w:rPr>
              <w:t>Reference List</w:t>
            </w:r>
            <w:r w:rsidRPr="003E71DE">
              <w:rPr>
                <w:rFonts w:ascii="Arial" w:hAnsi="Arial" w:cs="Arial"/>
                <w:noProof/>
                <w:webHidden/>
                <w:color w:val="000000" w:themeColor="text1"/>
                <w:sz w:val="24"/>
                <w:szCs w:val="24"/>
              </w:rPr>
              <w:tab/>
            </w:r>
            <w:r w:rsidRPr="003E71DE">
              <w:rPr>
                <w:rFonts w:ascii="Arial" w:hAnsi="Arial" w:cs="Arial"/>
                <w:noProof/>
                <w:webHidden/>
                <w:color w:val="000000" w:themeColor="text1"/>
                <w:sz w:val="24"/>
                <w:szCs w:val="24"/>
              </w:rPr>
              <w:fldChar w:fldCharType="begin"/>
            </w:r>
            <w:r w:rsidRPr="003E71DE">
              <w:rPr>
                <w:rFonts w:ascii="Arial" w:hAnsi="Arial" w:cs="Arial"/>
                <w:noProof/>
                <w:webHidden/>
                <w:color w:val="000000" w:themeColor="text1"/>
                <w:sz w:val="24"/>
                <w:szCs w:val="24"/>
              </w:rPr>
              <w:instrText xml:space="preserve"> PAGEREF _Toc193367295 \h </w:instrText>
            </w:r>
            <w:r w:rsidRPr="003E71DE">
              <w:rPr>
                <w:rFonts w:ascii="Arial" w:hAnsi="Arial" w:cs="Arial"/>
                <w:noProof/>
                <w:webHidden/>
                <w:color w:val="000000" w:themeColor="text1"/>
                <w:sz w:val="24"/>
                <w:szCs w:val="24"/>
              </w:rPr>
            </w:r>
            <w:r w:rsidRPr="003E71DE">
              <w:rPr>
                <w:rFonts w:ascii="Arial" w:hAnsi="Arial" w:cs="Arial"/>
                <w:noProof/>
                <w:webHidden/>
                <w:color w:val="000000" w:themeColor="text1"/>
                <w:sz w:val="24"/>
                <w:szCs w:val="24"/>
              </w:rPr>
              <w:fldChar w:fldCharType="separate"/>
            </w:r>
            <w:r w:rsidR="008A2F6F">
              <w:rPr>
                <w:rFonts w:ascii="Arial" w:hAnsi="Arial" w:cs="Arial"/>
                <w:noProof/>
                <w:webHidden/>
                <w:color w:val="000000" w:themeColor="text1"/>
                <w:sz w:val="24"/>
                <w:szCs w:val="24"/>
              </w:rPr>
              <w:t>12</w:t>
            </w:r>
            <w:r w:rsidRPr="003E71DE">
              <w:rPr>
                <w:rFonts w:ascii="Arial" w:hAnsi="Arial" w:cs="Arial"/>
                <w:noProof/>
                <w:webHidden/>
                <w:color w:val="000000" w:themeColor="text1"/>
                <w:sz w:val="24"/>
                <w:szCs w:val="24"/>
              </w:rPr>
              <w:fldChar w:fldCharType="end"/>
            </w:r>
          </w:hyperlink>
        </w:p>
        <w:p w14:paraId="465FDB89" w14:textId="77777777" w:rsidR="00661196"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noProof/>
              <w:color w:val="000000" w:themeColor="text1"/>
              <w:sz w:val="24"/>
              <w:szCs w:val="24"/>
            </w:rPr>
            <w:fldChar w:fldCharType="end"/>
          </w:r>
        </w:p>
      </w:sdtContent>
    </w:sdt>
    <w:p w14:paraId="6675EF1C" w14:textId="77777777" w:rsidR="00683047" w:rsidRPr="003E71DE" w:rsidRDefault="00000000" w:rsidP="003E71DE">
      <w:pPr>
        <w:spacing w:line="360" w:lineRule="auto"/>
        <w:rPr>
          <w:rFonts w:ascii="Arial" w:hAnsi="Arial" w:cs="Arial"/>
          <w:b/>
          <w:bCs/>
          <w:color w:val="000000" w:themeColor="text1"/>
          <w:sz w:val="28"/>
          <w:szCs w:val="28"/>
        </w:rPr>
      </w:pPr>
      <w:r w:rsidRPr="003E71DE">
        <w:rPr>
          <w:rFonts w:ascii="Arial" w:hAnsi="Arial" w:cs="Arial"/>
          <w:b/>
          <w:bCs/>
          <w:color w:val="000000" w:themeColor="text1"/>
          <w:sz w:val="28"/>
          <w:szCs w:val="28"/>
        </w:rPr>
        <w:br w:type="page"/>
      </w:r>
    </w:p>
    <w:p w14:paraId="5562E4EE" w14:textId="77777777" w:rsidR="00B62807" w:rsidRPr="003E71DE" w:rsidRDefault="00000000" w:rsidP="003E71DE">
      <w:pPr>
        <w:pStyle w:val="Heading1"/>
      </w:pPr>
      <w:bookmarkStart w:id="0" w:name="_Toc193367287"/>
      <w:r w:rsidRPr="003E71DE">
        <w:lastRenderedPageBreak/>
        <w:t>Introduction</w:t>
      </w:r>
      <w:bookmarkEnd w:id="0"/>
    </w:p>
    <w:p w14:paraId="4DF55D8B" w14:textId="7685BC37" w:rsidR="004E2533"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When businesses decide to launch new products or technologies along with entering emerging markets their leaders must determine if pioneering first or following others provides better results. This strategic decision carries two opposing sets of opportunities along with distinct threats for both sides</w:t>
      </w:r>
      <w:r w:rsidR="00887EA9">
        <w:rPr>
          <w:rFonts w:ascii="Arial" w:hAnsi="Arial" w:cs="Arial"/>
          <w:color w:val="000000" w:themeColor="text1"/>
          <w:sz w:val="24"/>
          <w:szCs w:val="24"/>
        </w:rPr>
        <w:t xml:space="preserve"> (</w:t>
      </w:r>
      <w:r w:rsidR="00887EA9" w:rsidRPr="003E71DE">
        <w:rPr>
          <w:rFonts w:ascii="Arial" w:hAnsi="Arial" w:cs="Arial"/>
          <w:color w:val="000000" w:themeColor="text1"/>
          <w:sz w:val="24"/>
          <w:szCs w:val="24"/>
        </w:rPr>
        <w:t>Karpenko</w:t>
      </w:r>
      <w:r w:rsidR="00887EA9">
        <w:rPr>
          <w:rFonts w:ascii="Arial" w:hAnsi="Arial" w:cs="Arial"/>
          <w:color w:val="000000" w:themeColor="text1"/>
          <w:sz w:val="24"/>
          <w:szCs w:val="24"/>
        </w:rPr>
        <w:t xml:space="preserve"> </w:t>
      </w:r>
      <w:r w:rsidR="00887EA9">
        <w:rPr>
          <w:rFonts w:ascii="Arial" w:hAnsi="Arial" w:cs="Arial"/>
          <w:i/>
          <w:iCs/>
          <w:color w:val="000000" w:themeColor="text1"/>
          <w:sz w:val="24"/>
          <w:szCs w:val="24"/>
        </w:rPr>
        <w:t xml:space="preserve">et al. </w:t>
      </w:r>
      <w:r w:rsidR="00887EA9">
        <w:rPr>
          <w:rFonts w:ascii="Arial" w:hAnsi="Arial" w:cs="Arial"/>
          <w:color w:val="000000" w:themeColor="text1"/>
          <w:sz w:val="24"/>
          <w:szCs w:val="24"/>
        </w:rPr>
        <w:t>2021)</w:t>
      </w:r>
      <w:r w:rsidRPr="003E71DE">
        <w:rPr>
          <w:rFonts w:ascii="Arial" w:hAnsi="Arial" w:cs="Arial"/>
          <w:color w:val="000000" w:themeColor="text1"/>
          <w:sz w:val="24"/>
          <w:szCs w:val="24"/>
        </w:rPr>
        <w:t>. Companies that adopt pioneering tactics become the first manufacturers to launch new products and services which define industry benchmarks and acquire customer devotion and brand perception in the early stages. Through first-mover advantage, Tesla revolutionized electric vehicles and Apple achieved market dominance by pioneering the iPhone. These projects demand substantial investment into research and development tasks alongside unpredictable market reaction patterns.</w:t>
      </w:r>
    </w:p>
    <w:p w14:paraId="59128A97" w14:textId="1006B5B6" w:rsidR="004E2533"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When companies choose to become market followers, they observe pioneer businesses reduce market entry risks by learning from pioneer business victories and failures</w:t>
      </w:r>
      <w:r w:rsidR="005E7402">
        <w:rPr>
          <w:rFonts w:ascii="Arial" w:hAnsi="Arial" w:cs="Arial"/>
          <w:color w:val="000000" w:themeColor="text1"/>
          <w:sz w:val="24"/>
          <w:szCs w:val="24"/>
        </w:rPr>
        <w:t xml:space="preserve"> (</w:t>
      </w:r>
      <w:r w:rsidR="005E7402" w:rsidRPr="003E71DE">
        <w:rPr>
          <w:rFonts w:ascii="Arial" w:hAnsi="Arial" w:cs="Arial"/>
          <w:color w:val="000000" w:themeColor="text1"/>
          <w:sz w:val="24"/>
          <w:szCs w:val="24"/>
        </w:rPr>
        <w:t>Shahin</w:t>
      </w:r>
      <w:r w:rsidR="005E7402">
        <w:rPr>
          <w:rFonts w:ascii="Arial" w:hAnsi="Arial" w:cs="Arial"/>
          <w:color w:val="000000" w:themeColor="text1"/>
          <w:sz w:val="24"/>
          <w:szCs w:val="24"/>
        </w:rPr>
        <w:t xml:space="preserve"> </w:t>
      </w:r>
      <w:r w:rsidR="005E7402">
        <w:rPr>
          <w:rFonts w:ascii="Arial" w:hAnsi="Arial" w:cs="Arial"/>
          <w:i/>
          <w:iCs/>
          <w:color w:val="000000" w:themeColor="text1"/>
          <w:sz w:val="24"/>
          <w:szCs w:val="24"/>
        </w:rPr>
        <w:t xml:space="preserve">et al. </w:t>
      </w:r>
      <w:r w:rsidR="005E7402">
        <w:rPr>
          <w:rFonts w:ascii="Arial" w:hAnsi="Arial" w:cs="Arial"/>
          <w:color w:val="000000" w:themeColor="text1"/>
          <w:sz w:val="24"/>
          <w:szCs w:val="24"/>
        </w:rPr>
        <w:t>2023)</w:t>
      </w:r>
      <w:r w:rsidRPr="003E71DE">
        <w:rPr>
          <w:rFonts w:ascii="Arial" w:hAnsi="Arial" w:cs="Arial"/>
          <w:color w:val="000000" w:themeColor="text1"/>
          <w:sz w:val="24"/>
          <w:szCs w:val="24"/>
        </w:rPr>
        <w:t>. Samsung operated successfully after Apple's iPhone through better smartphone development while Google established its Android OS as a market leader through adapting existing frameworks. The method leads companies to conduct R&amp;D investments and market development with reduced expenses and more precise targeting of customer segments</w:t>
      </w:r>
      <w:r w:rsidR="00082732">
        <w:rPr>
          <w:rFonts w:ascii="Arial" w:hAnsi="Arial" w:cs="Arial"/>
          <w:color w:val="000000" w:themeColor="text1"/>
          <w:sz w:val="24"/>
          <w:szCs w:val="24"/>
        </w:rPr>
        <w:t xml:space="preserve"> (</w:t>
      </w:r>
      <w:r w:rsidR="00082732" w:rsidRPr="003E71DE">
        <w:rPr>
          <w:rFonts w:ascii="Arial" w:hAnsi="Arial" w:cs="Arial"/>
          <w:color w:val="000000" w:themeColor="text1"/>
          <w:sz w:val="24"/>
          <w:szCs w:val="24"/>
        </w:rPr>
        <w:t>Magezi</w:t>
      </w:r>
      <w:r w:rsidR="00082732">
        <w:rPr>
          <w:rFonts w:ascii="Arial" w:hAnsi="Arial" w:cs="Arial"/>
          <w:color w:val="000000" w:themeColor="text1"/>
          <w:sz w:val="24"/>
          <w:szCs w:val="24"/>
        </w:rPr>
        <w:t xml:space="preserve"> </w:t>
      </w:r>
      <w:r w:rsidR="00082732">
        <w:rPr>
          <w:rFonts w:ascii="Arial" w:hAnsi="Arial" w:cs="Arial"/>
          <w:i/>
          <w:iCs/>
          <w:color w:val="000000" w:themeColor="text1"/>
          <w:sz w:val="24"/>
          <w:szCs w:val="24"/>
        </w:rPr>
        <w:t xml:space="preserve">et al. </w:t>
      </w:r>
      <w:r w:rsidR="00082732">
        <w:rPr>
          <w:rFonts w:ascii="Arial" w:hAnsi="Arial" w:cs="Arial"/>
          <w:color w:val="000000" w:themeColor="text1"/>
          <w:sz w:val="24"/>
          <w:szCs w:val="24"/>
        </w:rPr>
        <w:t>2023)</w:t>
      </w:r>
      <w:r w:rsidRPr="003E71DE">
        <w:rPr>
          <w:rFonts w:ascii="Arial" w:hAnsi="Arial" w:cs="Arial"/>
          <w:color w:val="000000" w:themeColor="text1"/>
          <w:sz w:val="24"/>
          <w:szCs w:val="24"/>
        </w:rPr>
        <w:t>. The outcome of pioneer or follower strategies depends on both internal capabilities including financial resources and organizational agility as well as external market demand and competitive competition. The complex distribution of these elements proves that companies should choose their strategies based on their plans market circumstances and their funding allocation.</w:t>
      </w:r>
    </w:p>
    <w:p w14:paraId="375BAEAE" w14:textId="77777777" w:rsidR="00E427B8" w:rsidRPr="003E71DE" w:rsidRDefault="00000000" w:rsidP="003E71DE">
      <w:pPr>
        <w:pStyle w:val="Heading1"/>
      </w:pPr>
      <w:bookmarkStart w:id="1" w:name="_Toc193367288"/>
      <w:r w:rsidRPr="003E71DE">
        <w:t>Pioneer vs. Follower Strategy in Strategic Marketing</w:t>
      </w:r>
      <w:bookmarkEnd w:id="1"/>
    </w:p>
    <w:p w14:paraId="53490B4C" w14:textId="77777777"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Businesses can start as pioneers, bringing innovations into the market first, or followers who enter the market afterwards and try to make improvements, and use competitive strategies against each other (Dreiling and Bican, 2022). Both have their own merits and vices and their fate is in the hands of several internal and external elements.</w:t>
      </w:r>
    </w:p>
    <w:p w14:paraId="34434464" w14:textId="77777777" w:rsidR="00D4027A" w:rsidRPr="003E71DE" w:rsidRDefault="00D4027A" w:rsidP="003E71DE">
      <w:pPr>
        <w:spacing w:line="360" w:lineRule="auto"/>
        <w:jc w:val="both"/>
        <w:rPr>
          <w:rFonts w:ascii="Arial" w:hAnsi="Arial" w:cs="Arial"/>
          <w:color w:val="000000" w:themeColor="text1"/>
          <w:sz w:val="24"/>
          <w:szCs w:val="24"/>
        </w:rPr>
      </w:pPr>
    </w:p>
    <w:p w14:paraId="0434C295" w14:textId="77777777" w:rsidR="00E427B8" w:rsidRPr="003E71DE" w:rsidRDefault="00000000" w:rsidP="003E71DE">
      <w:pPr>
        <w:pStyle w:val="Heading2"/>
        <w:rPr>
          <w:color w:val="000000" w:themeColor="text1"/>
        </w:rPr>
      </w:pPr>
      <w:bookmarkStart w:id="2" w:name="_Toc193367289"/>
      <w:r w:rsidRPr="003E71DE">
        <w:rPr>
          <w:color w:val="000000" w:themeColor="text1"/>
        </w:rPr>
        <w:lastRenderedPageBreak/>
        <w:t>Advantages of Being a Pioneer</w:t>
      </w:r>
      <w:bookmarkEnd w:id="2"/>
    </w:p>
    <w:p w14:paraId="77197756" w14:textId="77777777"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A pioneering company is the first to introduce a new product or service, setting the stage for industry trends and shaping consumer expectations.</w:t>
      </w:r>
    </w:p>
    <w:p w14:paraId="27041AB3" w14:textId="77777777"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First-Mover Advantage:</w:t>
      </w:r>
      <w:r w:rsidRPr="003E71DE">
        <w:rPr>
          <w:rFonts w:ascii="Arial" w:hAnsi="Arial" w:cs="Arial"/>
          <w:color w:val="000000" w:themeColor="text1"/>
          <w:sz w:val="24"/>
          <w:szCs w:val="24"/>
        </w:rPr>
        <w:t xml:space="preserve"> Pioneers advantageously enjoy that they put the foundation of becoming a strong brand their name in the series before their competitors get in the game. It enables the company to create customer brand loyalty and a unique market niche (Giachetti and Pira, 2022). For instance, Amazon made an online bookstore a thing of the past and covered itself with a global retail giant.</w:t>
      </w:r>
    </w:p>
    <w:p w14:paraId="638113A0" w14:textId="741AFEDA"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Technological Leadership:</w:t>
      </w:r>
      <w:r w:rsidRPr="003E71DE">
        <w:rPr>
          <w:rFonts w:ascii="Arial" w:hAnsi="Arial" w:cs="Arial"/>
          <w:color w:val="000000" w:themeColor="text1"/>
          <w:sz w:val="24"/>
          <w:szCs w:val="24"/>
        </w:rPr>
        <w:t xml:space="preserve"> Innovators become the first to innovate, and therefore become pioneers who can develop proprietary products and patents before their businesses are copied by imitators. For example, Tesla took the lead in electric vehicle (EV) market by putting efforts into the battery technology and created a powerful charging stations' infrastructure</w:t>
      </w:r>
      <w:r w:rsidR="00F57EF3">
        <w:rPr>
          <w:rFonts w:ascii="Arial" w:hAnsi="Arial" w:cs="Arial"/>
          <w:color w:val="000000" w:themeColor="text1"/>
          <w:sz w:val="24"/>
          <w:szCs w:val="24"/>
        </w:rPr>
        <w:t xml:space="preserve"> (</w:t>
      </w:r>
      <w:r w:rsidR="00F57EF3" w:rsidRPr="003E71DE">
        <w:rPr>
          <w:rFonts w:ascii="Arial" w:hAnsi="Arial" w:cs="Arial"/>
          <w:color w:val="000000" w:themeColor="text1"/>
          <w:sz w:val="24"/>
          <w:szCs w:val="24"/>
        </w:rPr>
        <w:t>Salmen</w:t>
      </w:r>
      <w:r w:rsidR="00F57EF3">
        <w:rPr>
          <w:rFonts w:ascii="Arial" w:hAnsi="Arial" w:cs="Arial"/>
          <w:color w:val="000000" w:themeColor="text1"/>
          <w:sz w:val="24"/>
          <w:szCs w:val="24"/>
        </w:rPr>
        <w:t>, 2021)</w:t>
      </w:r>
      <w:r w:rsidRPr="003E71DE">
        <w:rPr>
          <w:rFonts w:ascii="Arial" w:hAnsi="Arial" w:cs="Arial"/>
          <w:color w:val="000000" w:themeColor="text1"/>
          <w:sz w:val="24"/>
          <w:szCs w:val="24"/>
        </w:rPr>
        <w:t>.</w:t>
      </w:r>
    </w:p>
    <w:p w14:paraId="69DACFB8" w14:textId="77777777"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Market Control and Brand Recognition:</w:t>
      </w:r>
      <w:r w:rsidRPr="003E71DE">
        <w:rPr>
          <w:rFonts w:ascii="Arial" w:hAnsi="Arial" w:cs="Arial"/>
          <w:color w:val="000000" w:themeColor="text1"/>
          <w:sz w:val="24"/>
          <w:szCs w:val="24"/>
        </w:rPr>
        <w:t xml:space="preserve"> First movers are early entrants into the market and can define the market by setting prices, distribution networks, and supply chain logistics (Liefferink </w:t>
      </w:r>
      <w:r w:rsidRPr="003E71DE">
        <w:rPr>
          <w:rFonts w:ascii="Arial" w:hAnsi="Arial" w:cs="Arial"/>
          <w:i/>
          <w:iCs/>
          <w:color w:val="000000" w:themeColor="text1"/>
          <w:sz w:val="24"/>
          <w:szCs w:val="24"/>
        </w:rPr>
        <w:t xml:space="preserve">et al. </w:t>
      </w:r>
      <w:r w:rsidRPr="003E71DE">
        <w:rPr>
          <w:rFonts w:ascii="Arial" w:hAnsi="Arial" w:cs="Arial"/>
          <w:color w:val="000000" w:themeColor="text1"/>
          <w:sz w:val="24"/>
          <w:szCs w:val="24"/>
        </w:rPr>
        <w:t>2023). Being an early mover in internet search, Google got into building a system of products that bolstered its position to the extent that it became hard for competitors to chip away and unseat.</w:t>
      </w:r>
    </w:p>
    <w:p w14:paraId="0A5FA395" w14:textId="77777777" w:rsidR="00622C3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Control Over Market Standards</w:t>
      </w:r>
      <w:r w:rsidR="001E4147" w:rsidRPr="003E71DE">
        <w:rPr>
          <w:rFonts w:ascii="Arial" w:hAnsi="Arial" w:cs="Arial"/>
          <w:i/>
          <w:iCs/>
          <w:color w:val="000000" w:themeColor="text1"/>
          <w:sz w:val="24"/>
          <w:szCs w:val="24"/>
        </w:rPr>
        <w:t>:</w:t>
      </w:r>
      <w:r w:rsidR="001E4147" w:rsidRPr="003E71DE">
        <w:rPr>
          <w:rFonts w:ascii="Arial" w:hAnsi="Arial" w:cs="Arial"/>
          <w:color w:val="000000" w:themeColor="text1"/>
          <w:sz w:val="24"/>
          <w:szCs w:val="24"/>
        </w:rPr>
        <w:t xml:space="preserve"> </w:t>
      </w:r>
      <w:r w:rsidRPr="003E71DE">
        <w:rPr>
          <w:rFonts w:ascii="Arial" w:hAnsi="Arial" w:cs="Arial"/>
          <w:color w:val="000000" w:themeColor="text1"/>
          <w:sz w:val="24"/>
          <w:szCs w:val="24"/>
        </w:rPr>
        <w:t>By being the first to market, pioneers can set industry standards and influence customer expectations. Microsoft, with its Windows operating system, established itself as the standard for personal computing, making it difficult for competitors to challenge its dominance.</w:t>
      </w:r>
    </w:p>
    <w:p w14:paraId="12134786" w14:textId="029A11E7" w:rsidR="00622C3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Learning Curve Benefits</w:t>
      </w:r>
      <w:r w:rsidR="001E4147" w:rsidRPr="003E71DE">
        <w:rPr>
          <w:rFonts w:ascii="Arial" w:hAnsi="Arial" w:cs="Arial"/>
          <w:i/>
          <w:iCs/>
          <w:color w:val="000000" w:themeColor="text1"/>
          <w:sz w:val="24"/>
          <w:szCs w:val="24"/>
        </w:rPr>
        <w:t>:</w:t>
      </w:r>
      <w:r w:rsidR="001E4147" w:rsidRPr="003E71DE">
        <w:rPr>
          <w:rFonts w:ascii="Arial" w:hAnsi="Arial" w:cs="Arial"/>
          <w:color w:val="000000" w:themeColor="text1"/>
          <w:sz w:val="24"/>
          <w:szCs w:val="24"/>
        </w:rPr>
        <w:t xml:space="preserve"> </w:t>
      </w:r>
      <w:r w:rsidRPr="003E71DE">
        <w:rPr>
          <w:rFonts w:ascii="Arial" w:hAnsi="Arial" w:cs="Arial"/>
          <w:color w:val="000000" w:themeColor="text1"/>
          <w:sz w:val="24"/>
          <w:szCs w:val="24"/>
        </w:rPr>
        <w:t>Early entry provides pioneers with valuable insights into customer preferences and market dynamics. This knowledge can be used to refine products and maintain a competitive edge</w:t>
      </w:r>
      <w:r w:rsidR="00205FEA">
        <w:rPr>
          <w:rFonts w:ascii="Arial" w:hAnsi="Arial" w:cs="Arial"/>
          <w:color w:val="000000" w:themeColor="text1"/>
          <w:sz w:val="24"/>
          <w:szCs w:val="24"/>
        </w:rPr>
        <w:t xml:space="preserve"> (</w:t>
      </w:r>
      <w:r w:rsidR="00205FEA" w:rsidRPr="003E71DE">
        <w:rPr>
          <w:rFonts w:ascii="Arial" w:hAnsi="Arial" w:cs="Arial"/>
          <w:color w:val="000000" w:themeColor="text1"/>
          <w:sz w:val="24"/>
          <w:szCs w:val="24"/>
        </w:rPr>
        <w:t>Sharma</w:t>
      </w:r>
      <w:r w:rsidR="00531E74">
        <w:rPr>
          <w:rFonts w:ascii="Arial" w:hAnsi="Arial" w:cs="Arial"/>
          <w:color w:val="000000" w:themeColor="text1"/>
          <w:sz w:val="24"/>
          <w:szCs w:val="24"/>
        </w:rPr>
        <w:t xml:space="preserve"> </w:t>
      </w:r>
      <w:r w:rsidR="00205FEA" w:rsidRPr="003E71DE">
        <w:rPr>
          <w:rFonts w:ascii="Arial" w:hAnsi="Arial" w:cs="Arial"/>
          <w:color w:val="000000" w:themeColor="text1"/>
          <w:sz w:val="24"/>
          <w:szCs w:val="24"/>
        </w:rPr>
        <w:t>and Sharma,</w:t>
      </w:r>
      <w:r w:rsidR="00531E74">
        <w:rPr>
          <w:rFonts w:ascii="Arial" w:hAnsi="Arial" w:cs="Arial"/>
          <w:color w:val="000000" w:themeColor="text1"/>
          <w:sz w:val="24"/>
          <w:szCs w:val="24"/>
        </w:rPr>
        <w:t xml:space="preserve"> </w:t>
      </w:r>
      <w:r w:rsidR="00205FEA">
        <w:rPr>
          <w:rFonts w:ascii="Arial" w:hAnsi="Arial" w:cs="Arial"/>
          <w:color w:val="000000" w:themeColor="text1"/>
          <w:sz w:val="24"/>
          <w:szCs w:val="24"/>
        </w:rPr>
        <w:t>2021)</w:t>
      </w:r>
      <w:r w:rsidRPr="003E71DE">
        <w:rPr>
          <w:rFonts w:ascii="Arial" w:hAnsi="Arial" w:cs="Arial"/>
          <w:color w:val="000000" w:themeColor="text1"/>
          <w:sz w:val="24"/>
          <w:szCs w:val="24"/>
        </w:rPr>
        <w:t>. Apple, with its iPhone, not only introduced a revolutionary product but also continuously improved it based on user feedback, solidifying its market position.</w:t>
      </w:r>
    </w:p>
    <w:p w14:paraId="08ABA298" w14:textId="77777777" w:rsidR="001A74FA"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High Barriers to Entry for Competitors</w:t>
      </w:r>
      <w:r w:rsidR="001E4147" w:rsidRPr="003E71DE">
        <w:rPr>
          <w:rFonts w:ascii="Arial" w:hAnsi="Arial" w:cs="Arial"/>
          <w:i/>
          <w:iCs/>
          <w:color w:val="000000" w:themeColor="text1"/>
          <w:sz w:val="24"/>
          <w:szCs w:val="24"/>
        </w:rPr>
        <w:t>:</w:t>
      </w:r>
      <w:r w:rsidR="001E4147" w:rsidRPr="003E71DE">
        <w:rPr>
          <w:rFonts w:ascii="Arial" w:hAnsi="Arial" w:cs="Arial"/>
          <w:color w:val="000000" w:themeColor="text1"/>
          <w:sz w:val="24"/>
          <w:szCs w:val="24"/>
        </w:rPr>
        <w:t xml:space="preserve"> </w:t>
      </w:r>
      <w:r w:rsidRPr="003E71DE">
        <w:rPr>
          <w:rFonts w:ascii="Arial" w:hAnsi="Arial" w:cs="Arial"/>
          <w:color w:val="000000" w:themeColor="text1"/>
          <w:sz w:val="24"/>
          <w:szCs w:val="24"/>
        </w:rPr>
        <w:t xml:space="preserve">Pioneers can create significant barriers to entry by securing patents, establishing distribution networks, and building customer loyalty. For instance, Coca-Cola's early entry into the beverage market allowed it to </w:t>
      </w:r>
      <w:r w:rsidRPr="003E71DE">
        <w:rPr>
          <w:rFonts w:ascii="Arial" w:hAnsi="Arial" w:cs="Arial"/>
          <w:color w:val="000000" w:themeColor="text1"/>
          <w:sz w:val="24"/>
          <w:szCs w:val="24"/>
        </w:rPr>
        <w:lastRenderedPageBreak/>
        <w:t>establish a global distribution network and a strong brand identity, making it challenging for new entrants to compete.</w:t>
      </w:r>
    </w:p>
    <w:p w14:paraId="3B895C90" w14:textId="77777777" w:rsidR="00E427B8" w:rsidRPr="003E71DE" w:rsidRDefault="00000000" w:rsidP="003E71DE">
      <w:pPr>
        <w:pStyle w:val="Heading2"/>
        <w:rPr>
          <w:color w:val="000000" w:themeColor="text1"/>
        </w:rPr>
      </w:pPr>
      <w:bookmarkStart w:id="3" w:name="_Toc193367290"/>
      <w:r w:rsidRPr="003E71DE">
        <w:rPr>
          <w:color w:val="000000" w:themeColor="text1"/>
        </w:rPr>
        <w:t>Advantages of Being a Follower</w:t>
      </w:r>
      <w:bookmarkEnd w:id="3"/>
    </w:p>
    <w:p w14:paraId="1FB0D4C2" w14:textId="77777777"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Pioneers putting the foundation and followers often come to the market with improved strategies, learning from the mistakes made by the initial entrants.</w:t>
      </w:r>
    </w:p>
    <w:p w14:paraId="5DDEE526" w14:textId="77777777"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Reduced Market Risk:</w:t>
      </w:r>
      <w:r w:rsidRPr="003E71DE">
        <w:rPr>
          <w:rFonts w:ascii="Arial" w:hAnsi="Arial" w:cs="Arial"/>
          <w:color w:val="000000" w:themeColor="text1"/>
          <w:sz w:val="24"/>
          <w:szCs w:val="24"/>
        </w:rPr>
        <w:t xml:space="preserve"> Followers can determine the market responses, the consumer response and some degree of risk to products launched to the market. Apple didn’t invent the smartphone, but they learned from early mobile devices and perfected that user experience that we know today with the iPhone (Giachetti and Pira, 2022).</w:t>
      </w:r>
    </w:p>
    <w:p w14:paraId="4B09D85E" w14:textId="2B8F245D"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Improved Products and Technology:</w:t>
      </w:r>
      <w:r w:rsidRPr="003E71DE">
        <w:rPr>
          <w:rFonts w:ascii="Arial" w:hAnsi="Arial" w:cs="Arial"/>
          <w:color w:val="000000" w:themeColor="text1"/>
          <w:sz w:val="24"/>
          <w:szCs w:val="24"/>
        </w:rPr>
        <w:t xml:space="preserve"> Follower companies improve on existing innovations, supplying a remedy to customer complaints and refining features. Samsung’s entry to the smartphone market was after Apple but did catch market share with more variety in pricing, designs, and features</w:t>
      </w:r>
      <w:r w:rsidR="00531E74">
        <w:rPr>
          <w:rFonts w:ascii="Arial" w:hAnsi="Arial" w:cs="Arial"/>
          <w:color w:val="000000" w:themeColor="text1"/>
          <w:sz w:val="24"/>
          <w:szCs w:val="24"/>
        </w:rPr>
        <w:t xml:space="preserve"> (</w:t>
      </w:r>
      <w:r w:rsidR="00531E74" w:rsidRPr="003E71DE">
        <w:rPr>
          <w:rFonts w:ascii="Arial" w:hAnsi="Arial" w:cs="Arial"/>
          <w:color w:val="000000" w:themeColor="text1"/>
          <w:sz w:val="24"/>
          <w:szCs w:val="24"/>
        </w:rPr>
        <w:t>Chavez</w:t>
      </w:r>
      <w:r w:rsidR="00AF01A5">
        <w:rPr>
          <w:rFonts w:ascii="Arial" w:hAnsi="Arial" w:cs="Arial"/>
          <w:color w:val="000000" w:themeColor="text1"/>
          <w:sz w:val="24"/>
          <w:szCs w:val="24"/>
        </w:rPr>
        <w:t xml:space="preserve"> </w:t>
      </w:r>
      <w:r w:rsidR="00531E74" w:rsidRPr="003E71DE">
        <w:rPr>
          <w:rFonts w:ascii="Arial" w:hAnsi="Arial" w:cs="Arial"/>
          <w:color w:val="000000" w:themeColor="text1"/>
          <w:sz w:val="24"/>
          <w:szCs w:val="24"/>
        </w:rPr>
        <w:t>and Chen</w:t>
      </w:r>
      <w:r w:rsidR="00531E74">
        <w:rPr>
          <w:rFonts w:ascii="Arial" w:hAnsi="Arial" w:cs="Arial"/>
          <w:color w:val="000000" w:themeColor="text1"/>
          <w:sz w:val="24"/>
          <w:szCs w:val="24"/>
        </w:rPr>
        <w:t>, 2022)</w:t>
      </w:r>
      <w:r w:rsidRPr="003E71DE">
        <w:rPr>
          <w:rFonts w:ascii="Arial" w:hAnsi="Arial" w:cs="Arial"/>
          <w:color w:val="000000" w:themeColor="text1"/>
          <w:sz w:val="24"/>
          <w:szCs w:val="24"/>
        </w:rPr>
        <w:t>.</w:t>
      </w:r>
    </w:p>
    <w:p w14:paraId="53BE67C3" w14:textId="77777777"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Lower Research and Development Costs:</w:t>
      </w:r>
      <w:r w:rsidRPr="003E71DE">
        <w:rPr>
          <w:rFonts w:ascii="Arial" w:hAnsi="Arial" w:cs="Arial"/>
          <w:color w:val="000000" w:themeColor="text1"/>
          <w:sz w:val="24"/>
          <w:szCs w:val="24"/>
        </w:rPr>
        <w:t xml:space="preserve"> Pioneers provide less cost in terms of research and development whereas followers make use of technologies that already been there at lower cost. While Google was not the first search engine, it offered an improvement over Yahoo and AltaVista’s models, and it became dominant in the market (Liefferink </w:t>
      </w:r>
      <w:r w:rsidRPr="003E71DE">
        <w:rPr>
          <w:rFonts w:ascii="Arial" w:hAnsi="Arial" w:cs="Arial"/>
          <w:i/>
          <w:iCs/>
          <w:color w:val="000000" w:themeColor="text1"/>
          <w:sz w:val="24"/>
          <w:szCs w:val="24"/>
        </w:rPr>
        <w:t xml:space="preserve">et al. </w:t>
      </w:r>
      <w:r w:rsidRPr="003E71DE">
        <w:rPr>
          <w:rFonts w:ascii="Arial" w:hAnsi="Arial" w:cs="Arial"/>
          <w:color w:val="000000" w:themeColor="text1"/>
          <w:sz w:val="24"/>
          <w:szCs w:val="24"/>
        </w:rPr>
        <w:t>2023).</w:t>
      </w:r>
    </w:p>
    <w:p w14:paraId="4A9F86F8" w14:textId="77777777" w:rsidR="00E427B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Established Consumer Awareness:</w:t>
      </w:r>
      <w:r w:rsidRPr="003E71DE">
        <w:rPr>
          <w:rFonts w:ascii="Arial" w:hAnsi="Arial" w:cs="Arial"/>
          <w:color w:val="000000" w:themeColor="text1"/>
          <w:sz w:val="24"/>
          <w:szCs w:val="24"/>
        </w:rPr>
        <w:t xml:space="preserve"> Followers get to benefit from the consumer awareness that the pioneers have built and do not need to spend so much on advertising and selling things to the audience. Though Facebook wasn’t the first social media platform, it eliminated MySpace by providing a cleaner interface and better user engagement.</w:t>
      </w:r>
    </w:p>
    <w:p w14:paraId="6509BDD8" w14:textId="0A83E53B" w:rsidR="001A74FA"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Flexibility and Adaptability</w:t>
      </w:r>
      <w:r w:rsidR="001E4147" w:rsidRPr="003E71DE">
        <w:rPr>
          <w:rFonts w:ascii="Arial" w:hAnsi="Arial" w:cs="Arial"/>
          <w:i/>
          <w:iCs/>
          <w:color w:val="000000" w:themeColor="text1"/>
          <w:sz w:val="24"/>
          <w:szCs w:val="24"/>
        </w:rPr>
        <w:t>:</w:t>
      </w:r>
      <w:r w:rsidR="001E4147" w:rsidRPr="003E71DE">
        <w:rPr>
          <w:rFonts w:ascii="Arial" w:hAnsi="Arial" w:cs="Arial"/>
          <w:color w:val="000000" w:themeColor="text1"/>
          <w:sz w:val="24"/>
          <w:szCs w:val="24"/>
        </w:rPr>
        <w:t xml:space="preserve"> </w:t>
      </w:r>
      <w:r w:rsidRPr="003E71DE">
        <w:rPr>
          <w:rFonts w:ascii="Arial" w:hAnsi="Arial" w:cs="Arial"/>
          <w:color w:val="000000" w:themeColor="text1"/>
          <w:sz w:val="24"/>
          <w:szCs w:val="24"/>
        </w:rPr>
        <w:t>Followers can adapt to changing market conditions and customer preferences more effectively than pioneers, who may be constrained by their initial strategies. Burger King, entering the fast-food market after McDonald's, used aggressive marketing and unique product offerings, such as flame-grilled burgers, to carve out its niche</w:t>
      </w:r>
      <w:r w:rsidR="00AF01A5">
        <w:rPr>
          <w:rFonts w:ascii="Arial" w:hAnsi="Arial" w:cs="Arial"/>
          <w:color w:val="000000" w:themeColor="text1"/>
          <w:sz w:val="24"/>
          <w:szCs w:val="24"/>
        </w:rPr>
        <w:t xml:space="preserve"> (</w:t>
      </w:r>
      <w:proofErr w:type="spellStart"/>
      <w:r w:rsidR="00AF01A5" w:rsidRPr="003E71DE">
        <w:rPr>
          <w:rFonts w:ascii="Arial" w:hAnsi="Arial" w:cs="Arial"/>
          <w:color w:val="000000" w:themeColor="text1"/>
          <w:sz w:val="24"/>
          <w:szCs w:val="24"/>
        </w:rPr>
        <w:t>Maylín</w:t>
      </w:r>
      <w:proofErr w:type="spellEnd"/>
      <w:r w:rsidR="00AF01A5" w:rsidRPr="003E71DE">
        <w:rPr>
          <w:rFonts w:ascii="Arial" w:hAnsi="Arial" w:cs="Arial"/>
          <w:color w:val="000000" w:themeColor="text1"/>
          <w:sz w:val="24"/>
          <w:szCs w:val="24"/>
        </w:rPr>
        <w:t>-Aguilar</w:t>
      </w:r>
      <w:r w:rsidR="00137004">
        <w:rPr>
          <w:rFonts w:ascii="Arial" w:hAnsi="Arial" w:cs="Arial"/>
          <w:color w:val="000000" w:themeColor="text1"/>
          <w:sz w:val="24"/>
          <w:szCs w:val="24"/>
        </w:rPr>
        <w:t xml:space="preserve"> </w:t>
      </w:r>
      <w:r w:rsidR="00AF01A5" w:rsidRPr="003E71DE">
        <w:rPr>
          <w:rFonts w:ascii="Arial" w:hAnsi="Arial" w:cs="Arial"/>
          <w:color w:val="000000" w:themeColor="text1"/>
          <w:sz w:val="24"/>
          <w:szCs w:val="24"/>
        </w:rPr>
        <w:t>and Montoro-Sánchez</w:t>
      </w:r>
      <w:r w:rsidR="00AF01A5">
        <w:rPr>
          <w:rFonts w:ascii="Arial" w:hAnsi="Arial" w:cs="Arial"/>
          <w:color w:val="000000" w:themeColor="text1"/>
          <w:sz w:val="24"/>
          <w:szCs w:val="24"/>
        </w:rPr>
        <w:t>, 2021)</w:t>
      </w:r>
      <w:r w:rsidRPr="003E71DE">
        <w:rPr>
          <w:rFonts w:ascii="Arial" w:hAnsi="Arial" w:cs="Arial"/>
          <w:color w:val="000000" w:themeColor="text1"/>
          <w:sz w:val="24"/>
          <w:szCs w:val="24"/>
        </w:rPr>
        <w:t>.</w:t>
      </w:r>
    </w:p>
    <w:p w14:paraId="41C4FAEF" w14:textId="77777777" w:rsidR="001A74FA"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b/>
          <w:bCs/>
          <w:i/>
          <w:iCs/>
          <w:color w:val="000000" w:themeColor="text1"/>
          <w:sz w:val="24"/>
          <w:szCs w:val="24"/>
        </w:rPr>
        <w:t>Opportunity to Exploit Market Gaps</w:t>
      </w:r>
      <w:r w:rsidR="001E4147" w:rsidRPr="003E71DE">
        <w:rPr>
          <w:rFonts w:ascii="Arial" w:hAnsi="Arial" w:cs="Arial"/>
          <w:i/>
          <w:iCs/>
          <w:color w:val="000000" w:themeColor="text1"/>
          <w:sz w:val="24"/>
          <w:szCs w:val="24"/>
        </w:rPr>
        <w:t>:</w:t>
      </w:r>
      <w:r w:rsidR="001E4147" w:rsidRPr="003E71DE">
        <w:rPr>
          <w:rFonts w:ascii="Arial" w:hAnsi="Arial" w:cs="Arial"/>
          <w:color w:val="000000" w:themeColor="text1"/>
          <w:sz w:val="24"/>
          <w:szCs w:val="24"/>
        </w:rPr>
        <w:t xml:space="preserve"> </w:t>
      </w:r>
      <w:r w:rsidRPr="003E71DE">
        <w:rPr>
          <w:rFonts w:ascii="Arial" w:hAnsi="Arial" w:cs="Arial"/>
          <w:color w:val="000000" w:themeColor="text1"/>
          <w:sz w:val="24"/>
          <w:szCs w:val="24"/>
        </w:rPr>
        <w:t xml:space="preserve">Followers can identify and target underserved segments of the market. Fujifilm, for example, survived the decline of the traditional </w:t>
      </w:r>
      <w:r w:rsidRPr="003E71DE">
        <w:rPr>
          <w:rFonts w:ascii="Arial" w:hAnsi="Arial" w:cs="Arial"/>
          <w:color w:val="000000" w:themeColor="text1"/>
          <w:sz w:val="24"/>
          <w:szCs w:val="24"/>
        </w:rPr>
        <w:lastRenderedPageBreak/>
        <w:t>photography market by diversifying into healthcare and digital imaging, areas that Kodak, the pioneer, failed to capitalize on.</w:t>
      </w:r>
    </w:p>
    <w:p w14:paraId="3CDB7924" w14:textId="44213361" w:rsidR="004E2533"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Organizations should select between pioneer and follower strategies based on their market position and operational resources and capacity alongside existing market characteristics. Market pioneers develop industry leadership positions and leadership standards yet follower businesses benefit by minimizing risks and creating better or improved products for customers</w:t>
      </w:r>
      <w:r w:rsidR="0004158E">
        <w:rPr>
          <w:rFonts w:ascii="Arial" w:hAnsi="Arial" w:cs="Arial"/>
          <w:color w:val="000000" w:themeColor="text1"/>
          <w:sz w:val="24"/>
          <w:szCs w:val="24"/>
        </w:rPr>
        <w:t xml:space="preserve"> (</w:t>
      </w:r>
      <w:r w:rsidR="0004158E" w:rsidRPr="003E71DE">
        <w:rPr>
          <w:rFonts w:ascii="Arial" w:hAnsi="Arial" w:cs="Arial"/>
          <w:color w:val="000000" w:themeColor="text1"/>
          <w:sz w:val="24"/>
          <w:szCs w:val="24"/>
        </w:rPr>
        <w:t>Pantano</w:t>
      </w:r>
      <w:r w:rsidR="0004158E">
        <w:rPr>
          <w:rFonts w:ascii="Arial" w:hAnsi="Arial" w:cs="Arial"/>
          <w:color w:val="000000" w:themeColor="text1"/>
          <w:sz w:val="24"/>
          <w:szCs w:val="24"/>
        </w:rPr>
        <w:t xml:space="preserve"> </w:t>
      </w:r>
      <w:r w:rsidR="0004158E">
        <w:rPr>
          <w:rFonts w:ascii="Arial" w:hAnsi="Arial" w:cs="Arial"/>
          <w:i/>
          <w:iCs/>
          <w:color w:val="000000" w:themeColor="text1"/>
          <w:sz w:val="24"/>
          <w:szCs w:val="24"/>
        </w:rPr>
        <w:t xml:space="preserve">et al. </w:t>
      </w:r>
      <w:r w:rsidR="0004158E">
        <w:rPr>
          <w:rFonts w:ascii="Arial" w:hAnsi="Arial" w:cs="Arial"/>
          <w:color w:val="000000" w:themeColor="text1"/>
          <w:sz w:val="24"/>
          <w:szCs w:val="24"/>
        </w:rPr>
        <w:t>2022)</w:t>
      </w:r>
      <w:r w:rsidRPr="003E71DE">
        <w:rPr>
          <w:rFonts w:ascii="Arial" w:hAnsi="Arial" w:cs="Arial"/>
          <w:color w:val="000000" w:themeColor="text1"/>
          <w:sz w:val="24"/>
          <w:szCs w:val="24"/>
        </w:rPr>
        <w:t>. Strategic execution remains essential for companies to utilize their defined approach whether they started as pioneers like Tesla and Amazon or followed as Samsung and NIO.</w:t>
      </w:r>
    </w:p>
    <w:p w14:paraId="4AC33D82" w14:textId="77777777" w:rsidR="001A74FA" w:rsidRPr="003E71DE" w:rsidRDefault="00000000" w:rsidP="003E71DE">
      <w:pPr>
        <w:pStyle w:val="Heading1"/>
      </w:pPr>
      <w:bookmarkStart w:id="4" w:name="_Toc193367291"/>
      <w:r w:rsidRPr="003E71DE">
        <w:t>Product Life Cycle Strategies of Successful Pioneer and Follower Companies</w:t>
      </w:r>
      <w:bookmarkEnd w:id="4"/>
    </w:p>
    <w:p w14:paraId="3F1B7F7D" w14:textId="7E420E1B" w:rsidR="004E2533" w:rsidRPr="003E71DE" w:rsidRDefault="00051742" w:rsidP="003E71DE">
      <w:pPr>
        <w:spacing w:line="360" w:lineRule="auto"/>
        <w:jc w:val="both"/>
        <w:rPr>
          <w:rFonts w:ascii="Arial" w:hAnsi="Arial" w:cs="Arial"/>
          <w:color w:val="000000" w:themeColor="text1"/>
          <w:sz w:val="24"/>
          <w:szCs w:val="24"/>
        </w:rPr>
      </w:pPr>
      <w:r w:rsidRPr="00051742">
        <w:rPr>
          <w:rFonts w:ascii="Arial" w:hAnsi="Arial" w:cs="Arial"/>
          <w:color w:val="000000" w:themeColor="text1"/>
          <w:sz w:val="24"/>
          <w:szCs w:val="24"/>
        </w:rPr>
        <w:t>The Product Life Cycle (PLC) defines the stages that a product moves through in the marketplace as it enters, becomes established, and exits the marketplace.</w:t>
      </w:r>
      <w:r w:rsidR="007B22C1">
        <w:rPr>
          <w:rFonts w:ascii="Arial" w:hAnsi="Arial" w:cs="Arial"/>
          <w:color w:val="000000" w:themeColor="text1"/>
          <w:sz w:val="24"/>
          <w:szCs w:val="24"/>
        </w:rPr>
        <w:t xml:space="preserve"> </w:t>
      </w:r>
      <w:r w:rsidR="00D96E6A" w:rsidRPr="00D96E6A">
        <w:rPr>
          <w:rFonts w:ascii="Arial" w:hAnsi="Arial" w:cs="Arial"/>
          <w:color w:val="000000" w:themeColor="text1"/>
          <w:sz w:val="24"/>
          <w:szCs w:val="24"/>
        </w:rPr>
        <w:t>This concept is used by management and marketing professionals to make marketing and sales decisions, such as whether or not to increase advertising, reduce prices, expand to new markets, or redesign packaging</w:t>
      </w:r>
      <w:r w:rsidR="00D96E6A">
        <w:rPr>
          <w:rFonts w:ascii="Arial" w:hAnsi="Arial" w:cs="Arial"/>
          <w:color w:val="000000" w:themeColor="text1"/>
          <w:sz w:val="24"/>
          <w:szCs w:val="24"/>
        </w:rPr>
        <w:t xml:space="preserve"> </w:t>
      </w:r>
      <w:r w:rsidR="009E5899">
        <w:rPr>
          <w:rFonts w:ascii="Arial" w:hAnsi="Arial" w:cs="Arial"/>
          <w:color w:val="000000" w:themeColor="text1"/>
          <w:sz w:val="24"/>
          <w:szCs w:val="24"/>
        </w:rPr>
        <w:t>(</w:t>
      </w:r>
      <w:r w:rsidR="009E5899" w:rsidRPr="003E71DE">
        <w:rPr>
          <w:rFonts w:ascii="Arial" w:hAnsi="Arial" w:cs="Arial"/>
          <w:color w:val="000000" w:themeColor="text1"/>
          <w:sz w:val="24"/>
          <w:szCs w:val="24"/>
        </w:rPr>
        <w:t>Sharma</w:t>
      </w:r>
      <w:r w:rsidR="00DD507C">
        <w:rPr>
          <w:rFonts w:ascii="Arial" w:hAnsi="Arial" w:cs="Arial"/>
          <w:color w:val="000000" w:themeColor="text1"/>
          <w:sz w:val="24"/>
          <w:szCs w:val="24"/>
        </w:rPr>
        <w:t xml:space="preserve"> </w:t>
      </w:r>
      <w:r w:rsidR="009E5899" w:rsidRPr="003E71DE">
        <w:rPr>
          <w:rFonts w:ascii="Arial" w:hAnsi="Arial" w:cs="Arial"/>
          <w:color w:val="000000" w:themeColor="text1"/>
          <w:sz w:val="24"/>
          <w:szCs w:val="24"/>
        </w:rPr>
        <w:t>and Sharma</w:t>
      </w:r>
      <w:r w:rsidR="009E5899">
        <w:rPr>
          <w:rFonts w:ascii="Arial" w:hAnsi="Arial" w:cs="Arial"/>
          <w:color w:val="000000" w:themeColor="text1"/>
          <w:sz w:val="24"/>
          <w:szCs w:val="24"/>
        </w:rPr>
        <w:t>, 2021)</w:t>
      </w:r>
      <w:r w:rsidRPr="003E71DE">
        <w:rPr>
          <w:rFonts w:ascii="Arial" w:hAnsi="Arial" w:cs="Arial"/>
          <w:color w:val="000000" w:themeColor="text1"/>
          <w:sz w:val="24"/>
          <w:szCs w:val="24"/>
        </w:rPr>
        <w:t>. This analysis provides brief coverage of the introduction and decline stages while dedicating major attention to the growth and maturity phases using examples from established firms.</w:t>
      </w:r>
    </w:p>
    <w:p w14:paraId="1CF6C165" w14:textId="77777777" w:rsidR="00A32657" w:rsidRPr="003E71DE" w:rsidRDefault="00000000" w:rsidP="003E71DE">
      <w:pPr>
        <w:pStyle w:val="Heading2"/>
        <w:rPr>
          <w:color w:val="000000" w:themeColor="text1"/>
        </w:rPr>
      </w:pPr>
      <w:bookmarkStart w:id="5" w:name="_Toc193367292"/>
      <w:r w:rsidRPr="003E71DE">
        <w:rPr>
          <w:color w:val="000000" w:themeColor="text1"/>
        </w:rPr>
        <w:t>Pioneer Companies</w:t>
      </w:r>
      <w:bookmarkEnd w:id="5"/>
    </w:p>
    <w:p w14:paraId="4165F125" w14:textId="01041DAB" w:rsidR="004E2533"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Organizations that initiate breakthrough products or services enter the market as pioneer companies because they establish industry norms and mould customer expectations</w:t>
      </w:r>
      <w:r w:rsidR="00DD507C">
        <w:rPr>
          <w:rFonts w:ascii="Arial" w:hAnsi="Arial" w:cs="Arial"/>
          <w:color w:val="000000" w:themeColor="text1"/>
          <w:sz w:val="24"/>
          <w:szCs w:val="24"/>
        </w:rPr>
        <w:t xml:space="preserve"> (</w:t>
      </w:r>
      <w:r w:rsidR="00DD507C" w:rsidRPr="003E71DE">
        <w:rPr>
          <w:rFonts w:ascii="Arial" w:hAnsi="Arial" w:cs="Arial"/>
          <w:color w:val="000000" w:themeColor="text1"/>
          <w:sz w:val="24"/>
          <w:szCs w:val="24"/>
        </w:rPr>
        <w:t>Velez</w:t>
      </w:r>
      <w:r w:rsidR="00DD507C" w:rsidRPr="003E71DE">
        <w:rPr>
          <w:rFonts w:ascii="Cambria Math" w:hAnsi="Cambria Math" w:cs="Cambria Math"/>
          <w:color w:val="000000" w:themeColor="text1"/>
          <w:sz w:val="24"/>
          <w:szCs w:val="24"/>
        </w:rPr>
        <w:t>‐</w:t>
      </w:r>
      <w:r w:rsidR="00DD507C" w:rsidRPr="003E71DE">
        <w:rPr>
          <w:rFonts w:ascii="Arial" w:hAnsi="Arial" w:cs="Arial"/>
          <w:color w:val="000000" w:themeColor="text1"/>
          <w:sz w:val="24"/>
          <w:szCs w:val="24"/>
        </w:rPr>
        <w:t>Ocampo</w:t>
      </w:r>
      <w:r w:rsidR="00F13720">
        <w:rPr>
          <w:rFonts w:ascii="Arial" w:hAnsi="Arial" w:cs="Arial"/>
          <w:color w:val="000000" w:themeColor="text1"/>
          <w:sz w:val="24"/>
          <w:szCs w:val="24"/>
        </w:rPr>
        <w:t xml:space="preserve"> </w:t>
      </w:r>
      <w:r w:rsidR="00DD507C" w:rsidRPr="003E71DE">
        <w:rPr>
          <w:rFonts w:ascii="Arial" w:hAnsi="Arial" w:cs="Arial"/>
          <w:color w:val="000000" w:themeColor="text1"/>
          <w:sz w:val="24"/>
          <w:szCs w:val="24"/>
        </w:rPr>
        <w:t>and Gonzalez</w:t>
      </w:r>
      <w:r w:rsidR="00DD507C" w:rsidRPr="003E71DE">
        <w:rPr>
          <w:rFonts w:ascii="Cambria Math" w:hAnsi="Cambria Math" w:cs="Cambria Math"/>
          <w:color w:val="000000" w:themeColor="text1"/>
          <w:sz w:val="24"/>
          <w:szCs w:val="24"/>
        </w:rPr>
        <w:t>‐</w:t>
      </w:r>
      <w:r w:rsidR="00DD507C" w:rsidRPr="003E71DE">
        <w:rPr>
          <w:rFonts w:ascii="Arial" w:hAnsi="Arial" w:cs="Arial"/>
          <w:color w:val="000000" w:themeColor="text1"/>
          <w:sz w:val="24"/>
          <w:szCs w:val="24"/>
        </w:rPr>
        <w:t>Perez</w:t>
      </w:r>
      <w:r w:rsidR="00DD507C">
        <w:rPr>
          <w:rFonts w:ascii="Arial" w:hAnsi="Arial" w:cs="Arial"/>
          <w:color w:val="000000" w:themeColor="text1"/>
          <w:sz w:val="24"/>
          <w:szCs w:val="24"/>
        </w:rPr>
        <w:t>, 2022)</w:t>
      </w:r>
      <w:r w:rsidRPr="003E71DE">
        <w:rPr>
          <w:rFonts w:ascii="Arial" w:hAnsi="Arial" w:cs="Arial"/>
          <w:color w:val="000000" w:themeColor="text1"/>
          <w:sz w:val="24"/>
          <w:szCs w:val="24"/>
        </w:rPr>
        <w:t>. The businesses implement strategies throughout their PLC to protect their market dominance while coping with high expenses and unpredictable factors.</w:t>
      </w:r>
    </w:p>
    <w:p w14:paraId="7EE0EDC8" w14:textId="77777777" w:rsidR="00A32657" w:rsidRPr="003E71DE" w:rsidRDefault="00000000" w:rsidP="003E71DE">
      <w:pPr>
        <w:spacing w:line="360" w:lineRule="auto"/>
        <w:jc w:val="both"/>
        <w:rPr>
          <w:rFonts w:ascii="Arial" w:hAnsi="Arial" w:cs="Arial"/>
          <w:b/>
          <w:bCs/>
          <w:i/>
          <w:iCs/>
          <w:color w:val="000000" w:themeColor="text1"/>
          <w:sz w:val="24"/>
          <w:szCs w:val="24"/>
        </w:rPr>
      </w:pPr>
      <w:r w:rsidRPr="003E71DE">
        <w:rPr>
          <w:rFonts w:ascii="Arial" w:hAnsi="Arial" w:cs="Arial"/>
          <w:b/>
          <w:bCs/>
          <w:i/>
          <w:iCs/>
          <w:color w:val="000000" w:themeColor="text1"/>
          <w:sz w:val="24"/>
          <w:szCs w:val="24"/>
        </w:rPr>
        <w:t>Introduction Stage: Building Awareness</w:t>
      </w:r>
    </w:p>
    <w:p w14:paraId="160F0D97" w14:textId="16385F84" w:rsidR="00D96B17"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In the introduction phase of the pioneer stage, pioneers focus on building the value premise of their products. The strategies include heavy investment in marketing campaigns, distribution networks and educating the market about the benefits of innovation. For example, Tesla brought what would become premium electric vehicles coupled with high-range battery technology to the electric vehicle (EV) market</w:t>
      </w:r>
      <w:r w:rsidR="00F13720">
        <w:rPr>
          <w:rFonts w:ascii="Arial" w:hAnsi="Arial" w:cs="Arial"/>
          <w:color w:val="000000" w:themeColor="text1"/>
          <w:sz w:val="24"/>
          <w:szCs w:val="24"/>
        </w:rPr>
        <w:t xml:space="preserve"> (</w:t>
      </w:r>
      <w:r w:rsidR="00F13720" w:rsidRPr="003E71DE">
        <w:rPr>
          <w:rFonts w:ascii="Arial" w:hAnsi="Arial" w:cs="Arial"/>
          <w:color w:val="000000" w:themeColor="text1"/>
          <w:sz w:val="24"/>
          <w:szCs w:val="24"/>
        </w:rPr>
        <w:t>Ortt</w:t>
      </w:r>
      <w:r w:rsidR="00106B60">
        <w:rPr>
          <w:rFonts w:ascii="Arial" w:hAnsi="Arial" w:cs="Arial"/>
          <w:color w:val="000000" w:themeColor="text1"/>
          <w:sz w:val="24"/>
          <w:szCs w:val="24"/>
        </w:rPr>
        <w:t xml:space="preserve"> </w:t>
      </w:r>
      <w:r w:rsidR="00F13720" w:rsidRPr="003E71DE">
        <w:rPr>
          <w:rFonts w:ascii="Arial" w:hAnsi="Arial" w:cs="Arial"/>
          <w:color w:val="000000" w:themeColor="text1"/>
          <w:sz w:val="24"/>
          <w:szCs w:val="24"/>
        </w:rPr>
        <w:lastRenderedPageBreak/>
        <w:t>and Kamp,</w:t>
      </w:r>
      <w:r w:rsidR="00F13720">
        <w:rPr>
          <w:rFonts w:ascii="Arial" w:hAnsi="Arial" w:cs="Arial"/>
          <w:color w:val="000000" w:themeColor="text1"/>
          <w:sz w:val="24"/>
          <w:szCs w:val="24"/>
        </w:rPr>
        <w:t xml:space="preserve"> 2022)</w:t>
      </w:r>
      <w:r w:rsidRPr="003E71DE">
        <w:rPr>
          <w:rFonts w:ascii="Arial" w:hAnsi="Arial" w:cs="Arial"/>
          <w:color w:val="000000" w:themeColor="text1"/>
          <w:sz w:val="24"/>
          <w:szCs w:val="24"/>
        </w:rPr>
        <w:t>. With a desire to be the industry leader in the long run, the company aggressively marketed its products by including and building its charging infrastructure. Another pioneer in its industry, Apple demonstrated during the launch of its iPhone its transformative potential by focusing on it as an innovative and extremely smart device with amazing functionality that blends communication, entertainment and productivity.</w:t>
      </w:r>
    </w:p>
    <w:p w14:paraId="504C14BF" w14:textId="355C076A" w:rsidR="0088701F" w:rsidRDefault="0088701F" w:rsidP="0088701F">
      <w:pPr>
        <w:spacing w:line="360" w:lineRule="auto"/>
        <w:jc w:val="center"/>
        <w:rPr>
          <w:rFonts w:ascii="Arial" w:hAnsi="Arial" w:cs="Arial"/>
          <w:color w:val="000000" w:themeColor="text1"/>
          <w:sz w:val="24"/>
          <w:szCs w:val="24"/>
        </w:rPr>
      </w:pPr>
      <w:r w:rsidRPr="0088701F">
        <w:rPr>
          <w:rFonts w:ascii="Arial" w:hAnsi="Arial" w:cs="Arial"/>
          <w:noProof/>
          <w:color w:val="000000" w:themeColor="text1"/>
          <w:sz w:val="24"/>
          <w:szCs w:val="24"/>
        </w:rPr>
        <w:drawing>
          <wp:inline distT="0" distB="0" distL="0" distR="0" wp14:anchorId="269546C0" wp14:editId="5D23D017">
            <wp:extent cx="4496427" cy="2867425"/>
            <wp:effectExtent l="76200" t="76200" r="133350" b="142875"/>
            <wp:docPr id="496104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104979" name=""/>
                    <pic:cNvPicPr/>
                  </pic:nvPicPr>
                  <pic:blipFill>
                    <a:blip r:embed="rId9"/>
                    <a:stretch>
                      <a:fillRect/>
                    </a:stretch>
                  </pic:blipFill>
                  <pic:spPr>
                    <a:xfrm>
                      <a:off x="0" y="0"/>
                      <a:ext cx="4496427" cy="2867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C94723" w14:textId="7E7F9BD3" w:rsidR="0088701F" w:rsidRPr="0088701F" w:rsidRDefault="0088701F" w:rsidP="0088701F">
      <w:pPr>
        <w:spacing w:line="360" w:lineRule="auto"/>
        <w:jc w:val="center"/>
        <w:rPr>
          <w:rFonts w:ascii="Arial" w:hAnsi="Arial" w:cs="Arial"/>
          <w:b/>
          <w:bCs/>
          <w:color w:val="000000" w:themeColor="text1"/>
          <w:sz w:val="24"/>
          <w:szCs w:val="24"/>
        </w:rPr>
      </w:pPr>
      <w:r w:rsidRPr="0088701F">
        <w:rPr>
          <w:rFonts w:ascii="Arial" w:hAnsi="Arial" w:cs="Arial"/>
          <w:b/>
          <w:bCs/>
          <w:color w:val="000000" w:themeColor="text1"/>
          <w:sz w:val="24"/>
          <w:szCs w:val="24"/>
        </w:rPr>
        <w:t>Figure 1: Product Life Cycle</w:t>
      </w:r>
    </w:p>
    <w:p w14:paraId="48A74329" w14:textId="0539407D" w:rsidR="0088701F" w:rsidRPr="003E71DE" w:rsidRDefault="0088701F" w:rsidP="0088701F">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 xml:space="preserve">(Source: </w:t>
      </w:r>
      <w:proofErr w:type="spellStart"/>
      <w:r w:rsidRPr="003E71DE">
        <w:rPr>
          <w:rFonts w:ascii="Arial" w:hAnsi="Arial" w:cs="Arial"/>
          <w:color w:val="000000" w:themeColor="text1"/>
          <w:sz w:val="24"/>
          <w:szCs w:val="24"/>
        </w:rPr>
        <w:t>Vaskelainen</w:t>
      </w:r>
      <w:proofErr w:type="spellEnd"/>
      <w:r>
        <w:rPr>
          <w:rFonts w:ascii="Arial" w:hAnsi="Arial" w:cs="Arial"/>
          <w:color w:val="000000" w:themeColor="text1"/>
          <w:sz w:val="24"/>
          <w:szCs w:val="24"/>
        </w:rPr>
        <w:t xml:space="preserve"> </w:t>
      </w:r>
      <w:r>
        <w:rPr>
          <w:rFonts w:ascii="Arial" w:hAnsi="Arial" w:cs="Arial"/>
          <w:i/>
          <w:iCs/>
          <w:color w:val="000000" w:themeColor="text1"/>
          <w:sz w:val="24"/>
          <w:szCs w:val="24"/>
        </w:rPr>
        <w:t xml:space="preserve">et al. </w:t>
      </w:r>
      <w:r>
        <w:rPr>
          <w:rFonts w:ascii="Arial" w:hAnsi="Arial" w:cs="Arial"/>
          <w:color w:val="000000" w:themeColor="text1"/>
          <w:sz w:val="24"/>
          <w:szCs w:val="24"/>
        </w:rPr>
        <w:t>2022)</w:t>
      </w:r>
    </w:p>
    <w:p w14:paraId="5A891E1D" w14:textId="77777777" w:rsidR="00A32657" w:rsidRPr="003E71DE" w:rsidRDefault="00000000" w:rsidP="003E71DE">
      <w:pPr>
        <w:spacing w:line="360" w:lineRule="auto"/>
        <w:jc w:val="both"/>
        <w:rPr>
          <w:rFonts w:ascii="Arial" w:hAnsi="Arial" w:cs="Arial"/>
          <w:b/>
          <w:bCs/>
          <w:i/>
          <w:iCs/>
          <w:color w:val="000000" w:themeColor="text1"/>
          <w:sz w:val="24"/>
          <w:szCs w:val="24"/>
        </w:rPr>
      </w:pPr>
      <w:r w:rsidRPr="003E71DE">
        <w:rPr>
          <w:rFonts w:ascii="Arial" w:hAnsi="Arial" w:cs="Arial"/>
          <w:b/>
          <w:bCs/>
          <w:i/>
          <w:iCs/>
          <w:color w:val="000000" w:themeColor="text1"/>
          <w:sz w:val="24"/>
          <w:szCs w:val="24"/>
        </w:rPr>
        <w:t>Growth Stage: Expanding Market Presence</w:t>
      </w:r>
    </w:p>
    <w:p w14:paraId="59552A95" w14:textId="61329152" w:rsidR="00D96B17"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For pioneers, the growth stage is important for capitalizing on the first mover advantage and establishing a loyal customer base. </w:t>
      </w:r>
      <w:r w:rsidRPr="003E71DE">
        <w:rPr>
          <w:rFonts w:ascii="Arial" w:hAnsi="Arial" w:cs="Arial"/>
          <w:b/>
          <w:bCs/>
          <w:color w:val="000000" w:themeColor="text1"/>
          <w:sz w:val="24"/>
          <w:szCs w:val="24"/>
        </w:rPr>
        <w:t>Market penetration</w:t>
      </w:r>
      <w:r w:rsidRPr="003E71DE">
        <w:rPr>
          <w:rFonts w:ascii="Arial" w:hAnsi="Arial" w:cs="Arial"/>
          <w:color w:val="000000" w:themeColor="text1"/>
          <w:sz w:val="24"/>
          <w:szCs w:val="24"/>
        </w:rPr>
        <w:t xml:space="preserve"> is one key strategy which includes the expansion into new geographical markets and also targeting wider customer segments</w:t>
      </w:r>
      <w:r w:rsidR="00106B60">
        <w:rPr>
          <w:rFonts w:ascii="Arial" w:hAnsi="Arial" w:cs="Arial"/>
          <w:color w:val="000000" w:themeColor="text1"/>
          <w:sz w:val="24"/>
          <w:szCs w:val="24"/>
        </w:rPr>
        <w:t xml:space="preserve"> (</w:t>
      </w:r>
      <w:proofErr w:type="spellStart"/>
      <w:r w:rsidR="00106B60" w:rsidRPr="003E71DE">
        <w:rPr>
          <w:rFonts w:ascii="Arial" w:hAnsi="Arial" w:cs="Arial"/>
          <w:color w:val="000000" w:themeColor="text1"/>
          <w:sz w:val="24"/>
          <w:szCs w:val="24"/>
        </w:rPr>
        <w:t>Vaskelainen</w:t>
      </w:r>
      <w:proofErr w:type="spellEnd"/>
      <w:r w:rsidR="00106B60">
        <w:rPr>
          <w:rFonts w:ascii="Arial" w:hAnsi="Arial" w:cs="Arial"/>
          <w:color w:val="000000" w:themeColor="text1"/>
          <w:sz w:val="24"/>
          <w:szCs w:val="24"/>
        </w:rPr>
        <w:t xml:space="preserve"> </w:t>
      </w:r>
      <w:r w:rsidR="00106B60">
        <w:rPr>
          <w:rFonts w:ascii="Arial" w:hAnsi="Arial" w:cs="Arial"/>
          <w:i/>
          <w:iCs/>
          <w:color w:val="000000" w:themeColor="text1"/>
          <w:sz w:val="24"/>
          <w:szCs w:val="24"/>
        </w:rPr>
        <w:t xml:space="preserve">et al. </w:t>
      </w:r>
      <w:r w:rsidR="00106B60">
        <w:rPr>
          <w:rFonts w:ascii="Arial" w:hAnsi="Arial" w:cs="Arial"/>
          <w:color w:val="000000" w:themeColor="text1"/>
          <w:sz w:val="24"/>
          <w:szCs w:val="24"/>
        </w:rPr>
        <w:t>2022)</w:t>
      </w:r>
      <w:r w:rsidRPr="003E71DE">
        <w:rPr>
          <w:rFonts w:ascii="Arial" w:hAnsi="Arial" w:cs="Arial"/>
          <w:color w:val="000000" w:themeColor="text1"/>
          <w:sz w:val="24"/>
          <w:szCs w:val="24"/>
        </w:rPr>
        <w:t>. When the iPhone was still on its high growth curve, Apple diversified its product line with products at different price points to reach more people.</w:t>
      </w:r>
    </w:p>
    <w:p w14:paraId="334F6D1F" w14:textId="680D023B" w:rsidR="00D96B17"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The </w:t>
      </w:r>
      <w:r w:rsidRPr="003E71DE">
        <w:rPr>
          <w:rFonts w:ascii="Arial" w:hAnsi="Arial" w:cs="Arial"/>
          <w:b/>
          <w:bCs/>
          <w:color w:val="000000" w:themeColor="text1"/>
          <w:sz w:val="24"/>
          <w:szCs w:val="24"/>
        </w:rPr>
        <w:t>fortress strategy</w:t>
      </w:r>
      <w:r w:rsidRPr="003E71DE">
        <w:rPr>
          <w:rFonts w:ascii="Arial" w:hAnsi="Arial" w:cs="Arial"/>
          <w:color w:val="000000" w:themeColor="text1"/>
          <w:sz w:val="24"/>
          <w:szCs w:val="24"/>
        </w:rPr>
        <w:t xml:space="preserve"> is another important one which is about building a company’s market leadership through continuous innovation and differentiation. For example, once Tesla upgraded its software and kept releasing features like Autopilot, its value proposition became stronger and stronger and it was able to maintain its dominance</w:t>
      </w:r>
      <w:r w:rsidR="005C1F4A">
        <w:rPr>
          <w:rFonts w:ascii="Arial" w:hAnsi="Arial" w:cs="Arial"/>
          <w:color w:val="000000" w:themeColor="text1"/>
          <w:sz w:val="24"/>
          <w:szCs w:val="24"/>
        </w:rPr>
        <w:t xml:space="preserve"> </w:t>
      </w:r>
      <w:r w:rsidR="005C1F4A">
        <w:rPr>
          <w:rFonts w:ascii="Arial" w:hAnsi="Arial" w:cs="Arial"/>
          <w:color w:val="000000" w:themeColor="text1"/>
          <w:sz w:val="24"/>
          <w:szCs w:val="24"/>
        </w:rPr>
        <w:lastRenderedPageBreak/>
        <w:t>(</w:t>
      </w:r>
      <w:r w:rsidR="005C1F4A" w:rsidRPr="003E71DE">
        <w:rPr>
          <w:rFonts w:ascii="Arial" w:hAnsi="Arial" w:cs="Arial"/>
          <w:color w:val="000000" w:themeColor="text1"/>
          <w:sz w:val="24"/>
          <w:szCs w:val="24"/>
        </w:rPr>
        <w:t>Wambsganss</w:t>
      </w:r>
      <w:r w:rsidR="005C1F4A">
        <w:rPr>
          <w:rFonts w:ascii="Arial" w:hAnsi="Arial" w:cs="Arial"/>
          <w:color w:val="000000" w:themeColor="text1"/>
          <w:sz w:val="24"/>
          <w:szCs w:val="24"/>
        </w:rPr>
        <w:t xml:space="preserve"> </w:t>
      </w:r>
      <w:r w:rsidR="005C1F4A">
        <w:rPr>
          <w:rFonts w:ascii="Arial" w:hAnsi="Arial" w:cs="Arial"/>
          <w:i/>
          <w:iCs/>
          <w:color w:val="000000" w:themeColor="text1"/>
          <w:sz w:val="24"/>
          <w:szCs w:val="24"/>
        </w:rPr>
        <w:t xml:space="preserve">et al. </w:t>
      </w:r>
      <w:r w:rsidR="005C1F4A">
        <w:rPr>
          <w:rFonts w:ascii="Arial" w:hAnsi="Arial" w:cs="Arial"/>
          <w:color w:val="000000" w:themeColor="text1"/>
          <w:sz w:val="24"/>
          <w:szCs w:val="24"/>
        </w:rPr>
        <w:t>2023)</w:t>
      </w:r>
      <w:r w:rsidRPr="003E71DE">
        <w:rPr>
          <w:rFonts w:ascii="Arial" w:hAnsi="Arial" w:cs="Arial"/>
          <w:color w:val="000000" w:themeColor="text1"/>
          <w:sz w:val="24"/>
          <w:szCs w:val="24"/>
        </w:rPr>
        <w:t>. Additionally, this strategy involves patent protection and the development of complementary products and systems like Tesla’s Supercharger network.</w:t>
      </w:r>
    </w:p>
    <w:p w14:paraId="091A13AF" w14:textId="1482EA94" w:rsidR="00BF395D"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There are </w:t>
      </w:r>
      <w:r w:rsidR="00B955EE" w:rsidRPr="003E71DE">
        <w:rPr>
          <w:rFonts w:ascii="Arial" w:hAnsi="Arial" w:cs="Arial"/>
          <w:b/>
          <w:bCs/>
          <w:color w:val="000000" w:themeColor="text1"/>
          <w:sz w:val="24"/>
          <w:szCs w:val="24"/>
        </w:rPr>
        <w:t>aggressive</w:t>
      </w:r>
      <w:r w:rsidRPr="003E71DE">
        <w:rPr>
          <w:rFonts w:ascii="Arial" w:hAnsi="Arial" w:cs="Arial"/>
          <w:b/>
          <w:bCs/>
          <w:color w:val="000000" w:themeColor="text1"/>
          <w:sz w:val="24"/>
          <w:szCs w:val="24"/>
        </w:rPr>
        <w:t xml:space="preserve"> marketing and branding</w:t>
      </w:r>
      <w:r w:rsidRPr="003E71DE">
        <w:rPr>
          <w:rFonts w:ascii="Arial" w:hAnsi="Arial" w:cs="Arial"/>
          <w:color w:val="000000" w:themeColor="text1"/>
          <w:sz w:val="24"/>
          <w:szCs w:val="24"/>
        </w:rPr>
        <w:t xml:space="preserve"> efforts involved in these moves. The promos made for Coca-Cola in its growth stage focused on its refreshing quality and iconic branding and were pioneered</w:t>
      </w:r>
      <w:r w:rsidR="002F2871">
        <w:rPr>
          <w:rFonts w:ascii="Arial" w:hAnsi="Arial" w:cs="Arial"/>
          <w:color w:val="000000" w:themeColor="text1"/>
          <w:sz w:val="24"/>
          <w:szCs w:val="24"/>
        </w:rPr>
        <w:t xml:space="preserve"> (</w:t>
      </w:r>
      <w:proofErr w:type="spellStart"/>
      <w:r w:rsidR="002F2871" w:rsidRPr="003E71DE">
        <w:rPr>
          <w:rFonts w:ascii="Arial" w:hAnsi="Arial" w:cs="Arial"/>
          <w:color w:val="000000" w:themeColor="text1"/>
          <w:sz w:val="24"/>
          <w:szCs w:val="24"/>
        </w:rPr>
        <w:t>Schaltegger</w:t>
      </w:r>
      <w:proofErr w:type="spellEnd"/>
      <w:r w:rsidR="002F2871">
        <w:rPr>
          <w:rFonts w:ascii="Arial" w:hAnsi="Arial" w:cs="Arial"/>
          <w:color w:val="000000" w:themeColor="text1"/>
          <w:sz w:val="24"/>
          <w:szCs w:val="24"/>
        </w:rPr>
        <w:t xml:space="preserve"> </w:t>
      </w:r>
      <w:r w:rsidR="002F2871">
        <w:rPr>
          <w:rFonts w:ascii="Arial" w:hAnsi="Arial" w:cs="Arial"/>
          <w:i/>
          <w:iCs/>
          <w:color w:val="000000" w:themeColor="text1"/>
          <w:sz w:val="24"/>
          <w:szCs w:val="24"/>
        </w:rPr>
        <w:t xml:space="preserve">et al. </w:t>
      </w:r>
      <w:r w:rsidR="002F2871">
        <w:rPr>
          <w:rFonts w:ascii="Arial" w:hAnsi="Arial" w:cs="Arial"/>
          <w:color w:val="000000" w:themeColor="text1"/>
          <w:sz w:val="24"/>
          <w:szCs w:val="24"/>
        </w:rPr>
        <w:t xml:space="preserve"> 2023)</w:t>
      </w:r>
      <w:r w:rsidRPr="003E71DE">
        <w:rPr>
          <w:rFonts w:ascii="Arial" w:hAnsi="Arial" w:cs="Arial"/>
          <w:color w:val="000000" w:themeColor="text1"/>
          <w:sz w:val="24"/>
          <w:szCs w:val="24"/>
        </w:rPr>
        <w:t>. These strategies helped not just boost their market share, but also keep competitors out from getting too relevant.</w:t>
      </w:r>
    </w:p>
    <w:p w14:paraId="4871D6BF" w14:textId="77777777" w:rsidR="00A32657" w:rsidRPr="003E71DE" w:rsidRDefault="00000000" w:rsidP="003E71DE">
      <w:pPr>
        <w:spacing w:line="360" w:lineRule="auto"/>
        <w:jc w:val="both"/>
        <w:rPr>
          <w:rFonts w:ascii="Arial" w:hAnsi="Arial" w:cs="Arial"/>
          <w:b/>
          <w:bCs/>
          <w:i/>
          <w:iCs/>
          <w:color w:val="000000" w:themeColor="text1"/>
          <w:sz w:val="24"/>
          <w:szCs w:val="24"/>
        </w:rPr>
      </w:pPr>
      <w:r w:rsidRPr="003E71DE">
        <w:rPr>
          <w:rFonts w:ascii="Arial" w:hAnsi="Arial" w:cs="Arial"/>
          <w:b/>
          <w:bCs/>
          <w:i/>
          <w:iCs/>
          <w:color w:val="000000" w:themeColor="text1"/>
          <w:sz w:val="24"/>
          <w:szCs w:val="24"/>
        </w:rPr>
        <w:t>Maturity Stage: Sustaining Competitive Advantage</w:t>
      </w:r>
    </w:p>
    <w:p w14:paraId="524843BD" w14:textId="4494FB42" w:rsidR="00B955EE"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Leaders are forced to focus on sustaining their competitive advantage and profitability in the case of market saturation. It has been found that the </w:t>
      </w:r>
      <w:r w:rsidRPr="003E71DE">
        <w:rPr>
          <w:rFonts w:ascii="Arial" w:hAnsi="Arial" w:cs="Arial"/>
          <w:b/>
          <w:bCs/>
          <w:color w:val="000000" w:themeColor="text1"/>
          <w:sz w:val="24"/>
          <w:szCs w:val="24"/>
        </w:rPr>
        <w:t>diversification of product</w:t>
      </w:r>
      <w:r w:rsidRPr="003E71DE">
        <w:rPr>
          <w:rFonts w:ascii="Arial" w:hAnsi="Arial" w:cs="Arial"/>
          <w:color w:val="000000" w:themeColor="text1"/>
          <w:sz w:val="24"/>
          <w:szCs w:val="24"/>
        </w:rPr>
        <w:t xml:space="preserve"> is an effective strategy, in which further diversification of variation and feature of the product is added to product growth</w:t>
      </w:r>
      <w:r w:rsidR="00CB18A5">
        <w:rPr>
          <w:rFonts w:ascii="Arial" w:hAnsi="Arial" w:cs="Arial"/>
          <w:color w:val="000000" w:themeColor="text1"/>
          <w:sz w:val="24"/>
          <w:szCs w:val="24"/>
        </w:rPr>
        <w:t xml:space="preserve"> (</w:t>
      </w:r>
      <w:r w:rsidR="00CB18A5" w:rsidRPr="003E71DE">
        <w:rPr>
          <w:rFonts w:ascii="Arial" w:hAnsi="Arial" w:cs="Arial"/>
          <w:color w:val="000000" w:themeColor="text1"/>
          <w:sz w:val="24"/>
          <w:szCs w:val="24"/>
        </w:rPr>
        <w:t>Dreiling</w:t>
      </w:r>
      <w:r w:rsidR="00D44087">
        <w:rPr>
          <w:rFonts w:ascii="Arial" w:hAnsi="Arial" w:cs="Arial"/>
          <w:color w:val="000000" w:themeColor="text1"/>
          <w:sz w:val="24"/>
          <w:szCs w:val="24"/>
        </w:rPr>
        <w:t xml:space="preserve"> </w:t>
      </w:r>
      <w:r w:rsidR="00CB18A5" w:rsidRPr="003E71DE">
        <w:rPr>
          <w:rFonts w:ascii="Arial" w:hAnsi="Arial" w:cs="Arial"/>
          <w:color w:val="000000" w:themeColor="text1"/>
          <w:sz w:val="24"/>
          <w:szCs w:val="24"/>
        </w:rPr>
        <w:t>and Bican</w:t>
      </w:r>
      <w:r w:rsidR="00CB18A5">
        <w:rPr>
          <w:rFonts w:ascii="Arial" w:hAnsi="Arial" w:cs="Arial"/>
          <w:color w:val="000000" w:themeColor="text1"/>
          <w:sz w:val="24"/>
          <w:szCs w:val="24"/>
        </w:rPr>
        <w:t>, 2022)</w:t>
      </w:r>
      <w:r w:rsidRPr="003E71DE">
        <w:rPr>
          <w:rFonts w:ascii="Arial" w:hAnsi="Arial" w:cs="Arial"/>
          <w:color w:val="000000" w:themeColor="text1"/>
          <w:sz w:val="24"/>
          <w:szCs w:val="24"/>
        </w:rPr>
        <w:t>. For example, McDonald's offers health focused items like salads and the premium McCafé in order to get a share of customers looking to lose weight.</w:t>
      </w:r>
    </w:p>
    <w:p w14:paraId="0782CF28" w14:textId="683373CF" w:rsidR="00B955EE"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Another vital strategy followed by them is to stay under the pressure of </w:t>
      </w:r>
      <w:r w:rsidRPr="003E71DE">
        <w:rPr>
          <w:rFonts w:ascii="Arial" w:hAnsi="Arial" w:cs="Arial"/>
          <w:b/>
          <w:bCs/>
          <w:color w:val="000000" w:themeColor="text1"/>
          <w:sz w:val="24"/>
          <w:szCs w:val="24"/>
        </w:rPr>
        <w:t>pricing and reduce costs</w:t>
      </w:r>
      <w:r w:rsidRPr="003E71DE">
        <w:rPr>
          <w:rFonts w:ascii="Arial" w:hAnsi="Arial" w:cs="Arial"/>
          <w:color w:val="000000" w:themeColor="text1"/>
          <w:sz w:val="24"/>
          <w:szCs w:val="24"/>
        </w:rPr>
        <w:t>. It also took advantage of Coca-Cola’s optimization of supply chain; small packaging to attract cost-conscious consumers at the same time as maintaining the margin levels.</w:t>
      </w:r>
      <w:r w:rsidR="00CB18A5">
        <w:rPr>
          <w:rFonts w:ascii="Arial" w:hAnsi="Arial" w:cs="Arial"/>
          <w:color w:val="000000" w:themeColor="text1"/>
          <w:sz w:val="24"/>
          <w:szCs w:val="24"/>
        </w:rPr>
        <w:t xml:space="preserve"> </w:t>
      </w:r>
      <w:r w:rsidRPr="003E71DE">
        <w:rPr>
          <w:rFonts w:ascii="Arial" w:hAnsi="Arial" w:cs="Arial"/>
          <w:color w:val="000000" w:themeColor="text1"/>
          <w:sz w:val="24"/>
          <w:szCs w:val="24"/>
        </w:rPr>
        <w:t xml:space="preserve">Sometimes, pioneer is entering in </w:t>
      </w:r>
      <w:r w:rsidRPr="003E71DE">
        <w:rPr>
          <w:rFonts w:ascii="Arial" w:hAnsi="Arial" w:cs="Arial"/>
          <w:b/>
          <w:bCs/>
          <w:color w:val="000000" w:themeColor="text1"/>
          <w:sz w:val="24"/>
          <w:szCs w:val="24"/>
        </w:rPr>
        <w:t>strategic alliance</w:t>
      </w:r>
      <w:r w:rsidRPr="003E71DE">
        <w:rPr>
          <w:rFonts w:ascii="Arial" w:hAnsi="Arial" w:cs="Arial"/>
          <w:color w:val="000000" w:themeColor="text1"/>
          <w:sz w:val="24"/>
          <w:szCs w:val="24"/>
        </w:rPr>
        <w:t xml:space="preserve"> to protect innovation</w:t>
      </w:r>
      <w:r w:rsidR="00D44087">
        <w:rPr>
          <w:rFonts w:ascii="Arial" w:hAnsi="Arial" w:cs="Arial"/>
          <w:color w:val="000000" w:themeColor="text1"/>
          <w:sz w:val="24"/>
          <w:szCs w:val="24"/>
        </w:rPr>
        <w:t xml:space="preserve"> (</w:t>
      </w:r>
      <w:r w:rsidR="00D44087" w:rsidRPr="003E71DE">
        <w:rPr>
          <w:rFonts w:ascii="Arial" w:hAnsi="Arial" w:cs="Arial"/>
          <w:color w:val="000000" w:themeColor="text1"/>
          <w:sz w:val="24"/>
          <w:szCs w:val="24"/>
        </w:rPr>
        <w:t>Giachetti</w:t>
      </w:r>
      <w:r w:rsidR="00606BA3">
        <w:rPr>
          <w:rFonts w:ascii="Arial" w:hAnsi="Arial" w:cs="Arial"/>
          <w:color w:val="000000" w:themeColor="text1"/>
          <w:sz w:val="24"/>
          <w:szCs w:val="24"/>
        </w:rPr>
        <w:t xml:space="preserve"> </w:t>
      </w:r>
      <w:r w:rsidR="00D44087" w:rsidRPr="003E71DE">
        <w:rPr>
          <w:rFonts w:ascii="Arial" w:hAnsi="Arial" w:cs="Arial"/>
          <w:color w:val="000000" w:themeColor="text1"/>
          <w:sz w:val="24"/>
          <w:szCs w:val="24"/>
        </w:rPr>
        <w:t>and Pira,</w:t>
      </w:r>
      <w:r w:rsidR="00D44087">
        <w:rPr>
          <w:rFonts w:ascii="Arial" w:hAnsi="Arial" w:cs="Arial"/>
          <w:color w:val="000000" w:themeColor="text1"/>
          <w:sz w:val="24"/>
          <w:szCs w:val="24"/>
        </w:rPr>
        <w:t xml:space="preserve"> 2022)</w:t>
      </w:r>
      <w:r w:rsidRPr="003E71DE">
        <w:rPr>
          <w:rFonts w:ascii="Arial" w:hAnsi="Arial" w:cs="Arial"/>
          <w:color w:val="000000" w:themeColor="text1"/>
          <w:sz w:val="24"/>
          <w:szCs w:val="24"/>
        </w:rPr>
        <w:t>. Tesla and Panasonic’s partnership for advanced battery production is one such example of how continued leadership in a competitive market derives from these collaborations. The strategies in this stage during the maturity stage enable pioneers to remain relevant and profitable regardless of market saturation challenges.</w:t>
      </w:r>
    </w:p>
    <w:p w14:paraId="4051F198" w14:textId="77777777" w:rsidR="00A32657" w:rsidRPr="003E71DE" w:rsidRDefault="00000000" w:rsidP="003E71DE">
      <w:pPr>
        <w:spacing w:line="360" w:lineRule="auto"/>
        <w:jc w:val="both"/>
        <w:rPr>
          <w:rFonts w:ascii="Arial" w:hAnsi="Arial" w:cs="Arial"/>
          <w:b/>
          <w:bCs/>
          <w:i/>
          <w:iCs/>
          <w:color w:val="000000" w:themeColor="text1"/>
          <w:sz w:val="24"/>
          <w:szCs w:val="24"/>
        </w:rPr>
      </w:pPr>
      <w:r w:rsidRPr="003E71DE">
        <w:rPr>
          <w:rFonts w:ascii="Arial" w:hAnsi="Arial" w:cs="Arial"/>
          <w:b/>
          <w:bCs/>
          <w:i/>
          <w:iCs/>
          <w:color w:val="000000" w:themeColor="text1"/>
          <w:sz w:val="24"/>
          <w:szCs w:val="24"/>
        </w:rPr>
        <w:t>Decline Stage: Harvesting Profits</w:t>
      </w:r>
    </w:p>
    <w:p w14:paraId="22AE39AC" w14:textId="57A45EFB" w:rsidR="00D96B17"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In the decline phase, presuming there are some remaining resources, pioneers commonly take up harvesting strategies to maximize their residual profits with minimum investments</w:t>
      </w:r>
      <w:r w:rsidR="00606BA3">
        <w:rPr>
          <w:rFonts w:ascii="Arial" w:hAnsi="Arial" w:cs="Arial"/>
          <w:color w:val="000000" w:themeColor="text1"/>
          <w:sz w:val="24"/>
          <w:szCs w:val="24"/>
        </w:rPr>
        <w:t xml:space="preserve"> (</w:t>
      </w:r>
      <w:proofErr w:type="spellStart"/>
      <w:r w:rsidR="00606BA3" w:rsidRPr="003E71DE">
        <w:rPr>
          <w:rFonts w:ascii="Arial" w:hAnsi="Arial" w:cs="Arial"/>
          <w:color w:val="000000" w:themeColor="text1"/>
          <w:sz w:val="24"/>
          <w:szCs w:val="24"/>
        </w:rPr>
        <w:t>Liefferink</w:t>
      </w:r>
      <w:proofErr w:type="spellEnd"/>
      <w:r w:rsidR="00606BA3">
        <w:rPr>
          <w:rFonts w:ascii="Arial" w:hAnsi="Arial" w:cs="Arial"/>
          <w:color w:val="000000" w:themeColor="text1"/>
          <w:sz w:val="24"/>
          <w:szCs w:val="24"/>
        </w:rPr>
        <w:t xml:space="preserve"> </w:t>
      </w:r>
      <w:r w:rsidR="00606BA3">
        <w:rPr>
          <w:rFonts w:ascii="Arial" w:hAnsi="Arial" w:cs="Arial"/>
          <w:i/>
          <w:iCs/>
          <w:color w:val="000000" w:themeColor="text1"/>
          <w:sz w:val="24"/>
          <w:szCs w:val="24"/>
        </w:rPr>
        <w:t xml:space="preserve">et al. </w:t>
      </w:r>
      <w:r w:rsidR="00606BA3">
        <w:rPr>
          <w:rFonts w:ascii="Arial" w:hAnsi="Arial" w:cs="Arial"/>
          <w:color w:val="000000" w:themeColor="text1"/>
          <w:sz w:val="24"/>
          <w:szCs w:val="24"/>
        </w:rPr>
        <w:t>2023)</w:t>
      </w:r>
      <w:r w:rsidRPr="003E71DE">
        <w:rPr>
          <w:rFonts w:ascii="Arial" w:hAnsi="Arial" w:cs="Arial"/>
          <w:color w:val="000000" w:themeColor="text1"/>
          <w:sz w:val="24"/>
          <w:szCs w:val="24"/>
        </w:rPr>
        <w:t>. In Kodak's decline, a pioneer in photography, the company focused on patent licensing and began monetizing its intellectual property. Problems occur however, for pioneers that fail to adapt during the early stage and they are no match for competition or tend to occupy niche markets.</w:t>
      </w:r>
    </w:p>
    <w:p w14:paraId="10E75314" w14:textId="77777777" w:rsidR="00A32657" w:rsidRPr="003E71DE" w:rsidRDefault="00000000" w:rsidP="003E71DE">
      <w:pPr>
        <w:pStyle w:val="Heading2"/>
        <w:rPr>
          <w:color w:val="000000" w:themeColor="text1"/>
        </w:rPr>
      </w:pPr>
      <w:bookmarkStart w:id="6" w:name="_Toc193367293"/>
      <w:r w:rsidRPr="003E71DE">
        <w:rPr>
          <w:color w:val="000000" w:themeColor="text1"/>
        </w:rPr>
        <w:lastRenderedPageBreak/>
        <w:t>Follower Companies</w:t>
      </w:r>
      <w:bookmarkEnd w:id="6"/>
    </w:p>
    <w:p w14:paraId="156AE6B5" w14:textId="563F7679" w:rsidR="00D96B17"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Once pioneers of a market succeed and fail, follower companies enter the market, improving upon existing products to meet consumer needs more effectively</w:t>
      </w:r>
      <w:r w:rsidR="00A617CE">
        <w:rPr>
          <w:rFonts w:ascii="Arial" w:hAnsi="Arial" w:cs="Arial"/>
          <w:color w:val="000000" w:themeColor="text1"/>
          <w:sz w:val="24"/>
          <w:szCs w:val="24"/>
        </w:rPr>
        <w:t xml:space="preserve"> (</w:t>
      </w:r>
      <w:r w:rsidR="00A617CE" w:rsidRPr="003E71DE">
        <w:rPr>
          <w:rFonts w:ascii="Arial" w:hAnsi="Arial" w:cs="Arial"/>
          <w:color w:val="000000" w:themeColor="text1"/>
          <w:sz w:val="24"/>
          <w:szCs w:val="24"/>
        </w:rPr>
        <w:t>Karpenko</w:t>
      </w:r>
      <w:r w:rsidR="00A617CE">
        <w:rPr>
          <w:rFonts w:ascii="Arial" w:hAnsi="Arial" w:cs="Arial"/>
          <w:color w:val="000000" w:themeColor="text1"/>
          <w:sz w:val="24"/>
          <w:szCs w:val="24"/>
        </w:rPr>
        <w:t xml:space="preserve"> </w:t>
      </w:r>
      <w:r w:rsidR="00A617CE">
        <w:rPr>
          <w:rFonts w:ascii="Arial" w:hAnsi="Arial" w:cs="Arial"/>
          <w:i/>
          <w:iCs/>
          <w:color w:val="000000" w:themeColor="text1"/>
          <w:sz w:val="24"/>
          <w:szCs w:val="24"/>
        </w:rPr>
        <w:t xml:space="preserve">et al. </w:t>
      </w:r>
      <w:r w:rsidR="00A617CE">
        <w:rPr>
          <w:rFonts w:ascii="Arial" w:hAnsi="Arial" w:cs="Arial"/>
          <w:color w:val="000000" w:themeColor="text1"/>
          <w:sz w:val="24"/>
          <w:szCs w:val="24"/>
        </w:rPr>
        <w:t>2021)</w:t>
      </w:r>
      <w:r w:rsidRPr="003E71DE">
        <w:rPr>
          <w:rFonts w:ascii="Arial" w:hAnsi="Arial" w:cs="Arial"/>
          <w:color w:val="000000" w:themeColor="text1"/>
          <w:sz w:val="24"/>
          <w:szCs w:val="24"/>
        </w:rPr>
        <w:t>. They typically deploy less resource intensive, more risk averse strategies that entrap market insight for growth.</w:t>
      </w:r>
    </w:p>
    <w:p w14:paraId="41216952" w14:textId="77777777" w:rsidR="00A32657" w:rsidRPr="003E71DE" w:rsidRDefault="00000000" w:rsidP="003E71DE">
      <w:pPr>
        <w:spacing w:line="360" w:lineRule="auto"/>
        <w:jc w:val="both"/>
        <w:rPr>
          <w:rFonts w:ascii="Arial" w:hAnsi="Arial" w:cs="Arial"/>
          <w:b/>
          <w:bCs/>
          <w:i/>
          <w:iCs/>
          <w:color w:val="000000" w:themeColor="text1"/>
          <w:sz w:val="24"/>
          <w:szCs w:val="24"/>
        </w:rPr>
      </w:pPr>
      <w:r w:rsidRPr="003E71DE">
        <w:rPr>
          <w:rFonts w:ascii="Arial" w:hAnsi="Arial" w:cs="Arial"/>
          <w:b/>
          <w:bCs/>
          <w:i/>
          <w:iCs/>
          <w:color w:val="000000" w:themeColor="text1"/>
          <w:sz w:val="24"/>
          <w:szCs w:val="24"/>
        </w:rPr>
        <w:t>Introduction Stage: Observing and Learning</w:t>
      </w:r>
    </w:p>
    <w:p w14:paraId="39D25824" w14:textId="3BDCB9FA" w:rsidR="00D96B17"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Once the market pioneers start showing successes and failures, the followers enter the market. In their way, their primary strategy in this stage goes about </w:t>
      </w:r>
      <w:r w:rsidRPr="003E71DE">
        <w:rPr>
          <w:rFonts w:ascii="Arial" w:hAnsi="Arial" w:cs="Arial"/>
          <w:b/>
          <w:bCs/>
          <w:color w:val="000000" w:themeColor="text1"/>
          <w:sz w:val="24"/>
          <w:szCs w:val="24"/>
        </w:rPr>
        <w:t>reducing market risk</w:t>
      </w:r>
      <w:r w:rsidRPr="003E71DE">
        <w:rPr>
          <w:rFonts w:ascii="Arial" w:hAnsi="Arial" w:cs="Arial"/>
          <w:color w:val="000000" w:themeColor="text1"/>
          <w:sz w:val="24"/>
          <w:szCs w:val="24"/>
        </w:rPr>
        <w:t xml:space="preserve"> by ‘learning’ from the pioneer’s experience</w:t>
      </w:r>
      <w:r w:rsidR="00150E04">
        <w:rPr>
          <w:rFonts w:ascii="Arial" w:hAnsi="Arial" w:cs="Arial"/>
          <w:color w:val="000000" w:themeColor="text1"/>
          <w:sz w:val="24"/>
          <w:szCs w:val="24"/>
        </w:rPr>
        <w:t xml:space="preserve"> (</w:t>
      </w:r>
      <w:r w:rsidR="00150E04" w:rsidRPr="003E71DE">
        <w:rPr>
          <w:rFonts w:ascii="Arial" w:hAnsi="Arial" w:cs="Arial"/>
          <w:color w:val="000000" w:themeColor="text1"/>
          <w:sz w:val="24"/>
          <w:szCs w:val="24"/>
        </w:rPr>
        <w:t>Magezi</w:t>
      </w:r>
      <w:r w:rsidR="00150E04">
        <w:rPr>
          <w:rFonts w:ascii="Arial" w:hAnsi="Arial" w:cs="Arial"/>
          <w:color w:val="000000" w:themeColor="text1"/>
          <w:sz w:val="24"/>
          <w:szCs w:val="24"/>
        </w:rPr>
        <w:t xml:space="preserve"> </w:t>
      </w:r>
      <w:r w:rsidR="00150E04">
        <w:rPr>
          <w:rFonts w:ascii="Arial" w:hAnsi="Arial" w:cs="Arial"/>
          <w:i/>
          <w:iCs/>
          <w:color w:val="000000" w:themeColor="text1"/>
          <w:sz w:val="24"/>
          <w:szCs w:val="24"/>
        </w:rPr>
        <w:t xml:space="preserve">et al. </w:t>
      </w:r>
      <w:r w:rsidR="00150E04">
        <w:rPr>
          <w:rFonts w:ascii="Arial" w:hAnsi="Arial" w:cs="Arial"/>
          <w:color w:val="000000" w:themeColor="text1"/>
          <w:sz w:val="24"/>
          <w:szCs w:val="24"/>
        </w:rPr>
        <w:t>2023)</w:t>
      </w:r>
      <w:r w:rsidRPr="003E71DE">
        <w:rPr>
          <w:rFonts w:ascii="Arial" w:hAnsi="Arial" w:cs="Arial"/>
          <w:color w:val="000000" w:themeColor="text1"/>
          <w:sz w:val="24"/>
          <w:szCs w:val="24"/>
        </w:rPr>
        <w:t>. NIO, a follower in the EV market, looked to Tesla's playbook and sought out premium, tech savvy customers in China. Followers make it easier by avoiding some of the pitfalls the pioneers face.</w:t>
      </w:r>
    </w:p>
    <w:p w14:paraId="558C1F64" w14:textId="77777777" w:rsidR="00A32657" w:rsidRPr="003E71DE" w:rsidRDefault="00000000" w:rsidP="003E71DE">
      <w:pPr>
        <w:spacing w:line="360" w:lineRule="auto"/>
        <w:jc w:val="both"/>
        <w:rPr>
          <w:rFonts w:ascii="Arial" w:hAnsi="Arial" w:cs="Arial"/>
          <w:b/>
          <w:bCs/>
          <w:i/>
          <w:iCs/>
          <w:color w:val="000000" w:themeColor="text1"/>
          <w:sz w:val="24"/>
          <w:szCs w:val="24"/>
        </w:rPr>
      </w:pPr>
      <w:r w:rsidRPr="003E71DE">
        <w:rPr>
          <w:rFonts w:ascii="Arial" w:hAnsi="Arial" w:cs="Arial"/>
          <w:b/>
          <w:bCs/>
          <w:i/>
          <w:iCs/>
          <w:color w:val="000000" w:themeColor="text1"/>
          <w:sz w:val="24"/>
          <w:szCs w:val="24"/>
        </w:rPr>
        <w:t>Growth Stage: Attacking Established Players</w:t>
      </w:r>
    </w:p>
    <w:p w14:paraId="7B9D0FA6" w14:textId="17742113" w:rsidR="00D96B17"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During the growth stage, followers must take the opportunity to challenge the established pioneers. Amongst the trends, </w:t>
      </w:r>
      <w:r w:rsidRPr="003E71DE">
        <w:rPr>
          <w:rFonts w:ascii="Arial" w:hAnsi="Arial" w:cs="Arial"/>
          <w:b/>
          <w:bCs/>
          <w:color w:val="000000" w:themeColor="text1"/>
          <w:sz w:val="24"/>
          <w:szCs w:val="24"/>
        </w:rPr>
        <w:t>competitive pricing</w:t>
      </w:r>
      <w:r w:rsidRPr="003E71DE">
        <w:rPr>
          <w:rFonts w:ascii="Arial" w:hAnsi="Arial" w:cs="Arial"/>
          <w:color w:val="000000" w:themeColor="text1"/>
          <w:sz w:val="24"/>
          <w:szCs w:val="24"/>
        </w:rPr>
        <w:t xml:space="preserve"> is one in which followers offer products at lower price to entice customers with reduced budgets. For instance, Samsung came to the smartphone market after Apple, but it dominated the market by offering a variety of Android devices across the spectrum of price points</w:t>
      </w:r>
      <w:r w:rsidR="008C5573">
        <w:rPr>
          <w:rFonts w:ascii="Arial" w:hAnsi="Arial" w:cs="Arial"/>
          <w:color w:val="000000" w:themeColor="text1"/>
          <w:sz w:val="24"/>
          <w:szCs w:val="24"/>
        </w:rPr>
        <w:t xml:space="preserve"> (</w:t>
      </w:r>
      <w:r w:rsidR="008C5573" w:rsidRPr="003E71DE">
        <w:rPr>
          <w:rFonts w:ascii="Arial" w:hAnsi="Arial" w:cs="Arial"/>
          <w:color w:val="000000" w:themeColor="text1"/>
          <w:sz w:val="24"/>
          <w:szCs w:val="24"/>
        </w:rPr>
        <w:t>Shahin</w:t>
      </w:r>
      <w:r w:rsidR="008C5573">
        <w:rPr>
          <w:rFonts w:ascii="Arial" w:hAnsi="Arial" w:cs="Arial"/>
          <w:color w:val="000000" w:themeColor="text1"/>
          <w:sz w:val="24"/>
          <w:szCs w:val="24"/>
        </w:rPr>
        <w:t xml:space="preserve"> </w:t>
      </w:r>
      <w:r w:rsidR="008C5573">
        <w:rPr>
          <w:rFonts w:ascii="Arial" w:hAnsi="Arial" w:cs="Arial"/>
          <w:i/>
          <w:iCs/>
          <w:color w:val="000000" w:themeColor="text1"/>
          <w:sz w:val="24"/>
          <w:szCs w:val="24"/>
        </w:rPr>
        <w:t xml:space="preserve">et al. </w:t>
      </w:r>
      <w:r w:rsidR="008C5573">
        <w:rPr>
          <w:rFonts w:ascii="Arial" w:hAnsi="Arial" w:cs="Arial"/>
          <w:color w:val="000000" w:themeColor="text1"/>
          <w:sz w:val="24"/>
          <w:szCs w:val="24"/>
        </w:rPr>
        <w:t>2023)</w:t>
      </w:r>
      <w:r w:rsidRPr="003E71DE">
        <w:rPr>
          <w:rFonts w:ascii="Arial" w:hAnsi="Arial" w:cs="Arial"/>
          <w:color w:val="000000" w:themeColor="text1"/>
          <w:sz w:val="24"/>
          <w:szCs w:val="24"/>
        </w:rPr>
        <w:t>.</w:t>
      </w:r>
    </w:p>
    <w:p w14:paraId="48E88699" w14:textId="68956EA2" w:rsidR="00E96E3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Fellow manufacturers also exploit </w:t>
      </w:r>
      <w:r w:rsidRPr="003E71DE">
        <w:rPr>
          <w:rFonts w:ascii="Arial" w:hAnsi="Arial" w:cs="Arial"/>
          <w:b/>
          <w:bCs/>
          <w:color w:val="000000" w:themeColor="text1"/>
          <w:sz w:val="24"/>
          <w:szCs w:val="24"/>
        </w:rPr>
        <w:t>product improvement</w:t>
      </w:r>
      <w:r w:rsidRPr="003E71DE">
        <w:rPr>
          <w:rFonts w:ascii="Arial" w:hAnsi="Arial" w:cs="Arial"/>
          <w:color w:val="000000" w:themeColor="text1"/>
          <w:sz w:val="24"/>
          <w:szCs w:val="24"/>
        </w:rPr>
        <w:t xml:space="preserve"> to fill in the gaps in the pioneer's offering</w:t>
      </w:r>
      <w:r w:rsidR="00F872C8">
        <w:rPr>
          <w:rFonts w:ascii="Arial" w:hAnsi="Arial" w:cs="Arial"/>
          <w:color w:val="000000" w:themeColor="text1"/>
          <w:sz w:val="24"/>
          <w:szCs w:val="24"/>
        </w:rPr>
        <w:t xml:space="preserve"> (</w:t>
      </w:r>
      <w:r w:rsidR="00F872C8" w:rsidRPr="003E71DE">
        <w:rPr>
          <w:rFonts w:ascii="Arial" w:hAnsi="Arial" w:cs="Arial"/>
          <w:color w:val="000000" w:themeColor="text1"/>
          <w:sz w:val="24"/>
          <w:szCs w:val="24"/>
        </w:rPr>
        <w:t>Salmen</w:t>
      </w:r>
      <w:r w:rsidR="00F872C8">
        <w:rPr>
          <w:rFonts w:ascii="Arial" w:hAnsi="Arial" w:cs="Arial"/>
          <w:color w:val="000000" w:themeColor="text1"/>
          <w:sz w:val="24"/>
          <w:szCs w:val="24"/>
        </w:rPr>
        <w:t>, 2021)</w:t>
      </w:r>
      <w:r w:rsidRPr="003E71DE">
        <w:rPr>
          <w:rFonts w:ascii="Arial" w:hAnsi="Arial" w:cs="Arial"/>
          <w:color w:val="000000" w:themeColor="text1"/>
          <w:sz w:val="24"/>
          <w:szCs w:val="24"/>
        </w:rPr>
        <w:t>. As a follower in the social media space, Facebook improved user engagement by introducing social media's cleaner interface and better privacy controls compared to MySpace’s initial model. This approach allows followers to differentiate themselves while attracting dissatisfied customers of the pioneer’s products.</w:t>
      </w:r>
      <w:r w:rsidR="008C5573">
        <w:rPr>
          <w:rFonts w:ascii="Arial" w:hAnsi="Arial" w:cs="Arial"/>
          <w:color w:val="000000" w:themeColor="text1"/>
          <w:sz w:val="24"/>
          <w:szCs w:val="24"/>
        </w:rPr>
        <w:t xml:space="preserve"> </w:t>
      </w:r>
      <w:r w:rsidRPr="003E71DE">
        <w:rPr>
          <w:rFonts w:ascii="Arial" w:hAnsi="Arial" w:cs="Arial"/>
          <w:color w:val="000000" w:themeColor="text1"/>
          <w:sz w:val="24"/>
          <w:szCs w:val="24"/>
        </w:rPr>
        <w:t>A second strong strategy for exploiting the market gap is whereby followers target underserved segments or regions</w:t>
      </w:r>
      <w:r w:rsidR="000D5CD2">
        <w:rPr>
          <w:rFonts w:ascii="Arial" w:hAnsi="Arial" w:cs="Arial"/>
          <w:color w:val="000000" w:themeColor="text1"/>
          <w:sz w:val="24"/>
          <w:szCs w:val="24"/>
        </w:rPr>
        <w:t xml:space="preserve"> (</w:t>
      </w:r>
      <w:r w:rsidR="000D5CD2" w:rsidRPr="003E71DE">
        <w:rPr>
          <w:rFonts w:ascii="Arial" w:hAnsi="Arial" w:cs="Arial"/>
          <w:color w:val="000000" w:themeColor="text1"/>
          <w:sz w:val="24"/>
          <w:szCs w:val="24"/>
        </w:rPr>
        <w:t>Sharma</w:t>
      </w:r>
      <w:r w:rsidR="0093755D">
        <w:rPr>
          <w:rFonts w:ascii="Arial" w:hAnsi="Arial" w:cs="Arial"/>
          <w:color w:val="000000" w:themeColor="text1"/>
          <w:sz w:val="24"/>
          <w:szCs w:val="24"/>
        </w:rPr>
        <w:t xml:space="preserve"> </w:t>
      </w:r>
      <w:r w:rsidR="000D5CD2" w:rsidRPr="003E71DE">
        <w:rPr>
          <w:rFonts w:ascii="Arial" w:hAnsi="Arial" w:cs="Arial"/>
          <w:color w:val="000000" w:themeColor="text1"/>
          <w:sz w:val="24"/>
          <w:szCs w:val="24"/>
        </w:rPr>
        <w:t>and Sharma</w:t>
      </w:r>
      <w:r w:rsidR="000D5CD2">
        <w:rPr>
          <w:rFonts w:ascii="Arial" w:hAnsi="Arial" w:cs="Arial"/>
          <w:color w:val="000000" w:themeColor="text1"/>
          <w:sz w:val="24"/>
          <w:szCs w:val="24"/>
        </w:rPr>
        <w:t>, 2021)</w:t>
      </w:r>
      <w:r w:rsidRPr="003E71DE">
        <w:rPr>
          <w:rFonts w:ascii="Arial" w:hAnsi="Arial" w:cs="Arial"/>
          <w:color w:val="000000" w:themeColor="text1"/>
          <w:sz w:val="24"/>
          <w:szCs w:val="24"/>
        </w:rPr>
        <w:t>. Xiaomi's focus in the smartphone market was on offering affordable, high-quality devices that suit a local preference in emerging markets. Fortunately, during this stage, Fellows can position themselves to develop a muscular competitive advantage by filling an unmet need.</w:t>
      </w:r>
    </w:p>
    <w:p w14:paraId="1B806790" w14:textId="77777777" w:rsidR="006E498D" w:rsidRPr="003E71DE" w:rsidRDefault="00000000" w:rsidP="003E71DE">
      <w:pPr>
        <w:spacing w:line="360" w:lineRule="auto"/>
        <w:jc w:val="both"/>
        <w:rPr>
          <w:rFonts w:ascii="Arial" w:hAnsi="Arial" w:cs="Arial"/>
          <w:b/>
          <w:bCs/>
          <w:i/>
          <w:iCs/>
          <w:color w:val="000000" w:themeColor="text1"/>
          <w:sz w:val="24"/>
          <w:szCs w:val="24"/>
        </w:rPr>
      </w:pPr>
      <w:r w:rsidRPr="003E71DE">
        <w:rPr>
          <w:rFonts w:ascii="Arial" w:hAnsi="Arial" w:cs="Arial"/>
          <w:b/>
          <w:bCs/>
          <w:i/>
          <w:iCs/>
          <w:color w:val="000000" w:themeColor="text1"/>
          <w:sz w:val="24"/>
          <w:szCs w:val="24"/>
        </w:rPr>
        <w:lastRenderedPageBreak/>
        <w:t>Maturity Stage: Competing Aggressively</w:t>
      </w:r>
    </w:p>
    <w:p w14:paraId="2811B9D5" w14:textId="678DA630" w:rsidR="006E498D"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Followers enter the maturity stage and compete with more aggressors to preserve their market position. </w:t>
      </w:r>
      <w:r w:rsidRPr="003E71DE">
        <w:rPr>
          <w:rFonts w:ascii="Arial" w:hAnsi="Arial" w:cs="Arial"/>
          <w:b/>
          <w:bCs/>
          <w:color w:val="000000" w:themeColor="text1"/>
          <w:sz w:val="24"/>
          <w:szCs w:val="24"/>
        </w:rPr>
        <w:t>Marketing differentiation</w:t>
      </w:r>
      <w:r w:rsidRPr="003E71DE">
        <w:rPr>
          <w:rFonts w:ascii="Arial" w:hAnsi="Arial" w:cs="Arial"/>
          <w:color w:val="000000" w:themeColor="text1"/>
          <w:sz w:val="24"/>
          <w:szCs w:val="24"/>
        </w:rPr>
        <w:t xml:space="preserve"> is another way of marketing, where companies focus on unique selling points so they can stand out</w:t>
      </w:r>
      <w:r w:rsidR="0093755D">
        <w:rPr>
          <w:rFonts w:ascii="Arial" w:hAnsi="Arial" w:cs="Arial"/>
          <w:color w:val="000000" w:themeColor="text1"/>
          <w:sz w:val="24"/>
          <w:szCs w:val="24"/>
        </w:rPr>
        <w:t xml:space="preserve"> (</w:t>
      </w:r>
      <w:r w:rsidR="0093755D" w:rsidRPr="003E71DE">
        <w:rPr>
          <w:rFonts w:ascii="Arial" w:hAnsi="Arial" w:cs="Arial"/>
          <w:color w:val="000000" w:themeColor="text1"/>
          <w:sz w:val="24"/>
          <w:szCs w:val="24"/>
        </w:rPr>
        <w:t>Chavez</w:t>
      </w:r>
      <w:r w:rsidR="009B02FA">
        <w:rPr>
          <w:rFonts w:ascii="Arial" w:hAnsi="Arial" w:cs="Arial"/>
          <w:color w:val="000000" w:themeColor="text1"/>
          <w:sz w:val="24"/>
          <w:szCs w:val="24"/>
        </w:rPr>
        <w:t xml:space="preserve"> </w:t>
      </w:r>
      <w:r w:rsidR="0093755D" w:rsidRPr="003E71DE">
        <w:rPr>
          <w:rFonts w:ascii="Arial" w:hAnsi="Arial" w:cs="Arial"/>
          <w:color w:val="000000" w:themeColor="text1"/>
          <w:sz w:val="24"/>
          <w:szCs w:val="24"/>
        </w:rPr>
        <w:t>and Chen</w:t>
      </w:r>
      <w:r w:rsidR="0093755D">
        <w:rPr>
          <w:rFonts w:ascii="Arial" w:hAnsi="Arial" w:cs="Arial"/>
          <w:color w:val="000000" w:themeColor="text1"/>
          <w:sz w:val="24"/>
          <w:szCs w:val="24"/>
        </w:rPr>
        <w:t>, 2022)</w:t>
      </w:r>
      <w:r w:rsidRPr="003E71DE">
        <w:rPr>
          <w:rFonts w:ascii="Arial" w:hAnsi="Arial" w:cs="Arial"/>
          <w:color w:val="000000" w:themeColor="text1"/>
          <w:sz w:val="24"/>
          <w:szCs w:val="24"/>
        </w:rPr>
        <w:t>. For example, Burger King used its flame-grilled burgers and ran ads like the over-the-top 'Whopper vs Big Mac' campaign to compete with McDonald's.</w:t>
      </w:r>
    </w:p>
    <w:p w14:paraId="3149F133" w14:textId="103852BA" w:rsidR="00D96B17"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In the same way, followers use </w:t>
      </w:r>
      <w:r w:rsidRPr="003E71DE">
        <w:rPr>
          <w:rFonts w:ascii="Arial" w:hAnsi="Arial" w:cs="Arial"/>
          <w:b/>
          <w:bCs/>
          <w:color w:val="000000" w:themeColor="text1"/>
          <w:sz w:val="24"/>
          <w:szCs w:val="24"/>
        </w:rPr>
        <w:t>technology integration</w:t>
      </w:r>
      <w:r w:rsidRPr="003E71DE">
        <w:rPr>
          <w:rFonts w:ascii="Arial" w:hAnsi="Arial" w:cs="Arial"/>
          <w:color w:val="000000" w:themeColor="text1"/>
          <w:sz w:val="24"/>
          <w:szCs w:val="24"/>
        </w:rPr>
        <w:t xml:space="preserve"> to make it more efficient or to provide better service. For instance, from photography, Fujifilm moved to healthcare, industrial supplies and digital imaging to bring in new business while getting away from a maturing market</w:t>
      </w:r>
      <w:r w:rsidR="009B02FA">
        <w:rPr>
          <w:rFonts w:ascii="Arial" w:hAnsi="Arial" w:cs="Arial"/>
          <w:color w:val="000000" w:themeColor="text1"/>
          <w:sz w:val="24"/>
          <w:szCs w:val="24"/>
        </w:rPr>
        <w:t xml:space="preserve"> (</w:t>
      </w:r>
      <w:proofErr w:type="spellStart"/>
      <w:r w:rsidR="009B02FA" w:rsidRPr="003E71DE">
        <w:rPr>
          <w:rFonts w:ascii="Arial" w:hAnsi="Arial" w:cs="Arial"/>
          <w:color w:val="000000" w:themeColor="text1"/>
          <w:sz w:val="24"/>
          <w:szCs w:val="24"/>
        </w:rPr>
        <w:t>Maylín</w:t>
      </w:r>
      <w:proofErr w:type="spellEnd"/>
      <w:r w:rsidR="009B02FA" w:rsidRPr="003E71DE">
        <w:rPr>
          <w:rFonts w:ascii="Arial" w:hAnsi="Arial" w:cs="Arial"/>
          <w:color w:val="000000" w:themeColor="text1"/>
          <w:sz w:val="24"/>
          <w:szCs w:val="24"/>
        </w:rPr>
        <w:t>-Aguilar</w:t>
      </w:r>
      <w:r w:rsidR="00232D4D">
        <w:rPr>
          <w:rFonts w:ascii="Arial" w:hAnsi="Arial" w:cs="Arial"/>
          <w:color w:val="000000" w:themeColor="text1"/>
          <w:sz w:val="24"/>
          <w:szCs w:val="24"/>
        </w:rPr>
        <w:t xml:space="preserve"> a</w:t>
      </w:r>
      <w:r w:rsidR="009B02FA" w:rsidRPr="003E71DE">
        <w:rPr>
          <w:rFonts w:ascii="Arial" w:hAnsi="Arial" w:cs="Arial"/>
          <w:color w:val="000000" w:themeColor="text1"/>
          <w:sz w:val="24"/>
          <w:szCs w:val="24"/>
        </w:rPr>
        <w:t>nd Montoro-Sánchez</w:t>
      </w:r>
      <w:r w:rsidR="009B02FA">
        <w:rPr>
          <w:rFonts w:ascii="Arial" w:hAnsi="Arial" w:cs="Arial"/>
          <w:color w:val="000000" w:themeColor="text1"/>
          <w:sz w:val="24"/>
          <w:szCs w:val="24"/>
        </w:rPr>
        <w:t>, 2021)</w:t>
      </w:r>
      <w:r w:rsidRPr="003E71DE">
        <w:rPr>
          <w:rFonts w:ascii="Arial" w:hAnsi="Arial" w:cs="Arial"/>
          <w:color w:val="000000" w:themeColor="text1"/>
          <w:sz w:val="24"/>
          <w:szCs w:val="24"/>
        </w:rPr>
        <w:t>.</w:t>
      </w:r>
      <w:r w:rsidR="009B02FA">
        <w:rPr>
          <w:rFonts w:ascii="Arial" w:hAnsi="Arial" w:cs="Arial"/>
          <w:color w:val="000000" w:themeColor="text1"/>
          <w:sz w:val="24"/>
          <w:szCs w:val="24"/>
        </w:rPr>
        <w:t xml:space="preserve"> </w:t>
      </w:r>
      <w:r w:rsidRPr="003E71DE">
        <w:rPr>
          <w:rFonts w:ascii="Arial" w:hAnsi="Arial" w:cs="Arial"/>
          <w:color w:val="000000" w:themeColor="text1"/>
          <w:sz w:val="24"/>
          <w:szCs w:val="24"/>
        </w:rPr>
        <w:t xml:space="preserve">Another key strategy that followers follow to attract themselves a specific consumer segment is </w:t>
      </w:r>
      <w:r w:rsidRPr="009B02FA">
        <w:rPr>
          <w:rFonts w:ascii="Arial" w:hAnsi="Arial" w:cs="Arial"/>
          <w:b/>
          <w:bCs/>
          <w:color w:val="000000" w:themeColor="text1"/>
          <w:sz w:val="24"/>
          <w:szCs w:val="24"/>
        </w:rPr>
        <w:t>localization.</w:t>
      </w:r>
      <w:r w:rsidRPr="003E71DE">
        <w:rPr>
          <w:rFonts w:ascii="Arial" w:hAnsi="Arial" w:cs="Arial"/>
          <w:color w:val="000000" w:themeColor="text1"/>
          <w:sz w:val="24"/>
          <w:szCs w:val="24"/>
        </w:rPr>
        <w:t xml:space="preserve"> For example, Xiaomi adjusted the features of its products to fit regional assumptions and obtain strong results in an international market. The strategies presented in this article are useful for followers to remain competitive and remain profitable in the maturity stage.</w:t>
      </w:r>
    </w:p>
    <w:p w14:paraId="7CB6FC9A" w14:textId="77777777" w:rsidR="00A32657" w:rsidRPr="003E71DE" w:rsidRDefault="00000000" w:rsidP="003E71DE">
      <w:pPr>
        <w:spacing w:line="360" w:lineRule="auto"/>
        <w:jc w:val="both"/>
        <w:rPr>
          <w:rFonts w:ascii="Arial" w:hAnsi="Arial" w:cs="Arial"/>
          <w:b/>
          <w:bCs/>
          <w:i/>
          <w:iCs/>
          <w:color w:val="000000" w:themeColor="text1"/>
          <w:sz w:val="24"/>
          <w:szCs w:val="24"/>
        </w:rPr>
      </w:pPr>
      <w:r w:rsidRPr="003E71DE">
        <w:rPr>
          <w:rFonts w:ascii="Arial" w:hAnsi="Arial" w:cs="Arial"/>
          <w:b/>
          <w:bCs/>
          <w:i/>
          <w:iCs/>
          <w:color w:val="000000" w:themeColor="text1"/>
          <w:sz w:val="24"/>
          <w:szCs w:val="24"/>
        </w:rPr>
        <w:t>Decline Stage: Surviving Through Niches</w:t>
      </w:r>
    </w:p>
    <w:p w14:paraId="1305A04D" w14:textId="567DEA54" w:rsidR="007A65F1"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During the decline phase, followers often shift to markets and products that are ripe for the niche or modernize existing products. Kodak entered this market later than Fujifilm, and managed to survive due to diversification into healthcare and digital imaging by Fujifilm</w:t>
      </w:r>
      <w:r w:rsidR="007D696D">
        <w:rPr>
          <w:rFonts w:ascii="Arial" w:hAnsi="Arial" w:cs="Arial"/>
          <w:color w:val="000000" w:themeColor="text1"/>
          <w:sz w:val="24"/>
          <w:szCs w:val="24"/>
        </w:rPr>
        <w:t xml:space="preserve"> (</w:t>
      </w:r>
      <w:r w:rsidR="007D696D" w:rsidRPr="003E71DE">
        <w:rPr>
          <w:rFonts w:ascii="Arial" w:hAnsi="Arial" w:cs="Arial"/>
          <w:color w:val="000000" w:themeColor="text1"/>
          <w:sz w:val="24"/>
          <w:szCs w:val="24"/>
        </w:rPr>
        <w:t>Sharma</w:t>
      </w:r>
      <w:r w:rsidR="00D112AE">
        <w:rPr>
          <w:rFonts w:ascii="Arial" w:hAnsi="Arial" w:cs="Arial"/>
          <w:color w:val="000000" w:themeColor="text1"/>
          <w:sz w:val="24"/>
          <w:szCs w:val="24"/>
        </w:rPr>
        <w:t xml:space="preserve"> </w:t>
      </w:r>
      <w:r w:rsidR="007D696D" w:rsidRPr="003E71DE">
        <w:rPr>
          <w:rFonts w:ascii="Arial" w:hAnsi="Arial" w:cs="Arial"/>
          <w:color w:val="000000" w:themeColor="text1"/>
          <w:sz w:val="24"/>
          <w:szCs w:val="24"/>
        </w:rPr>
        <w:t>and Sharma</w:t>
      </w:r>
      <w:r w:rsidR="007D696D">
        <w:rPr>
          <w:rFonts w:ascii="Arial" w:hAnsi="Arial" w:cs="Arial"/>
          <w:color w:val="000000" w:themeColor="text1"/>
          <w:sz w:val="24"/>
          <w:szCs w:val="24"/>
        </w:rPr>
        <w:t>, 2021)</w:t>
      </w:r>
      <w:r w:rsidRPr="003E71DE">
        <w:rPr>
          <w:rFonts w:ascii="Arial" w:hAnsi="Arial" w:cs="Arial"/>
          <w:color w:val="000000" w:themeColor="text1"/>
          <w:sz w:val="24"/>
          <w:szCs w:val="24"/>
        </w:rPr>
        <w:t>. Focus on specialised offerings helps followers stay profitable as broad market demand shrinks.</w:t>
      </w:r>
    </w:p>
    <w:p w14:paraId="59E3634B" w14:textId="77777777" w:rsidR="00262DA4" w:rsidRPr="003E71DE" w:rsidRDefault="00000000" w:rsidP="003E71DE">
      <w:pPr>
        <w:pStyle w:val="Heading1"/>
      </w:pPr>
      <w:bookmarkStart w:id="7" w:name="_Toc193367294"/>
      <w:r w:rsidRPr="003E71DE">
        <w:t>Conclusion</w:t>
      </w:r>
      <w:bookmarkEnd w:id="7"/>
    </w:p>
    <w:p w14:paraId="03650C5E" w14:textId="77777777" w:rsidR="006C579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Successful pioneers like Tesla, Apple and Amazon utilize their first-mover advantages to run businesses and implement their strategies, which results in gaining long-term competitive leadership. Utilizing varied strategies and strategic partnerships, first stage awareness in market will be reached and established followed by its penetration based on those and leads to maximum revenue till the first stage starts to decline. </w:t>
      </w:r>
    </w:p>
    <w:p w14:paraId="569816A3" w14:textId="77777777" w:rsidR="006C5798" w:rsidRPr="003E71DE" w:rsidRDefault="00000000"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 xml:space="preserve">Proper strategic management makes market entry after pioneers feasible even as the companies Samsung, Google or Xiaomi demonstrate. The study of pioneering successes and failures enables follower companies to reduce market risks, develop </w:t>
      </w:r>
      <w:r w:rsidRPr="003E71DE">
        <w:rPr>
          <w:rFonts w:ascii="Arial" w:hAnsi="Arial" w:cs="Arial"/>
          <w:color w:val="000000" w:themeColor="text1"/>
          <w:sz w:val="24"/>
          <w:szCs w:val="24"/>
        </w:rPr>
        <w:lastRenderedPageBreak/>
        <w:t>superior products at lower R&amp;D expenses, and identify gaps that pioneer companies had overlooked. Price competition, together with product development and market gap utilization, along with strategic differentiation is used successfully by followers within the product life cycle to compete with incumbent competitors to create new market spaces. Fujifilm's specific market success beyond the demise of Kodak and NIO's competitive advantage in some areas shows that neither pioneering nor following position alone determines business success. The deep level of analysis of pioneer–follower relationships provides critical knowledge for strategic choices in shifting rapidly changing business climates.</w:t>
      </w:r>
    </w:p>
    <w:p w14:paraId="23A956AA" w14:textId="77777777" w:rsidR="00262DA4" w:rsidRPr="003E71DE" w:rsidRDefault="00262DA4" w:rsidP="003E71DE">
      <w:pPr>
        <w:spacing w:line="360" w:lineRule="auto"/>
        <w:jc w:val="both"/>
        <w:rPr>
          <w:rFonts w:ascii="Arial" w:hAnsi="Arial" w:cs="Arial"/>
          <w:color w:val="000000" w:themeColor="text1"/>
          <w:sz w:val="24"/>
          <w:szCs w:val="24"/>
        </w:rPr>
      </w:pPr>
    </w:p>
    <w:p w14:paraId="326E7D5E" w14:textId="77777777" w:rsidR="00E427B8" w:rsidRPr="003E71DE" w:rsidRDefault="00000000" w:rsidP="003E71DE">
      <w:pPr>
        <w:spacing w:line="360" w:lineRule="auto"/>
        <w:rPr>
          <w:rFonts w:ascii="Arial" w:hAnsi="Arial" w:cs="Arial"/>
          <w:color w:val="000000" w:themeColor="text1"/>
          <w:sz w:val="24"/>
          <w:szCs w:val="24"/>
        </w:rPr>
      </w:pPr>
      <w:r w:rsidRPr="003E71DE">
        <w:rPr>
          <w:rFonts w:ascii="Arial" w:hAnsi="Arial" w:cs="Arial"/>
          <w:color w:val="000000" w:themeColor="text1"/>
          <w:sz w:val="24"/>
          <w:szCs w:val="24"/>
        </w:rPr>
        <w:br w:type="page"/>
      </w:r>
    </w:p>
    <w:p w14:paraId="53CC4F2C" w14:textId="77777777" w:rsidR="00E427B8" w:rsidRPr="003E71DE" w:rsidRDefault="00000000" w:rsidP="003E71DE">
      <w:pPr>
        <w:pStyle w:val="Heading1"/>
      </w:pPr>
      <w:bookmarkStart w:id="8" w:name="_Toc193367295"/>
      <w:r w:rsidRPr="003E71DE">
        <w:lastRenderedPageBreak/>
        <w:t>Reference List</w:t>
      </w:r>
      <w:bookmarkEnd w:id="8"/>
    </w:p>
    <w:p w14:paraId="14FC6980" w14:textId="6A649534"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Chavez, D.E. and Chen, H., (2022). ‘First-mover advantages and innovation success: A contingency approach’. </w:t>
      </w:r>
      <w:r w:rsidRPr="003E71DE">
        <w:rPr>
          <w:rFonts w:ascii="Arial" w:hAnsi="Arial" w:cs="Arial"/>
          <w:i/>
          <w:iCs/>
          <w:color w:val="000000" w:themeColor="text1"/>
          <w:sz w:val="24"/>
          <w:szCs w:val="24"/>
        </w:rPr>
        <w:t>Journal of Business &amp; Industrial Marketing</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37</w:t>
      </w:r>
      <w:r w:rsidRPr="003E71DE">
        <w:rPr>
          <w:rFonts w:ascii="Arial" w:hAnsi="Arial" w:cs="Arial"/>
          <w:color w:val="000000" w:themeColor="text1"/>
          <w:sz w:val="24"/>
          <w:szCs w:val="24"/>
        </w:rPr>
        <w:t>(6), pp.1169-1181. Available at:</w:t>
      </w:r>
      <w:r w:rsidR="00BE73FB">
        <w:rPr>
          <w:rFonts w:ascii="Arial" w:hAnsi="Arial" w:cs="Arial"/>
          <w:color w:val="000000" w:themeColor="text1"/>
          <w:sz w:val="24"/>
          <w:szCs w:val="24"/>
        </w:rPr>
        <w:t xml:space="preserve"> </w:t>
      </w:r>
      <w:hyperlink r:id="rId10" w:history="1">
        <w:r w:rsidR="00BE73FB" w:rsidRPr="00DB706D">
          <w:rPr>
            <w:rStyle w:val="Hyperlink"/>
            <w:rFonts w:ascii="Arial" w:hAnsi="Arial" w:cs="Arial"/>
            <w:sz w:val="24"/>
            <w:szCs w:val="24"/>
          </w:rPr>
          <w:t>https://www.emerald.com/insight/content/doi/10.1108/JBIM-03-2021-0165/full/html</w:t>
        </w:r>
      </w:hyperlink>
    </w:p>
    <w:p w14:paraId="32680C5F" w14:textId="0604F2D0"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Dreiling, A. and Bican, P.M., (2022). ‘Pioneer or follower: Which strategy to choose?’. In </w:t>
      </w:r>
      <w:r w:rsidRPr="003E71DE">
        <w:rPr>
          <w:rFonts w:ascii="Arial" w:hAnsi="Arial" w:cs="Arial"/>
          <w:i/>
          <w:iCs/>
          <w:color w:val="000000" w:themeColor="text1"/>
          <w:sz w:val="24"/>
          <w:szCs w:val="24"/>
        </w:rPr>
        <w:t>The Routledge companion to technology management</w:t>
      </w:r>
      <w:r w:rsidRPr="003E71DE">
        <w:rPr>
          <w:rFonts w:ascii="Arial" w:hAnsi="Arial" w:cs="Arial"/>
          <w:color w:val="000000" w:themeColor="text1"/>
          <w:sz w:val="24"/>
          <w:szCs w:val="24"/>
        </w:rPr>
        <w:t> (pp. 100-115). Routledge. Available at:</w:t>
      </w:r>
      <w:r w:rsidR="00BE73FB">
        <w:rPr>
          <w:rFonts w:ascii="Arial" w:hAnsi="Arial" w:cs="Arial"/>
          <w:color w:val="000000" w:themeColor="text1"/>
          <w:sz w:val="24"/>
          <w:szCs w:val="24"/>
        </w:rPr>
        <w:t xml:space="preserve"> </w:t>
      </w:r>
      <w:hyperlink r:id="rId11" w:history="1">
        <w:r w:rsidR="00BE73FB" w:rsidRPr="00DB706D">
          <w:rPr>
            <w:rStyle w:val="Hyperlink"/>
            <w:rFonts w:ascii="Arial" w:hAnsi="Arial" w:cs="Arial"/>
            <w:sz w:val="24"/>
            <w:szCs w:val="24"/>
          </w:rPr>
          <w:t>https://www.taylorfrancis.com/chapters/edit/10.4324/9781003046899-10/pioneer-follower-aleksej-dreiling-peter-bican</w:t>
        </w:r>
      </w:hyperlink>
      <w:r w:rsidRPr="003E71DE">
        <w:rPr>
          <w:rFonts w:ascii="Arial" w:hAnsi="Arial" w:cs="Arial"/>
          <w:color w:val="000000" w:themeColor="text1"/>
          <w:sz w:val="24"/>
          <w:szCs w:val="24"/>
        </w:rPr>
        <w:t xml:space="preserve"> </w:t>
      </w:r>
    </w:p>
    <w:p w14:paraId="5CAF6D2E" w14:textId="5FBE0C52"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Giachetti, C. and Pira, S.L., (2022). ‘Catching up with the market leader: Does it pay to rapidly imitate its innovations?’. </w:t>
      </w:r>
      <w:r w:rsidRPr="003E71DE">
        <w:rPr>
          <w:rFonts w:ascii="Arial" w:hAnsi="Arial" w:cs="Arial"/>
          <w:i/>
          <w:iCs/>
          <w:color w:val="000000" w:themeColor="text1"/>
          <w:sz w:val="24"/>
          <w:szCs w:val="24"/>
        </w:rPr>
        <w:t>Research Policy</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51</w:t>
      </w:r>
      <w:r w:rsidRPr="003E71DE">
        <w:rPr>
          <w:rFonts w:ascii="Arial" w:hAnsi="Arial" w:cs="Arial"/>
          <w:color w:val="000000" w:themeColor="text1"/>
          <w:sz w:val="24"/>
          <w:szCs w:val="24"/>
        </w:rPr>
        <w:t>(5), p.104505. Available at:</w:t>
      </w:r>
      <w:r w:rsidR="00BE73FB">
        <w:rPr>
          <w:rFonts w:ascii="Arial" w:hAnsi="Arial" w:cs="Arial"/>
          <w:color w:val="000000" w:themeColor="text1"/>
          <w:sz w:val="24"/>
          <w:szCs w:val="24"/>
        </w:rPr>
        <w:t xml:space="preserve"> </w:t>
      </w:r>
      <w:hyperlink r:id="rId12" w:history="1">
        <w:r w:rsidR="00BE73FB" w:rsidRPr="00DB706D">
          <w:rPr>
            <w:rStyle w:val="Hyperlink"/>
            <w:rFonts w:ascii="Arial" w:hAnsi="Arial" w:cs="Arial"/>
            <w:sz w:val="24"/>
            <w:szCs w:val="24"/>
          </w:rPr>
          <w:t>https://cris.unibo.it/bitstream/11585/952829/4/Giachetti-LiPira-2022_RESPOL-D-21-00205_R3.pdf</w:t>
        </w:r>
      </w:hyperlink>
      <w:r w:rsidRPr="003E71DE">
        <w:rPr>
          <w:rFonts w:ascii="Arial" w:hAnsi="Arial" w:cs="Arial"/>
          <w:color w:val="000000" w:themeColor="text1"/>
          <w:sz w:val="24"/>
          <w:szCs w:val="24"/>
        </w:rPr>
        <w:t xml:space="preserve"> </w:t>
      </w:r>
    </w:p>
    <w:p w14:paraId="50FC614A" w14:textId="66D72D72"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Karpenko, Y., Kuznetsova, I., Chykurkova, A., Matveyeva, M., Hridin, O. and Nakonechna, K., (2021). ‘Formation of the enterprise strategy based on the industry life cycle’. </w:t>
      </w:r>
      <w:r w:rsidRPr="003E71DE">
        <w:rPr>
          <w:rFonts w:ascii="Arial" w:hAnsi="Arial" w:cs="Arial"/>
          <w:i/>
          <w:iCs/>
          <w:color w:val="000000" w:themeColor="text1"/>
          <w:sz w:val="24"/>
          <w:szCs w:val="24"/>
        </w:rPr>
        <w:t>Independent Journal of Management &amp; Production</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12</w:t>
      </w:r>
      <w:r w:rsidRPr="003E71DE">
        <w:rPr>
          <w:rFonts w:ascii="Arial" w:hAnsi="Arial" w:cs="Arial"/>
          <w:color w:val="000000" w:themeColor="text1"/>
          <w:sz w:val="24"/>
          <w:szCs w:val="24"/>
        </w:rPr>
        <w:t>(3), pp.s262-s280. Available at:</w:t>
      </w:r>
      <w:r w:rsidR="00BE73FB">
        <w:rPr>
          <w:rFonts w:ascii="Arial" w:hAnsi="Arial" w:cs="Arial"/>
          <w:color w:val="000000" w:themeColor="text1"/>
          <w:sz w:val="24"/>
          <w:szCs w:val="24"/>
        </w:rPr>
        <w:t xml:space="preserve"> </w:t>
      </w:r>
      <w:hyperlink r:id="rId13" w:history="1">
        <w:r w:rsidR="00BE73FB" w:rsidRPr="00DB706D">
          <w:rPr>
            <w:rStyle w:val="Hyperlink"/>
            <w:rFonts w:ascii="Arial" w:hAnsi="Arial" w:cs="Arial"/>
            <w:sz w:val="24"/>
            <w:szCs w:val="24"/>
          </w:rPr>
          <w:t>http://www.paulorodrigues.pro.br/ojs/ijmp/index.php/ijmp/article/download/1537/1960</w:t>
        </w:r>
      </w:hyperlink>
    </w:p>
    <w:p w14:paraId="7D2D3D14" w14:textId="7433B6AC" w:rsidR="00E147FC" w:rsidRPr="003E71DE" w:rsidRDefault="00E147FC" w:rsidP="003E71DE">
      <w:pPr>
        <w:spacing w:line="360" w:lineRule="auto"/>
        <w:jc w:val="both"/>
        <w:rPr>
          <w:rFonts w:ascii="Arial" w:hAnsi="Arial" w:cs="Arial"/>
          <w:color w:val="000000" w:themeColor="text1"/>
          <w:sz w:val="24"/>
          <w:szCs w:val="24"/>
        </w:rPr>
      </w:pPr>
      <w:proofErr w:type="spellStart"/>
      <w:r w:rsidRPr="003E71DE">
        <w:rPr>
          <w:rFonts w:ascii="Arial" w:hAnsi="Arial" w:cs="Arial"/>
          <w:color w:val="000000" w:themeColor="text1"/>
          <w:sz w:val="24"/>
          <w:szCs w:val="24"/>
        </w:rPr>
        <w:t>Liefferink</w:t>
      </w:r>
      <w:proofErr w:type="spellEnd"/>
      <w:r w:rsidRPr="003E71DE">
        <w:rPr>
          <w:rFonts w:ascii="Arial" w:hAnsi="Arial" w:cs="Arial"/>
          <w:color w:val="000000" w:themeColor="text1"/>
          <w:sz w:val="24"/>
          <w:szCs w:val="24"/>
        </w:rPr>
        <w:t>, D., Andersen, M.S., Gheuens, J., Tobin, P., Torney, D. and Wurzel, R.K., (2023). ‘Leaders, Pioneers, and Followers in Environmental Governance’. In </w:t>
      </w:r>
      <w:r w:rsidRPr="003E71DE">
        <w:rPr>
          <w:rFonts w:ascii="Arial" w:hAnsi="Arial" w:cs="Arial"/>
          <w:i/>
          <w:iCs/>
          <w:color w:val="000000" w:themeColor="text1"/>
          <w:sz w:val="24"/>
          <w:szCs w:val="24"/>
        </w:rPr>
        <w:t>Routledge Handbook of Environmental Policy</w:t>
      </w:r>
      <w:r w:rsidRPr="003E71DE">
        <w:rPr>
          <w:rFonts w:ascii="Arial" w:hAnsi="Arial" w:cs="Arial"/>
          <w:color w:val="000000" w:themeColor="text1"/>
          <w:sz w:val="24"/>
          <w:szCs w:val="24"/>
        </w:rPr>
        <w:t> (pp. 237-248). Routledge. Available at:</w:t>
      </w:r>
      <w:r w:rsidR="00BE73FB">
        <w:rPr>
          <w:rFonts w:ascii="Arial" w:hAnsi="Arial" w:cs="Arial"/>
          <w:color w:val="000000" w:themeColor="text1"/>
          <w:sz w:val="24"/>
          <w:szCs w:val="24"/>
        </w:rPr>
        <w:t xml:space="preserve"> </w:t>
      </w:r>
      <w:hyperlink r:id="rId14" w:history="1">
        <w:r w:rsidR="00BE73FB" w:rsidRPr="00DB706D">
          <w:rPr>
            <w:rStyle w:val="Hyperlink"/>
            <w:rFonts w:ascii="Arial" w:hAnsi="Arial" w:cs="Arial"/>
            <w:sz w:val="24"/>
            <w:szCs w:val="24"/>
          </w:rPr>
          <w:t>https://api.taylorfrancis.com/content/books/mono/download?identifierName=doi&amp;identifierValue=10.4324/9781003043843&amp;type=googlepdf</w:t>
        </w:r>
      </w:hyperlink>
      <w:r w:rsidRPr="003E71DE">
        <w:rPr>
          <w:rFonts w:ascii="Arial" w:hAnsi="Arial" w:cs="Arial"/>
          <w:color w:val="000000" w:themeColor="text1"/>
          <w:sz w:val="24"/>
          <w:szCs w:val="24"/>
        </w:rPr>
        <w:t xml:space="preserve"> </w:t>
      </w:r>
    </w:p>
    <w:p w14:paraId="4B8D295E" w14:textId="4BEDDD1E"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Magezi, V., Sichula, O.P. and Nanthambwe, P., (2023). ‘The organisational life cycle principles applied to leadership practices in growing churches’. </w:t>
      </w:r>
      <w:r w:rsidRPr="003E71DE">
        <w:rPr>
          <w:rFonts w:ascii="Arial" w:hAnsi="Arial" w:cs="Arial"/>
          <w:i/>
          <w:iCs/>
          <w:color w:val="000000" w:themeColor="text1"/>
          <w:sz w:val="24"/>
          <w:szCs w:val="24"/>
        </w:rPr>
        <w:t>Theologia Viatorum</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47</w:t>
      </w:r>
      <w:r w:rsidRPr="003E71DE">
        <w:rPr>
          <w:rFonts w:ascii="Arial" w:hAnsi="Arial" w:cs="Arial"/>
          <w:color w:val="000000" w:themeColor="text1"/>
          <w:sz w:val="24"/>
          <w:szCs w:val="24"/>
        </w:rPr>
        <w:t>(1), p.202. Available at:</w:t>
      </w:r>
      <w:r w:rsidR="00BE73FB">
        <w:rPr>
          <w:rFonts w:ascii="Arial" w:hAnsi="Arial" w:cs="Arial"/>
          <w:color w:val="000000" w:themeColor="text1"/>
          <w:sz w:val="24"/>
          <w:szCs w:val="24"/>
        </w:rPr>
        <w:t xml:space="preserve"> </w:t>
      </w:r>
      <w:hyperlink r:id="rId15" w:history="1">
        <w:r w:rsidR="00BE73FB" w:rsidRPr="00DB706D">
          <w:rPr>
            <w:rStyle w:val="Hyperlink"/>
            <w:rFonts w:ascii="Arial" w:hAnsi="Arial" w:cs="Arial"/>
            <w:sz w:val="24"/>
            <w:szCs w:val="24"/>
          </w:rPr>
          <w:t>https://theologiaviatorum.org/index.php/tv/article/download/202/509</w:t>
        </w:r>
      </w:hyperlink>
    </w:p>
    <w:p w14:paraId="0178D3CB" w14:textId="5E15691E" w:rsidR="00E147FC" w:rsidRPr="003E71DE" w:rsidRDefault="00E147FC" w:rsidP="003E71DE">
      <w:pPr>
        <w:spacing w:line="360" w:lineRule="auto"/>
        <w:jc w:val="both"/>
        <w:rPr>
          <w:rFonts w:ascii="Arial" w:hAnsi="Arial" w:cs="Arial"/>
          <w:color w:val="000000" w:themeColor="text1"/>
          <w:sz w:val="24"/>
          <w:szCs w:val="24"/>
        </w:rPr>
      </w:pPr>
      <w:proofErr w:type="spellStart"/>
      <w:r w:rsidRPr="003E71DE">
        <w:rPr>
          <w:rFonts w:ascii="Arial" w:hAnsi="Arial" w:cs="Arial"/>
          <w:color w:val="000000" w:themeColor="text1"/>
          <w:sz w:val="24"/>
          <w:szCs w:val="24"/>
        </w:rPr>
        <w:t>Maylín</w:t>
      </w:r>
      <w:proofErr w:type="spellEnd"/>
      <w:r w:rsidRPr="003E71DE">
        <w:rPr>
          <w:rFonts w:ascii="Arial" w:hAnsi="Arial" w:cs="Arial"/>
          <w:color w:val="000000" w:themeColor="text1"/>
          <w:sz w:val="24"/>
          <w:szCs w:val="24"/>
        </w:rPr>
        <w:t>-Aguilar, C. and Montoro-Sánchez, Á., (2021). ‘The Industry Life Cycle in an Economic Downturn: Lessons from Firm’s Behavior in Spain, 2007–2012’. </w:t>
      </w:r>
      <w:r w:rsidRPr="003E71DE">
        <w:rPr>
          <w:rFonts w:ascii="Arial" w:hAnsi="Arial" w:cs="Arial"/>
          <w:i/>
          <w:iCs/>
          <w:color w:val="000000" w:themeColor="text1"/>
          <w:sz w:val="24"/>
          <w:szCs w:val="24"/>
        </w:rPr>
        <w:t xml:space="preserve">Journal of </w:t>
      </w:r>
      <w:r w:rsidRPr="003E71DE">
        <w:rPr>
          <w:rFonts w:ascii="Arial" w:hAnsi="Arial" w:cs="Arial"/>
          <w:i/>
          <w:iCs/>
          <w:color w:val="000000" w:themeColor="text1"/>
          <w:sz w:val="24"/>
          <w:szCs w:val="24"/>
        </w:rPr>
        <w:lastRenderedPageBreak/>
        <w:t>Business Cycle Research</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17</w:t>
      </w:r>
      <w:r w:rsidRPr="003E71DE">
        <w:rPr>
          <w:rFonts w:ascii="Arial" w:hAnsi="Arial" w:cs="Arial"/>
          <w:color w:val="000000" w:themeColor="text1"/>
          <w:sz w:val="24"/>
          <w:szCs w:val="24"/>
        </w:rPr>
        <w:t>, pp.185-214. Available at:</w:t>
      </w:r>
      <w:r w:rsidR="00BE73FB">
        <w:rPr>
          <w:rFonts w:ascii="Arial" w:hAnsi="Arial" w:cs="Arial"/>
          <w:color w:val="000000" w:themeColor="text1"/>
          <w:sz w:val="24"/>
          <w:szCs w:val="24"/>
        </w:rPr>
        <w:t xml:space="preserve"> </w:t>
      </w:r>
      <w:hyperlink r:id="rId16" w:history="1">
        <w:r w:rsidR="00BE73FB" w:rsidRPr="00DB706D">
          <w:rPr>
            <w:rStyle w:val="Hyperlink"/>
            <w:rFonts w:ascii="Arial" w:hAnsi="Arial" w:cs="Arial"/>
            <w:sz w:val="24"/>
            <w:szCs w:val="24"/>
          </w:rPr>
          <w:t>https://link.springer.com/content/pdf/10.1007/s41549-020-00048-w.pdf</w:t>
        </w:r>
      </w:hyperlink>
    </w:p>
    <w:p w14:paraId="1361C1A7" w14:textId="5ADD2E76"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Ortt, J.R. and Kamp, L.M., (2022). ‘A technological innovation system framework to formulate niche introduction strategies for companies prior to large-scale diffusion’. </w:t>
      </w:r>
      <w:r w:rsidRPr="003E71DE">
        <w:rPr>
          <w:rFonts w:ascii="Arial" w:hAnsi="Arial" w:cs="Arial"/>
          <w:i/>
          <w:iCs/>
          <w:color w:val="000000" w:themeColor="text1"/>
          <w:sz w:val="24"/>
          <w:szCs w:val="24"/>
        </w:rPr>
        <w:t>Technological Forecasting and Social Change</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180</w:t>
      </w:r>
      <w:r w:rsidRPr="003E71DE">
        <w:rPr>
          <w:rFonts w:ascii="Arial" w:hAnsi="Arial" w:cs="Arial"/>
          <w:color w:val="000000" w:themeColor="text1"/>
          <w:sz w:val="24"/>
          <w:szCs w:val="24"/>
        </w:rPr>
        <w:t>, p.121671. Available at:</w:t>
      </w:r>
      <w:r w:rsidR="00BE73FB">
        <w:rPr>
          <w:rFonts w:ascii="Arial" w:hAnsi="Arial" w:cs="Arial"/>
          <w:color w:val="000000" w:themeColor="text1"/>
          <w:sz w:val="24"/>
          <w:szCs w:val="24"/>
        </w:rPr>
        <w:t xml:space="preserve"> </w:t>
      </w:r>
      <w:hyperlink r:id="rId17" w:history="1">
        <w:r w:rsidR="00BE73FB" w:rsidRPr="00DB706D">
          <w:rPr>
            <w:rStyle w:val="Hyperlink"/>
            <w:rFonts w:ascii="Arial" w:hAnsi="Arial" w:cs="Arial"/>
            <w:sz w:val="24"/>
            <w:szCs w:val="24"/>
          </w:rPr>
          <w:t>https://www.sciencedirect.com/science/article/pii/S0040162522002037</w:t>
        </w:r>
      </w:hyperlink>
    </w:p>
    <w:p w14:paraId="284EF245" w14:textId="13DAD8A6"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Pantano, E., Pedeliento, G. and Christodoulides, G., (2022). ‘A strategic framework for technological innovations in support of the customer experience: A focus on luxury retailers’. </w:t>
      </w:r>
      <w:r w:rsidRPr="003E71DE">
        <w:rPr>
          <w:rFonts w:ascii="Arial" w:hAnsi="Arial" w:cs="Arial"/>
          <w:i/>
          <w:iCs/>
          <w:color w:val="000000" w:themeColor="text1"/>
          <w:sz w:val="24"/>
          <w:szCs w:val="24"/>
        </w:rPr>
        <w:t>Journal of Retailing and Consumer Services</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66</w:t>
      </w:r>
      <w:r w:rsidRPr="003E71DE">
        <w:rPr>
          <w:rFonts w:ascii="Arial" w:hAnsi="Arial" w:cs="Arial"/>
          <w:color w:val="000000" w:themeColor="text1"/>
          <w:sz w:val="24"/>
          <w:szCs w:val="24"/>
        </w:rPr>
        <w:t>, p.102959. Available at:</w:t>
      </w:r>
      <w:r w:rsidR="00BE73FB">
        <w:rPr>
          <w:rFonts w:ascii="Arial" w:hAnsi="Arial" w:cs="Arial"/>
          <w:color w:val="000000" w:themeColor="text1"/>
          <w:sz w:val="24"/>
          <w:szCs w:val="24"/>
        </w:rPr>
        <w:t xml:space="preserve"> </w:t>
      </w:r>
      <w:hyperlink r:id="rId18" w:history="1">
        <w:r w:rsidR="00BE73FB" w:rsidRPr="00DB706D">
          <w:rPr>
            <w:rStyle w:val="Hyperlink"/>
            <w:rFonts w:ascii="Arial" w:hAnsi="Arial" w:cs="Arial"/>
            <w:sz w:val="24"/>
            <w:szCs w:val="24"/>
          </w:rPr>
          <w:t>https://www.sciencedirect.com/science/article/pii/S0969698922000522</w:t>
        </w:r>
      </w:hyperlink>
    </w:p>
    <w:p w14:paraId="77B114CC" w14:textId="109CC56B"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Salmen, A., (2021). ‘Does digitalization boost companies ‘new product launch success? An empirical study’. </w:t>
      </w:r>
      <w:r w:rsidRPr="003E71DE">
        <w:rPr>
          <w:rFonts w:ascii="Arial" w:hAnsi="Arial" w:cs="Arial"/>
          <w:i/>
          <w:iCs/>
          <w:color w:val="000000" w:themeColor="text1"/>
          <w:sz w:val="24"/>
          <w:szCs w:val="24"/>
        </w:rPr>
        <w:t>Science International Empirical Review</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1</w:t>
      </w:r>
      <w:r w:rsidRPr="003E71DE">
        <w:rPr>
          <w:rFonts w:ascii="Arial" w:hAnsi="Arial" w:cs="Arial"/>
          <w:color w:val="000000" w:themeColor="text1"/>
          <w:sz w:val="24"/>
          <w:szCs w:val="24"/>
        </w:rPr>
        <w:t>(1), pp.62-83. Available at:</w:t>
      </w:r>
      <w:r w:rsidR="00BE73FB">
        <w:rPr>
          <w:rFonts w:ascii="Arial" w:hAnsi="Arial" w:cs="Arial"/>
          <w:color w:val="000000" w:themeColor="text1"/>
          <w:sz w:val="24"/>
          <w:szCs w:val="24"/>
        </w:rPr>
        <w:t xml:space="preserve"> </w:t>
      </w:r>
      <w:hyperlink r:id="rId19" w:history="1">
        <w:r w:rsidR="00BE73FB" w:rsidRPr="00DB706D">
          <w:rPr>
            <w:rStyle w:val="Hyperlink"/>
            <w:rFonts w:ascii="Arial" w:hAnsi="Arial" w:cs="Arial"/>
            <w:sz w:val="24"/>
            <w:szCs w:val="24"/>
          </w:rPr>
          <w:t>https://sier-journal.com/index.php/SIER/article/download/6/7</w:t>
        </w:r>
      </w:hyperlink>
    </w:p>
    <w:p w14:paraId="5F77C27E" w14:textId="62A0DF44" w:rsidR="00E147FC" w:rsidRPr="003E71DE" w:rsidRDefault="00E147FC" w:rsidP="003E71DE">
      <w:pPr>
        <w:spacing w:line="360" w:lineRule="auto"/>
        <w:jc w:val="both"/>
        <w:rPr>
          <w:rFonts w:ascii="Arial" w:hAnsi="Arial" w:cs="Arial"/>
          <w:color w:val="000000" w:themeColor="text1"/>
          <w:sz w:val="24"/>
          <w:szCs w:val="24"/>
        </w:rPr>
      </w:pPr>
      <w:proofErr w:type="spellStart"/>
      <w:r w:rsidRPr="003E71DE">
        <w:rPr>
          <w:rFonts w:ascii="Arial" w:hAnsi="Arial" w:cs="Arial"/>
          <w:color w:val="000000" w:themeColor="text1"/>
          <w:sz w:val="24"/>
          <w:szCs w:val="24"/>
        </w:rPr>
        <w:t>Schaltegger</w:t>
      </w:r>
      <w:proofErr w:type="spellEnd"/>
      <w:r w:rsidRPr="003E71DE">
        <w:rPr>
          <w:rFonts w:ascii="Arial" w:hAnsi="Arial" w:cs="Arial"/>
          <w:color w:val="000000" w:themeColor="text1"/>
          <w:sz w:val="24"/>
          <w:szCs w:val="24"/>
        </w:rPr>
        <w:t>, S., Loorbach, D. and Hörisch, J., (2023). ‘Managing entrepreneurial and corporate contributions to sustainability transitions’. </w:t>
      </w:r>
      <w:r w:rsidRPr="003E71DE">
        <w:rPr>
          <w:rFonts w:ascii="Arial" w:hAnsi="Arial" w:cs="Arial"/>
          <w:i/>
          <w:iCs/>
          <w:color w:val="000000" w:themeColor="text1"/>
          <w:sz w:val="24"/>
          <w:szCs w:val="24"/>
        </w:rPr>
        <w:t>Business Strategy and the Environment</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32</w:t>
      </w:r>
      <w:r w:rsidRPr="003E71DE">
        <w:rPr>
          <w:rFonts w:ascii="Arial" w:hAnsi="Arial" w:cs="Arial"/>
          <w:color w:val="000000" w:themeColor="text1"/>
          <w:sz w:val="24"/>
          <w:szCs w:val="24"/>
        </w:rPr>
        <w:t>(2), pp.891-902. Available at:</w:t>
      </w:r>
      <w:r w:rsidR="00BE73FB">
        <w:rPr>
          <w:rFonts w:ascii="Arial" w:hAnsi="Arial" w:cs="Arial"/>
          <w:color w:val="000000" w:themeColor="text1"/>
          <w:sz w:val="24"/>
          <w:szCs w:val="24"/>
        </w:rPr>
        <w:t xml:space="preserve"> </w:t>
      </w:r>
      <w:hyperlink r:id="rId20" w:history="1">
        <w:r w:rsidR="00BE73FB" w:rsidRPr="00DB706D">
          <w:rPr>
            <w:rStyle w:val="Hyperlink"/>
            <w:rFonts w:ascii="Arial" w:hAnsi="Arial" w:cs="Arial"/>
            <w:sz w:val="24"/>
            <w:szCs w:val="24"/>
          </w:rPr>
          <w:t>https://onlinelibrary.wiley.com/doi/abs/10.1002/bse.3080</w:t>
        </w:r>
      </w:hyperlink>
    </w:p>
    <w:p w14:paraId="106D3F0F" w14:textId="5AD0A79B"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Shahin, A., Malekzadeh, N. and Wood, L.C., (2023). ‘Developing a decision making grid for selecting innovation strategies–the case of knowledge-based companies’. </w:t>
      </w:r>
      <w:r w:rsidRPr="003E71DE">
        <w:rPr>
          <w:rFonts w:ascii="Arial" w:hAnsi="Arial" w:cs="Arial"/>
          <w:i/>
          <w:iCs/>
          <w:color w:val="000000" w:themeColor="text1"/>
          <w:sz w:val="24"/>
          <w:szCs w:val="24"/>
        </w:rPr>
        <w:t>Technology analysis &amp; strategic management</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35</w:t>
      </w:r>
      <w:r w:rsidRPr="003E71DE">
        <w:rPr>
          <w:rFonts w:ascii="Arial" w:hAnsi="Arial" w:cs="Arial"/>
          <w:color w:val="000000" w:themeColor="text1"/>
          <w:sz w:val="24"/>
          <w:szCs w:val="24"/>
        </w:rPr>
        <w:t>(7), pp.827-843. Available at:</w:t>
      </w:r>
      <w:r w:rsidR="00BE73FB">
        <w:rPr>
          <w:rFonts w:ascii="Arial" w:hAnsi="Arial" w:cs="Arial"/>
          <w:color w:val="000000" w:themeColor="text1"/>
          <w:sz w:val="24"/>
          <w:szCs w:val="24"/>
        </w:rPr>
        <w:t xml:space="preserve"> </w:t>
      </w:r>
      <w:hyperlink r:id="rId21" w:history="1">
        <w:r w:rsidR="00BE73FB" w:rsidRPr="00DB706D">
          <w:rPr>
            <w:rStyle w:val="Hyperlink"/>
            <w:rFonts w:ascii="Arial" w:hAnsi="Arial" w:cs="Arial"/>
            <w:sz w:val="24"/>
            <w:szCs w:val="24"/>
          </w:rPr>
          <w:t>https://www.tandfonline.com/doi/abs/10.1080/09537325.(2021).1988069</w:t>
        </w:r>
      </w:hyperlink>
    </w:p>
    <w:p w14:paraId="4A18C969" w14:textId="267491F5"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Sharma, P. and Sharma, S. eds., (2021). </w:t>
      </w:r>
      <w:r w:rsidRPr="003E71DE">
        <w:rPr>
          <w:rFonts w:ascii="Arial" w:hAnsi="Arial" w:cs="Arial"/>
          <w:i/>
          <w:iCs/>
          <w:color w:val="000000" w:themeColor="text1"/>
          <w:sz w:val="24"/>
          <w:szCs w:val="24"/>
        </w:rPr>
        <w:t>Pioneering family firms’ sustainable development strategies</w:t>
      </w:r>
      <w:r w:rsidRPr="003E71DE">
        <w:rPr>
          <w:rFonts w:ascii="Arial" w:hAnsi="Arial" w:cs="Arial"/>
          <w:color w:val="000000" w:themeColor="text1"/>
          <w:sz w:val="24"/>
          <w:szCs w:val="24"/>
        </w:rPr>
        <w:t>. Edward Elgar Publishing. Available at:</w:t>
      </w:r>
      <w:r w:rsidR="00BE73FB">
        <w:rPr>
          <w:rFonts w:ascii="Arial" w:hAnsi="Arial" w:cs="Arial"/>
          <w:color w:val="000000" w:themeColor="text1"/>
          <w:sz w:val="24"/>
          <w:szCs w:val="24"/>
        </w:rPr>
        <w:t xml:space="preserve"> </w:t>
      </w:r>
      <w:hyperlink r:id="rId22" w:history="1">
        <w:r w:rsidR="00BE73FB" w:rsidRPr="00DB706D">
          <w:rPr>
            <w:rStyle w:val="Hyperlink"/>
            <w:rFonts w:ascii="Arial" w:hAnsi="Arial" w:cs="Arial"/>
            <w:sz w:val="24"/>
            <w:szCs w:val="24"/>
          </w:rPr>
          <w:t>https://books.google.com/books?hl=en&amp;lr=&amp;id=dqAjEAAAQBAJ&amp;oi=fnd&amp;pg=PR1&amp;dq=Life+Cycle+Strategies+of+Successful+Pioneer+and+Follower+Companies&amp;ots=gCIm1zmQpD&amp;sig=u9ZedbRlaP-rls3yZdtPuQNJNp4</w:t>
        </w:r>
      </w:hyperlink>
    </w:p>
    <w:p w14:paraId="33F3AC5E" w14:textId="570BF6B0"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Sharma, P. and Sharma, S., (2021). ‘Pioneering business families committed to sustainable development.’ In </w:t>
      </w:r>
      <w:r w:rsidRPr="003E71DE">
        <w:rPr>
          <w:rFonts w:ascii="Arial" w:hAnsi="Arial" w:cs="Arial"/>
          <w:i/>
          <w:iCs/>
          <w:color w:val="000000" w:themeColor="text1"/>
          <w:sz w:val="24"/>
          <w:szCs w:val="24"/>
        </w:rPr>
        <w:t>Pioneering Family Firms’ Sustainable Development Strategies</w:t>
      </w:r>
      <w:r w:rsidRPr="003E71DE">
        <w:rPr>
          <w:rFonts w:ascii="Arial" w:hAnsi="Arial" w:cs="Arial"/>
          <w:color w:val="000000" w:themeColor="text1"/>
          <w:sz w:val="24"/>
          <w:szCs w:val="24"/>
        </w:rPr>
        <w:t> (pp. 2-50). Edward Elgar Publishing. Available at:</w:t>
      </w:r>
      <w:r w:rsidR="00BE73FB">
        <w:rPr>
          <w:rFonts w:ascii="Arial" w:hAnsi="Arial" w:cs="Arial"/>
          <w:color w:val="000000" w:themeColor="text1"/>
          <w:sz w:val="24"/>
          <w:szCs w:val="24"/>
        </w:rPr>
        <w:t xml:space="preserve"> </w:t>
      </w:r>
      <w:hyperlink r:id="rId23" w:history="1">
        <w:r w:rsidR="00BE73FB" w:rsidRPr="00DB706D">
          <w:rPr>
            <w:rStyle w:val="Hyperlink"/>
            <w:rFonts w:ascii="Arial" w:hAnsi="Arial" w:cs="Arial"/>
            <w:sz w:val="24"/>
            <w:szCs w:val="24"/>
          </w:rPr>
          <w:t>https://scholar.archive.org/work/jn3s6gesfveflge2mvrms3bqfm/access/wayback/https</w:t>
        </w:r>
        <w:r w:rsidR="00BE73FB" w:rsidRPr="00DB706D">
          <w:rPr>
            <w:rStyle w:val="Hyperlink"/>
            <w:rFonts w:ascii="Arial" w:hAnsi="Arial" w:cs="Arial"/>
            <w:sz w:val="24"/>
            <w:szCs w:val="24"/>
          </w:rPr>
          <w:lastRenderedPageBreak/>
          <w:t>://www.elgaronline.com/downloadpdf/edcoll/9781789904413/9781789904413.00006.pdf</w:t>
        </w:r>
      </w:hyperlink>
    </w:p>
    <w:p w14:paraId="26286938" w14:textId="46DC5819" w:rsidR="00E147FC" w:rsidRPr="003E71DE" w:rsidRDefault="00E147FC" w:rsidP="003E71DE">
      <w:pPr>
        <w:spacing w:line="360" w:lineRule="auto"/>
        <w:jc w:val="both"/>
        <w:rPr>
          <w:rFonts w:ascii="Arial" w:hAnsi="Arial" w:cs="Arial"/>
          <w:color w:val="000000" w:themeColor="text1"/>
          <w:sz w:val="24"/>
          <w:szCs w:val="24"/>
        </w:rPr>
      </w:pPr>
      <w:proofErr w:type="spellStart"/>
      <w:r w:rsidRPr="003E71DE">
        <w:rPr>
          <w:rFonts w:ascii="Arial" w:hAnsi="Arial" w:cs="Arial"/>
          <w:color w:val="000000" w:themeColor="text1"/>
          <w:sz w:val="24"/>
          <w:szCs w:val="24"/>
        </w:rPr>
        <w:t>Vaskelainen</w:t>
      </w:r>
      <w:proofErr w:type="spellEnd"/>
      <w:r w:rsidRPr="003E71DE">
        <w:rPr>
          <w:rFonts w:ascii="Arial" w:hAnsi="Arial" w:cs="Arial"/>
          <w:color w:val="000000" w:themeColor="text1"/>
          <w:sz w:val="24"/>
          <w:szCs w:val="24"/>
        </w:rPr>
        <w:t>, T., Münzel, K., Boon, W. and Frenken, K., (2022). ‘Servitisation on consumer markets: entry and strategy in Dutch private lease markets’. </w:t>
      </w:r>
      <w:r w:rsidRPr="003E71DE">
        <w:rPr>
          <w:rFonts w:ascii="Arial" w:hAnsi="Arial" w:cs="Arial"/>
          <w:i/>
          <w:iCs/>
          <w:color w:val="000000" w:themeColor="text1"/>
          <w:sz w:val="24"/>
          <w:szCs w:val="24"/>
        </w:rPr>
        <w:t>Innovation</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24</w:t>
      </w:r>
      <w:r w:rsidRPr="003E71DE">
        <w:rPr>
          <w:rFonts w:ascii="Arial" w:hAnsi="Arial" w:cs="Arial"/>
          <w:color w:val="000000" w:themeColor="text1"/>
          <w:sz w:val="24"/>
          <w:szCs w:val="24"/>
        </w:rPr>
        <w:t>(1), pp.231-250. Available at:</w:t>
      </w:r>
      <w:r w:rsidR="00BE73FB">
        <w:rPr>
          <w:rFonts w:ascii="Arial" w:hAnsi="Arial" w:cs="Arial"/>
          <w:color w:val="000000" w:themeColor="text1"/>
          <w:sz w:val="24"/>
          <w:szCs w:val="24"/>
        </w:rPr>
        <w:t xml:space="preserve"> </w:t>
      </w:r>
      <w:hyperlink r:id="rId24" w:history="1">
        <w:r w:rsidR="00BE73FB" w:rsidRPr="00DB706D">
          <w:rPr>
            <w:rStyle w:val="Hyperlink"/>
            <w:rFonts w:ascii="Arial" w:hAnsi="Arial" w:cs="Arial"/>
            <w:sz w:val="24"/>
            <w:szCs w:val="24"/>
          </w:rPr>
          <w:t>https://www.tandfonline.com/doi/pdf/10.1080/14479338.(2021).1915791</w:t>
        </w:r>
      </w:hyperlink>
    </w:p>
    <w:p w14:paraId="77593F5D" w14:textId="44D691A2"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Velez</w:t>
      </w:r>
      <w:r w:rsidRPr="003E71DE">
        <w:rPr>
          <w:rFonts w:ascii="Cambria Math" w:hAnsi="Cambria Math" w:cs="Cambria Math"/>
          <w:color w:val="000000" w:themeColor="text1"/>
          <w:sz w:val="24"/>
          <w:szCs w:val="24"/>
        </w:rPr>
        <w:t>‐</w:t>
      </w:r>
      <w:r w:rsidRPr="003E71DE">
        <w:rPr>
          <w:rFonts w:ascii="Arial" w:hAnsi="Arial" w:cs="Arial"/>
          <w:color w:val="000000" w:themeColor="text1"/>
          <w:sz w:val="24"/>
          <w:szCs w:val="24"/>
        </w:rPr>
        <w:t>Ocampo, J. and Gonzalez</w:t>
      </w:r>
      <w:r w:rsidRPr="003E71DE">
        <w:rPr>
          <w:rFonts w:ascii="Cambria Math" w:hAnsi="Cambria Math" w:cs="Cambria Math"/>
          <w:color w:val="000000" w:themeColor="text1"/>
          <w:sz w:val="24"/>
          <w:szCs w:val="24"/>
        </w:rPr>
        <w:t>‐</w:t>
      </w:r>
      <w:r w:rsidRPr="003E71DE">
        <w:rPr>
          <w:rFonts w:ascii="Arial" w:hAnsi="Arial" w:cs="Arial"/>
          <w:color w:val="000000" w:themeColor="text1"/>
          <w:sz w:val="24"/>
          <w:szCs w:val="24"/>
        </w:rPr>
        <w:t>Perez, M.A., (2022). ‘Internationalization and capability building in emerging markets: what comes after success?’. </w:t>
      </w:r>
      <w:r w:rsidRPr="003E71DE">
        <w:rPr>
          <w:rFonts w:ascii="Arial" w:hAnsi="Arial" w:cs="Arial"/>
          <w:i/>
          <w:iCs/>
          <w:color w:val="000000" w:themeColor="text1"/>
          <w:sz w:val="24"/>
          <w:szCs w:val="24"/>
        </w:rPr>
        <w:t>European Management Review</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19</w:t>
      </w:r>
      <w:r w:rsidRPr="003E71DE">
        <w:rPr>
          <w:rFonts w:ascii="Arial" w:hAnsi="Arial" w:cs="Arial"/>
          <w:color w:val="000000" w:themeColor="text1"/>
          <w:sz w:val="24"/>
          <w:szCs w:val="24"/>
        </w:rPr>
        <w:t>(3), pp.370-390. Available at:</w:t>
      </w:r>
      <w:r w:rsidR="00BE73FB">
        <w:rPr>
          <w:rFonts w:ascii="Arial" w:hAnsi="Arial" w:cs="Arial"/>
          <w:color w:val="000000" w:themeColor="text1"/>
          <w:sz w:val="24"/>
          <w:szCs w:val="24"/>
        </w:rPr>
        <w:t xml:space="preserve"> </w:t>
      </w:r>
      <w:hyperlink r:id="rId25" w:history="1">
        <w:r w:rsidR="00BE73FB" w:rsidRPr="00DB706D">
          <w:rPr>
            <w:rStyle w:val="Hyperlink"/>
            <w:rFonts w:ascii="Arial" w:hAnsi="Arial" w:cs="Arial"/>
            <w:sz w:val="24"/>
            <w:szCs w:val="24"/>
          </w:rPr>
          <w:t>https://www.researchgate.net/profile/Juan-Velez-Ocampo/publication/354837984_Internationalization_and_capability_building_in_emerging_markets_What_comes_after_success/links/6153ad6339b8157d9004060a/Internationalization-and-capability-building-in-emerging-markets-What-comes-after-success.pdf</w:t>
        </w:r>
      </w:hyperlink>
    </w:p>
    <w:p w14:paraId="35E0D191" w14:textId="43601BDD" w:rsidR="00E147FC" w:rsidRPr="003E71DE" w:rsidRDefault="00E147FC" w:rsidP="003E71DE">
      <w:pPr>
        <w:spacing w:line="360" w:lineRule="auto"/>
        <w:jc w:val="both"/>
        <w:rPr>
          <w:rFonts w:ascii="Arial" w:hAnsi="Arial" w:cs="Arial"/>
          <w:color w:val="000000" w:themeColor="text1"/>
          <w:sz w:val="24"/>
          <w:szCs w:val="24"/>
        </w:rPr>
      </w:pPr>
      <w:r w:rsidRPr="003E71DE">
        <w:rPr>
          <w:rFonts w:ascii="Arial" w:hAnsi="Arial" w:cs="Arial"/>
          <w:color w:val="000000" w:themeColor="text1"/>
          <w:sz w:val="24"/>
          <w:szCs w:val="24"/>
        </w:rPr>
        <w:t>Wambsganss, A., Bröring, S., Salomo, S. and Sick, N., (2023). ‘Technology strategies in converging technology systems: Evidence from printed electronics’. </w:t>
      </w:r>
      <w:r w:rsidRPr="003E71DE">
        <w:rPr>
          <w:rFonts w:ascii="Arial" w:hAnsi="Arial" w:cs="Arial"/>
          <w:i/>
          <w:iCs/>
          <w:color w:val="000000" w:themeColor="text1"/>
          <w:sz w:val="24"/>
          <w:szCs w:val="24"/>
        </w:rPr>
        <w:t>Journal of Product Innovation Management</w:t>
      </w:r>
      <w:r w:rsidRPr="003E71DE">
        <w:rPr>
          <w:rFonts w:ascii="Arial" w:hAnsi="Arial" w:cs="Arial"/>
          <w:color w:val="000000" w:themeColor="text1"/>
          <w:sz w:val="24"/>
          <w:szCs w:val="24"/>
        </w:rPr>
        <w:t>, </w:t>
      </w:r>
      <w:r w:rsidRPr="003E71DE">
        <w:rPr>
          <w:rFonts w:ascii="Arial" w:hAnsi="Arial" w:cs="Arial"/>
          <w:i/>
          <w:iCs/>
          <w:color w:val="000000" w:themeColor="text1"/>
          <w:sz w:val="24"/>
          <w:szCs w:val="24"/>
        </w:rPr>
        <w:t>40</w:t>
      </w:r>
      <w:r w:rsidRPr="003E71DE">
        <w:rPr>
          <w:rFonts w:ascii="Arial" w:hAnsi="Arial" w:cs="Arial"/>
          <w:color w:val="000000" w:themeColor="text1"/>
          <w:sz w:val="24"/>
          <w:szCs w:val="24"/>
        </w:rPr>
        <w:t>(5), pp.705-732. Available at:</w:t>
      </w:r>
      <w:r w:rsidR="00BE73FB">
        <w:rPr>
          <w:rFonts w:ascii="Arial" w:hAnsi="Arial" w:cs="Arial"/>
          <w:color w:val="000000" w:themeColor="text1"/>
          <w:sz w:val="24"/>
          <w:szCs w:val="24"/>
        </w:rPr>
        <w:t xml:space="preserve"> </w:t>
      </w:r>
      <w:hyperlink r:id="rId26" w:history="1">
        <w:r w:rsidR="00BE73FB" w:rsidRPr="00DB706D">
          <w:rPr>
            <w:rStyle w:val="Hyperlink"/>
            <w:rFonts w:ascii="Arial" w:hAnsi="Arial" w:cs="Arial"/>
            <w:sz w:val="24"/>
            <w:szCs w:val="24"/>
          </w:rPr>
          <w:t>https://onlinelibrary.wiley.com/doi/pdfdirect/10.1111/jpim.12693</w:t>
        </w:r>
      </w:hyperlink>
    </w:p>
    <w:p w14:paraId="0F04FB55" w14:textId="77777777" w:rsidR="002E3607" w:rsidRPr="003E71DE" w:rsidRDefault="002E3607" w:rsidP="003E71DE">
      <w:pPr>
        <w:spacing w:line="360" w:lineRule="auto"/>
        <w:jc w:val="both"/>
        <w:rPr>
          <w:rFonts w:ascii="Arial" w:hAnsi="Arial" w:cs="Arial"/>
          <w:color w:val="000000" w:themeColor="text1"/>
          <w:sz w:val="24"/>
          <w:szCs w:val="24"/>
        </w:rPr>
      </w:pPr>
    </w:p>
    <w:p w14:paraId="4D2A9A1D" w14:textId="77777777" w:rsidR="009E7730" w:rsidRPr="003E71DE" w:rsidRDefault="009E7730" w:rsidP="003E71DE">
      <w:pPr>
        <w:spacing w:line="360" w:lineRule="auto"/>
        <w:jc w:val="both"/>
        <w:rPr>
          <w:rFonts w:ascii="Arial" w:hAnsi="Arial" w:cs="Arial"/>
          <w:color w:val="000000" w:themeColor="text1"/>
          <w:sz w:val="24"/>
          <w:szCs w:val="24"/>
        </w:rPr>
      </w:pPr>
    </w:p>
    <w:sectPr w:rsidR="009E7730" w:rsidRPr="003E71DE" w:rsidSect="00051742">
      <w:footerReference w:type="default" r:id="rId2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B25B9" w14:textId="77777777" w:rsidR="00A41518" w:rsidRDefault="00A41518">
      <w:pPr>
        <w:spacing w:after="0" w:line="240" w:lineRule="auto"/>
      </w:pPr>
      <w:r>
        <w:separator/>
      </w:r>
    </w:p>
  </w:endnote>
  <w:endnote w:type="continuationSeparator" w:id="0">
    <w:p w14:paraId="70A7C232" w14:textId="77777777" w:rsidR="00A41518" w:rsidRDefault="00A41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1916324"/>
      <w:docPartObj>
        <w:docPartGallery w:val="Page Numbers (Bottom of Page)"/>
        <w:docPartUnique/>
      </w:docPartObj>
    </w:sdtPr>
    <w:sdtEndPr>
      <w:rPr>
        <w:rFonts w:ascii="Times New Roman" w:hAnsi="Times New Roman" w:cs="Times New Roman"/>
        <w:noProof/>
        <w:sz w:val="20"/>
        <w:szCs w:val="20"/>
      </w:rPr>
    </w:sdtEndPr>
    <w:sdtContent>
      <w:p w14:paraId="4B40369E" w14:textId="77777777" w:rsidR="00C117BC" w:rsidRPr="00C117BC" w:rsidRDefault="00000000">
        <w:pPr>
          <w:pStyle w:val="Footer"/>
          <w:jc w:val="right"/>
          <w:rPr>
            <w:rFonts w:ascii="Times New Roman" w:hAnsi="Times New Roman" w:cs="Times New Roman"/>
            <w:sz w:val="20"/>
            <w:szCs w:val="20"/>
          </w:rPr>
        </w:pPr>
        <w:r w:rsidRPr="00C117BC">
          <w:rPr>
            <w:rFonts w:ascii="Times New Roman" w:hAnsi="Times New Roman" w:cs="Times New Roman"/>
            <w:sz w:val="20"/>
            <w:szCs w:val="20"/>
          </w:rPr>
          <w:fldChar w:fldCharType="begin"/>
        </w:r>
        <w:r w:rsidRPr="00C117BC">
          <w:rPr>
            <w:rFonts w:ascii="Times New Roman" w:hAnsi="Times New Roman" w:cs="Times New Roman"/>
            <w:sz w:val="20"/>
            <w:szCs w:val="20"/>
          </w:rPr>
          <w:instrText xml:space="preserve"> PAGE   \* MERGEFORMAT </w:instrText>
        </w:r>
        <w:r w:rsidRPr="00C117BC">
          <w:rPr>
            <w:rFonts w:ascii="Times New Roman" w:hAnsi="Times New Roman" w:cs="Times New Roman"/>
            <w:sz w:val="20"/>
            <w:szCs w:val="20"/>
          </w:rPr>
          <w:fldChar w:fldCharType="separate"/>
        </w:r>
        <w:r w:rsidRPr="00C117BC">
          <w:rPr>
            <w:rFonts w:ascii="Times New Roman" w:hAnsi="Times New Roman" w:cs="Times New Roman"/>
            <w:noProof/>
            <w:sz w:val="20"/>
            <w:szCs w:val="20"/>
          </w:rPr>
          <w:t>2</w:t>
        </w:r>
        <w:r w:rsidRPr="00C117BC">
          <w:rPr>
            <w:rFonts w:ascii="Times New Roman" w:hAnsi="Times New Roman" w:cs="Times New Roman"/>
            <w:noProof/>
            <w:sz w:val="20"/>
            <w:szCs w:val="20"/>
          </w:rPr>
          <w:fldChar w:fldCharType="end"/>
        </w:r>
      </w:p>
    </w:sdtContent>
  </w:sdt>
  <w:p w14:paraId="797C357E" w14:textId="77777777" w:rsidR="00C117BC" w:rsidRDefault="00C117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6E80BA" w14:textId="77777777" w:rsidR="00A41518" w:rsidRDefault="00A41518">
      <w:pPr>
        <w:spacing w:after="0" w:line="240" w:lineRule="auto"/>
      </w:pPr>
      <w:r>
        <w:separator/>
      </w:r>
    </w:p>
  </w:footnote>
  <w:footnote w:type="continuationSeparator" w:id="0">
    <w:p w14:paraId="50CADE6C" w14:textId="77777777" w:rsidR="00A41518" w:rsidRDefault="00A415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97AEB"/>
    <w:multiLevelType w:val="multilevel"/>
    <w:tmpl w:val="A7D64A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265D02"/>
    <w:multiLevelType w:val="multilevel"/>
    <w:tmpl w:val="E54063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EB0B34"/>
    <w:multiLevelType w:val="multilevel"/>
    <w:tmpl w:val="009CA2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702A00"/>
    <w:multiLevelType w:val="multilevel"/>
    <w:tmpl w:val="145A1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762D98"/>
    <w:multiLevelType w:val="multilevel"/>
    <w:tmpl w:val="B6C8BB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4F5E99"/>
    <w:multiLevelType w:val="multilevel"/>
    <w:tmpl w:val="AA96C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E87B3E"/>
    <w:multiLevelType w:val="multilevel"/>
    <w:tmpl w:val="A65EF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4A6B4A"/>
    <w:multiLevelType w:val="multilevel"/>
    <w:tmpl w:val="77AA2D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29A3440"/>
    <w:multiLevelType w:val="multilevel"/>
    <w:tmpl w:val="6B68F7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4235DF"/>
    <w:multiLevelType w:val="multilevel"/>
    <w:tmpl w:val="EAB82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7E1959"/>
    <w:multiLevelType w:val="multilevel"/>
    <w:tmpl w:val="621AE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A73BF3"/>
    <w:multiLevelType w:val="multilevel"/>
    <w:tmpl w:val="13ECB8B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37BA2B66"/>
    <w:multiLevelType w:val="multilevel"/>
    <w:tmpl w:val="599AE8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8B1510"/>
    <w:multiLevelType w:val="multilevel"/>
    <w:tmpl w:val="8176F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D314B6"/>
    <w:multiLevelType w:val="multilevel"/>
    <w:tmpl w:val="9FF4F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07308D1"/>
    <w:multiLevelType w:val="multilevel"/>
    <w:tmpl w:val="B966E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465C95"/>
    <w:multiLevelType w:val="multilevel"/>
    <w:tmpl w:val="F2485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7D5B93"/>
    <w:multiLevelType w:val="multilevel"/>
    <w:tmpl w:val="CE88E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BE332C9"/>
    <w:multiLevelType w:val="multilevel"/>
    <w:tmpl w:val="073AA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0A1C53"/>
    <w:multiLevelType w:val="multilevel"/>
    <w:tmpl w:val="C97650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89111ED"/>
    <w:multiLevelType w:val="multilevel"/>
    <w:tmpl w:val="CC30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E2233F9"/>
    <w:multiLevelType w:val="multilevel"/>
    <w:tmpl w:val="34203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3C1956"/>
    <w:multiLevelType w:val="multilevel"/>
    <w:tmpl w:val="69C8B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F175E30"/>
    <w:multiLevelType w:val="hybridMultilevel"/>
    <w:tmpl w:val="6986B9E8"/>
    <w:lvl w:ilvl="0" w:tplc="AF1EBCDE">
      <w:start w:val="1"/>
      <w:numFmt w:val="bullet"/>
      <w:lvlText w:val=""/>
      <w:lvlJc w:val="left"/>
      <w:pPr>
        <w:ind w:left="720" w:hanging="360"/>
      </w:pPr>
      <w:rPr>
        <w:rFonts w:ascii="Symbol" w:hAnsi="Symbol" w:hint="default"/>
      </w:rPr>
    </w:lvl>
    <w:lvl w:ilvl="1" w:tplc="29725ED4" w:tentative="1">
      <w:start w:val="1"/>
      <w:numFmt w:val="bullet"/>
      <w:lvlText w:val="o"/>
      <w:lvlJc w:val="left"/>
      <w:pPr>
        <w:ind w:left="1440" w:hanging="360"/>
      </w:pPr>
      <w:rPr>
        <w:rFonts w:ascii="Courier New" w:hAnsi="Courier New" w:cs="Courier New" w:hint="default"/>
      </w:rPr>
    </w:lvl>
    <w:lvl w:ilvl="2" w:tplc="4D02CC64" w:tentative="1">
      <w:start w:val="1"/>
      <w:numFmt w:val="bullet"/>
      <w:lvlText w:val=""/>
      <w:lvlJc w:val="left"/>
      <w:pPr>
        <w:ind w:left="2160" w:hanging="360"/>
      </w:pPr>
      <w:rPr>
        <w:rFonts w:ascii="Wingdings" w:hAnsi="Wingdings" w:hint="default"/>
      </w:rPr>
    </w:lvl>
    <w:lvl w:ilvl="3" w:tplc="BA8070CE" w:tentative="1">
      <w:start w:val="1"/>
      <w:numFmt w:val="bullet"/>
      <w:lvlText w:val=""/>
      <w:lvlJc w:val="left"/>
      <w:pPr>
        <w:ind w:left="2880" w:hanging="360"/>
      </w:pPr>
      <w:rPr>
        <w:rFonts w:ascii="Symbol" w:hAnsi="Symbol" w:hint="default"/>
      </w:rPr>
    </w:lvl>
    <w:lvl w:ilvl="4" w:tplc="1EBEA462" w:tentative="1">
      <w:start w:val="1"/>
      <w:numFmt w:val="bullet"/>
      <w:lvlText w:val="o"/>
      <w:lvlJc w:val="left"/>
      <w:pPr>
        <w:ind w:left="3600" w:hanging="360"/>
      </w:pPr>
      <w:rPr>
        <w:rFonts w:ascii="Courier New" w:hAnsi="Courier New" w:cs="Courier New" w:hint="default"/>
      </w:rPr>
    </w:lvl>
    <w:lvl w:ilvl="5" w:tplc="AFAA884A" w:tentative="1">
      <w:start w:val="1"/>
      <w:numFmt w:val="bullet"/>
      <w:lvlText w:val=""/>
      <w:lvlJc w:val="left"/>
      <w:pPr>
        <w:ind w:left="4320" w:hanging="360"/>
      </w:pPr>
      <w:rPr>
        <w:rFonts w:ascii="Wingdings" w:hAnsi="Wingdings" w:hint="default"/>
      </w:rPr>
    </w:lvl>
    <w:lvl w:ilvl="6" w:tplc="0978BD08" w:tentative="1">
      <w:start w:val="1"/>
      <w:numFmt w:val="bullet"/>
      <w:lvlText w:val=""/>
      <w:lvlJc w:val="left"/>
      <w:pPr>
        <w:ind w:left="5040" w:hanging="360"/>
      </w:pPr>
      <w:rPr>
        <w:rFonts w:ascii="Symbol" w:hAnsi="Symbol" w:hint="default"/>
      </w:rPr>
    </w:lvl>
    <w:lvl w:ilvl="7" w:tplc="7AE4FF12" w:tentative="1">
      <w:start w:val="1"/>
      <w:numFmt w:val="bullet"/>
      <w:lvlText w:val="o"/>
      <w:lvlJc w:val="left"/>
      <w:pPr>
        <w:ind w:left="5760" w:hanging="360"/>
      </w:pPr>
      <w:rPr>
        <w:rFonts w:ascii="Courier New" w:hAnsi="Courier New" w:cs="Courier New" w:hint="default"/>
      </w:rPr>
    </w:lvl>
    <w:lvl w:ilvl="8" w:tplc="F806941E" w:tentative="1">
      <w:start w:val="1"/>
      <w:numFmt w:val="bullet"/>
      <w:lvlText w:val=""/>
      <w:lvlJc w:val="left"/>
      <w:pPr>
        <w:ind w:left="6480" w:hanging="360"/>
      </w:pPr>
      <w:rPr>
        <w:rFonts w:ascii="Wingdings" w:hAnsi="Wingdings" w:hint="default"/>
      </w:rPr>
    </w:lvl>
  </w:abstractNum>
  <w:num w:numId="1" w16cid:durableId="1309824318">
    <w:abstractNumId w:val="23"/>
  </w:num>
  <w:num w:numId="2" w16cid:durableId="1543859785">
    <w:abstractNumId w:val="22"/>
  </w:num>
  <w:num w:numId="3" w16cid:durableId="840393546">
    <w:abstractNumId w:val="9"/>
  </w:num>
  <w:num w:numId="4" w16cid:durableId="130750497">
    <w:abstractNumId w:val="16"/>
  </w:num>
  <w:num w:numId="5" w16cid:durableId="266352147">
    <w:abstractNumId w:val="15"/>
  </w:num>
  <w:num w:numId="6" w16cid:durableId="1927834984">
    <w:abstractNumId w:val="10"/>
  </w:num>
  <w:num w:numId="7" w16cid:durableId="867648596">
    <w:abstractNumId w:val="20"/>
  </w:num>
  <w:num w:numId="8" w16cid:durableId="508956275">
    <w:abstractNumId w:val="3"/>
  </w:num>
  <w:num w:numId="9" w16cid:durableId="1637418953">
    <w:abstractNumId w:val="11"/>
  </w:num>
  <w:num w:numId="10" w16cid:durableId="298658002">
    <w:abstractNumId w:val="21"/>
  </w:num>
  <w:num w:numId="11" w16cid:durableId="750078344">
    <w:abstractNumId w:val="13"/>
  </w:num>
  <w:num w:numId="12" w16cid:durableId="1918204321">
    <w:abstractNumId w:val="5"/>
  </w:num>
  <w:num w:numId="13" w16cid:durableId="664435616">
    <w:abstractNumId w:val="17"/>
  </w:num>
  <w:num w:numId="14" w16cid:durableId="1686861975">
    <w:abstractNumId w:val="14"/>
  </w:num>
  <w:num w:numId="15" w16cid:durableId="1000502603">
    <w:abstractNumId w:val="6"/>
  </w:num>
  <w:num w:numId="16" w16cid:durableId="1526089802">
    <w:abstractNumId w:val="1"/>
  </w:num>
  <w:num w:numId="17" w16cid:durableId="864371135">
    <w:abstractNumId w:val="8"/>
  </w:num>
  <w:num w:numId="18" w16cid:durableId="1695574206">
    <w:abstractNumId w:val="19"/>
  </w:num>
  <w:num w:numId="19" w16cid:durableId="672611959">
    <w:abstractNumId w:val="2"/>
  </w:num>
  <w:num w:numId="20" w16cid:durableId="480583127">
    <w:abstractNumId w:val="7"/>
  </w:num>
  <w:num w:numId="21" w16cid:durableId="779182838">
    <w:abstractNumId w:val="0"/>
  </w:num>
  <w:num w:numId="22" w16cid:durableId="990214404">
    <w:abstractNumId w:val="12"/>
  </w:num>
  <w:num w:numId="23" w16cid:durableId="557202776">
    <w:abstractNumId w:val="18"/>
  </w:num>
  <w:num w:numId="24" w16cid:durableId="311719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855"/>
    <w:rsid w:val="000033B2"/>
    <w:rsid w:val="00006DCD"/>
    <w:rsid w:val="0004158E"/>
    <w:rsid w:val="00051742"/>
    <w:rsid w:val="00070DDB"/>
    <w:rsid w:val="00082732"/>
    <w:rsid w:val="00086930"/>
    <w:rsid w:val="000A708B"/>
    <w:rsid w:val="000D5CD2"/>
    <w:rsid w:val="000E6F3B"/>
    <w:rsid w:val="000F40FB"/>
    <w:rsid w:val="00106B60"/>
    <w:rsid w:val="00117FE3"/>
    <w:rsid w:val="0012635E"/>
    <w:rsid w:val="00137004"/>
    <w:rsid w:val="00137A54"/>
    <w:rsid w:val="00145897"/>
    <w:rsid w:val="00150E04"/>
    <w:rsid w:val="00176A9A"/>
    <w:rsid w:val="001A74FA"/>
    <w:rsid w:val="001B0B6C"/>
    <w:rsid w:val="001B16C8"/>
    <w:rsid w:val="001D424C"/>
    <w:rsid w:val="001D7922"/>
    <w:rsid w:val="001E4147"/>
    <w:rsid w:val="001E5CFB"/>
    <w:rsid w:val="001F5BBB"/>
    <w:rsid w:val="00202F1E"/>
    <w:rsid w:val="00205FEA"/>
    <w:rsid w:val="00232D4D"/>
    <w:rsid w:val="00262DA4"/>
    <w:rsid w:val="00264369"/>
    <w:rsid w:val="0027724D"/>
    <w:rsid w:val="00280FA1"/>
    <w:rsid w:val="0028720D"/>
    <w:rsid w:val="00291BD7"/>
    <w:rsid w:val="00292E0C"/>
    <w:rsid w:val="002E3607"/>
    <w:rsid w:val="002F22EE"/>
    <w:rsid w:val="002F2871"/>
    <w:rsid w:val="003212D5"/>
    <w:rsid w:val="0032136B"/>
    <w:rsid w:val="00344AA9"/>
    <w:rsid w:val="00350DDD"/>
    <w:rsid w:val="00362EE9"/>
    <w:rsid w:val="00363F66"/>
    <w:rsid w:val="00367BB8"/>
    <w:rsid w:val="00367DD1"/>
    <w:rsid w:val="0038283F"/>
    <w:rsid w:val="003975E2"/>
    <w:rsid w:val="003C4615"/>
    <w:rsid w:val="003E71DE"/>
    <w:rsid w:val="0040218C"/>
    <w:rsid w:val="00404855"/>
    <w:rsid w:val="00411959"/>
    <w:rsid w:val="0042120B"/>
    <w:rsid w:val="00441746"/>
    <w:rsid w:val="004434D5"/>
    <w:rsid w:val="004630A1"/>
    <w:rsid w:val="00483633"/>
    <w:rsid w:val="004A21A5"/>
    <w:rsid w:val="004A531A"/>
    <w:rsid w:val="004B2D23"/>
    <w:rsid w:val="004E2533"/>
    <w:rsid w:val="005311B0"/>
    <w:rsid w:val="00531E74"/>
    <w:rsid w:val="00535CE0"/>
    <w:rsid w:val="005437A3"/>
    <w:rsid w:val="00543D17"/>
    <w:rsid w:val="00586CFF"/>
    <w:rsid w:val="005A4CDA"/>
    <w:rsid w:val="005A6C81"/>
    <w:rsid w:val="005B313C"/>
    <w:rsid w:val="005C1F4A"/>
    <w:rsid w:val="005C7267"/>
    <w:rsid w:val="005D7F79"/>
    <w:rsid w:val="005E7402"/>
    <w:rsid w:val="00606BA3"/>
    <w:rsid w:val="00622C38"/>
    <w:rsid w:val="00655742"/>
    <w:rsid w:val="00661196"/>
    <w:rsid w:val="006623BF"/>
    <w:rsid w:val="0067330B"/>
    <w:rsid w:val="00674D5A"/>
    <w:rsid w:val="00683047"/>
    <w:rsid w:val="006A774B"/>
    <w:rsid w:val="006C5798"/>
    <w:rsid w:val="006C69AE"/>
    <w:rsid w:val="006C6AD4"/>
    <w:rsid w:val="006D3039"/>
    <w:rsid w:val="006E498D"/>
    <w:rsid w:val="00700E89"/>
    <w:rsid w:val="00722EE6"/>
    <w:rsid w:val="00724312"/>
    <w:rsid w:val="007313C3"/>
    <w:rsid w:val="00731F0A"/>
    <w:rsid w:val="0073301A"/>
    <w:rsid w:val="00733EAE"/>
    <w:rsid w:val="00766F66"/>
    <w:rsid w:val="00771714"/>
    <w:rsid w:val="007717B0"/>
    <w:rsid w:val="00773A3A"/>
    <w:rsid w:val="00776F11"/>
    <w:rsid w:val="00777C46"/>
    <w:rsid w:val="00781AF4"/>
    <w:rsid w:val="00784007"/>
    <w:rsid w:val="007A65F1"/>
    <w:rsid w:val="007B22C1"/>
    <w:rsid w:val="007C6BF5"/>
    <w:rsid w:val="007D213F"/>
    <w:rsid w:val="007D696D"/>
    <w:rsid w:val="007F1F36"/>
    <w:rsid w:val="0080512E"/>
    <w:rsid w:val="00860442"/>
    <w:rsid w:val="00881C46"/>
    <w:rsid w:val="0088701F"/>
    <w:rsid w:val="00887EA9"/>
    <w:rsid w:val="00892875"/>
    <w:rsid w:val="008A2F6F"/>
    <w:rsid w:val="008C5573"/>
    <w:rsid w:val="008E114D"/>
    <w:rsid w:val="008E755C"/>
    <w:rsid w:val="00917A43"/>
    <w:rsid w:val="00922B8D"/>
    <w:rsid w:val="0093755D"/>
    <w:rsid w:val="00941C97"/>
    <w:rsid w:val="00961C33"/>
    <w:rsid w:val="009903F9"/>
    <w:rsid w:val="009A069F"/>
    <w:rsid w:val="009A17E9"/>
    <w:rsid w:val="009B02FA"/>
    <w:rsid w:val="009E5899"/>
    <w:rsid w:val="009E7730"/>
    <w:rsid w:val="009F36CD"/>
    <w:rsid w:val="00A0190F"/>
    <w:rsid w:val="00A126B1"/>
    <w:rsid w:val="00A17FEC"/>
    <w:rsid w:val="00A24866"/>
    <w:rsid w:val="00A32657"/>
    <w:rsid w:val="00A41518"/>
    <w:rsid w:val="00A617CE"/>
    <w:rsid w:val="00A6769D"/>
    <w:rsid w:val="00A90BFA"/>
    <w:rsid w:val="00AA1CD2"/>
    <w:rsid w:val="00AB7630"/>
    <w:rsid w:val="00AD4767"/>
    <w:rsid w:val="00AF01A5"/>
    <w:rsid w:val="00AF1F2B"/>
    <w:rsid w:val="00B07DFF"/>
    <w:rsid w:val="00B20155"/>
    <w:rsid w:val="00B31779"/>
    <w:rsid w:val="00B36215"/>
    <w:rsid w:val="00B576A9"/>
    <w:rsid w:val="00B62807"/>
    <w:rsid w:val="00B776D8"/>
    <w:rsid w:val="00B9266D"/>
    <w:rsid w:val="00B955EE"/>
    <w:rsid w:val="00BC1B18"/>
    <w:rsid w:val="00BC3402"/>
    <w:rsid w:val="00BE73FB"/>
    <w:rsid w:val="00BE7B13"/>
    <w:rsid w:val="00BF395D"/>
    <w:rsid w:val="00BF722F"/>
    <w:rsid w:val="00C117BC"/>
    <w:rsid w:val="00C13049"/>
    <w:rsid w:val="00C15A9B"/>
    <w:rsid w:val="00C16A10"/>
    <w:rsid w:val="00C17C35"/>
    <w:rsid w:val="00C17FD6"/>
    <w:rsid w:val="00C20FB8"/>
    <w:rsid w:val="00C35934"/>
    <w:rsid w:val="00C36758"/>
    <w:rsid w:val="00C51F49"/>
    <w:rsid w:val="00C73F86"/>
    <w:rsid w:val="00C855AB"/>
    <w:rsid w:val="00CB18A5"/>
    <w:rsid w:val="00CF1005"/>
    <w:rsid w:val="00CF490B"/>
    <w:rsid w:val="00D013F3"/>
    <w:rsid w:val="00D112AE"/>
    <w:rsid w:val="00D4027A"/>
    <w:rsid w:val="00D44087"/>
    <w:rsid w:val="00D47C52"/>
    <w:rsid w:val="00D50BA2"/>
    <w:rsid w:val="00D61C01"/>
    <w:rsid w:val="00D73CD0"/>
    <w:rsid w:val="00D931EF"/>
    <w:rsid w:val="00D96B17"/>
    <w:rsid w:val="00D96E6A"/>
    <w:rsid w:val="00DA75A6"/>
    <w:rsid w:val="00DB5F6A"/>
    <w:rsid w:val="00DD507C"/>
    <w:rsid w:val="00E147FC"/>
    <w:rsid w:val="00E31999"/>
    <w:rsid w:val="00E427B8"/>
    <w:rsid w:val="00E62D50"/>
    <w:rsid w:val="00E66EBC"/>
    <w:rsid w:val="00E67FE0"/>
    <w:rsid w:val="00E77075"/>
    <w:rsid w:val="00E8131D"/>
    <w:rsid w:val="00E96E38"/>
    <w:rsid w:val="00EC27FF"/>
    <w:rsid w:val="00ED13A7"/>
    <w:rsid w:val="00ED201D"/>
    <w:rsid w:val="00EE13BE"/>
    <w:rsid w:val="00EE29F4"/>
    <w:rsid w:val="00F13720"/>
    <w:rsid w:val="00F24010"/>
    <w:rsid w:val="00F27F5D"/>
    <w:rsid w:val="00F43EED"/>
    <w:rsid w:val="00F46BBE"/>
    <w:rsid w:val="00F57EF3"/>
    <w:rsid w:val="00F64D91"/>
    <w:rsid w:val="00F74797"/>
    <w:rsid w:val="00F778DC"/>
    <w:rsid w:val="00F86CC7"/>
    <w:rsid w:val="00F872C8"/>
    <w:rsid w:val="00F978F3"/>
    <w:rsid w:val="00FD4FB6"/>
    <w:rsid w:val="00FE4514"/>
    <w:rsid w:val="00FF1D9B"/>
    <w:rsid w:val="00FF3DE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73976"/>
  <w15:chartTrackingRefBased/>
  <w15:docId w15:val="{94D146E7-7B27-43F3-9BFE-4331EF086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855"/>
  </w:style>
  <w:style w:type="paragraph" w:styleId="Heading1">
    <w:name w:val="heading 1"/>
    <w:basedOn w:val="Normal"/>
    <w:next w:val="Normal"/>
    <w:link w:val="Heading1Char"/>
    <w:uiPriority w:val="9"/>
    <w:qFormat/>
    <w:rsid w:val="00D4027A"/>
    <w:pPr>
      <w:spacing w:line="360" w:lineRule="auto"/>
      <w:jc w:val="both"/>
      <w:outlineLvl w:val="0"/>
    </w:pPr>
    <w:rPr>
      <w:rFonts w:ascii="Arial" w:hAnsi="Arial" w:cs="Arial"/>
      <w:b/>
      <w:bCs/>
      <w:color w:val="000000" w:themeColor="text1"/>
      <w:sz w:val="28"/>
      <w:szCs w:val="28"/>
    </w:rPr>
  </w:style>
  <w:style w:type="paragraph" w:styleId="Heading2">
    <w:name w:val="heading 2"/>
    <w:basedOn w:val="Normal"/>
    <w:next w:val="Normal"/>
    <w:link w:val="Heading2Char"/>
    <w:uiPriority w:val="9"/>
    <w:unhideWhenUsed/>
    <w:qFormat/>
    <w:rsid w:val="00D4027A"/>
    <w:pPr>
      <w:spacing w:line="360" w:lineRule="auto"/>
      <w:jc w:val="both"/>
      <w:outlineLvl w:val="1"/>
    </w:pPr>
    <w:rPr>
      <w:rFonts w:ascii="Arial" w:hAnsi="Arial" w:cs="Arial"/>
      <w:b/>
      <w:bCs/>
      <w:sz w:val="24"/>
      <w:szCs w:val="24"/>
    </w:rPr>
  </w:style>
  <w:style w:type="paragraph" w:styleId="Heading3">
    <w:name w:val="heading 3"/>
    <w:basedOn w:val="Normal"/>
    <w:next w:val="Normal"/>
    <w:link w:val="Heading3Char"/>
    <w:uiPriority w:val="9"/>
    <w:unhideWhenUsed/>
    <w:qFormat/>
    <w:rsid w:val="00202F1E"/>
    <w:pPr>
      <w:spacing w:line="360" w:lineRule="auto"/>
      <w:jc w:val="both"/>
      <w:outlineLvl w:val="2"/>
    </w:pPr>
    <w:rPr>
      <w:rFonts w:ascii="Times New Roman" w:hAnsi="Times New Roman" w:cs="Times New Roman"/>
      <w:b/>
      <w:bCs/>
      <w:i/>
      <w:iCs/>
      <w:sz w:val="24"/>
      <w:szCs w:val="24"/>
    </w:rPr>
  </w:style>
  <w:style w:type="paragraph" w:styleId="Heading4">
    <w:name w:val="heading 4"/>
    <w:basedOn w:val="Normal"/>
    <w:next w:val="Normal"/>
    <w:link w:val="Heading4Char"/>
    <w:uiPriority w:val="9"/>
    <w:semiHidden/>
    <w:unhideWhenUsed/>
    <w:qFormat/>
    <w:rsid w:val="00404855"/>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04855"/>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048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48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48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48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027A"/>
    <w:rPr>
      <w:rFonts w:ascii="Arial" w:hAnsi="Arial" w:cs="Arial"/>
      <w:b/>
      <w:bCs/>
      <w:color w:val="000000" w:themeColor="text1"/>
      <w:sz w:val="28"/>
      <w:szCs w:val="28"/>
    </w:rPr>
  </w:style>
  <w:style w:type="character" w:customStyle="1" w:styleId="Heading2Char">
    <w:name w:val="Heading 2 Char"/>
    <w:basedOn w:val="DefaultParagraphFont"/>
    <w:link w:val="Heading2"/>
    <w:uiPriority w:val="9"/>
    <w:rsid w:val="00D4027A"/>
    <w:rPr>
      <w:rFonts w:ascii="Arial" w:hAnsi="Arial" w:cs="Arial"/>
      <w:b/>
      <w:bCs/>
      <w:sz w:val="24"/>
      <w:szCs w:val="24"/>
    </w:rPr>
  </w:style>
  <w:style w:type="character" w:customStyle="1" w:styleId="Heading3Char">
    <w:name w:val="Heading 3 Char"/>
    <w:basedOn w:val="DefaultParagraphFont"/>
    <w:link w:val="Heading3"/>
    <w:uiPriority w:val="9"/>
    <w:rsid w:val="00202F1E"/>
    <w:rPr>
      <w:rFonts w:ascii="Times New Roman" w:hAnsi="Times New Roman" w:cs="Times New Roman"/>
      <w:b/>
      <w:bCs/>
      <w:i/>
      <w:iCs/>
      <w:sz w:val="24"/>
      <w:szCs w:val="24"/>
    </w:rPr>
  </w:style>
  <w:style w:type="character" w:customStyle="1" w:styleId="Heading4Char">
    <w:name w:val="Heading 4 Char"/>
    <w:basedOn w:val="DefaultParagraphFont"/>
    <w:link w:val="Heading4"/>
    <w:uiPriority w:val="9"/>
    <w:semiHidden/>
    <w:rsid w:val="00404855"/>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404855"/>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4048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48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48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4855"/>
    <w:rPr>
      <w:rFonts w:eastAsiaTheme="majorEastAsia" w:cstheme="majorBidi"/>
      <w:color w:val="272727" w:themeColor="text1" w:themeTint="D8"/>
    </w:rPr>
  </w:style>
  <w:style w:type="paragraph" w:styleId="Title">
    <w:name w:val="Title"/>
    <w:basedOn w:val="Normal"/>
    <w:next w:val="Normal"/>
    <w:link w:val="TitleChar"/>
    <w:uiPriority w:val="10"/>
    <w:qFormat/>
    <w:rsid w:val="004048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48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485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48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485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4855"/>
    <w:rPr>
      <w:i/>
      <w:iCs/>
      <w:color w:val="404040" w:themeColor="text1" w:themeTint="BF"/>
    </w:rPr>
  </w:style>
  <w:style w:type="paragraph" w:styleId="ListParagraph">
    <w:name w:val="List Paragraph"/>
    <w:basedOn w:val="Normal"/>
    <w:uiPriority w:val="34"/>
    <w:qFormat/>
    <w:rsid w:val="00404855"/>
    <w:pPr>
      <w:ind w:left="720"/>
      <w:contextualSpacing/>
    </w:pPr>
  </w:style>
  <w:style w:type="character" w:styleId="IntenseEmphasis">
    <w:name w:val="Intense Emphasis"/>
    <w:basedOn w:val="DefaultParagraphFont"/>
    <w:uiPriority w:val="21"/>
    <w:qFormat/>
    <w:rsid w:val="00404855"/>
    <w:rPr>
      <w:i/>
      <w:iCs/>
      <w:color w:val="365F91" w:themeColor="accent1" w:themeShade="BF"/>
    </w:rPr>
  </w:style>
  <w:style w:type="paragraph" w:styleId="IntenseQuote">
    <w:name w:val="Intense Quote"/>
    <w:basedOn w:val="Normal"/>
    <w:next w:val="Normal"/>
    <w:link w:val="IntenseQuoteChar"/>
    <w:uiPriority w:val="30"/>
    <w:qFormat/>
    <w:rsid w:val="00404855"/>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404855"/>
    <w:rPr>
      <w:i/>
      <w:iCs/>
      <w:color w:val="365F91" w:themeColor="accent1" w:themeShade="BF"/>
    </w:rPr>
  </w:style>
  <w:style w:type="character" w:styleId="IntenseReference">
    <w:name w:val="Intense Reference"/>
    <w:basedOn w:val="DefaultParagraphFont"/>
    <w:uiPriority w:val="32"/>
    <w:qFormat/>
    <w:rsid w:val="00404855"/>
    <w:rPr>
      <w:b/>
      <w:bCs/>
      <w:smallCaps/>
      <w:color w:val="365F91" w:themeColor="accent1" w:themeShade="BF"/>
      <w:spacing w:val="5"/>
    </w:rPr>
  </w:style>
  <w:style w:type="character" w:styleId="Hyperlink">
    <w:name w:val="Hyperlink"/>
    <w:basedOn w:val="DefaultParagraphFont"/>
    <w:uiPriority w:val="99"/>
    <w:unhideWhenUsed/>
    <w:rsid w:val="00404855"/>
    <w:rPr>
      <w:color w:val="0000FF" w:themeColor="hyperlink"/>
      <w:u w:val="single"/>
    </w:rPr>
  </w:style>
  <w:style w:type="character" w:styleId="UnresolvedMention">
    <w:name w:val="Unresolved Mention"/>
    <w:basedOn w:val="DefaultParagraphFont"/>
    <w:uiPriority w:val="99"/>
    <w:semiHidden/>
    <w:unhideWhenUsed/>
    <w:rsid w:val="00404855"/>
    <w:rPr>
      <w:color w:val="605E5C"/>
      <w:shd w:val="clear" w:color="auto" w:fill="E1DFDD"/>
    </w:rPr>
  </w:style>
  <w:style w:type="paragraph" w:styleId="Header">
    <w:name w:val="header"/>
    <w:basedOn w:val="Normal"/>
    <w:link w:val="HeaderChar"/>
    <w:uiPriority w:val="99"/>
    <w:unhideWhenUsed/>
    <w:rsid w:val="00AD47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4767"/>
  </w:style>
  <w:style w:type="paragraph" w:styleId="Footer">
    <w:name w:val="footer"/>
    <w:basedOn w:val="Normal"/>
    <w:link w:val="FooterChar"/>
    <w:uiPriority w:val="99"/>
    <w:unhideWhenUsed/>
    <w:rsid w:val="00AD47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4767"/>
  </w:style>
  <w:style w:type="paragraph" w:styleId="TOCHeading">
    <w:name w:val="TOC Heading"/>
    <w:basedOn w:val="Heading1"/>
    <w:next w:val="Normal"/>
    <w:uiPriority w:val="39"/>
    <w:unhideWhenUsed/>
    <w:qFormat/>
    <w:rsid w:val="009A17E9"/>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lang w:val="en-US"/>
      <w14:ligatures w14:val="none"/>
    </w:rPr>
  </w:style>
  <w:style w:type="paragraph" w:styleId="TOC1">
    <w:name w:val="toc 1"/>
    <w:basedOn w:val="Normal"/>
    <w:next w:val="Normal"/>
    <w:autoRedefine/>
    <w:uiPriority w:val="39"/>
    <w:unhideWhenUsed/>
    <w:rsid w:val="009A17E9"/>
    <w:pPr>
      <w:spacing w:after="100"/>
    </w:pPr>
  </w:style>
  <w:style w:type="paragraph" w:styleId="TOC2">
    <w:name w:val="toc 2"/>
    <w:basedOn w:val="Normal"/>
    <w:next w:val="Normal"/>
    <w:autoRedefine/>
    <w:uiPriority w:val="39"/>
    <w:unhideWhenUsed/>
    <w:rsid w:val="009A17E9"/>
    <w:pPr>
      <w:spacing w:after="100"/>
      <w:ind w:left="220"/>
    </w:pPr>
  </w:style>
  <w:style w:type="paragraph" w:styleId="TOC3">
    <w:name w:val="toc 3"/>
    <w:basedOn w:val="Normal"/>
    <w:next w:val="Normal"/>
    <w:autoRedefine/>
    <w:uiPriority w:val="39"/>
    <w:unhideWhenUsed/>
    <w:rsid w:val="009A17E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paulorodrigues.pro.br/ojs/ijmp/index.php/ijmp/article/download/1537/1960" TargetMode="External"/><Relationship Id="rId18" Type="http://schemas.openxmlformats.org/officeDocument/2006/relationships/hyperlink" Target="https://www.sciencedirect.com/science/article/pii/S0969698922000522" TargetMode="External"/><Relationship Id="rId26" Type="http://schemas.openxmlformats.org/officeDocument/2006/relationships/hyperlink" Target="https://onlinelibrary.wiley.com/doi/pdfdirect/10.1111/jpim.12693" TargetMode="External"/><Relationship Id="rId3" Type="http://schemas.openxmlformats.org/officeDocument/2006/relationships/styles" Target="styles.xml"/><Relationship Id="rId21" Type="http://schemas.openxmlformats.org/officeDocument/2006/relationships/hyperlink" Target="https://www.tandfonline.com/doi/abs/10.1080/09537325.(2021).1988069" TargetMode="External"/><Relationship Id="rId7" Type="http://schemas.openxmlformats.org/officeDocument/2006/relationships/endnotes" Target="endnotes.xml"/><Relationship Id="rId12" Type="http://schemas.openxmlformats.org/officeDocument/2006/relationships/hyperlink" Target="https://cris.unibo.it/bitstream/11585/952829/4/Giachetti-LiPira-2022_RESPOL-D-21-00205_R3.pdf" TargetMode="External"/><Relationship Id="rId17" Type="http://schemas.openxmlformats.org/officeDocument/2006/relationships/hyperlink" Target="https://www.sciencedirect.com/science/article/pii/S0040162522002037" TargetMode="External"/><Relationship Id="rId25" Type="http://schemas.openxmlformats.org/officeDocument/2006/relationships/hyperlink" Target="https://www.researchgate.net/profile/Juan-Velez-Ocampo/publication/354837984_Internationalization_and_capability_building_in_emerging_markets_What_comes_after_success/links/6153ad6339b8157d9004060a/Internationalization-and-capability-building-in-emerging-markets-What-comes-after-success.pdf" TargetMode="External"/><Relationship Id="rId2" Type="http://schemas.openxmlformats.org/officeDocument/2006/relationships/numbering" Target="numbering.xml"/><Relationship Id="rId16" Type="http://schemas.openxmlformats.org/officeDocument/2006/relationships/hyperlink" Target="https://link.springer.com/content/pdf/10.1007/s41549-020-00048-w.pdf" TargetMode="External"/><Relationship Id="rId20" Type="http://schemas.openxmlformats.org/officeDocument/2006/relationships/hyperlink" Target="https://onlinelibrary.wiley.com/doi/abs/10.1002/bse.308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aylorfrancis.com/chapters/edit/10.4324/9781003046899-10/pioneer-follower-aleksej-dreiling-peter-bican" TargetMode="External"/><Relationship Id="rId24" Type="http://schemas.openxmlformats.org/officeDocument/2006/relationships/hyperlink" Target="https://www.tandfonline.com/doi/pdf/10.1080/14479338.(2021).1915791" TargetMode="External"/><Relationship Id="rId5" Type="http://schemas.openxmlformats.org/officeDocument/2006/relationships/webSettings" Target="webSettings.xml"/><Relationship Id="rId15" Type="http://schemas.openxmlformats.org/officeDocument/2006/relationships/hyperlink" Target="https://theologiaviatorum.org/index.php/tv/article/download/202/509" TargetMode="External"/><Relationship Id="rId23" Type="http://schemas.openxmlformats.org/officeDocument/2006/relationships/hyperlink" Target="https://scholar.archive.org/work/jn3s6gesfveflge2mvrms3bqfm/access/wayback/https://www.elgaronline.com/downloadpdf/edcoll/9781789904413/9781789904413.00006.pdf" TargetMode="External"/><Relationship Id="rId28" Type="http://schemas.openxmlformats.org/officeDocument/2006/relationships/fontTable" Target="fontTable.xml"/><Relationship Id="rId10" Type="http://schemas.openxmlformats.org/officeDocument/2006/relationships/hyperlink" Target="https://www.emerald.com/insight/content/doi/10.1108/JBIM-03-2021-0165/full/html" TargetMode="External"/><Relationship Id="rId19" Type="http://schemas.openxmlformats.org/officeDocument/2006/relationships/hyperlink" Target="https://sier-journal.com/index.php/SIER/article/download/6/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pi.taylorfrancis.com/content/books/mono/download?identifierName=doi&amp;identifierValue=10.4324/9781003043843&amp;type=googlepdf" TargetMode="External"/><Relationship Id="rId22" Type="http://schemas.openxmlformats.org/officeDocument/2006/relationships/hyperlink" Target="https://books.google.com/books?hl=en&amp;lr=&amp;id=dqAjEAAAQBAJ&amp;oi=fnd&amp;pg=PR1&amp;dq=Life+Cycle+Strategies+of+Successful+Pioneer+and+Follower+Companies&amp;ots=gCIm1zmQpD&amp;sig=u9ZedbRlaP-rls3yZdtPuQNJNp4"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E404D-839D-49CD-AEDB-E82D7547EB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3854</Words>
  <Characters>21974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MEGHNA BALAR</cp:lastModifiedBy>
  <cp:revision>12</cp:revision>
  <dcterms:created xsi:type="dcterms:W3CDTF">2025-03-16T17:11:00Z</dcterms:created>
  <dcterms:modified xsi:type="dcterms:W3CDTF">2025-03-28T07:50:00Z</dcterms:modified>
</cp:coreProperties>
</file>