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A8C2A" w14:textId="744DE54D" w:rsidR="00944B78" w:rsidRPr="006355B0" w:rsidRDefault="00944B78" w:rsidP="00944B78">
      <w:pPr>
        <w:spacing w:line="240" w:lineRule="auto"/>
        <w:jc w:val="center"/>
        <w:rPr>
          <w:rFonts w:eastAsia="Times New Roman" w:cs="Times New Roman"/>
          <w:b/>
          <w:sz w:val="32"/>
          <w:szCs w:val="24"/>
        </w:rPr>
      </w:pPr>
      <w:r w:rsidRPr="006355B0">
        <w:rPr>
          <w:rFonts w:eastAsia="Times New Roman" w:cs="Times New Roman"/>
          <w:b/>
          <w:sz w:val="32"/>
          <w:szCs w:val="24"/>
        </w:rPr>
        <w:t xml:space="preserve">LCMB7000 MBA Master of Business Administration Assessment 1 </w:t>
      </w:r>
      <w:r>
        <w:rPr>
          <w:rFonts w:eastAsia="Times New Roman" w:cs="Times New Roman"/>
          <w:b/>
          <w:sz w:val="32"/>
          <w:szCs w:val="24"/>
        </w:rPr>
        <w:t>Human Resource Management (50%)</w:t>
      </w:r>
    </w:p>
    <w:p w14:paraId="2F900332" w14:textId="77777777" w:rsidR="00944B78" w:rsidRPr="006355B0" w:rsidRDefault="00944B78" w:rsidP="00944B78">
      <w:pPr>
        <w:jc w:val="center"/>
        <w:rPr>
          <w:rFonts w:asciiTheme="majorBidi" w:hAnsiTheme="majorBidi" w:cstheme="majorBidi"/>
          <w:b/>
          <w:bCs/>
          <w:sz w:val="32"/>
          <w:szCs w:val="24"/>
        </w:rPr>
      </w:pPr>
    </w:p>
    <w:p w14:paraId="42D76A22" w14:textId="77777777" w:rsidR="00944B78" w:rsidRPr="00220061" w:rsidRDefault="00944B78" w:rsidP="00944B78">
      <w:pPr>
        <w:rPr>
          <w:rFonts w:asciiTheme="majorBidi" w:hAnsiTheme="majorBidi" w:cstheme="majorBidi"/>
          <w:b/>
          <w:bCs/>
          <w:szCs w:val="24"/>
        </w:rPr>
      </w:pPr>
    </w:p>
    <w:p w14:paraId="5D0F7371" w14:textId="77777777" w:rsidR="00944B78" w:rsidRPr="00220061" w:rsidRDefault="00944B78" w:rsidP="00944B78">
      <w:pPr>
        <w:spacing w:line="720" w:lineRule="auto"/>
        <w:jc w:val="center"/>
        <w:rPr>
          <w:rFonts w:asciiTheme="majorBidi" w:hAnsiTheme="majorBidi" w:cstheme="majorBidi"/>
          <w:b/>
          <w:bCs/>
          <w:szCs w:val="24"/>
        </w:rPr>
      </w:pPr>
      <w:r>
        <w:rPr>
          <w:rFonts w:asciiTheme="majorBidi" w:hAnsiTheme="majorBidi" w:cstheme="majorBidi"/>
          <w:b/>
          <w:bCs/>
          <w:szCs w:val="24"/>
        </w:rPr>
        <w:t xml:space="preserve">STUDENT </w:t>
      </w:r>
      <w:r w:rsidRPr="00220061">
        <w:rPr>
          <w:rFonts w:asciiTheme="majorBidi" w:hAnsiTheme="majorBidi" w:cstheme="majorBidi"/>
          <w:b/>
          <w:bCs/>
          <w:szCs w:val="24"/>
        </w:rPr>
        <w:t>NAME:</w:t>
      </w:r>
    </w:p>
    <w:p w14:paraId="34CC8EC4" w14:textId="02107D3A" w:rsidR="00944B78" w:rsidRDefault="00944B78" w:rsidP="00944B78">
      <w:pPr>
        <w:spacing w:line="720" w:lineRule="auto"/>
        <w:jc w:val="center"/>
        <w:rPr>
          <w:rFonts w:asciiTheme="majorBidi" w:hAnsiTheme="majorBidi" w:cstheme="majorBidi"/>
          <w:b/>
          <w:bCs/>
          <w:szCs w:val="24"/>
        </w:rPr>
      </w:pPr>
      <w:r w:rsidRPr="00220061">
        <w:rPr>
          <w:rFonts w:asciiTheme="majorBidi" w:hAnsiTheme="majorBidi" w:cstheme="majorBidi"/>
          <w:b/>
          <w:bCs/>
          <w:szCs w:val="24"/>
        </w:rPr>
        <w:t>STUDENT ID:</w:t>
      </w:r>
    </w:p>
    <w:p w14:paraId="4DA0C05C" w14:textId="431F6A1A" w:rsidR="000C5167" w:rsidRPr="00220061" w:rsidRDefault="000C5167" w:rsidP="00944B78">
      <w:pPr>
        <w:spacing w:line="720" w:lineRule="auto"/>
        <w:jc w:val="center"/>
        <w:rPr>
          <w:rFonts w:asciiTheme="majorBidi" w:hAnsiTheme="majorBidi" w:cstheme="majorBidi"/>
          <w:b/>
          <w:bCs/>
          <w:szCs w:val="24"/>
        </w:rPr>
      </w:pPr>
      <w:r>
        <w:rPr>
          <w:rFonts w:asciiTheme="majorBidi" w:hAnsiTheme="majorBidi" w:cstheme="majorBidi"/>
          <w:b/>
          <w:bCs/>
          <w:szCs w:val="24"/>
        </w:rPr>
        <w:t xml:space="preserve">PROFESSOR NAME: </w:t>
      </w:r>
      <w:r w:rsidRPr="000C5167">
        <w:rPr>
          <w:rFonts w:asciiTheme="majorBidi" w:hAnsiTheme="majorBidi" w:cstheme="majorBidi"/>
          <w:b/>
          <w:bCs/>
          <w:szCs w:val="24"/>
        </w:rPr>
        <w:t>M</w:t>
      </w:r>
      <w:r>
        <w:rPr>
          <w:rFonts w:asciiTheme="majorBidi" w:hAnsiTheme="majorBidi" w:cstheme="majorBidi"/>
          <w:b/>
          <w:bCs/>
          <w:szCs w:val="24"/>
        </w:rPr>
        <w:t>OHAMED</w:t>
      </w:r>
      <w:r w:rsidRPr="000C5167">
        <w:rPr>
          <w:rFonts w:asciiTheme="majorBidi" w:hAnsiTheme="majorBidi" w:cstheme="majorBidi"/>
          <w:b/>
          <w:bCs/>
          <w:szCs w:val="24"/>
        </w:rPr>
        <w:t xml:space="preserve"> A</w:t>
      </w:r>
      <w:r>
        <w:rPr>
          <w:rFonts w:asciiTheme="majorBidi" w:hAnsiTheme="majorBidi" w:cstheme="majorBidi"/>
          <w:b/>
          <w:bCs/>
          <w:szCs w:val="24"/>
        </w:rPr>
        <w:t>SIM</w:t>
      </w:r>
    </w:p>
    <w:p w14:paraId="268DD171" w14:textId="77777777" w:rsidR="00944B78" w:rsidRPr="00220061" w:rsidRDefault="00944B78" w:rsidP="00944B78">
      <w:pPr>
        <w:spacing w:line="720" w:lineRule="auto"/>
        <w:jc w:val="center"/>
        <w:rPr>
          <w:rFonts w:asciiTheme="majorBidi" w:hAnsiTheme="majorBidi" w:cstheme="majorBidi"/>
          <w:b/>
          <w:bCs/>
          <w:szCs w:val="24"/>
        </w:rPr>
      </w:pPr>
      <w:r w:rsidRPr="00220061">
        <w:rPr>
          <w:rFonts w:asciiTheme="majorBidi" w:hAnsiTheme="majorBidi" w:cstheme="majorBidi"/>
          <w:b/>
          <w:bCs/>
          <w:szCs w:val="24"/>
        </w:rPr>
        <w:t>MODULE TITLE:</w:t>
      </w:r>
    </w:p>
    <w:p w14:paraId="29A8A688" w14:textId="77777777" w:rsidR="00944B78" w:rsidRPr="00220061" w:rsidRDefault="00944B78" w:rsidP="00944B78">
      <w:pPr>
        <w:spacing w:line="720" w:lineRule="auto"/>
        <w:jc w:val="center"/>
        <w:rPr>
          <w:rFonts w:asciiTheme="majorBidi" w:hAnsiTheme="majorBidi" w:cstheme="majorBidi"/>
          <w:b/>
          <w:bCs/>
          <w:szCs w:val="24"/>
        </w:rPr>
      </w:pPr>
      <w:r w:rsidRPr="00220061">
        <w:rPr>
          <w:rFonts w:asciiTheme="majorBidi" w:hAnsiTheme="majorBidi" w:cstheme="majorBidi"/>
          <w:b/>
          <w:bCs/>
          <w:szCs w:val="24"/>
        </w:rPr>
        <w:t>MODULE CODE:</w:t>
      </w:r>
    </w:p>
    <w:p w14:paraId="6161E641" w14:textId="7BF77049" w:rsidR="00944B78" w:rsidRDefault="00944B78">
      <w:pPr>
        <w:rPr>
          <w:rFonts w:cs="Times New Roman"/>
          <w:b/>
          <w:bCs/>
          <w:sz w:val="32"/>
          <w:szCs w:val="32"/>
        </w:rPr>
      </w:pPr>
    </w:p>
    <w:p w14:paraId="5E9BA451" w14:textId="77777777" w:rsidR="00294418" w:rsidRDefault="00294418" w:rsidP="001A4FE3">
      <w:pPr>
        <w:rPr>
          <w:rFonts w:cs="Times New Roman"/>
          <w:b/>
          <w:bCs/>
          <w:sz w:val="32"/>
          <w:szCs w:val="32"/>
        </w:rPr>
      </w:pPr>
    </w:p>
    <w:p w14:paraId="43F31345" w14:textId="77777777" w:rsidR="00944B78" w:rsidRDefault="00944B78">
      <w:pPr>
        <w:rPr>
          <w:rFonts w:cs="Times New Roman"/>
          <w:b/>
          <w:bCs/>
          <w:sz w:val="32"/>
          <w:szCs w:val="32"/>
        </w:rPr>
      </w:pPr>
      <w:r>
        <w:rPr>
          <w:rFonts w:cs="Times New Roman"/>
          <w:b/>
          <w:bCs/>
          <w:sz w:val="32"/>
          <w:szCs w:val="32"/>
        </w:rPr>
        <w:br w:type="page"/>
      </w:r>
    </w:p>
    <w:bookmarkStart w:id="0" w:name="_Toc143654048" w:displacedByCustomXml="next"/>
    <w:sdt>
      <w:sdtPr>
        <w:rPr>
          <w:rFonts w:eastAsiaTheme="minorHAnsi" w:cstheme="minorBidi"/>
          <w:b w:val="0"/>
          <w:sz w:val="22"/>
          <w:szCs w:val="22"/>
        </w:rPr>
        <w:id w:val="579494846"/>
        <w:docPartObj>
          <w:docPartGallery w:val="Table of Contents"/>
          <w:docPartUnique/>
        </w:docPartObj>
      </w:sdtPr>
      <w:sdtEndPr>
        <w:rPr>
          <w:bCs/>
          <w:noProof/>
        </w:rPr>
      </w:sdtEndPr>
      <w:sdtContent>
        <w:p w14:paraId="2970A698" w14:textId="0AEF83C4" w:rsidR="00944B78" w:rsidRDefault="00944B78" w:rsidP="00944B78">
          <w:pPr>
            <w:pStyle w:val="Heading1"/>
          </w:pPr>
          <w:r>
            <w:t xml:space="preserve">Table </w:t>
          </w:r>
          <w:bookmarkStart w:id="1" w:name="_GoBack"/>
          <w:bookmarkEnd w:id="1"/>
          <w:r>
            <w:t>of Contents</w:t>
          </w:r>
          <w:bookmarkEnd w:id="0"/>
        </w:p>
        <w:p w14:paraId="14332C87" w14:textId="7435A035" w:rsidR="001E2272" w:rsidRDefault="00944B78">
          <w:pPr>
            <w:pStyle w:val="TOC1"/>
            <w:tabs>
              <w:tab w:val="right" w:leader="dot" w:pos="9736"/>
            </w:tabs>
            <w:rPr>
              <w:rFonts w:asciiTheme="minorHAnsi" w:eastAsiaTheme="minorEastAsia" w:hAnsiTheme="minorHAnsi"/>
              <w:noProof/>
              <w:kern w:val="0"/>
              <w:lang w:val="en-US"/>
              <w14:ligatures w14:val="none"/>
            </w:rPr>
          </w:pPr>
          <w:r>
            <w:fldChar w:fldCharType="begin"/>
          </w:r>
          <w:r>
            <w:instrText xml:space="preserve"> TOC \o "1-3" \h \z \u </w:instrText>
          </w:r>
          <w:r>
            <w:fldChar w:fldCharType="separate"/>
          </w:r>
          <w:hyperlink w:anchor="_Toc143654048" w:history="1">
            <w:r w:rsidR="001E2272" w:rsidRPr="00FC6BAC">
              <w:rPr>
                <w:rStyle w:val="Hyperlink"/>
                <w:noProof/>
              </w:rPr>
              <w:t>Table of Contents</w:t>
            </w:r>
            <w:r w:rsidR="001E2272">
              <w:rPr>
                <w:noProof/>
                <w:webHidden/>
              </w:rPr>
              <w:tab/>
            </w:r>
            <w:r w:rsidR="001E2272">
              <w:rPr>
                <w:noProof/>
                <w:webHidden/>
              </w:rPr>
              <w:fldChar w:fldCharType="begin"/>
            </w:r>
            <w:r w:rsidR="001E2272">
              <w:rPr>
                <w:noProof/>
                <w:webHidden/>
              </w:rPr>
              <w:instrText xml:space="preserve"> PAGEREF _Toc143654048 \h </w:instrText>
            </w:r>
            <w:r w:rsidR="001E2272">
              <w:rPr>
                <w:noProof/>
                <w:webHidden/>
              </w:rPr>
            </w:r>
            <w:r w:rsidR="001E2272">
              <w:rPr>
                <w:noProof/>
                <w:webHidden/>
              </w:rPr>
              <w:fldChar w:fldCharType="separate"/>
            </w:r>
            <w:r w:rsidR="001E2272">
              <w:rPr>
                <w:noProof/>
                <w:webHidden/>
              </w:rPr>
              <w:t>2</w:t>
            </w:r>
            <w:r w:rsidR="001E2272">
              <w:rPr>
                <w:noProof/>
                <w:webHidden/>
              </w:rPr>
              <w:fldChar w:fldCharType="end"/>
            </w:r>
          </w:hyperlink>
        </w:p>
        <w:p w14:paraId="0A3FE3DB" w14:textId="096F8113" w:rsidR="001E2272" w:rsidRDefault="001E2272">
          <w:pPr>
            <w:pStyle w:val="TOC1"/>
            <w:tabs>
              <w:tab w:val="right" w:leader="dot" w:pos="9736"/>
            </w:tabs>
            <w:rPr>
              <w:rFonts w:asciiTheme="minorHAnsi" w:eastAsiaTheme="minorEastAsia" w:hAnsiTheme="minorHAnsi"/>
              <w:noProof/>
              <w:kern w:val="0"/>
              <w:lang w:val="en-US"/>
              <w14:ligatures w14:val="none"/>
            </w:rPr>
          </w:pPr>
          <w:hyperlink w:anchor="_Toc143654049" w:history="1">
            <w:r w:rsidRPr="00FC6BAC">
              <w:rPr>
                <w:rStyle w:val="Hyperlink"/>
                <w:noProof/>
              </w:rPr>
              <w:t>Analysis and Discussion</w:t>
            </w:r>
            <w:r>
              <w:rPr>
                <w:noProof/>
                <w:webHidden/>
              </w:rPr>
              <w:tab/>
            </w:r>
            <w:r>
              <w:rPr>
                <w:noProof/>
                <w:webHidden/>
              </w:rPr>
              <w:fldChar w:fldCharType="begin"/>
            </w:r>
            <w:r>
              <w:rPr>
                <w:noProof/>
                <w:webHidden/>
              </w:rPr>
              <w:instrText xml:space="preserve"> PAGEREF _Toc143654049 \h </w:instrText>
            </w:r>
            <w:r>
              <w:rPr>
                <w:noProof/>
                <w:webHidden/>
              </w:rPr>
            </w:r>
            <w:r>
              <w:rPr>
                <w:noProof/>
                <w:webHidden/>
              </w:rPr>
              <w:fldChar w:fldCharType="separate"/>
            </w:r>
            <w:r>
              <w:rPr>
                <w:noProof/>
                <w:webHidden/>
              </w:rPr>
              <w:t>4</w:t>
            </w:r>
            <w:r>
              <w:rPr>
                <w:noProof/>
                <w:webHidden/>
              </w:rPr>
              <w:fldChar w:fldCharType="end"/>
            </w:r>
          </w:hyperlink>
        </w:p>
        <w:p w14:paraId="5014ED7F" w14:textId="17682151" w:rsidR="001E2272" w:rsidRDefault="001E2272">
          <w:pPr>
            <w:pStyle w:val="TOC2"/>
            <w:tabs>
              <w:tab w:val="right" w:leader="dot" w:pos="9736"/>
            </w:tabs>
            <w:rPr>
              <w:rFonts w:asciiTheme="minorHAnsi" w:eastAsiaTheme="minorEastAsia" w:hAnsiTheme="minorHAnsi"/>
              <w:noProof/>
              <w:kern w:val="0"/>
              <w:lang w:val="en-US"/>
              <w14:ligatures w14:val="none"/>
            </w:rPr>
          </w:pPr>
          <w:hyperlink w:anchor="_Toc143654050" w:history="1">
            <w:r w:rsidRPr="00FC6BAC">
              <w:rPr>
                <w:rStyle w:val="Hyperlink"/>
                <w:noProof/>
              </w:rPr>
              <w:t>The UK labour market's present situation</w:t>
            </w:r>
            <w:r>
              <w:rPr>
                <w:noProof/>
                <w:webHidden/>
              </w:rPr>
              <w:tab/>
            </w:r>
            <w:r>
              <w:rPr>
                <w:noProof/>
                <w:webHidden/>
              </w:rPr>
              <w:fldChar w:fldCharType="begin"/>
            </w:r>
            <w:r>
              <w:rPr>
                <w:noProof/>
                <w:webHidden/>
              </w:rPr>
              <w:instrText xml:space="preserve"> PAGEREF _Toc143654050 \h </w:instrText>
            </w:r>
            <w:r>
              <w:rPr>
                <w:noProof/>
                <w:webHidden/>
              </w:rPr>
            </w:r>
            <w:r>
              <w:rPr>
                <w:noProof/>
                <w:webHidden/>
              </w:rPr>
              <w:fldChar w:fldCharType="separate"/>
            </w:r>
            <w:r>
              <w:rPr>
                <w:noProof/>
                <w:webHidden/>
              </w:rPr>
              <w:t>4</w:t>
            </w:r>
            <w:r>
              <w:rPr>
                <w:noProof/>
                <w:webHidden/>
              </w:rPr>
              <w:fldChar w:fldCharType="end"/>
            </w:r>
          </w:hyperlink>
        </w:p>
        <w:p w14:paraId="4DE81008" w14:textId="4A960EAE" w:rsidR="001E2272" w:rsidRDefault="001E2272">
          <w:pPr>
            <w:pStyle w:val="TOC1"/>
            <w:tabs>
              <w:tab w:val="right" w:leader="dot" w:pos="9736"/>
            </w:tabs>
            <w:rPr>
              <w:rFonts w:asciiTheme="minorHAnsi" w:eastAsiaTheme="minorEastAsia" w:hAnsiTheme="minorHAnsi"/>
              <w:noProof/>
              <w:kern w:val="0"/>
              <w:lang w:val="en-US"/>
              <w14:ligatures w14:val="none"/>
            </w:rPr>
          </w:pPr>
          <w:hyperlink w:anchor="_Toc143654051" w:history="1">
            <w:r w:rsidRPr="00FC6BAC">
              <w:rPr>
                <w:rStyle w:val="Hyperlink"/>
                <w:noProof/>
              </w:rPr>
              <w:t>Strategies for Human Resources in the Post-Covid Era</w:t>
            </w:r>
            <w:r>
              <w:rPr>
                <w:noProof/>
                <w:webHidden/>
              </w:rPr>
              <w:tab/>
            </w:r>
            <w:r>
              <w:rPr>
                <w:noProof/>
                <w:webHidden/>
              </w:rPr>
              <w:fldChar w:fldCharType="begin"/>
            </w:r>
            <w:r>
              <w:rPr>
                <w:noProof/>
                <w:webHidden/>
              </w:rPr>
              <w:instrText xml:space="preserve"> PAGEREF _Toc143654051 \h </w:instrText>
            </w:r>
            <w:r>
              <w:rPr>
                <w:noProof/>
                <w:webHidden/>
              </w:rPr>
            </w:r>
            <w:r>
              <w:rPr>
                <w:noProof/>
                <w:webHidden/>
              </w:rPr>
              <w:fldChar w:fldCharType="separate"/>
            </w:r>
            <w:r>
              <w:rPr>
                <w:noProof/>
                <w:webHidden/>
              </w:rPr>
              <w:t>7</w:t>
            </w:r>
            <w:r>
              <w:rPr>
                <w:noProof/>
                <w:webHidden/>
              </w:rPr>
              <w:fldChar w:fldCharType="end"/>
            </w:r>
          </w:hyperlink>
        </w:p>
        <w:p w14:paraId="5ABBD626" w14:textId="008A1B04" w:rsidR="001E2272" w:rsidRDefault="001E2272">
          <w:pPr>
            <w:pStyle w:val="TOC1"/>
            <w:tabs>
              <w:tab w:val="right" w:leader="dot" w:pos="9736"/>
            </w:tabs>
            <w:rPr>
              <w:rFonts w:asciiTheme="minorHAnsi" w:eastAsiaTheme="minorEastAsia" w:hAnsiTheme="minorHAnsi"/>
              <w:noProof/>
              <w:kern w:val="0"/>
              <w:lang w:val="en-US"/>
              <w14:ligatures w14:val="none"/>
            </w:rPr>
          </w:pPr>
          <w:hyperlink w:anchor="_Toc143654052" w:history="1">
            <w:r w:rsidRPr="00FC6BAC">
              <w:rPr>
                <w:rStyle w:val="Hyperlink"/>
                <w:noProof/>
              </w:rPr>
              <w:t>The present study aims to explore the implications of the post-Brexit external environment on human resourcing methods.</w:t>
            </w:r>
            <w:r>
              <w:rPr>
                <w:noProof/>
                <w:webHidden/>
              </w:rPr>
              <w:tab/>
            </w:r>
            <w:r>
              <w:rPr>
                <w:noProof/>
                <w:webHidden/>
              </w:rPr>
              <w:fldChar w:fldCharType="begin"/>
            </w:r>
            <w:r>
              <w:rPr>
                <w:noProof/>
                <w:webHidden/>
              </w:rPr>
              <w:instrText xml:space="preserve"> PAGEREF _Toc143654052 \h </w:instrText>
            </w:r>
            <w:r>
              <w:rPr>
                <w:noProof/>
                <w:webHidden/>
              </w:rPr>
            </w:r>
            <w:r>
              <w:rPr>
                <w:noProof/>
                <w:webHidden/>
              </w:rPr>
              <w:fldChar w:fldCharType="separate"/>
            </w:r>
            <w:r>
              <w:rPr>
                <w:noProof/>
                <w:webHidden/>
              </w:rPr>
              <w:t>9</w:t>
            </w:r>
            <w:r>
              <w:rPr>
                <w:noProof/>
                <w:webHidden/>
              </w:rPr>
              <w:fldChar w:fldCharType="end"/>
            </w:r>
          </w:hyperlink>
        </w:p>
        <w:p w14:paraId="73136870" w14:textId="0874800E" w:rsidR="001E2272" w:rsidRDefault="001E2272">
          <w:pPr>
            <w:pStyle w:val="TOC1"/>
            <w:tabs>
              <w:tab w:val="right" w:leader="dot" w:pos="9736"/>
            </w:tabs>
            <w:rPr>
              <w:rFonts w:asciiTheme="minorHAnsi" w:eastAsiaTheme="minorEastAsia" w:hAnsiTheme="minorHAnsi"/>
              <w:noProof/>
              <w:kern w:val="0"/>
              <w:lang w:val="en-US"/>
              <w14:ligatures w14:val="none"/>
            </w:rPr>
          </w:pPr>
          <w:hyperlink w:anchor="_Toc143654053" w:history="1">
            <w:r w:rsidRPr="00FC6BAC">
              <w:rPr>
                <w:rStyle w:val="Hyperlink"/>
                <w:noProof/>
              </w:rPr>
              <w:t>Conclusion</w:t>
            </w:r>
            <w:r>
              <w:rPr>
                <w:noProof/>
                <w:webHidden/>
              </w:rPr>
              <w:tab/>
            </w:r>
            <w:r>
              <w:rPr>
                <w:noProof/>
                <w:webHidden/>
              </w:rPr>
              <w:fldChar w:fldCharType="begin"/>
            </w:r>
            <w:r>
              <w:rPr>
                <w:noProof/>
                <w:webHidden/>
              </w:rPr>
              <w:instrText xml:space="preserve"> PAGEREF _Toc143654053 \h </w:instrText>
            </w:r>
            <w:r>
              <w:rPr>
                <w:noProof/>
                <w:webHidden/>
              </w:rPr>
            </w:r>
            <w:r>
              <w:rPr>
                <w:noProof/>
                <w:webHidden/>
              </w:rPr>
              <w:fldChar w:fldCharType="separate"/>
            </w:r>
            <w:r>
              <w:rPr>
                <w:noProof/>
                <w:webHidden/>
              </w:rPr>
              <w:t>12</w:t>
            </w:r>
            <w:r>
              <w:rPr>
                <w:noProof/>
                <w:webHidden/>
              </w:rPr>
              <w:fldChar w:fldCharType="end"/>
            </w:r>
          </w:hyperlink>
        </w:p>
        <w:p w14:paraId="4A9A7B76" w14:textId="299B3691" w:rsidR="001E2272" w:rsidRDefault="001E2272">
          <w:pPr>
            <w:pStyle w:val="TOC1"/>
            <w:tabs>
              <w:tab w:val="right" w:leader="dot" w:pos="9736"/>
            </w:tabs>
            <w:rPr>
              <w:rFonts w:asciiTheme="minorHAnsi" w:eastAsiaTheme="minorEastAsia" w:hAnsiTheme="minorHAnsi"/>
              <w:noProof/>
              <w:kern w:val="0"/>
              <w:lang w:val="en-US"/>
              <w14:ligatures w14:val="none"/>
            </w:rPr>
          </w:pPr>
          <w:hyperlink w:anchor="_Toc143654054" w:history="1">
            <w:r w:rsidRPr="00FC6BAC">
              <w:rPr>
                <w:rStyle w:val="Hyperlink"/>
                <w:noProof/>
              </w:rPr>
              <w:t>References:</w:t>
            </w:r>
            <w:r>
              <w:rPr>
                <w:noProof/>
                <w:webHidden/>
              </w:rPr>
              <w:tab/>
            </w:r>
            <w:r>
              <w:rPr>
                <w:noProof/>
                <w:webHidden/>
              </w:rPr>
              <w:fldChar w:fldCharType="begin"/>
            </w:r>
            <w:r>
              <w:rPr>
                <w:noProof/>
                <w:webHidden/>
              </w:rPr>
              <w:instrText xml:space="preserve"> PAGEREF _Toc143654054 \h </w:instrText>
            </w:r>
            <w:r>
              <w:rPr>
                <w:noProof/>
                <w:webHidden/>
              </w:rPr>
            </w:r>
            <w:r>
              <w:rPr>
                <w:noProof/>
                <w:webHidden/>
              </w:rPr>
              <w:fldChar w:fldCharType="separate"/>
            </w:r>
            <w:r>
              <w:rPr>
                <w:noProof/>
                <w:webHidden/>
              </w:rPr>
              <w:t>13</w:t>
            </w:r>
            <w:r>
              <w:rPr>
                <w:noProof/>
                <w:webHidden/>
              </w:rPr>
              <w:fldChar w:fldCharType="end"/>
            </w:r>
          </w:hyperlink>
        </w:p>
        <w:p w14:paraId="61B3DDAC" w14:textId="2F240727" w:rsidR="00944B78" w:rsidRDefault="00944B78">
          <w:r>
            <w:rPr>
              <w:b/>
              <w:bCs/>
              <w:noProof/>
            </w:rPr>
            <w:fldChar w:fldCharType="end"/>
          </w:r>
        </w:p>
      </w:sdtContent>
    </w:sdt>
    <w:p w14:paraId="724F4700" w14:textId="77777777" w:rsidR="00944B78" w:rsidRDefault="00944B78">
      <w:pPr>
        <w:rPr>
          <w:rFonts w:cs="Times New Roman"/>
          <w:b/>
          <w:bCs/>
          <w:sz w:val="32"/>
          <w:szCs w:val="32"/>
        </w:rPr>
      </w:pPr>
      <w:r>
        <w:rPr>
          <w:rFonts w:cs="Times New Roman"/>
          <w:b/>
          <w:bCs/>
          <w:sz w:val="32"/>
          <w:szCs w:val="32"/>
        </w:rPr>
        <w:br w:type="page"/>
      </w:r>
    </w:p>
    <w:p w14:paraId="3C45A3E9" w14:textId="59A38C6E" w:rsidR="0015160A" w:rsidRPr="003B3328" w:rsidRDefault="00294418" w:rsidP="001A4FE3">
      <w:pPr>
        <w:rPr>
          <w:rFonts w:cs="Times New Roman"/>
          <w:b/>
          <w:bCs/>
          <w:sz w:val="32"/>
          <w:szCs w:val="32"/>
        </w:rPr>
      </w:pPr>
      <w:r w:rsidRPr="003B3328">
        <w:rPr>
          <w:rFonts w:cs="Times New Roman"/>
          <w:b/>
          <w:bCs/>
          <w:sz w:val="32"/>
          <w:szCs w:val="32"/>
        </w:rPr>
        <w:lastRenderedPageBreak/>
        <w:t xml:space="preserve">Introduction </w:t>
      </w:r>
    </w:p>
    <w:p w14:paraId="67F23F9E" w14:textId="0ABAF642" w:rsidR="0015160A" w:rsidRDefault="00E40F2A" w:rsidP="001A4FE3">
      <w:pPr>
        <w:rPr>
          <w:rFonts w:cs="Times New Roman"/>
          <w:sz w:val="24"/>
          <w:szCs w:val="24"/>
        </w:rPr>
      </w:pPr>
      <w:r w:rsidRPr="00E40F2A">
        <w:rPr>
          <w:rFonts w:cs="Times New Roman"/>
          <w:sz w:val="24"/>
          <w:szCs w:val="24"/>
        </w:rPr>
        <w:t xml:space="preserve">Human Resource Management (HRM) is a subject that includes a wide range of organisational tasks, such as </w:t>
      </w:r>
      <w:r w:rsidRPr="003B3328">
        <w:rPr>
          <w:rFonts w:cs="Times New Roman"/>
          <w:sz w:val="24"/>
          <w:szCs w:val="24"/>
        </w:rPr>
        <w:t xml:space="preserve">recruiting, selecting, introductions, schooling, benefit and compensation management, evaluation of performance, motivation for workers, employment relations, safety, and health in the workplace, adhering to labour laws, and conformity to judicial directives from the </w:t>
      </w:r>
      <w:r w:rsidR="00EB1603">
        <w:rPr>
          <w:rFonts w:cs="Times New Roman"/>
          <w:sz w:val="24"/>
          <w:szCs w:val="24"/>
        </w:rPr>
        <w:t>courts.</w:t>
      </w:r>
      <w:r w:rsidRPr="003B3328">
        <w:rPr>
          <w:rFonts w:cs="Times New Roman"/>
          <w:sz w:val="24"/>
          <w:szCs w:val="24"/>
        </w:rPr>
        <w:t xml:space="preserve"> The HRM department oversees multiple facets of the workforce and carries out various functions. These functions encompass human resource planning, job analysis, recruitment and selection processes, orientation and training programmes, compensation administration, provision of benefits and incentives, performance evaluation, retention strategies, career development initiatives, enhancement of work-life quality, management of employee discipline, handling cases of sexual harassment, conducting human resource audits, and ensuring compliance with employment regulations. In the context of historical practises it has been conventionally recommended that determining human resources (HR) staffing needs should entail the employment of one full-time HR expert for every 100 employees. Nevertheless, it is essential to note that the precise ratio mentioned above may exhibit variability due to several factors, including the extent of centralization in human resources management, the geographical distribution of the workforce, the level of employee knowledge and expertise, and the complexity of the organisation itself (Stone </w:t>
      </w:r>
      <w:r w:rsidR="00C06E5B" w:rsidRPr="00C06E5B">
        <w:rPr>
          <w:rFonts w:cs="Times New Roman"/>
          <w:i/>
          <w:sz w:val="24"/>
          <w:szCs w:val="24"/>
        </w:rPr>
        <w:t>et al.,</w:t>
      </w:r>
      <w:r w:rsidRPr="003B3328">
        <w:rPr>
          <w:rFonts w:cs="Times New Roman"/>
          <w:sz w:val="24"/>
          <w:szCs w:val="24"/>
        </w:rPr>
        <w:t xml:space="preserve"> 2020).</w:t>
      </w:r>
    </w:p>
    <w:p w14:paraId="48B050E7" w14:textId="77777777" w:rsidR="003B3328" w:rsidRPr="001A4FE3" w:rsidRDefault="003B3328" w:rsidP="001A4FE3">
      <w:pPr>
        <w:rPr>
          <w:rFonts w:cs="Times New Roman"/>
          <w:sz w:val="24"/>
          <w:szCs w:val="24"/>
        </w:rPr>
      </w:pPr>
    </w:p>
    <w:p w14:paraId="006985BC" w14:textId="77777777" w:rsidR="001E2272" w:rsidRDefault="001E2272">
      <w:pPr>
        <w:spacing w:line="259" w:lineRule="auto"/>
        <w:jc w:val="left"/>
        <w:rPr>
          <w:rFonts w:eastAsiaTheme="majorEastAsia" w:cstheme="majorBidi"/>
          <w:b/>
          <w:sz w:val="32"/>
          <w:szCs w:val="32"/>
        </w:rPr>
      </w:pPr>
      <w:r>
        <w:br w:type="page"/>
      </w:r>
    </w:p>
    <w:p w14:paraId="3F799AAE" w14:textId="7F411FAF" w:rsidR="007D6C07" w:rsidRPr="007D6C07" w:rsidRDefault="007D6C07" w:rsidP="00944B78">
      <w:pPr>
        <w:pStyle w:val="Heading1"/>
      </w:pPr>
      <w:bookmarkStart w:id="2" w:name="_Toc143654049"/>
      <w:r w:rsidRPr="007D6C07">
        <w:lastRenderedPageBreak/>
        <w:t>Analysis and Discussion</w:t>
      </w:r>
      <w:bookmarkEnd w:id="2"/>
      <w:r w:rsidRPr="007D6C07">
        <w:t xml:space="preserve"> </w:t>
      </w:r>
    </w:p>
    <w:p w14:paraId="5D934A90" w14:textId="77777777" w:rsidR="007D6C07" w:rsidRDefault="007D6C07" w:rsidP="00944B78">
      <w:pPr>
        <w:pStyle w:val="Heading2"/>
      </w:pPr>
      <w:bookmarkStart w:id="3" w:name="_Toc143654050"/>
      <w:r w:rsidRPr="007D6C07">
        <w:t>The UK labour market's present situation</w:t>
      </w:r>
      <w:bookmarkEnd w:id="3"/>
    </w:p>
    <w:p w14:paraId="6A32A601" w14:textId="16E3C353" w:rsidR="00E40F2A" w:rsidRDefault="00294418" w:rsidP="003B3328">
      <w:pPr>
        <w:rPr>
          <w:rFonts w:cs="Times New Roman"/>
          <w:sz w:val="24"/>
          <w:szCs w:val="24"/>
        </w:rPr>
      </w:pPr>
      <w:r w:rsidRPr="003B3328">
        <w:rPr>
          <w:rFonts w:cs="Times New Roman"/>
          <w:sz w:val="24"/>
          <w:szCs w:val="24"/>
        </w:rPr>
        <w:t xml:space="preserve">Beginning about 1979, changes to the labour market engineered by the UK government were frequently portrayed as part of a 'liberation' agenda to encourage a more 'flexible' employment environment. </w:t>
      </w:r>
      <w:r>
        <w:rPr>
          <w:rFonts w:cs="Times New Roman"/>
          <w:sz w:val="24"/>
          <w:szCs w:val="24"/>
        </w:rPr>
        <w:t>Before</w:t>
      </w:r>
      <w:r w:rsidRPr="003B3328">
        <w:rPr>
          <w:rFonts w:cs="Times New Roman"/>
          <w:sz w:val="24"/>
          <w:szCs w:val="24"/>
        </w:rPr>
        <w:t xml:space="preserve"> 1979, the labour market in the United Kingdom was less regulated than in many other European countries. However, it must be more apparent that all subsequent labour market reforms have constantly shifted towards a more liberalised framework (Boon </w:t>
      </w:r>
      <w:r w:rsidR="00C06E5B" w:rsidRPr="00C06E5B">
        <w:rPr>
          <w:rFonts w:cs="Times New Roman"/>
          <w:i/>
          <w:sz w:val="24"/>
          <w:szCs w:val="24"/>
        </w:rPr>
        <w:t>et al.,</w:t>
      </w:r>
      <w:r w:rsidRPr="003B3328">
        <w:rPr>
          <w:rFonts w:cs="Times New Roman"/>
          <w:sz w:val="24"/>
          <w:szCs w:val="24"/>
        </w:rPr>
        <w:t xml:space="preserve"> 2019). The UK's labour market experience differs from other EU member countries. </w:t>
      </w:r>
      <w:r w:rsidR="00950E20">
        <w:rPr>
          <w:rFonts w:cs="Times New Roman"/>
          <w:sz w:val="24"/>
          <w:szCs w:val="24"/>
        </w:rPr>
        <w:t xml:space="preserve">According to </w:t>
      </w:r>
      <w:r w:rsidR="00950E20" w:rsidRPr="00950E20">
        <w:rPr>
          <w:rFonts w:cs="Times New Roman"/>
        </w:rPr>
        <w:t>Azizi</w:t>
      </w:r>
      <w:r w:rsidR="00950E20" w:rsidRPr="00950E20">
        <w:rPr>
          <w:rFonts w:cs="Times New Roman"/>
          <w:sz w:val="24"/>
          <w:szCs w:val="24"/>
        </w:rPr>
        <w:t xml:space="preserve"> </w:t>
      </w:r>
      <w:r w:rsidR="00950E20" w:rsidRPr="00950E20">
        <w:rPr>
          <w:rFonts w:cs="Times New Roman"/>
          <w:i/>
          <w:iCs/>
          <w:sz w:val="24"/>
          <w:szCs w:val="24"/>
        </w:rPr>
        <w:t>et al.</w:t>
      </w:r>
      <w:r w:rsidR="00950E20" w:rsidRPr="00950E20">
        <w:rPr>
          <w:rFonts w:cs="Times New Roman"/>
          <w:sz w:val="24"/>
          <w:szCs w:val="24"/>
        </w:rPr>
        <w:t xml:space="preserve"> (2021),</w:t>
      </w:r>
      <w:r w:rsidR="00950E20">
        <w:rPr>
          <w:rFonts w:cs="Times New Roman"/>
          <w:sz w:val="24"/>
          <w:szCs w:val="24"/>
        </w:rPr>
        <w:t xml:space="preserve"> a</w:t>
      </w:r>
      <w:r w:rsidRPr="003B3328">
        <w:rPr>
          <w:rFonts w:cs="Times New Roman"/>
          <w:sz w:val="24"/>
          <w:szCs w:val="24"/>
        </w:rPr>
        <w:t xml:space="preserve">s a result, our analysis has the potential to provide valuable insights into the ongoing debate within the EU about the intended paths for labour market reforms. </w:t>
      </w:r>
      <w:r w:rsidR="00E40F2A" w:rsidRPr="00E40F2A">
        <w:rPr>
          <w:rFonts w:cs="Times New Roman"/>
          <w:sz w:val="24"/>
          <w:szCs w:val="24"/>
        </w:rPr>
        <w:t xml:space="preserve">The employment rate in the UK increased marginally over the </w:t>
      </w:r>
      <w:r w:rsidR="00077359">
        <w:rPr>
          <w:rFonts w:cs="Times New Roman"/>
          <w:sz w:val="24"/>
          <w:szCs w:val="24"/>
        </w:rPr>
        <w:t>period</w:t>
      </w:r>
      <w:r w:rsidR="00E40F2A" w:rsidRPr="00E40F2A">
        <w:rPr>
          <w:rFonts w:cs="Times New Roman"/>
          <w:sz w:val="24"/>
          <w:szCs w:val="24"/>
        </w:rPr>
        <w:t xml:space="preserve"> under review, rising by a sliver of a percentage point to reach 75.6%. This number was still below its pre-COVID-19 manifestation, though. Although the number of people working full-time reached an unheard-of high during this time, a decline in the number of part-time workers negated the total increase. The labour force participation rate for those between the ages of 16 and 64 also suffered a modest contraction over this time, falling by a fraction of a percentage point to 75.5% at its conclusion, which is still below the benchmarks established before the start of the coronavirus pandemic (Boon et al., 2019).</w:t>
      </w:r>
    </w:p>
    <w:p w14:paraId="7D7C9BBF" w14:textId="44AADED0" w:rsidR="00833857" w:rsidRDefault="00833857" w:rsidP="003B3328">
      <w:pPr>
        <w:rPr>
          <w:rFonts w:cs="Times New Roman"/>
          <w:sz w:val="24"/>
          <w:szCs w:val="24"/>
        </w:rPr>
      </w:pPr>
      <w:r w:rsidRPr="00833857">
        <w:rPr>
          <w:rFonts w:cs="Times New Roman"/>
          <w:sz w:val="24"/>
          <w:szCs w:val="24"/>
        </w:rPr>
        <w:t>The number of people in the workforce who are actively engaged and over the age of sixteen has significantly increased in the most recent quarter. Full-time employment increased during the previous three months, whereas part-time employment increased over those same three months. The May 2022 data shows a monthly increase in the number of payroll employees over the revised April 2022 predictions. As highlighted by Boon and colleagues in 2019, this rise reached an unheard-of employment peak.</w:t>
      </w:r>
    </w:p>
    <w:p w14:paraId="052376EC" w14:textId="03CB38DD" w:rsidR="003B3328" w:rsidRDefault="00294418" w:rsidP="003B3328">
      <w:pPr>
        <w:rPr>
          <w:rFonts w:cs="Times New Roman"/>
          <w:sz w:val="24"/>
          <w:szCs w:val="24"/>
        </w:rPr>
      </w:pPr>
      <w:r w:rsidRPr="003B3328">
        <w:rPr>
          <w:rFonts w:cs="Times New Roman"/>
          <w:sz w:val="24"/>
          <w:szCs w:val="24"/>
        </w:rPr>
        <w:t xml:space="preserve">Compared to the previous quarter, the cumulative weekly work hours they are increased by 12.2 million from February to April 2022, </w:t>
      </w:r>
      <w:r>
        <w:rPr>
          <w:rFonts w:cs="Times New Roman"/>
          <w:sz w:val="24"/>
          <w:szCs w:val="24"/>
        </w:rPr>
        <w:t>totalling</w:t>
      </w:r>
      <w:r w:rsidRPr="003B3328">
        <w:rPr>
          <w:rFonts w:cs="Times New Roman"/>
          <w:sz w:val="24"/>
          <w:szCs w:val="24"/>
        </w:rPr>
        <w:t xml:space="preserve"> 1.04 billion. Nonetheless, compared to pre-Covid levels, this still needs to catch up to 7.6 million hours. The average weekly work hours have practically reverted to pre-COVID epidemic levels. Temporary workers worked an extra 0.6 hours per week than they did before Covid. As a result of the lower workforce, the overall deficit in hours relative to the pre-</w:t>
      </w:r>
      <w:proofErr w:type="spellStart"/>
      <w:r w:rsidRPr="003B3328">
        <w:rPr>
          <w:rFonts w:cs="Times New Roman"/>
          <w:sz w:val="24"/>
          <w:szCs w:val="24"/>
        </w:rPr>
        <w:t>Covid</w:t>
      </w:r>
      <w:proofErr w:type="spellEnd"/>
      <w:r w:rsidRPr="003B3328">
        <w:rPr>
          <w:rFonts w:cs="Times New Roman"/>
          <w:sz w:val="24"/>
          <w:szCs w:val="24"/>
        </w:rPr>
        <w:t xml:space="preserve"> era has lessened.</w:t>
      </w:r>
    </w:p>
    <w:p w14:paraId="26512352" w14:textId="7B4A0C6C" w:rsidR="00294418" w:rsidRPr="003B3328" w:rsidRDefault="00294418" w:rsidP="003B3328">
      <w:pPr>
        <w:rPr>
          <w:rFonts w:cs="Times New Roman"/>
          <w:sz w:val="24"/>
          <w:szCs w:val="24"/>
        </w:rPr>
      </w:pPr>
      <w:r>
        <w:rPr>
          <w:rFonts w:cs="Times New Roman"/>
          <w:noProof/>
          <w:sz w:val="24"/>
          <w:szCs w:val="24"/>
          <w:lang w:val="en-US"/>
        </w:rPr>
        <w:lastRenderedPageBreak/>
        <w:drawing>
          <wp:inline distT="0" distB="0" distL="0" distR="0" wp14:anchorId="1907DEE1" wp14:editId="64F4F402">
            <wp:extent cx="5962650" cy="3319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4803" cy="3325910"/>
                    </a:xfrm>
                    <a:prstGeom prst="rect">
                      <a:avLst/>
                    </a:prstGeom>
                    <a:noFill/>
                  </pic:spPr>
                </pic:pic>
              </a:graphicData>
            </a:graphic>
          </wp:inline>
        </w:drawing>
      </w:r>
    </w:p>
    <w:p w14:paraId="01B3145C" w14:textId="7A625B5C" w:rsidR="00833857" w:rsidRDefault="00077359" w:rsidP="003B3328">
      <w:pPr>
        <w:rPr>
          <w:rFonts w:cs="Times New Roman"/>
          <w:sz w:val="24"/>
          <w:szCs w:val="24"/>
        </w:rPr>
      </w:pPr>
      <w:r w:rsidRPr="00077359">
        <w:rPr>
          <w:rFonts w:cs="Times New Roman"/>
          <w:sz w:val="24"/>
          <w:szCs w:val="24"/>
        </w:rPr>
        <w:t>Between February and April of 2022, the jobless rate went down by 0.2 percentage points, reaching 3.8%. In the last three months, there has been a noticeable rise in the number of people who have been out of work for a long time. As stated by Boon et al. in their work of 2019, this rise is a striking increase that hasn't been seen since the end of 2020.</w:t>
      </w:r>
    </w:p>
    <w:p w14:paraId="1BD5C2B4" w14:textId="5EF6361D" w:rsidR="0051511B" w:rsidRDefault="00294418" w:rsidP="003B3328">
      <w:pPr>
        <w:rPr>
          <w:rFonts w:cs="Times New Roman"/>
          <w:sz w:val="24"/>
          <w:szCs w:val="24"/>
        </w:rPr>
      </w:pPr>
      <w:r w:rsidRPr="003B3328">
        <w:rPr>
          <w:rFonts w:cs="Times New Roman"/>
          <w:sz w:val="24"/>
          <w:szCs w:val="24"/>
        </w:rPr>
        <w:t xml:space="preserve">In any case, the number of people who had been unemployed for more than six months decreased, with those who had been unemployed for six to twelve months hitting a historic low. Similarly, the number of people unemployed for over a year has declined. </w:t>
      </w:r>
      <w:r w:rsidR="0051511B" w:rsidRPr="0051511B">
        <w:rPr>
          <w:rFonts w:cs="Times New Roman"/>
          <w:sz w:val="24"/>
          <w:szCs w:val="24"/>
        </w:rPr>
        <w:t xml:space="preserve">When compared to the previous three-month period, those who were economically inactive dropped due to their student status. In comparison to other European countries, the UK labour market performed well throughout the Great Recession. Unemployment increased by roughly three percentage points, then decreased swiftly and stayed below pre-recession levels until around 2016. The seeming plateau in productivity among employees and salaries is the flip side of this flourishing story. </w:t>
      </w:r>
      <w:r w:rsidR="00077359">
        <w:rPr>
          <w:rFonts w:cs="Times New Roman"/>
          <w:sz w:val="24"/>
          <w:szCs w:val="24"/>
        </w:rPr>
        <w:t>Before</w:t>
      </w:r>
      <w:r w:rsidR="0051511B" w:rsidRPr="0051511B">
        <w:rPr>
          <w:rFonts w:cs="Times New Roman"/>
          <w:sz w:val="24"/>
          <w:szCs w:val="24"/>
        </w:rPr>
        <w:t xml:space="preserve"> 2008, production per hour had been increasing at a 2% annual rate, but the crisis caused a prolonged standstill in productivity growth. These issues, </w:t>
      </w:r>
      <w:r w:rsidR="00077359">
        <w:rPr>
          <w:rFonts w:cs="Times New Roman"/>
          <w:sz w:val="24"/>
          <w:szCs w:val="24"/>
        </w:rPr>
        <w:t xml:space="preserve">according to </w:t>
      </w:r>
      <w:r w:rsidR="00077359" w:rsidRPr="0051511B">
        <w:rPr>
          <w:rFonts w:cs="Times New Roman"/>
          <w:sz w:val="24"/>
          <w:szCs w:val="24"/>
        </w:rPr>
        <w:t xml:space="preserve">Boon </w:t>
      </w:r>
      <w:r w:rsidR="00077359" w:rsidRPr="00077359">
        <w:rPr>
          <w:rFonts w:cs="Times New Roman"/>
          <w:i/>
          <w:iCs/>
          <w:sz w:val="24"/>
          <w:szCs w:val="24"/>
        </w:rPr>
        <w:t>et al.,</w:t>
      </w:r>
      <w:r w:rsidR="00077359" w:rsidRPr="0051511B">
        <w:rPr>
          <w:rFonts w:cs="Times New Roman"/>
          <w:sz w:val="24"/>
          <w:szCs w:val="24"/>
        </w:rPr>
        <w:t xml:space="preserve"> </w:t>
      </w:r>
      <w:r w:rsidR="00077359">
        <w:rPr>
          <w:rFonts w:cs="Times New Roman"/>
          <w:sz w:val="24"/>
          <w:szCs w:val="24"/>
        </w:rPr>
        <w:t>(</w:t>
      </w:r>
      <w:r w:rsidR="00077359" w:rsidRPr="0051511B">
        <w:rPr>
          <w:rFonts w:cs="Times New Roman"/>
          <w:sz w:val="24"/>
          <w:szCs w:val="24"/>
        </w:rPr>
        <w:t>2019)</w:t>
      </w:r>
      <w:r w:rsidR="00077359">
        <w:rPr>
          <w:rFonts w:cs="Times New Roman"/>
          <w:sz w:val="24"/>
          <w:szCs w:val="24"/>
        </w:rPr>
        <w:t xml:space="preserve">, </w:t>
      </w:r>
      <w:r w:rsidR="0051511B" w:rsidRPr="0051511B">
        <w:rPr>
          <w:rFonts w:cs="Times New Roman"/>
          <w:sz w:val="24"/>
          <w:szCs w:val="24"/>
        </w:rPr>
        <w:t>together with the effects of Brexit, pose considerable challenges to the U</w:t>
      </w:r>
      <w:r w:rsidR="00077359">
        <w:rPr>
          <w:rFonts w:cs="Times New Roman"/>
          <w:sz w:val="24"/>
          <w:szCs w:val="24"/>
        </w:rPr>
        <w:t>nited Kingdom</w:t>
      </w:r>
      <w:r w:rsidR="0051511B" w:rsidRPr="0051511B">
        <w:rPr>
          <w:rFonts w:cs="Times New Roman"/>
          <w:sz w:val="24"/>
          <w:szCs w:val="24"/>
        </w:rPr>
        <w:t xml:space="preserve"> authorities</w:t>
      </w:r>
      <w:r w:rsidR="00077359">
        <w:rPr>
          <w:rFonts w:cs="Times New Roman"/>
          <w:sz w:val="24"/>
          <w:szCs w:val="24"/>
        </w:rPr>
        <w:t>.</w:t>
      </w:r>
    </w:p>
    <w:p w14:paraId="4A0777F3" w14:textId="77BA2080" w:rsidR="0051511B" w:rsidRDefault="0051511B" w:rsidP="003B3328">
      <w:pPr>
        <w:rPr>
          <w:rFonts w:cs="Times New Roman"/>
          <w:sz w:val="24"/>
          <w:szCs w:val="24"/>
        </w:rPr>
      </w:pPr>
      <w:r w:rsidRPr="0051511B">
        <w:rPr>
          <w:rFonts w:cs="Times New Roman"/>
          <w:sz w:val="24"/>
          <w:szCs w:val="24"/>
        </w:rPr>
        <w:t>The U</w:t>
      </w:r>
      <w:r w:rsidR="00077359">
        <w:rPr>
          <w:rFonts w:cs="Times New Roman"/>
          <w:sz w:val="24"/>
          <w:szCs w:val="24"/>
        </w:rPr>
        <w:t xml:space="preserve">nited </w:t>
      </w:r>
      <w:r w:rsidRPr="0051511B">
        <w:rPr>
          <w:rFonts w:cs="Times New Roman"/>
          <w:sz w:val="24"/>
          <w:szCs w:val="24"/>
        </w:rPr>
        <w:t>K</w:t>
      </w:r>
      <w:r w:rsidR="00077359">
        <w:rPr>
          <w:rFonts w:cs="Times New Roman"/>
          <w:sz w:val="24"/>
          <w:szCs w:val="24"/>
        </w:rPr>
        <w:t>ingdom</w:t>
      </w:r>
      <w:r w:rsidRPr="0051511B">
        <w:rPr>
          <w:rFonts w:cs="Times New Roman"/>
          <w:sz w:val="24"/>
          <w:szCs w:val="24"/>
        </w:rPr>
        <w:t xml:space="preserve">'s labour </w:t>
      </w:r>
      <w:r w:rsidR="00077359">
        <w:rPr>
          <w:rFonts w:cs="Times New Roman"/>
          <w:sz w:val="24"/>
          <w:szCs w:val="24"/>
        </w:rPr>
        <w:t>spread</w:t>
      </w:r>
      <w:r w:rsidRPr="0051511B">
        <w:rPr>
          <w:rFonts w:cs="Times New Roman"/>
          <w:sz w:val="24"/>
          <w:szCs w:val="24"/>
        </w:rPr>
        <w:t xml:space="preserve"> is usually considered the most influenced by American </w:t>
      </w:r>
      <w:r w:rsidR="00077359">
        <w:rPr>
          <w:rFonts w:cs="Times New Roman"/>
          <w:sz w:val="24"/>
          <w:szCs w:val="24"/>
        </w:rPr>
        <w:t>practices</w:t>
      </w:r>
      <w:r w:rsidRPr="0051511B">
        <w:rPr>
          <w:rFonts w:cs="Times New Roman"/>
          <w:sz w:val="24"/>
          <w:szCs w:val="24"/>
        </w:rPr>
        <w:t xml:space="preserve"> in Europe, despite its EU membership. UK workers have the lowest job security in Europe by a large </w:t>
      </w:r>
      <w:r w:rsidRPr="0051511B">
        <w:rPr>
          <w:rFonts w:cs="Times New Roman"/>
          <w:sz w:val="24"/>
          <w:szCs w:val="24"/>
        </w:rPr>
        <w:lastRenderedPageBreak/>
        <w:t xml:space="preserve">margin. </w:t>
      </w:r>
      <w:r w:rsidR="00077359">
        <w:rPr>
          <w:rFonts w:cs="Times New Roman"/>
          <w:sz w:val="24"/>
          <w:szCs w:val="24"/>
        </w:rPr>
        <w:t>O</w:t>
      </w:r>
      <w:r w:rsidRPr="0051511B">
        <w:rPr>
          <w:rFonts w:cs="Times New Roman"/>
          <w:sz w:val="24"/>
          <w:szCs w:val="24"/>
        </w:rPr>
        <w:t>nly the US, Canada, and New Zealand provide workers with relatively low job security. Also, the UK has historically attracted low- and high-skilled immigrants due to linguistic reasons. The rise of persistent unemployment worries economists and policymakers. Short-term unemployment is caused by talent redistribution in the job market, but a large number of long-term unemployed may indicate structural issues in labour market institutions, highlighting the need for reforms. Long-term unemployment has serious social effects because an economic crisis affects a small percentage of the population more.</w:t>
      </w:r>
    </w:p>
    <w:p w14:paraId="1A60248F" w14:textId="34CD7B7F" w:rsidR="003B3328" w:rsidRPr="003B3328" w:rsidRDefault="00294418" w:rsidP="003B3328">
      <w:pPr>
        <w:rPr>
          <w:rFonts w:cs="Times New Roman"/>
          <w:sz w:val="24"/>
          <w:szCs w:val="24"/>
        </w:rPr>
      </w:pPr>
      <w:r w:rsidRPr="003B3328">
        <w:rPr>
          <w:rFonts w:cs="Times New Roman"/>
          <w:sz w:val="24"/>
          <w:szCs w:val="24"/>
        </w:rPr>
        <w:t xml:space="preserve">It is a substantial contributor to poverty and has an impact on an individual's emotional and physical well-being. Furthermore, workers' lengthy absence from the labour market may deteriorate their skill set, making it increasingly difficult for them to find </w:t>
      </w:r>
      <w:r>
        <w:rPr>
          <w:rFonts w:cs="Times New Roman"/>
          <w:sz w:val="24"/>
          <w:szCs w:val="24"/>
        </w:rPr>
        <w:t>jobs</w:t>
      </w:r>
      <w:r w:rsidRPr="003B3328">
        <w:rPr>
          <w:rFonts w:cs="Times New Roman"/>
          <w:sz w:val="24"/>
          <w:szCs w:val="24"/>
        </w:rPr>
        <w:t xml:space="preserve"> in the future. This scenario could create a self-perpetuating loop, exacerbating the initial jobless rate.</w:t>
      </w:r>
    </w:p>
    <w:p w14:paraId="5B9F817C" w14:textId="77777777" w:rsidR="0051511B" w:rsidRDefault="0051511B" w:rsidP="003B3328">
      <w:pPr>
        <w:rPr>
          <w:rFonts w:cs="Times New Roman"/>
          <w:sz w:val="24"/>
          <w:szCs w:val="24"/>
        </w:rPr>
      </w:pPr>
      <w:r w:rsidRPr="0051511B">
        <w:rPr>
          <w:rFonts w:cs="Times New Roman"/>
          <w:sz w:val="24"/>
          <w:szCs w:val="24"/>
        </w:rPr>
        <w:t>According to Ngoc Su et al., 40% of UK unemployed persons had been unemployed for a long time in 2021. This figure is significant yet low compared to other European countries. The EA18 had about 20% more long-term unemployment than the UK (Smith 2019).</w:t>
      </w:r>
    </w:p>
    <w:p w14:paraId="17E03594" w14:textId="06DCB1D9" w:rsidR="003B3328" w:rsidRDefault="00294418" w:rsidP="003B3328">
      <w:pPr>
        <w:rPr>
          <w:rFonts w:cs="Times New Roman"/>
          <w:sz w:val="24"/>
          <w:szCs w:val="24"/>
        </w:rPr>
      </w:pPr>
      <w:r w:rsidRPr="003B3328">
        <w:rPr>
          <w:rFonts w:cs="Times New Roman"/>
          <w:sz w:val="24"/>
          <w:szCs w:val="24"/>
        </w:rPr>
        <w:t>Furthermore, although the UK saw a reduction in the share of long-term unemployment beginning in 2013 and stabilising by 2017, the EA18 region has just recently returned to pre-recession levels of long-term unemployment. Unemployment among young employees is of particular concern, as it may contribute to elevated unemployment rates in the future. Furthermore, as Boon et al. stated in 2019, the high unemployment rate within this cohort may signal lower future earnings potential because young unemployed persons must participate in college or get work market experience.</w:t>
      </w:r>
    </w:p>
    <w:p w14:paraId="745D3179" w14:textId="77777777" w:rsidR="003B3328" w:rsidRPr="003B3328" w:rsidRDefault="003B3328" w:rsidP="003B3328">
      <w:pPr>
        <w:rPr>
          <w:rFonts w:cs="Times New Roman"/>
          <w:sz w:val="24"/>
          <w:szCs w:val="24"/>
        </w:rPr>
      </w:pPr>
    </w:p>
    <w:p w14:paraId="7F222DDC" w14:textId="77777777" w:rsidR="001E2272" w:rsidRDefault="001E2272">
      <w:pPr>
        <w:spacing w:line="259" w:lineRule="auto"/>
        <w:jc w:val="left"/>
        <w:rPr>
          <w:rFonts w:eastAsiaTheme="majorEastAsia" w:cstheme="majorBidi"/>
          <w:b/>
          <w:sz w:val="32"/>
          <w:szCs w:val="32"/>
        </w:rPr>
      </w:pPr>
      <w:r>
        <w:br w:type="page"/>
      </w:r>
    </w:p>
    <w:p w14:paraId="6C89E772" w14:textId="6B3C309F" w:rsidR="0051511B" w:rsidRDefault="0051511B" w:rsidP="00944B78">
      <w:pPr>
        <w:pStyle w:val="Heading1"/>
      </w:pPr>
      <w:bookmarkStart w:id="4" w:name="_Toc143654051"/>
      <w:r w:rsidRPr="0051511B">
        <w:lastRenderedPageBreak/>
        <w:t>Strategies for Human Resources in the Post-Covid Era</w:t>
      </w:r>
      <w:bookmarkEnd w:id="4"/>
    </w:p>
    <w:p w14:paraId="1B418A3A" w14:textId="6CAD11D8" w:rsidR="003B3328" w:rsidRPr="003B3328" w:rsidRDefault="0051511B" w:rsidP="003B3328">
      <w:pPr>
        <w:rPr>
          <w:rFonts w:eastAsia="Times New Roman" w:cs="Times New Roman"/>
          <w:kern w:val="0"/>
          <w:sz w:val="24"/>
          <w:szCs w:val="24"/>
          <w:lang w:eastAsia="en-IN"/>
          <w14:ligatures w14:val="none"/>
        </w:rPr>
      </w:pPr>
      <w:r w:rsidRPr="0051511B">
        <w:rPr>
          <w:rFonts w:eastAsia="Times New Roman" w:cs="Times New Roman"/>
          <w:kern w:val="0"/>
          <w:sz w:val="24"/>
          <w:szCs w:val="24"/>
          <w:lang w:eastAsia="en-IN"/>
          <w14:ligatures w14:val="none"/>
        </w:rPr>
        <w:t xml:space="preserve">Recruitment and retention Strategies are administration abilities that focus on getting people and groups to join a company, keeping them there, and keeping them motivated. Human resource management is the process of making sure that human talent is used efficiently and effectively to help a company reach its goals. </w:t>
      </w:r>
      <w:r w:rsidRPr="003B3328">
        <w:rPr>
          <w:rFonts w:eastAsia="Times New Roman" w:cs="Times New Roman"/>
          <w:kern w:val="0"/>
          <w:sz w:val="24"/>
          <w:szCs w:val="24"/>
          <w:lang w:eastAsia="en-IN"/>
          <w14:ligatures w14:val="none"/>
        </w:rPr>
        <w:t>This entails developing policies, practises, and procedures that impact employees' attitudes, behaviour, and performance (Mihut, 2021). It comprises the skilled and efficient use of human resources to achieve diverse organisational goals. It is concerned with managing workforce dynamics in Business Administration, which includes developing policies, processes, systems, and guidelines to influence employees' experiences within the organisation. Human Resource Strategies include organisational leadership and human resource management. They employ tactics, methods, procedures, and methodologies that enable individuals to achieve their objectives, enriching their positive contributions to the organisation and its aims (Mihut, 2021).</w:t>
      </w:r>
    </w:p>
    <w:p w14:paraId="3C60A112" w14:textId="0C2E71F2"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Since February 2020, a devastating ailment known as COVID-19, caused by the Coronavirus, has been sickening people all across the planet. Organisations worldwide have been dealing with the fallout from the COVID-19 epidemic </w:t>
      </w:r>
      <w:r>
        <w:rPr>
          <w:rFonts w:eastAsia="Times New Roman" w:cs="Times New Roman"/>
          <w:kern w:val="0"/>
          <w:sz w:val="24"/>
          <w:szCs w:val="24"/>
          <w:lang w:eastAsia="en-IN"/>
          <w14:ligatures w14:val="none"/>
        </w:rPr>
        <w:t>at</w:t>
      </w:r>
      <w:r w:rsidRPr="003B3328">
        <w:rPr>
          <w:rFonts w:eastAsia="Times New Roman" w:cs="Times New Roman"/>
          <w:kern w:val="0"/>
          <w:sz w:val="24"/>
          <w:szCs w:val="24"/>
          <w:lang w:eastAsia="en-IN"/>
          <w14:ligatures w14:val="none"/>
        </w:rPr>
        <w:t xml:space="preserve"> various levels (Wachter, 2020). By April 6, they had already lost around 20 million jobs, surpassing the total lost during the Great Recession. As a result, there is a risk of an increase in the unemployment rate following the COVID-19 era. The COVID-19 outbreak, a massive catastrophe, poses a significant challenge to top management and a significant chance to develop a culture of trust, requiring both trustworthiness and dedication. While these obstacles materialise in various dimensions such as geography, industry, and business growth, identifying and implementing effective personnel strategies and intelligent ways to remote work emerge as the most challenging and critical jobs (Wachter, 2020).</w:t>
      </w:r>
    </w:p>
    <w:p w14:paraId="62100CC0" w14:textId="77777777"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Organisations are changing and implementing new techniques in reaction to the pandemic crisis. They seek creative leadership to implement fresh tactics to overcome hurdles and ensure survival. During this crisis, forward-thinking management is focused on the general well-being of everyone. This strategy fosters an atmosphere where employees and customers become more productive and efficient. The need for advances in human resource practises is critical (Wachter, 2020).</w:t>
      </w:r>
    </w:p>
    <w:p w14:paraId="1CC5FA18" w14:textId="676DA4AB"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Proposing new approaches to successfully manage staff, boost productivity, and assure employee happiness is critical for navigating the pandemic's hurdles. These HRM </w:t>
      </w:r>
      <w:r>
        <w:rPr>
          <w:rFonts w:eastAsia="Times New Roman" w:cs="Times New Roman"/>
          <w:kern w:val="0"/>
          <w:sz w:val="24"/>
          <w:szCs w:val="24"/>
          <w:lang w:eastAsia="en-IN"/>
          <w14:ligatures w14:val="none"/>
        </w:rPr>
        <w:t>practices</w:t>
      </w:r>
      <w:r w:rsidRPr="003B3328">
        <w:rPr>
          <w:rFonts w:eastAsia="Times New Roman" w:cs="Times New Roman"/>
          <w:kern w:val="0"/>
          <w:sz w:val="24"/>
          <w:szCs w:val="24"/>
          <w:lang w:eastAsia="en-IN"/>
          <w14:ligatures w14:val="none"/>
        </w:rPr>
        <w:t xml:space="preserve"> are anticipated to </w:t>
      </w:r>
      <w:r w:rsidRPr="003B3328">
        <w:rPr>
          <w:rFonts w:eastAsia="Times New Roman" w:cs="Times New Roman"/>
          <w:kern w:val="0"/>
          <w:sz w:val="24"/>
          <w:szCs w:val="24"/>
          <w:lang w:eastAsia="en-IN"/>
          <w14:ligatures w14:val="none"/>
        </w:rPr>
        <w:lastRenderedPageBreak/>
        <w:t>play a crucial impact in moulding employees' experiences within organisations and accord with the organization's commitment to the well-being of stakeholders (Wachter, 2020).</w:t>
      </w:r>
    </w:p>
    <w:p w14:paraId="7218241C" w14:textId="3A7DCACF"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Several changes must be made to organisations' post-Covid-19 policy and operating </w:t>
      </w:r>
      <w:r>
        <w:rPr>
          <w:rFonts w:eastAsia="Times New Roman" w:cs="Times New Roman"/>
          <w:kern w:val="0"/>
          <w:sz w:val="24"/>
          <w:szCs w:val="24"/>
          <w:lang w:eastAsia="en-IN"/>
          <w14:ligatures w14:val="none"/>
        </w:rPr>
        <w:t>practices</w:t>
      </w:r>
      <w:r w:rsidRPr="003B3328">
        <w:rPr>
          <w:rFonts w:eastAsia="Times New Roman" w:cs="Times New Roman"/>
          <w:kern w:val="0"/>
          <w:sz w:val="24"/>
          <w:szCs w:val="24"/>
          <w:lang w:eastAsia="en-IN"/>
          <w14:ligatures w14:val="none"/>
        </w:rPr>
        <w:t xml:space="preserve">. Employee participation is critical for overcoming this difficult period. Employees may experience feelings of loneliness, confusion, and a desire for more information. Implementing social distancing measures is challenging in maintaining regular processes, procedures, and participation, emphasising the need </w:t>
      </w:r>
      <w:r>
        <w:rPr>
          <w:rFonts w:eastAsia="Times New Roman" w:cs="Times New Roman"/>
          <w:kern w:val="0"/>
          <w:sz w:val="24"/>
          <w:szCs w:val="24"/>
          <w:lang w:eastAsia="en-IN"/>
          <w14:ligatures w14:val="none"/>
        </w:rPr>
        <w:t>for</w:t>
      </w:r>
      <w:r w:rsidRPr="003B3328">
        <w:rPr>
          <w:rFonts w:eastAsia="Times New Roman" w:cs="Times New Roman"/>
          <w:kern w:val="0"/>
          <w:sz w:val="24"/>
          <w:szCs w:val="24"/>
          <w:lang w:eastAsia="en-IN"/>
          <w14:ligatures w14:val="none"/>
        </w:rPr>
        <w:t xml:space="preserve"> HR specialists.</w:t>
      </w:r>
    </w:p>
    <w:p w14:paraId="4D53CED0" w14:textId="3949D992" w:rsid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Given these multiple problems, human resources </w:t>
      </w:r>
      <w:r>
        <w:rPr>
          <w:rFonts w:eastAsia="Times New Roman" w:cs="Times New Roman"/>
          <w:kern w:val="0"/>
          <w:sz w:val="24"/>
          <w:szCs w:val="24"/>
          <w:lang w:eastAsia="en-IN"/>
          <w14:ligatures w14:val="none"/>
        </w:rPr>
        <w:t>serve</w:t>
      </w:r>
      <w:r w:rsidRPr="003B3328">
        <w:rPr>
          <w:rFonts w:eastAsia="Times New Roman" w:cs="Times New Roman"/>
          <w:kern w:val="0"/>
          <w:sz w:val="24"/>
          <w:szCs w:val="24"/>
          <w:lang w:eastAsia="en-IN"/>
          <w14:ligatures w14:val="none"/>
        </w:rPr>
        <w:t xml:space="preserve"> as a critical lifeblood for every organisation, necessitating precise attention and perseverance to handle the post-Covid situation. </w:t>
      </w:r>
      <w:r w:rsidR="0051511B" w:rsidRPr="0051511B">
        <w:rPr>
          <w:rFonts w:eastAsia="Times New Roman" w:cs="Times New Roman"/>
          <w:kern w:val="0"/>
          <w:sz w:val="24"/>
          <w:szCs w:val="24"/>
          <w:lang w:eastAsia="en-IN"/>
          <w14:ligatures w14:val="none"/>
        </w:rPr>
        <w:t>Lastly, these problems are mostly about the people affected by this worldwide epidemic, which will lead to a major change in HR jobs after Covid (Wachter, 2020).</w:t>
      </w:r>
    </w:p>
    <w:p w14:paraId="3804C59F" w14:textId="77777777" w:rsidR="00944B78" w:rsidRDefault="00944B78">
      <w:pPr>
        <w:rPr>
          <w:rFonts w:eastAsiaTheme="majorEastAsia" w:cstheme="majorBidi"/>
          <w:b/>
          <w:sz w:val="32"/>
          <w:szCs w:val="32"/>
        </w:rPr>
      </w:pPr>
      <w:r>
        <w:br w:type="page"/>
      </w:r>
    </w:p>
    <w:p w14:paraId="39148F76" w14:textId="41DF8BD8" w:rsidR="007D6C07" w:rsidRDefault="007D6C07" w:rsidP="00944B78">
      <w:pPr>
        <w:pStyle w:val="Heading1"/>
      </w:pPr>
      <w:bookmarkStart w:id="5" w:name="_Toc143654052"/>
      <w:r w:rsidRPr="007D6C07">
        <w:lastRenderedPageBreak/>
        <w:t>The present study aims to explore the implications of the post-Brexit external environment on human resourcing methods.</w:t>
      </w:r>
      <w:bookmarkEnd w:id="5"/>
    </w:p>
    <w:p w14:paraId="4959FDA9" w14:textId="2441D728" w:rsidR="003B3328" w:rsidRDefault="007D6C07" w:rsidP="00077359">
      <w:pPr>
        <w:pStyle w:val="NormalWeb"/>
      </w:pPr>
      <w:r w:rsidRPr="007D6C07">
        <w:t>The process of Brexit is a multifaceted endeavour that has been expected over an extended period.</w:t>
      </w:r>
      <w:r w:rsidRPr="003B3328">
        <w:t xml:space="preserve"> </w:t>
      </w:r>
      <w:r>
        <w:t>Even though</w:t>
      </w:r>
      <w:r w:rsidRPr="003B3328">
        <w:t xml:space="preserve"> businesses on both sides of the split have been assiduously preparing for it, there will unavoidably be many difficulties and challenges to overcome throughout the process. </w:t>
      </w:r>
      <w:r w:rsidR="00077359">
        <w:t xml:space="preserve">Upon the closure of January 31st, 2020, the United Kingdom ceremoniously finalized its tenure within the European Union (Wachter, 2020). </w:t>
      </w:r>
      <w:r w:rsidRPr="007D6C07">
        <w:t xml:space="preserve">Subsequently, European Union (EU) citizens who are currently residing in the United Kingdom (UK) were granted a deadline of June 30, 2021, within which they were required to submit applications </w:t>
      </w:r>
      <w:r w:rsidR="00077359">
        <w:t>to</w:t>
      </w:r>
      <w:r w:rsidRPr="007D6C07">
        <w:t xml:space="preserve"> formalise their legal status and secure their residency in the UK. </w:t>
      </w:r>
      <w:r w:rsidRPr="003B3328">
        <w:t>As of June 30, 2021, the total number of applications was 6,015,400, with a considerable fraction of these applications (over a million) still pending at the time of writing. The depth of this uncertainty is confusing, and we understand the responsibility you undertake on behalf of the organisation as an HR professional (Wachter, 2020).</w:t>
      </w:r>
    </w:p>
    <w:p w14:paraId="0CE7D8A0" w14:textId="462A260E" w:rsidR="00294418" w:rsidRDefault="00294418" w:rsidP="00077359">
      <w:pPr>
        <w:pStyle w:val="NormalWeb"/>
      </w:pPr>
      <w:r>
        <w:rPr>
          <w:noProof/>
          <w:lang w:val="en-US" w:eastAsia="en-US"/>
        </w:rPr>
        <w:drawing>
          <wp:inline distT="0" distB="0" distL="0" distR="0" wp14:anchorId="5D4F1A7F" wp14:editId="416E7924">
            <wp:extent cx="5543550" cy="3571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6130" cy="3573292"/>
                    </a:xfrm>
                    <a:prstGeom prst="rect">
                      <a:avLst/>
                    </a:prstGeom>
                    <a:noFill/>
                  </pic:spPr>
                </pic:pic>
              </a:graphicData>
            </a:graphic>
          </wp:inline>
        </w:drawing>
      </w:r>
    </w:p>
    <w:p w14:paraId="5A02C7F8" w14:textId="7135A92B" w:rsidR="00294418" w:rsidRPr="003B3328" w:rsidRDefault="00294418" w:rsidP="00077359">
      <w:pPr>
        <w:pStyle w:val="NormalWeb"/>
      </w:pPr>
      <w:r>
        <w:t>SOURCE:-</w:t>
      </w:r>
      <w:r w:rsidRPr="00294418">
        <w:t xml:space="preserve"> </w:t>
      </w:r>
      <w:hyperlink r:id="rId9" w:history="1">
        <w:r w:rsidRPr="00294418">
          <w:rPr>
            <w:rStyle w:val="Hyperlink"/>
          </w:rPr>
          <w:t>https://www.ons.gov.uk/employmentandlabourmarket/peopleinwork/employmentandemployeetypes/bulletins/uklabourmarket/august2020</w:t>
        </w:r>
      </w:hyperlink>
    </w:p>
    <w:p w14:paraId="1C652020" w14:textId="2C669270" w:rsidR="003B3328" w:rsidRPr="003B3328" w:rsidRDefault="00294418" w:rsidP="003B3328">
      <w:pPr>
        <w:rPr>
          <w:rFonts w:cs="Times New Roman"/>
          <w:sz w:val="24"/>
          <w:szCs w:val="24"/>
        </w:rPr>
      </w:pPr>
      <w:r w:rsidRPr="003B3328">
        <w:rPr>
          <w:rFonts w:cs="Times New Roman"/>
          <w:sz w:val="24"/>
          <w:szCs w:val="24"/>
        </w:rPr>
        <w:t xml:space="preserve">The climate issue received little attention during the pre-mandate discussions, primarily focused on public opinion, migration, and the economy. During the 2017 election, this component was also </w:t>
      </w:r>
      <w:r w:rsidRPr="003B3328">
        <w:rPr>
          <w:rFonts w:cs="Times New Roman"/>
          <w:sz w:val="24"/>
          <w:szCs w:val="24"/>
        </w:rPr>
        <w:lastRenderedPageBreak/>
        <w:t>obscured. However, because of the significant influence of the UK's environmental regulations due to its EU membership, the climate has acquired relevance as the Brexit process proceeds</w:t>
      </w:r>
      <w:r w:rsidR="007D6C07">
        <w:rPr>
          <w:rFonts w:cs="Times New Roman"/>
          <w:sz w:val="24"/>
          <w:szCs w:val="24"/>
        </w:rPr>
        <w:t>.</w:t>
      </w:r>
    </w:p>
    <w:p w14:paraId="6A69C348" w14:textId="77777777" w:rsidR="007D6C07" w:rsidRDefault="007D6C07" w:rsidP="003B3328">
      <w:pPr>
        <w:rPr>
          <w:rFonts w:cs="Times New Roman"/>
          <w:sz w:val="24"/>
          <w:szCs w:val="24"/>
        </w:rPr>
      </w:pPr>
      <w:r w:rsidRPr="007D6C07">
        <w:rPr>
          <w:rFonts w:cs="Times New Roman"/>
          <w:sz w:val="24"/>
          <w:szCs w:val="24"/>
        </w:rPr>
        <w:t>Based on a recent governmental evaluation of the anticipated consequences of Brexit on several governmental departments, it has been determined that the Department for Environment, Food, and Rural Affairs will experience a significant impact, ranking as the second-most affected sector. This estimate is based on the fact that around 80% of the department's responsibilities are intricately linked to the European Union. Multiple studies have identified various challenges associated with the localization of environmental legislation and the corresponding management framework. This study has raised significant concerns over the enduring impacts of Brexit on the efficacy and coherence of the environmental policy of the United Kingdom.</w:t>
      </w:r>
    </w:p>
    <w:p w14:paraId="1A95ECB9" w14:textId="77777777" w:rsidR="007D6C07" w:rsidRDefault="00294418" w:rsidP="003B3328">
      <w:pPr>
        <w:rPr>
          <w:rFonts w:cs="Times New Roman"/>
          <w:sz w:val="24"/>
          <w:szCs w:val="24"/>
        </w:rPr>
      </w:pPr>
      <w:r w:rsidRPr="003B3328">
        <w:rPr>
          <w:rFonts w:cs="Times New Roman"/>
          <w:sz w:val="24"/>
          <w:szCs w:val="24"/>
        </w:rPr>
        <w:t xml:space="preserve">There are also more significant consequences in the field of party politics. Some have used anti-EU rhetoric to oppose EU environmental rules, often called "green tape." </w:t>
      </w:r>
      <w:r w:rsidR="007D6C07" w:rsidRPr="007D6C07">
        <w:rPr>
          <w:rFonts w:cs="Times New Roman"/>
          <w:sz w:val="24"/>
          <w:szCs w:val="24"/>
        </w:rPr>
        <w:t>The implementation of this transition has led to the politicisation of environmental policy, resulting in a contentious environment. This has introduced uncertainties within the sector, which requires consistent long-term strategic planning and stability to achieve important objectives such as decarbonization (Azizi et al., 2021).</w:t>
      </w:r>
    </w:p>
    <w:p w14:paraId="3452E59D" w14:textId="263000A8" w:rsidR="003B3328" w:rsidRPr="003B3328" w:rsidRDefault="00294418" w:rsidP="003B3328">
      <w:pPr>
        <w:rPr>
          <w:rFonts w:cs="Times New Roman"/>
          <w:sz w:val="24"/>
          <w:szCs w:val="24"/>
        </w:rPr>
      </w:pPr>
      <w:r w:rsidRPr="003B3328">
        <w:rPr>
          <w:rFonts w:cs="Times New Roman"/>
          <w:sz w:val="24"/>
          <w:szCs w:val="24"/>
        </w:rPr>
        <w:t xml:space="preserve">The concept of a degraded approach region termed "natural strategy" raises substantial broader implications regarding Westminster's relationship with the regressed nations. While the conclusion of the Brexit process is uncertain, there will almost certainly be negative consequences for the UK's environmental policy (Fitriyani </w:t>
      </w:r>
      <w:r w:rsidR="00C06E5B" w:rsidRPr="00C06E5B">
        <w:rPr>
          <w:rFonts w:cs="Times New Roman"/>
          <w:i/>
          <w:sz w:val="24"/>
          <w:szCs w:val="24"/>
        </w:rPr>
        <w:t>et al.,</w:t>
      </w:r>
      <w:r w:rsidRPr="003B3328">
        <w:rPr>
          <w:rFonts w:cs="Times New Roman"/>
          <w:sz w:val="24"/>
          <w:szCs w:val="24"/>
        </w:rPr>
        <w:t xml:space="preserve"> 2020). Environmental advocacy groups expressed grave alarm immediately after the decision that Brexit would result in weaker environmental standards. They specifically mentioned the possibility of the UK leaving the EU, resulting in regulatory gaps in its environmental framework, insufficient coordination, inconsistent policies across the country, and deliberate policy preservation. This chapter dives into the difficulties surrounding each of these concerns, examines the government's efforts to address these obstacles, and assesses the success of its approach, either as it has unfolded or as it is anticipated to develop (Fitriyani </w:t>
      </w:r>
      <w:r w:rsidR="00C06E5B" w:rsidRPr="00C06E5B">
        <w:rPr>
          <w:rFonts w:cs="Times New Roman"/>
          <w:i/>
          <w:sz w:val="24"/>
          <w:szCs w:val="24"/>
        </w:rPr>
        <w:t>et al.,</w:t>
      </w:r>
      <w:r w:rsidRPr="003B3328">
        <w:rPr>
          <w:rFonts w:cs="Times New Roman"/>
          <w:sz w:val="24"/>
          <w:szCs w:val="24"/>
        </w:rPr>
        <w:t xml:space="preserve"> 2020).</w:t>
      </w:r>
    </w:p>
    <w:p w14:paraId="6B3F8642" w14:textId="50F54007" w:rsidR="003B3328" w:rsidRPr="003B3328" w:rsidRDefault="00294418" w:rsidP="003B3328">
      <w:pPr>
        <w:rPr>
          <w:rFonts w:cs="Times New Roman"/>
          <w:sz w:val="24"/>
          <w:szCs w:val="24"/>
        </w:rPr>
      </w:pPr>
      <w:r w:rsidRPr="003B3328">
        <w:rPr>
          <w:rFonts w:cs="Times New Roman"/>
          <w:sz w:val="24"/>
          <w:szCs w:val="24"/>
        </w:rPr>
        <w:t xml:space="preserve">In addition to the projected gaps in administrative processes, Brexit might result in severe shortcomings in natural resource management. A symbiotic relationship with the European Union is interwoven across the United Kingdom's whole policy cycle. This includes policy development, expert advice, data collection, oversight, execution, and enforcement (Moradlou </w:t>
      </w:r>
      <w:r w:rsidR="00C06E5B" w:rsidRPr="00C06E5B">
        <w:rPr>
          <w:rFonts w:cs="Times New Roman"/>
          <w:i/>
          <w:sz w:val="24"/>
          <w:szCs w:val="24"/>
        </w:rPr>
        <w:t>et al.,</w:t>
      </w:r>
      <w:r w:rsidRPr="003B3328">
        <w:rPr>
          <w:rFonts w:cs="Times New Roman"/>
          <w:sz w:val="24"/>
          <w:szCs w:val="24"/>
        </w:rPr>
        <w:t xml:space="preserve"> 2021).</w:t>
      </w:r>
    </w:p>
    <w:p w14:paraId="1D232F1A" w14:textId="77777777" w:rsidR="00077359" w:rsidRPr="00077359" w:rsidRDefault="007D6C07" w:rsidP="003B3328">
      <w:pPr>
        <w:rPr>
          <w:rFonts w:cs="Times New Roman"/>
          <w:sz w:val="24"/>
          <w:szCs w:val="24"/>
        </w:rPr>
      </w:pPr>
      <w:r w:rsidRPr="007D6C07">
        <w:rPr>
          <w:rFonts w:cs="Times New Roman"/>
          <w:sz w:val="24"/>
          <w:szCs w:val="24"/>
        </w:rPr>
        <w:lastRenderedPageBreak/>
        <w:t xml:space="preserve">The United Kingdom derives advantages from its capacity to leverage the knowledge and proficiency of the European Commission, alongside diverse agencies such as the European Environment Agency and the European Chemicals Agency, in addition to other member states within the European Union. </w:t>
      </w:r>
      <w:r w:rsidR="00077359" w:rsidRPr="00077359">
        <w:rPr>
          <w:rFonts w:cs="Times New Roman"/>
          <w:sz w:val="24"/>
          <w:szCs w:val="24"/>
        </w:rPr>
        <w:t>Nevertheless, the pathway to these reservoirs of wisdom and progress shall unfurl its gates solely in the wake of the culmination of the Brexit transition phase (Fitriyani et al., 2020).</w:t>
      </w:r>
    </w:p>
    <w:p w14:paraId="59D26A37" w14:textId="30ADF881" w:rsidR="003B3328" w:rsidRDefault="0051511B" w:rsidP="003B3328">
      <w:pPr>
        <w:rPr>
          <w:rFonts w:cs="Times New Roman"/>
          <w:sz w:val="24"/>
          <w:szCs w:val="24"/>
        </w:rPr>
      </w:pPr>
      <w:r w:rsidRPr="0051511B">
        <w:rPr>
          <w:rFonts w:cs="Times New Roman"/>
          <w:sz w:val="24"/>
          <w:szCs w:val="24"/>
        </w:rPr>
        <w:t xml:space="preserve">The withdrawal of the United Kingdom from the European Union augments the probability of significant deficiencies in the management of natural resources and the regulation of the environment. </w:t>
      </w:r>
      <w:r w:rsidR="00950E20">
        <w:rPr>
          <w:rFonts w:cs="Times New Roman"/>
          <w:sz w:val="24"/>
          <w:szCs w:val="24"/>
        </w:rPr>
        <w:t xml:space="preserve">As per the view of </w:t>
      </w:r>
      <w:r w:rsidR="00950E20">
        <w:t>Moradlou</w:t>
      </w:r>
      <w:r w:rsidR="00950E20">
        <w:rPr>
          <w:rFonts w:cs="Times New Roman"/>
          <w:sz w:val="24"/>
          <w:szCs w:val="24"/>
        </w:rPr>
        <w:t xml:space="preserve"> </w:t>
      </w:r>
      <w:r w:rsidR="00C06E5B" w:rsidRPr="00C06E5B">
        <w:rPr>
          <w:rFonts w:cs="Times New Roman"/>
          <w:i/>
          <w:iCs/>
          <w:sz w:val="24"/>
          <w:szCs w:val="24"/>
        </w:rPr>
        <w:t>et al.,</w:t>
      </w:r>
      <w:r w:rsidR="00950E20">
        <w:rPr>
          <w:rFonts w:cs="Times New Roman"/>
          <w:sz w:val="24"/>
          <w:szCs w:val="24"/>
        </w:rPr>
        <w:t xml:space="preserve"> (2021), t</w:t>
      </w:r>
      <w:r w:rsidRPr="003B3328">
        <w:rPr>
          <w:rFonts w:cs="Times New Roman"/>
          <w:sz w:val="24"/>
          <w:szCs w:val="24"/>
        </w:rPr>
        <w:t>he EU framework's synergy, which facilitates the flow of information, collaborative activities, and shared expertise, may decline post-Brexit. As a result, the UK's ability to manage and safeguard its natural resources may be jeopardised, demanding a deliberate effort to build new institutions and alliances to fill the hole left by Brexit.</w:t>
      </w:r>
    </w:p>
    <w:p w14:paraId="4D69D12E" w14:textId="77777777" w:rsidR="003B3328" w:rsidRDefault="003B3328" w:rsidP="003B3328">
      <w:pPr>
        <w:rPr>
          <w:rFonts w:cs="Times New Roman"/>
          <w:sz w:val="24"/>
          <w:szCs w:val="24"/>
        </w:rPr>
      </w:pPr>
    </w:p>
    <w:p w14:paraId="6B36264E" w14:textId="77777777" w:rsidR="001E2272" w:rsidRDefault="001E2272">
      <w:pPr>
        <w:spacing w:line="259" w:lineRule="auto"/>
        <w:jc w:val="left"/>
        <w:rPr>
          <w:rFonts w:eastAsiaTheme="majorEastAsia" w:cstheme="majorBidi"/>
          <w:b/>
          <w:sz w:val="32"/>
          <w:szCs w:val="32"/>
        </w:rPr>
      </w:pPr>
      <w:r>
        <w:br w:type="page"/>
      </w:r>
    </w:p>
    <w:p w14:paraId="168723F5" w14:textId="5D4640F0" w:rsidR="001A4FE3" w:rsidRPr="003B3328" w:rsidRDefault="00294418" w:rsidP="00944B78">
      <w:pPr>
        <w:pStyle w:val="Heading1"/>
      </w:pPr>
      <w:bookmarkStart w:id="6" w:name="_Toc143654053"/>
      <w:r w:rsidRPr="003B3328">
        <w:lastRenderedPageBreak/>
        <w:t>Conclusion</w:t>
      </w:r>
      <w:bookmarkEnd w:id="6"/>
    </w:p>
    <w:p w14:paraId="7F8CFB4D" w14:textId="2986FEA8" w:rsidR="001A4FE3" w:rsidRDefault="00950E20" w:rsidP="001E2272">
      <w:r>
        <w:t xml:space="preserve">As per the view of Azizi </w:t>
      </w:r>
      <w:r w:rsidR="00C06E5B" w:rsidRPr="00C06E5B">
        <w:rPr>
          <w:i/>
          <w:iCs/>
        </w:rPr>
        <w:t>et al.,</w:t>
      </w:r>
      <w:r>
        <w:t xml:space="preserve"> (2021), the post-Coronavirus era provides pioneers with an extraordinary opportunity for introspection and severe contemplation, a luxury typically lacking in traditional work contexts. The pandemic's impact will likely force many businesses to rethink operating methods, boosting adaptation to technological improvements. This strategic evolution, which began during lockdowns, is expected to last beyond the pandemic, becoming a staple of normalcy. Technology and decentralised processes underpin reality in this changing professional world. According to Wachter (2020), the evolution of the European Union's environmental legislation in the setting of the United Kingdom has been fraught with difficulties, as exemplified by the moniker 'Dirty Man of Europe.' British officials should have considered the consequences of EU membership on domestic environmental policies, notably the unanticipated costs of integrating tactics created for diverse policy frameworks. The story of the United Kingdom's absorption into European environmental policy captures the path of UK officials and ministers learning the complexities of EU dynamics and strategically influencing policies rather than continually and often futilely fighting them.</w:t>
      </w:r>
    </w:p>
    <w:p w14:paraId="37B2DD13" w14:textId="77777777" w:rsidR="003B3328" w:rsidRDefault="003B3328" w:rsidP="001E2272"/>
    <w:p w14:paraId="6E210DDE" w14:textId="77777777" w:rsidR="003B3328" w:rsidRDefault="003B3328" w:rsidP="003B3328">
      <w:pPr>
        <w:pStyle w:val="NormalWeb"/>
      </w:pPr>
    </w:p>
    <w:p w14:paraId="34D503D6" w14:textId="77777777" w:rsidR="00944B78" w:rsidRDefault="00944B78">
      <w:pPr>
        <w:rPr>
          <w:rFonts w:eastAsiaTheme="majorEastAsia" w:cstheme="majorBidi"/>
          <w:b/>
          <w:sz w:val="32"/>
          <w:szCs w:val="32"/>
        </w:rPr>
      </w:pPr>
      <w:r>
        <w:br w:type="page"/>
      </w:r>
    </w:p>
    <w:p w14:paraId="60E8C6AF" w14:textId="1FC74B92" w:rsidR="00944B78" w:rsidRPr="001A4FE3" w:rsidRDefault="00950E20" w:rsidP="00944B78">
      <w:pPr>
        <w:pStyle w:val="Heading1"/>
      </w:pPr>
      <w:bookmarkStart w:id="7" w:name="_Toc143654054"/>
      <w:r w:rsidRPr="00944B78">
        <w:lastRenderedPageBreak/>
        <w:t>References</w:t>
      </w:r>
      <w:r w:rsidR="00944B78">
        <w:t>:</w:t>
      </w:r>
      <w:bookmarkEnd w:id="7"/>
    </w:p>
    <w:p w14:paraId="5D1B0349" w14:textId="77777777" w:rsidR="00944B78" w:rsidRDefault="00944B78" w:rsidP="00944B78">
      <w:pPr>
        <w:pStyle w:val="NormalWeb"/>
        <w:ind w:left="720" w:hanging="720"/>
      </w:pPr>
      <w:r>
        <w:t xml:space="preserve">Azizi, M. R., Atlasi, R., Ziapour, A., Abbas, J., &amp; Naemi, R. (2021). Innovative human resource management strategies during the COVID-19 pandemic: A systematic narrative review approach. Heliyon, 7(6), e07233. NCBI. </w:t>
      </w:r>
      <w:hyperlink r:id="rId10" w:history="1">
        <w:r w:rsidRPr="00D3636E">
          <w:rPr>
            <w:rStyle w:val="Hyperlink"/>
          </w:rPr>
          <w:t>https://doi.org/10.1016/j.heliyon.2021.e07233</w:t>
        </w:r>
      </w:hyperlink>
    </w:p>
    <w:p w14:paraId="7059EDF2" w14:textId="77777777" w:rsidR="00944B78" w:rsidRDefault="00944B78" w:rsidP="00944B78">
      <w:pPr>
        <w:pStyle w:val="NormalWeb"/>
        <w:ind w:left="720" w:hanging="720"/>
      </w:pPr>
      <w:r>
        <w:t xml:space="preserve">Bell, D. N. F., &amp; Blanchflower, D. G. (2020). US AND UK LABOUR MARKETS BEFORE AND DURING THE COVID-19 CRASH. National Institute Economic Review, 252(1), R52– R69. </w:t>
      </w:r>
      <w:hyperlink r:id="rId11" w:history="1">
        <w:r w:rsidRPr="00950E20">
          <w:rPr>
            <w:rStyle w:val="Hyperlink"/>
          </w:rPr>
          <w:t>https://doi.org/10.1017/nie.2020.14</w:t>
        </w:r>
      </w:hyperlink>
      <w:r>
        <w:t xml:space="preserve"> (Bell &amp; Blanchflower, 2020)</w:t>
      </w:r>
    </w:p>
    <w:p w14:paraId="450A425E" w14:textId="77777777" w:rsidR="00944B78" w:rsidRDefault="00944B78" w:rsidP="00944B78">
      <w:pPr>
        <w:pStyle w:val="NormalWeb"/>
        <w:ind w:left="720" w:hanging="720"/>
      </w:pPr>
      <w:r>
        <w:t xml:space="preserve">Boon, C., Hartog, D. N. D., &amp; Lepak, D. P. (2019). A systematic review of human resource management systems and their measurement. Journal of Management, 45(6), 2498–2537. Sagepub. </w:t>
      </w:r>
      <w:hyperlink r:id="rId12" w:history="1">
        <w:r w:rsidRPr="00D3636E">
          <w:rPr>
            <w:rStyle w:val="Hyperlink"/>
          </w:rPr>
          <w:t>https://doi.org/10.1177/0149206318818718</w:t>
        </w:r>
      </w:hyperlink>
      <w:r>
        <w:t xml:space="preserve"> </w:t>
      </w:r>
    </w:p>
    <w:p w14:paraId="35A0E7E4" w14:textId="77777777" w:rsidR="00944B78" w:rsidRDefault="00944B78" w:rsidP="00944B78">
      <w:pPr>
        <w:pStyle w:val="NormalWeb"/>
        <w:ind w:left="720" w:hanging="720"/>
      </w:pPr>
      <w:proofErr w:type="spellStart"/>
      <w:r>
        <w:t>Fitriyani</w:t>
      </w:r>
      <w:proofErr w:type="spellEnd"/>
      <w:r>
        <w:t xml:space="preserve">, I., Sudiyarti, N., &amp; Fietroh, M. N. (2020). Strategi Manajemen Bisnis Pasca Pandemi Covid-19. Indonesian Journal of Social Sciences and Humanities, 1(2), 87–95. </w:t>
      </w:r>
      <w:hyperlink r:id="rId13" w:history="1">
        <w:r w:rsidRPr="00D3636E">
          <w:rPr>
            <w:rStyle w:val="Hyperlink"/>
          </w:rPr>
          <w:t>https://journal.publication-center.com/index.php/ijssh/article/view/106</w:t>
        </w:r>
      </w:hyperlink>
    </w:p>
    <w:p w14:paraId="78ECE433" w14:textId="77777777" w:rsidR="00944B78" w:rsidRDefault="00944B78" w:rsidP="00944B78">
      <w:pPr>
        <w:pStyle w:val="NormalWeb"/>
        <w:ind w:left="720" w:hanging="720"/>
      </w:pPr>
      <w:proofErr w:type="spellStart"/>
      <w:r>
        <w:t>Mihut</w:t>
      </w:r>
      <w:proofErr w:type="spellEnd"/>
      <w:r>
        <w:t xml:space="preserve">, G. (2021). Does university prestige lead to discrimination in the labour market? Evidence from a labor market field experiment in three countries. Studies in Higher Education, 1–16. </w:t>
      </w:r>
      <w:hyperlink r:id="rId14" w:history="1">
        <w:r w:rsidRPr="00D3636E">
          <w:rPr>
            <w:rStyle w:val="Hyperlink"/>
          </w:rPr>
          <w:t>https://doi.org/10.1080/03075079.2020.1870949</w:t>
        </w:r>
      </w:hyperlink>
    </w:p>
    <w:p w14:paraId="32FB7895" w14:textId="77777777" w:rsidR="00944B78" w:rsidRDefault="00944B78" w:rsidP="00944B78">
      <w:pPr>
        <w:pStyle w:val="NormalWeb"/>
        <w:ind w:left="720" w:hanging="720"/>
      </w:pPr>
      <w:proofErr w:type="spellStart"/>
      <w:r>
        <w:t>Moradlou</w:t>
      </w:r>
      <w:proofErr w:type="spellEnd"/>
      <w:r>
        <w:t xml:space="preserve">, H., Fratocchi, L., Skipworth, H., &amp; Ghadge, A. (2021). Post-Brexit back-shoring strategies: what did UK manufacturing companies could learn from the past? Production Planning &amp; Control, 1–18. </w:t>
      </w:r>
      <w:hyperlink r:id="rId15" w:history="1">
        <w:r w:rsidRPr="00950E20">
          <w:rPr>
            <w:rStyle w:val="Hyperlink"/>
          </w:rPr>
          <w:t>https://doi.org/10.1080/09537287.2020.1863500</w:t>
        </w:r>
      </w:hyperlink>
    </w:p>
    <w:p w14:paraId="744DAFF0" w14:textId="77777777" w:rsidR="00944B78" w:rsidRDefault="00944B78" w:rsidP="00944B78">
      <w:pPr>
        <w:pStyle w:val="NormalWeb"/>
        <w:ind w:left="720" w:hanging="720"/>
      </w:pPr>
      <w:r>
        <w:t xml:space="preserve">Ngoc Su, D., Luc Tra, D., Thi Huynh, H. M., Nguyen, H. H. T., &amp; O’Mahony, B. (2021). Enhancing resilience in the Covid-19 crisis: lessons from human resource management practices in Vietnam. Current Issues in Tourism, 24(22), 1–17. </w:t>
      </w:r>
      <w:hyperlink r:id="rId16" w:history="1">
        <w:r w:rsidRPr="00D3636E">
          <w:rPr>
            <w:rStyle w:val="Hyperlink"/>
          </w:rPr>
          <w:t>https://doi.org/10.1080/13683500.2020.1863930</w:t>
        </w:r>
      </w:hyperlink>
    </w:p>
    <w:p w14:paraId="636372C9" w14:textId="77777777" w:rsidR="00944B78" w:rsidRDefault="00944B78" w:rsidP="00944B78">
      <w:pPr>
        <w:pStyle w:val="NormalWeb"/>
        <w:ind w:left="720" w:hanging="720"/>
      </w:pPr>
      <w:r>
        <w:t xml:space="preserve">Smith, M. (2019). The European Union and the Global Arena: In Search of Post-Brexit Roles. Politics and Governance, 7(3), 83. </w:t>
      </w:r>
      <w:hyperlink r:id="rId17" w:history="1">
        <w:r w:rsidRPr="00D3636E">
          <w:rPr>
            <w:rStyle w:val="Hyperlink"/>
          </w:rPr>
          <w:t>https://doi.org/10.17645/pag.v7i3.2133</w:t>
        </w:r>
      </w:hyperlink>
    </w:p>
    <w:p w14:paraId="793778BC" w14:textId="77777777" w:rsidR="00944B78" w:rsidRDefault="00944B78" w:rsidP="00944B78">
      <w:pPr>
        <w:pStyle w:val="NormalWeb"/>
        <w:ind w:left="720" w:hanging="720"/>
      </w:pPr>
      <w:r>
        <w:t xml:space="preserve">Stone, R. J., Cox, A., &amp; Gavin, M. (2020). Human Resource Management, 10th Edition. In Google Books. John Wiley &amp; Sons. </w:t>
      </w:r>
      <w:hyperlink r:id="rId18" w:history="1">
        <w:r w:rsidRPr="00950E20">
          <w:rPr>
            <w:rStyle w:val="Hyperlink"/>
          </w:rPr>
          <w:t>https://books.google.co.in/books? hl=en&amp;lr=&amp;id=uCIgEAAAQBAJ&amp;oi=fnd&amp;pg=PR13&amp;dq=human+resource+management&amp;ots=PJLJUA4OF2&amp;sig=nc48s5M4XUusMV4V2oIO4X3jPDI&amp;redir_esc=y#v=onepage&amp;q=human %20resource%20management&amp;f=false</w:t>
        </w:r>
      </w:hyperlink>
    </w:p>
    <w:p w14:paraId="601FBDD4" w14:textId="77777777" w:rsidR="00944B78" w:rsidRDefault="00944B78" w:rsidP="00944B78">
      <w:pPr>
        <w:pStyle w:val="NormalWeb"/>
        <w:ind w:left="720" w:hanging="720"/>
      </w:pPr>
      <w:proofErr w:type="spellStart"/>
      <w:r>
        <w:t>Wachter</w:t>
      </w:r>
      <w:proofErr w:type="spellEnd"/>
      <w:r>
        <w:t xml:space="preserve">, T. von. (2020). The Persistent Effects of Initial Labor Market Conditions for Young Adults and Their Sources. Journal of Economic Perspectives, 34(4), 168–194. </w:t>
      </w:r>
      <w:hyperlink r:id="rId19" w:history="1">
        <w:r w:rsidRPr="00D3636E">
          <w:rPr>
            <w:rStyle w:val="Hyperlink"/>
          </w:rPr>
          <w:t>https://doi.org/10.1257/jep.34.4.168</w:t>
        </w:r>
      </w:hyperlink>
    </w:p>
    <w:sectPr w:rsidR="00944B78" w:rsidSect="000C5167">
      <w:headerReference w:type="default" r:id="rId20"/>
      <w:pgSz w:w="11906" w:h="16838"/>
      <w:pgMar w:top="1440" w:right="1080" w:bottom="1440" w:left="1080" w:header="216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F64BAD" w14:textId="77777777" w:rsidR="005A4CBE" w:rsidRDefault="005A4CBE" w:rsidP="000C5167">
      <w:pPr>
        <w:spacing w:after="0" w:line="240" w:lineRule="auto"/>
      </w:pPr>
      <w:r>
        <w:separator/>
      </w:r>
    </w:p>
  </w:endnote>
  <w:endnote w:type="continuationSeparator" w:id="0">
    <w:p w14:paraId="72EE8A4F" w14:textId="77777777" w:rsidR="005A4CBE" w:rsidRDefault="005A4CBE" w:rsidP="000C5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BCBB81" w14:textId="77777777" w:rsidR="005A4CBE" w:rsidRDefault="005A4CBE" w:rsidP="000C5167">
      <w:pPr>
        <w:spacing w:after="0" w:line="240" w:lineRule="auto"/>
      </w:pPr>
      <w:r>
        <w:separator/>
      </w:r>
    </w:p>
  </w:footnote>
  <w:footnote w:type="continuationSeparator" w:id="0">
    <w:p w14:paraId="208E2CB1" w14:textId="77777777" w:rsidR="005A4CBE" w:rsidRDefault="005A4CBE" w:rsidP="000C51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13A06" w14:textId="38C901A0" w:rsidR="000C5167" w:rsidRDefault="000C5167">
    <w:pPr>
      <w:pStyle w:val="Header"/>
    </w:pPr>
    <w:r>
      <w:rPr>
        <w:noProof/>
        <w:lang w:val="en-US"/>
      </w:rPr>
      <w:drawing>
        <wp:anchor distT="0" distB="0" distL="114300" distR="114300" simplePos="0" relativeHeight="251658240" behindDoc="0" locked="0" layoutInCell="1" allowOverlap="1" wp14:anchorId="28FE7879" wp14:editId="5259BA52">
          <wp:simplePos x="0" y="0"/>
          <wp:positionH relativeFrom="margin">
            <wp:posOffset>4678680</wp:posOffset>
          </wp:positionH>
          <wp:positionV relativeFrom="margin">
            <wp:posOffset>-1282065</wp:posOffset>
          </wp:positionV>
          <wp:extent cx="1623060" cy="9010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23060" cy="90106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60A"/>
    <w:rsid w:val="00077359"/>
    <w:rsid w:val="000C5167"/>
    <w:rsid w:val="0015160A"/>
    <w:rsid w:val="001A4FE3"/>
    <w:rsid w:val="001E2272"/>
    <w:rsid w:val="00294418"/>
    <w:rsid w:val="003B3328"/>
    <w:rsid w:val="0051511B"/>
    <w:rsid w:val="005A4CBE"/>
    <w:rsid w:val="005F2B55"/>
    <w:rsid w:val="00711AE0"/>
    <w:rsid w:val="007D6C07"/>
    <w:rsid w:val="00833857"/>
    <w:rsid w:val="00944B78"/>
    <w:rsid w:val="00950E20"/>
    <w:rsid w:val="00C06E5B"/>
    <w:rsid w:val="00C1430A"/>
    <w:rsid w:val="00D61462"/>
    <w:rsid w:val="00E40F2A"/>
    <w:rsid w:val="00EB160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7F5F5C"/>
  <w15:chartTrackingRefBased/>
  <w15:docId w15:val="{185415B3-A8B7-43D0-B5C7-1E6CE789D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4B7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44B7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4B7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160A"/>
    <w:pPr>
      <w:spacing w:before="100" w:beforeAutospacing="1" w:after="100" w:afterAutospacing="1" w:line="240" w:lineRule="auto"/>
    </w:pPr>
    <w:rPr>
      <w:rFonts w:eastAsia="Times New Roman" w:cs="Times New Roman"/>
      <w:kern w:val="0"/>
      <w:sz w:val="24"/>
      <w:szCs w:val="24"/>
      <w:lang w:eastAsia="en-IN"/>
      <w14:ligatures w14:val="none"/>
    </w:rPr>
  </w:style>
  <w:style w:type="character" w:styleId="Hyperlink">
    <w:name w:val="Hyperlink"/>
    <w:basedOn w:val="DefaultParagraphFont"/>
    <w:uiPriority w:val="99"/>
    <w:unhideWhenUsed/>
    <w:rsid w:val="00950E20"/>
    <w:rPr>
      <w:color w:val="0563C1" w:themeColor="hyperlink"/>
      <w:u w:val="single"/>
    </w:rPr>
  </w:style>
  <w:style w:type="character" w:customStyle="1" w:styleId="UnresolvedMention">
    <w:name w:val="Unresolved Mention"/>
    <w:basedOn w:val="DefaultParagraphFont"/>
    <w:uiPriority w:val="99"/>
    <w:semiHidden/>
    <w:unhideWhenUsed/>
    <w:rsid w:val="00950E20"/>
    <w:rPr>
      <w:color w:val="605E5C"/>
      <w:shd w:val="clear" w:color="auto" w:fill="E1DFDD"/>
    </w:rPr>
  </w:style>
  <w:style w:type="character" w:customStyle="1" w:styleId="Heading1Char">
    <w:name w:val="Heading 1 Char"/>
    <w:basedOn w:val="DefaultParagraphFont"/>
    <w:link w:val="Heading1"/>
    <w:uiPriority w:val="9"/>
    <w:rsid w:val="00944B78"/>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944B78"/>
    <w:pPr>
      <w:outlineLvl w:val="9"/>
    </w:pPr>
    <w:rPr>
      <w:kern w:val="0"/>
      <w:lang w:val="en-US"/>
      <w14:ligatures w14:val="none"/>
    </w:rPr>
  </w:style>
  <w:style w:type="character" w:customStyle="1" w:styleId="Heading2Char">
    <w:name w:val="Heading 2 Char"/>
    <w:basedOn w:val="DefaultParagraphFont"/>
    <w:link w:val="Heading2"/>
    <w:uiPriority w:val="9"/>
    <w:rsid w:val="00944B78"/>
    <w:rPr>
      <w:rFonts w:ascii="Times New Roman" w:eastAsiaTheme="majorEastAsia" w:hAnsi="Times New Roman" w:cstheme="majorBidi"/>
      <w:b/>
      <w:sz w:val="26"/>
      <w:szCs w:val="26"/>
    </w:rPr>
  </w:style>
  <w:style w:type="paragraph" w:styleId="TOC1">
    <w:name w:val="toc 1"/>
    <w:basedOn w:val="Normal"/>
    <w:next w:val="Normal"/>
    <w:autoRedefine/>
    <w:uiPriority w:val="39"/>
    <w:unhideWhenUsed/>
    <w:rsid w:val="00944B78"/>
    <w:pPr>
      <w:spacing w:after="100"/>
    </w:pPr>
  </w:style>
  <w:style w:type="paragraph" w:styleId="TOC2">
    <w:name w:val="toc 2"/>
    <w:basedOn w:val="Normal"/>
    <w:next w:val="Normal"/>
    <w:autoRedefine/>
    <w:uiPriority w:val="39"/>
    <w:unhideWhenUsed/>
    <w:rsid w:val="00944B78"/>
    <w:pPr>
      <w:spacing w:after="100"/>
      <w:ind w:left="220"/>
    </w:pPr>
  </w:style>
  <w:style w:type="paragraph" w:styleId="Header">
    <w:name w:val="header"/>
    <w:basedOn w:val="Normal"/>
    <w:link w:val="HeaderChar"/>
    <w:uiPriority w:val="99"/>
    <w:unhideWhenUsed/>
    <w:rsid w:val="000C51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167"/>
    <w:rPr>
      <w:rFonts w:ascii="Times New Roman" w:hAnsi="Times New Roman"/>
    </w:rPr>
  </w:style>
  <w:style w:type="paragraph" w:styleId="Footer">
    <w:name w:val="footer"/>
    <w:basedOn w:val="Normal"/>
    <w:link w:val="FooterChar"/>
    <w:uiPriority w:val="99"/>
    <w:unhideWhenUsed/>
    <w:rsid w:val="000C5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16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804930">
      <w:bodyDiv w:val="1"/>
      <w:marLeft w:val="0"/>
      <w:marRight w:val="0"/>
      <w:marTop w:val="0"/>
      <w:marBottom w:val="0"/>
      <w:divBdr>
        <w:top w:val="none" w:sz="0" w:space="0" w:color="auto"/>
        <w:left w:val="none" w:sz="0" w:space="0" w:color="auto"/>
        <w:bottom w:val="none" w:sz="0" w:space="0" w:color="auto"/>
        <w:right w:val="none" w:sz="0" w:space="0" w:color="auto"/>
      </w:divBdr>
      <w:divsChild>
        <w:div w:id="1478523424">
          <w:marLeft w:val="0"/>
          <w:marRight w:val="0"/>
          <w:marTop w:val="0"/>
          <w:marBottom w:val="0"/>
          <w:divBdr>
            <w:top w:val="none" w:sz="0" w:space="0" w:color="auto"/>
            <w:left w:val="none" w:sz="0" w:space="0" w:color="auto"/>
            <w:bottom w:val="none" w:sz="0" w:space="0" w:color="auto"/>
            <w:right w:val="none" w:sz="0" w:space="0" w:color="auto"/>
          </w:divBdr>
          <w:divsChild>
            <w:div w:id="1694069607">
              <w:marLeft w:val="0"/>
              <w:marRight w:val="0"/>
              <w:marTop w:val="0"/>
              <w:marBottom w:val="0"/>
              <w:divBdr>
                <w:top w:val="none" w:sz="0" w:space="0" w:color="auto"/>
                <w:left w:val="none" w:sz="0" w:space="0" w:color="auto"/>
                <w:bottom w:val="none" w:sz="0" w:space="0" w:color="auto"/>
                <w:right w:val="none" w:sz="0" w:space="0" w:color="auto"/>
              </w:divBdr>
              <w:divsChild>
                <w:div w:id="60446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publication-center.com/index.php/ijssh/article/view/106" TargetMode="External"/><Relationship Id="rId18" Type="http://schemas.openxmlformats.org/officeDocument/2006/relationships/hyperlink" Target="https://books.google.co.in/books?%20hl=en&amp;lr=&amp;id=uCIgEAAAQBAJ&amp;oi=fnd&amp;pg=PR13&amp;dq=human+resource+management&amp;ots=PJLJUA4OF2&amp;sig=nc48s5M4XUusMV4V2oIO4X3jPDI&amp;redir_esc=y%23v=onepage&amp;q=human%20%20resource%20management&amp;f=fals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77/0149206318818718" TargetMode="External"/><Relationship Id="rId17" Type="http://schemas.openxmlformats.org/officeDocument/2006/relationships/hyperlink" Target="https://doi.org/10.17645/pag.v7i3.2133" TargetMode="External"/><Relationship Id="rId2" Type="http://schemas.openxmlformats.org/officeDocument/2006/relationships/styles" Target="styles.xml"/><Relationship Id="rId16" Type="http://schemas.openxmlformats.org/officeDocument/2006/relationships/hyperlink" Target="https://doi.org/10.1080/13683500.2020.186393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7/nie.2020.14" TargetMode="External"/><Relationship Id="rId5" Type="http://schemas.openxmlformats.org/officeDocument/2006/relationships/footnotes" Target="footnotes.xml"/><Relationship Id="rId15" Type="http://schemas.openxmlformats.org/officeDocument/2006/relationships/hyperlink" Target="https://doi.org/10.1080/09537287.2020.1863500%20" TargetMode="External"/><Relationship Id="rId10" Type="http://schemas.openxmlformats.org/officeDocument/2006/relationships/hyperlink" Target="https://doi.org/10.1016/j.heliyon.2021.e07233" TargetMode="External"/><Relationship Id="rId19" Type="http://schemas.openxmlformats.org/officeDocument/2006/relationships/hyperlink" Target="https://doi.org/10.1257/jep.34.4.168" TargetMode="External"/><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bulletins/uklabourmarket/august2020" TargetMode="External"/><Relationship Id="rId14" Type="http://schemas.openxmlformats.org/officeDocument/2006/relationships/hyperlink" Target="https://doi.org/10.1080/03075079.2020.1870949"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79AD7-B3B9-49F7-A474-42013F5C9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revision>19</cp:revision>
  <dcterms:created xsi:type="dcterms:W3CDTF">2023-08-22T08:39:00Z</dcterms:created>
  <dcterms:modified xsi:type="dcterms:W3CDTF">2023-08-22T22:33:00Z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4082331d-9d10-4d9d-82de-1266241471cb</vt:lpwstr>
  </property>
</Properties>
</file>