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0E8BBBF" w:rsidP="5EB34601" w:rsidRDefault="70E8BBBF" w14:paraId="39B81F2D" w14:textId="733167EE">
      <w:pPr>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5EB34601" w:rsidR="70E8BBBF">
        <w:rPr>
          <w:rFonts w:ascii="Calibri" w:hAnsi="Calibri" w:eastAsia="Calibri" w:cs="Calibri"/>
          <w:b w:val="1"/>
          <w:bCs w:val="1"/>
          <w:i w:val="0"/>
          <w:iCs w:val="0"/>
          <w:strike w:val="0"/>
          <w:dstrike w:val="0"/>
          <w:noProof w:val="0"/>
          <w:color w:val="000000" w:themeColor="text1" w:themeTint="FF" w:themeShade="FF"/>
          <w:sz w:val="24"/>
          <w:szCs w:val="24"/>
          <w:u w:val="none"/>
          <w:lang w:val="en-GB"/>
        </w:rPr>
        <w:t>Project Plan: The Function and Purpose of Tragic, Comic, and Satyr Plays in Classical Attica</w:t>
      </w:r>
    </w:p>
    <w:p w:rsidR="70E8BBBF" w:rsidP="5EB34601" w:rsidRDefault="70E8BBBF" w14:paraId="2A572D16" w14:textId="2E535C57">
      <w:p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70E8BBBF">
        <w:rPr>
          <w:rFonts w:ascii="Calibri" w:hAnsi="Calibri" w:eastAsia="Calibri" w:cs="Calibri"/>
          <w:b w:val="1"/>
          <w:bCs w:val="1"/>
          <w:i w:val="0"/>
          <w:iCs w:val="0"/>
          <w:strike w:val="0"/>
          <w:dstrike w:val="0"/>
          <w:noProof w:val="0"/>
          <w:color w:val="000000" w:themeColor="text1" w:themeTint="FF" w:themeShade="FF"/>
          <w:sz w:val="24"/>
          <w:szCs w:val="24"/>
          <w:u w:val="none"/>
          <w:lang w:val="en-GB"/>
        </w:rPr>
        <w:t>Research focus:</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This exploratory essay seeks to investigate the similarities and differences in the function/purpose of the three primary theatrical genres of classical Attica: tragedy, comedy, and satyr plays. This project aims to examine how each form engaged with Athenian social values, civic identity, and religious practices, while also </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identifying</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the variations in how they approached themes such as morality, humour, and power. The core research question is: In what ways did tragic, comic, and satyr plays serve similar or different social, religious, and political functions in classical Attic society?</w:t>
      </w:r>
    </w:p>
    <w:p w:rsidR="70E8BBBF" w:rsidP="5EB34601" w:rsidRDefault="70E8BBBF" w14:paraId="3FFA8031" w14:textId="2F70CF08">
      <w:p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70E8BBBF">
        <w:rPr>
          <w:rFonts w:ascii="Calibri" w:hAnsi="Calibri" w:eastAsia="Calibri" w:cs="Calibri"/>
          <w:b w:val="1"/>
          <w:bCs w:val="1"/>
          <w:i w:val="0"/>
          <w:iCs w:val="0"/>
          <w:strike w:val="0"/>
          <w:dstrike w:val="0"/>
          <w:noProof w:val="0"/>
          <w:color w:val="000000" w:themeColor="text1" w:themeTint="FF" w:themeShade="FF"/>
          <w:sz w:val="24"/>
          <w:szCs w:val="24"/>
          <w:u w:val="none"/>
          <w:lang w:val="en-GB"/>
        </w:rPr>
        <w:t>Objectives:</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p>
    <w:p w:rsidR="70E8BBBF" w:rsidP="5EB34601" w:rsidRDefault="70E8BBBF" w14:paraId="7A11BAFB" w14:textId="0D8424C6">
      <w:pPr>
        <w:pStyle w:val="Normal"/>
        <w:numPr>
          <w:ilvl w:val="0"/>
          <w:numId w:val="2"/>
        </w:num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To analyse the formal characteristics and thematic concerns of tragedy, comedy, and satyr theatre. </w:t>
      </w:r>
    </w:p>
    <w:p w:rsidR="70E8BBBF" w:rsidP="5EB34601" w:rsidRDefault="70E8BBBF" w14:paraId="5BA80BFC" w14:textId="0E388777">
      <w:pPr>
        <w:pStyle w:val="Normal"/>
        <w:numPr>
          <w:ilvl w:val="0"/>
          <w:numId w:val="2"/>
        </w:num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To explore the ritual and civic contexts in which these plays were produced and performed. </w:t>
      </w:r>
    </w:p>
    <w:p w:rsidR="70E8BBBF" w:rsidP="5EB34601" w:rsidRDefault="70E8BBBF" w14:paraId="1D98088F" w14:textId="20B47B74">
      <w:pPr>
        <w:pStyle w:val="Normal"/>
        <w:numPr>
          <w:ilvl w:val="0"/>
          <w:numId w:val="2"/>
        </w:num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To assess the religious, political, and social functions served by each genre. </w:t>
      </w:r>
    </w:p>
    <w:p w:rsidR="70E8BBBF" w:rsidP="5EB34601" w:rsidRDefault="70E8BBBF" w14:paraId="2F2528DA" w14:textId="3C2F40C0">
      <w:pPr>
        <w:pStyle w:val="Normal"/>
        <w:numPr>
          <w:ilvl w:val="0"/>
          <w:numId w:val="2"/>
        </w:num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To compare how each genre contributed to civic/collective identity and critique in Athenian democracy. </w:t>
      </w:r>
    </w:p>
    <w:p w:rsidR="70E8BBBF" w:rsidP="5EB34601" w:rsidRDefault="70E8BBBF" w14:paraId="7A78142F" w14:textId="48797B13">
      <w:pPr>
        <w:pStyle w:val="Normal"/>
        <w:numPr>
          <w:ilvl w:val="0"/>
          <w:numId w:val="2"/>
        </w:num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To engage with scholarly debates on genre theory and ancient performance culture. </w:t>
      </w:r>
    </w:p>
    <w:p w:rsidR="70E8BBBF" w:rsidP="5EB34601" w:rsidRDefault="70E8BBBF" w14:paraId="50F4DD33" w14:textId="1BB6FEEE">
      <w:p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This approach will allow the essay to explore beyond purely formalist literary analysis, toward a more interdisciplinary understanding of theatre’s societal role in ancient Athens.</w:t>
      </w:r>
    </w:p>
    <w:p w:rsidR="70E8BBBF" w:rsidP="5EB34601" w:rsidRDefault="70E8BBBF" w14:paraId="2841098E" w14:textId="673638FD">
      <w:p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70E8BBBF">
        <w:rPr>
          <w:rFonts w:ascii="Calibri" w:hAnsi="Calibri" w:eastAsia="Calibri" w:cs="Calibri"/>
          <w:b w:val="1"/>
          <w:bCs w:val="1"/>
          <w:i w:val="0"/>
          <w:iCs w:val="0"/>
          <w:strike w:val="0"/>
          <w:dstrike w:val="0"/>
          <w:noProof w:val="0"/>
          <w:color w:val="000000" w:themeColor="text1" w:themeTint="FF" w:themeShade="FF"/>
          <w:sz w:val="24"/>
          <w:szCs w:val="24"/>
          <w:u w:val="none"/>
          <w:lang w:val="en-GB"/>
        </w:rPr>
        <w:t>Methodology:</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This essay will adopt a comparative and interdisciplinary </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methodology</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combining literary analysis with historical and anthropological perspectives. </w:t>
      </w:r>
      <w:r w:rsidRPr="5EB34601" w:rsidR="70E8BBBF">
        <w:rPr>
          <w:rFonts w:ascii="Calibri" w:hAnsi="Calibri" w:eastAsia="Calibri" w:cs="Calibri"/>
          <w:b w:val="0"/>
          <w:bCs w:val="0"/>
          <w:i w:val="1"/>
          <w:iCs w:val="1"/>
          <w:strike w:val="0"/>
          <w:dstrike w:val="0"/>
          <w:noProof w:val="0"/>
          <w:color w:val="000000" w:themeColor="text1" w:themeTint="FF" w:themeShade="FF"/>
          <w:sz w:val="24"/>
          <w:szCs w:val="24"/>
          <w:u w:val="single"/>
          <w:lang w:val="en-GB"/>
        </w:rPr>
        <w:t>Primary sources</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will include surviving plays from the major playwrights of each genre: Euripides, Aeschylus, and Sophocles (tragedy); Aristophanes (comedy); and Euripides’ ‘</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Cyclops’</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as the only complete surviving satyr play. These texts will be analysed for thematic content, structural elements, and character dynamics. </w:t>
      </w:r>
      <w:r w:rsidRPr="5EB34601" w:rsidR="70E8BBBF">
        <w:rPr>
          <w:rFonts w:ascii="Calibri" w:hAnsi="Calibri" w:eastAsia="Calibri" w:cs="Calibri"/>
          <w:b w:val="0"/>
          <w:bCs w:val="0"/>
          <w:i w:val="1"/>
          <w:iCs w:val="1"/>
          <w:strike w:val="0"/>
          <w:dstrike w:val="0"/>
          <w:noProof w:val="0"/>
          <w:color w:val="000000" w:themeColor="text1" w:themeTint="FF" w:themeShade="FF"/>
          <w:sz w:val="24"/>
          <w:szCs w:val="24"/>
          <w:u w:val="single"/>
          <w:lang w:val="en-GB"/>
        </w:rPr>
        <w:t>Secondary literature</w:t>
      </w:r>
      <w:r w:rsidRPr="5EB34601" w:rsidR="70E8BBBF">
        <w:rPr>
          <w:rFonts w:ascii="Calibri" w:hAnsi="Calibri" w:eastAsia="Calibri" w:cs="Calibri"/>
          <w:b w:val="1"/>
          <w:bCs w:val="1"/>
          <w:i w:val="1"/>
          <w:iCs w:val="1"/>
          <w:strike w:val="0"/>
          <w:dstrike w:val="0"/>
          <w:noProof w:val="0"/>
          <w:color w:val="000000" w:themeColor="text1" w:themeTint="FF" w:themeShade="FF"/>
          <w:sz w:val="24"/>
          <w:szCs w:val="24"/>
          <w:u w:val="none"/>
          <w:lang w:val="en-GB"/>
        </w:rPr>
        <w:t xml:space="preserve"> </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will include scholarly perspectives on classical drama (</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e.g</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Taplin and Goldhill), ancient religion (</w:t>
      </w:r>
      <w:r w:rsidRPr="5EB34601" w:rsidR="3181DE8B">
        <w:rPr>
          <w:rFonts w:ascii="Calibri" w:hAnsi="Calibri" w:eastAsia="Calibri" w:cs="Calibri"/>
          <w:b w:val="0"/>
          <w:bCs w:val="0"/>
          <w:i w:val="0"/>
          <w:iCs w:val="0"/>
          <w:strike w:val="0"/>
          <w:dstrike w:val="0"/>
          <w:noProof w:val="0"/>
          <w:color w:val="000000" w:themeColor="text1" w:themeTint="FF" w:themeShade="FF"/>
          <w:sz w:val="24"/>
          <w:szCs w:val="24"/>
          <w:u w:val="none"/>
          <w:lang w:val="en-GB"/>
        </w:rPr>
        <w:t>Burkert</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and Athenian civic life (</w:t>
      </w:r>
      <w:r w:rsidRPr="5EB34601" w:rsidR="1603B2A3">
        <w:rPr>
          <w:rFonts w:ascii="Calibri" w:hAnsi="Calibri" w:eastAsia="Calibri" w:cs="Calibri"/>
          <w:b w:val="0"/>
          <w:bCs w:val="0"/>
          <w:i w:val="0"/>
          <w:iCs w:val="0"/>
          <w:strike w:val="0"/>
          <w:dstrike w:val="0"/>
          <w:noProof w:val="0"/>
          <w:color w:val="000000" w:themeColor="text1" w:themeTint="FF" w:themeShade="FF"/>
          <w:sz w:val="24"/>
          <w:szCs w:val="24"/>
          <w:u w:val="none"/>
          <w:lang w:val="en-GB"/>
        </w:rPr>
        <w:t>Loraux</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There may also be some consideration of archaeological evidence from the Theatre of Dionysus, as well as iconographic materials such as vase paintings depicting theatrical performances (this is subject to change though). This range of sources will aid in the construction of a nuanced view on how each dramatic form functioned within Attic society.</w:t>
      </w:r>
    </w:p>
    <w:p w:rsidR="4361B67C" w:rsidP="5EB34601" w:rsidRDefault="4361B67C" w14:paraId="66482D70" w14:textId="2723F9B5">
      <w:p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4361B67C">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Possible </w:t>
      </w:r>
      <w:r w:rsidRPr="5EB34601" w:rsidR="59BF79C8">
        <w:rPr>
          <w:rFonts w:ascii="Calibri" w:hAnsi="Calibri" w:eastAsia="Calibri" w:cs="Calibri"/>
          <w:b w:val="1"/>
          <w:bCs w:val="1"/>
          <w:i w:val="0"/>
          <w:iCs w:val="0"/>
          <w:strike w:val="0"/>
          <w:dstrike w:val="0"/>
          <w:noProof w:val="0"/>
          <w:color w:val="000000" w:themeColor="text1" w:themeTint="FF" w:themeShade="FF"/>
          <w:sz w:val="24"/>
          <w:szCs w:val="24"/>
          <w:u w:val="none"/>
          <w:lang w:val="en-GB"/>
        </w:rPr>
        <w:t>Primary Sources:</w:t>
      </w:r>
      <w:r w:rsidRPr="5EB34601" w:rsidR="050B065C">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none"/>
          <w:lang w:val="en-GB"/>
        </w:rPr>
        <w:t>selected for topic/thematic breadth</w:t>
      </w:r>
    </w:p>
    <w:p w:rsidR="050B065C" w:rsidP="5EB34601" w:rsidRDefault="050B065C" w14:paraId="519EB1AB" w14:textId="0B4093DC">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&gt; Euripides: </w:t>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single"/>
          <w:lang w:val="en-GB"/>
        </w:rPr>
        <w:t>Cyclops</w:t>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(satyr), Medea, </w:t>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single"/>
          <w:lang w:val="en-GB"/>
        </w:rPr>
        <w:t xml:space="preserve">The </w:t>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single"/>
          <w:lang w:val="en-GB"/>
        </w:rPr>
        <w:t>Bacchae</w:t>
      </w:r>
      <w:r>
        <w:br/>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&gt; Aeschylus: Persians (?), </w:t>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single"/>
          <w:lang w:val="en-GB"/>
        </w:rPr>
        <w:t>Oedipus Rex</w:t>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br/>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&gt; Sophocles: </w:t>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single"/>
          <w:lang w:val="en-GB"/>
        </w:rPr>
        <w:t>Antigone</w:t>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Oedipus Rex </w:t>
      </w:r>
      <w:r>
        <w:br/>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&gt; Aristophanes: </w:t>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single"/>
          <w:lang w:val="en-GB"/>
        </w:rPr>
        <w:t>Frogs</w:t>
      </w:r>
      <w:r w:rsidRPr="5EB34601" w:rsidR="050B065C">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Wasps, Clouds </w:t>
      </w:r>
    </w:p>
    <w:p w:rsidR="050B065C" w:rsidP="5EB34601" w:rsidRDefault="050B065C" w14:paraId="2B95DA17" w14:textId="76BAE16A">
      <w:pPr>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5EB34601" w:rsidR="050B065C">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Likely </w:t>
      </w:r>
      <w:r w:rsidRPr="5EB34601" w:rsidR="59BF79C8">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Secondary Sources: </w:t>
      </w:r>
      <w:r w:rsidRPr="5EB34601" w:rsidR="22F1788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will be expanded as research progresses </w:t>
      </w:r>
    </w:p>
    <w:p w:rsidR="485595E4" w:rsidP="5EB34601" w:rsidRDefault="485595E4" w14:paraId="6FA7673A" w14:textId="530C7823">
      <w:p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485595E4">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&gt; </w:t>
      </w:r>
      <w:r w:rsidRPr="5EB34601" w:rsidR="142A68F7">
        <w:rPr>
          <w:rFonts w:ascii="Calibri" w:hAnsi="Calibri" w:eastAsia="Calibri" w:cs="Calibri"/>
          <w:b w:val="0"/>
          <w:bCs w:val="0"/>
          <w:i w:val="0"/>
          <w:iCs w:val="0"/>
          <w:strike w:val="0"/>
          <w:dstrike w:val="0"/>
          <w:noProof w:val="0"/>
          <w:color w:val="000000" w:themeColor="text1" w:themeTint="FF" w:themeShade="FF"/>
          <w:sz w:val="24"/>
          <w:szCs w:val="24"/>
          <w:u w:val="single"/>
          <w:lang w:val="en-GB"/>
        </w:rPr>
        <w:t>Easterling</w:t>
      </w:r>
      <w:r w:rsidRPr="5EB34601" w:rsidR="142A68F7">
        <w:rPr>
          <w:rFonts w:ascii="Calibri" w:hAnsi="Calibri" w:eastAsia="Calibri" w:cs="Calibri"/>
          <w:b w:val="0"/>
          <w:bCs w:val="0"/>
          <w:i w:val="0"/>
          <w:iCs w:val="0"/>
          <w:strike w:val="0"/>
          <w:dstrike w:val="0"/>
          <w:noProof w:val="0"/>
          <w:color w:val="000000" w:themeColor="text1" w:themeTint="FF" w:themeShade="FF"/>
          <w:sz w:val="24"/>
          <w:szCs w:val="24"/>
          <w:u w:val="none"/>
          <w:lang w:val="en-GB"/>
        </w:rPr>
        <w:t>: ‘</w:t>
      </w:r>
      <w:r w:rsidRPr="5EB34601" w:rsidR="142A68F7">
        <w:rPr>
          <w:rFonts w:ascii="Calibri" w:hAnsi="Calibri" w:eastAsia="Calibri" w:cs="Calibri"/>
          <w:b w:val="0"/>
          <w:bCs w:val="0"/>
          <w:i w:val="1"/>
          <w:iCs w:val="1"/>
          <w:strike w:val="0"/>
          <w:dstrike w:val="0"/>
          <w:noProof w:val="0"/>
          <w:color w:val="000000" w:themeColor="text1" w:themeTint="FF" w:themeShade="FF"/>
          <w:sz w:val="24"/>
          <w:szCs w:val="24"/>
          <w:u w:val="none"/>
          <w:lang w:val="en-GB"/>
        </w:rPr>
        <w:t>The Cambridge Companion to Greek Tragedy</w:t>
      </w:r>
      <w:r w:rsidRPr="5EB34601" w:rsidR="142A68F7">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(1997) </w:t>
      </w:r>
      <w:r>
        <w:br/>
      </w:r>
      <w:r w:rsidRPr="5EB34601" w:rsidR="01FF8863">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&gt; </w:t>
      </w:r>
      <w:r w:rsidRPr="5EB34601" w:rsidR="485595E4">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Taplin: </w:t>
      </w:r>
      <w:r w:rsidRPr="5EB34601" w:rsidR="354E76DB">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r w:rsidRPr="5EB34601" w:rsidR="354E76DB">
        <w:rPr>
          <w:rFonts w:ascii="Calibri" w:hAnsi="Calibri" w:eastAsia="Calibri" w:cs="Calibri"/>
          <w:b w:val="0"/>
          <w:bCs w:val="0"/>
          <w:i w:val="1"/>
          <w:iCs w:val="1"/>
          <w:strike w:val="0"/>
          <w:dstrike w:val="0"/>
          <w:noProof w:val="0"/>
          <w:color w:val="000000" w:themeColor="text1" w:themeTint="FF" w:themeShade="FF"/>
          <w:sz w:val="24"/>
          <w:szCs w:val="24"/>
          <w:u w:val="none"/>
          <w:lang w:val="en-GB"/>
        </w:rPr>
        <w:t>The Stagecraft of Aeschylus</w:t>
      </w:r>
      <w:r w:rsidRPr="5EB34601" w:rsidR="354E76DB">
        <w:rPr>
          <w:rFonts w:ascii="Calibri" w:hAnsi="Calibri" w:eastAsia="Calibri" w:cs="Calibri"/>
          <w:b w:val="0"/>
          <w:bCs w:val="0"/>
          <w:i w:val="0"/>
          <w:iCs w:val="0"/>
          <w:strike w:val="0"/>
          <w:dstrike w:val="0"/>
          <w:noProof w:val="0"/>
          <w:color w:val="000000" w:themeColor="text1" w:themeTint="FF" w:themeShade="FF"/>
          <w:sz w:val="24"/>
          <w:szCs w:val="24"/>
          <w:u w:val="none"/>
          <w:lang w:val="en-GB"/>
        </w:rPr>
        <w:t>’ (1977)</w:t>
      </w:r>
      <w:r>
        <w:br/>
      </w:r>
      <w:r w:rsidRPr="5EB34601" w:rsidR="666E853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&gt; Goldhill: </w:t>
      </w:r>
      <w:r w:rsidRPr="5EB34601" w:rsidR="1108C67A">
        <w:rPr>
          <w:rFonts w:ascii="Calibri" w:hAnsi="Calibri" w:eastAsia="Calibri" w:cs="Calibri"/>
          <w:b w:val="0"/>
          <w:bCs w:val="0"/>
          <w:i w:val="1"/>
          <w:iCs w:val="1"/>
          <w:strike w:val="0"/>
          <w:dstrike w:val="0"/>
          <w:noProof w:val="0"/>
          <w:color w:val="000000" w:themeColor="text1" w:themeTint="FF" w:themeShade="FF"/>
          <w:sz w:val="24"/>
          <w:szCs w:val="24"/>
          <w:u w:val="none"/>
          <w:lang w:val="en-GB"/>
        </w:rPr>
        <w:t>‘Reading Greek Tragedy</w:t>
      </w:r>
      <w:r w:rsidRPr="5EB34601" w:rsidR="1108C67A">
        <w:rPr>
          <w:rFonts w:ascii="Calibri" w:hAnsi="Calibri" w:eastAsia="Calibri" w:cs="Calibri"/>
          <w:b w:val="0"/>
          <w:bCs w:val="0"/>
          <w:i w:val="0"/>
          <w:iCs w:val="0"/>
          <w:strike w:val="0"/>
          <w:dstrike w:val="0"/>
          <w:noProof w:val="0"/>
          <w:color w:val="000000" w:themeColor="text1" w:themeTint="FF" w:themeShade="FF"/>
          <w:sz w:val="24"/>
          <w:szCs w:val="24"/>
          <w:u w:val="none"/>
          <w:lang w:val="en-GB"/>
        </w:rPr>
        <w:t>’ (1986)</w:t>
      </w:r>
      <w:r>
        <w:br/>
      </w:r>
      <w:r w:rsidRPr="5EB34601" w:rsidR="556AA023">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&gt; Dover: </w:t>
      </w:r>
      <w:r w:rsidRPr="5EB34601" w:rsidR="556AA023">
        <w:rPr>
          <w:rFonts w:ascii="Calibri" w:hAnsi="Calibri" w:eastAsia="Calibri" w:cs="Calibri"/>
          <w:b w:val="0"/>
          <w:bCs w:val="0"/>
          <w:i w:val="1"/>
          <w:iCs w:val="1"/>
          <w:strike w:val="0"/>
          <w:dstrike w:val="0"/>
          <w:noProof w:val="0"/>
          <w:color w:val="000000" w:themeColor="text1" w:themeTint="FF" w:themeShade="FF"/>
          <w:sz w:val="24"/>
          <w:szCs w:val="24"/>
          <w:u w:val="none"/>
          <w:lang w:val="en-GB"/>
        </w:rPr>
        <w:t>‘</w:t>
      </w:r>
      <w:r w:rsidRPr="5EB34601" w:rsidR="556AA023">
        <w:rPr>
          <w:rFonts w:ascii="Calibri" w:hAnsi="Calibri" w:eastAsia="Calibri" w:cs="Calibri"/>
          <w:b w:val="0"/>
          <w:bCs w:val="0"/>
          <w:i w:val="1"/>
          <w:iCs w:val="1"/>
          <w:strike w:val="0"/>
          <w:dstrike w:val="0"/>
          <w:noProof w:val="0"/>
          <w:color w:val="000000" w:themeColor="text1" w:themeTint="FF" w:themeShade="FF"/>
          <w:sz w:val="24"/>
          <w:szCs w:val="24"/>
          <w:u w:val="none"/>
          <w:lang w:val="en-GB"/>
        </w:rPr>
        <w:t>Aristophanic</w:t>
      </w:r>
      <w:r w:rsidRPr="5EB34601" w:rsidR="556AA023">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 Comedy</w:t>
      </w:r>
      <w:r w:rsidRPr="5EB34601" w:rsidR="556AA023">
        <w:rPr>
          <w:rFonts w:ascii="Calibri" w:hAnsi="Calibri" w:eastAsia="Calibri" w:cs="Calibri"/>
          <w:b w:val="0"/>
          <w:bCs w:val="0"/>
          <w:i w:val="0"/>
          <w:iCs w:val="0"/>
          <w:strike w:val="0"/>
          <w:dstrike w:val="0"/>
          <w:noProof w:val="0"/>
          <w:color w:val="000000" w:themeColor="text1" w:themeTint="FF" w:themeShade="FF"/>
          <w:sz w:val="24"/>
          <w:szCs w:val="24"/>
          <w:u w:val="none"/>
          <w:lang w:val="en-GB"/>
        </w:rPr>
        <w:t>’ (1972)</w:t>
      </w:r>
      <w:r>
        <w:br/>
      </w:r>
      <w:r w:rsidRPr="5EB34601" w:rsidR="019DDA3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&gt; </w:t>
      </w:r>
      <w:r w:rsidRPr="5EB34601" w:rsidR="18A840EC">
        <w:rPr>
          <w:rFonts w:ascii="Calibri" w:hAnsi="Calibri" w:eastAsia="Calibri" w:cs="Calibri"/>
          <w:b w:val="0"/>
          <w:bCs w:val="0"/>
          <w:i w:val="0"/>
          <w:iCs w:val="0"/>
          <w:strike w:val="0"/>
          <w:dstrike w:val="0"/>
          <w:noProof w:val="0"/>
          <w:color w:val="000000" w:themeColor="text1" w:themeTint="FF" w:themeShade="FF"/>
          <w:sz w:val="24"/>
          <w:szCs w:val="24"/>
          <w:u w:val="none"/>
          <w:lang w:val="en-GB"/>
        </w:rPr>
        <w:t>Burkert</w:t>
      </w:r>
      <w:r w:rsidRPr="5EB34601" w:rsidR="019DDA31">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r w:rsidRPr="5EB34601" w:rsidR="4C52EAC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5EB34601" w:rsidR="4C52EAC1">
        <w:rPr>
          <w:rFonts w:ascii="Calibri" w:hAnsi="Calibri" w:eastAsia="Calibri" w:cs="Calibri"/>
          <w:b w:val="0"/>
          <w:bCs w:val="0"/>
          <w:i w:val="1"/>
          <w:iCs w:val="1"/>
          <w:strike w:val="0"/>
          <w:dstrike w:val="0"/>
          <w:noProof w:val="0"/>
          <w:color w:val="000000" w:themeColor="text1" w:themeTint="FF" w:themeShade="FF"/>
          <w:sz w:val="24"/>
          <w:szCs w:val="24"/>
          <w:u w:val="none"/>
          <w:lang w:val="en-GB"/>
        </w:rPr>
        <w:t>‘Greek Religion</w:t>
      </w:r>
      <w:r w:rsidRPr="5EB34601" w:rsidR="4C52EAC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(1985) </w:t>
      </w:r>
      <w:r>
        <w:br/>
      </w:r>
      <w:r w:rsidRPr="5EB34601" w:rsidR="55F1C517">
        <w:rPr>
          <w:rFonts w:ascii="Calibri" w:hAnsi="Calibri" w:eastAsia="Calibri" w:cs="Calibri"/>
          <w:b w:val="0"/>
          <w:bCs w:val="0"/>
          <w:i w:val="0"/>
          <w:iCs w:val="0"/>
          <w:strike w:val="0"/>
          <w:dstrike w:val="0"/>
          <w:noProof w:val="0"/>
          <w:color w:val="000000" w:themeColor="text1" w:themeTint="FF" w:themeShade="FF"/>
          <w:sz w:val="24"/>
          <w:szCs w:val="24"/>
          <w:u w:val="none"/>
          <w:lang w:val="en-GB"/>
        </w:rPr>
        <w:t>&gt;</w:t>
      </w:r>
      <w:r w:rsidRPr="5EB34601" w:rsidR="55F1C517">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5EB34601" w:rsidR="0BB71972">
        <w:rPr>
          <w:rFonts w:ascii="Calibri" w:hAnsi="Calibri" w:eastAsia="Calibri" w:cs="Calibri"/>
          <w:b w:val="0"/>
          <w:bCs w:val="0"/>
          <w:i w:val="0"/>
          <w:iCs w:val="0"/>
          <w:strike w:val="0"/>
          <w:dstrike w:val="0"/>
          <w:noProof w:val="0"/>
          <w:color w:val="000000" w:themeColor="text1" w:themeTint="FF" w:themeShade="FF"/>
          <w:sz w:val="24"/>
          <w:szCs w:val="24"/>
          <w:u w:val="none"/>
          <w:lang w:val="en-GB"/>
        </w:rPr>
        <w:t>Lorau</w:t>
      </w:r>
      <w:r w:rsidRPr="5EB34601" w:rsidR="0BB71972">
        <w:rPr>
          <w:rFonts w:ascii="Calibri" w:hAnsi="Calibri" w:eastAsia="Calibri" w:cs="Calibri"/>
          <w:b w:val="0"/>
          <w:bCs w:val="0"/>
          <w:i w:val="0"/>
          <w:iCs w:val="0"/>
          <w:strike w:val="0"/>
          <w:dstrike w:val="0"/>
          <w:noProof w:val="0"/>
          <w:color w:val="000000" w:themeColor="text1" w:themeTint="FF" w:themeShade="FF"/>
          <w:sz w:val="24"/>
          <w:szCs w:val="24"/>
          <w:u w:val="none"/>
          <w:lang w:val="en-GB"/>
        </w:rPr>
        <w:t>x</w:t>
      </w:r>
      <w:r w:rsidRPr="5EB34601" w:rsidR="55F1C517">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5EB34601" w:rsidR="1487B888">
        <w:rPr>
          <w:rFonts w:ascii="Calibri" w:hAnsi="Calibri" w:eastAsia="Calibri" w:cs="Calibri"/>
          <w:b w:val="0"/>
          <w:bCs w:val="0"/>
          <w:i w:val="1"/>
          <w:iCs w:val="1"/>
          <w:strike w:val="0"/>
          <w:dstrike w:val="0"/>
          <w:noProof w:val="0"/>
          <w:color w:val="000000" w:themeColor="text1" w:themeTint="FF" w:themeShade="FF"/>
          <w:sz w:val="24"/>
          <w:szCs w:val="24"/>
          <w:u w:val="none"/>
          <w:lang w:val="en-GB"/>
        </w:rPr>
        <w:t>‘The Invention of Athens</w:t>
      </w:r>
      <w:r w:rsidRPr="5EB34601" w:rsidR="1487B888">
        <w:rPr>
          <w:rFonts w:ascii="Calibri" w:hAnsi="Calibri" w:eastAsia="Calibri" w:cs="Calibri"/>
          <w:b w:val="0"/>
          <w:bCs w:val="0"/>
          <w:i w:val="0"/>
          <w:iCs w:val="0"/>
          <w:strike w:val="0"/>
          <w:dstrike w:val="0"/>
          <w:noProof w:val="0"/>
          <w:color w:val="000000" w:themeColor="text1" w:themeTint="FF" w:themeShade="FF"/>
          <w:sz w:val="24"/>
          <w:szCs w:val="24"/>
          <w:u w:val="none"/>
          <w:lang w:val="en-GB"/>
        </w:rPr>
        <w:t>’ (1986)</w:t>
      </w:r>
    </w:p>
    <w:p w:rsidR="5EB34601" w:rsidP="5EB34601" w:rsidRDefault="5EB34601" w14:paraId="1F3D6579" w14:textId="26FF22C9">
      <w:pPr>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w:rsidR="70E8BBBF" w:rsidP="5EB34601" w:rsidRDefault="70E8BBBF" w14:paraId="04A4921C" w14:textId="5EF2C000">
      <w:p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70E8BBBF">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Anticipated challenges: </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A major challenge will be dealing with the fragmentary nature of lost comedies and satyr plays as this will limit comparative analysis. Another will be balancing literary analysis with socio-political context without straying from the primary research question or </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objectives</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 clear focus and concrete case studies/examples will help to mitigate these challenges. </w:t>
      </w:r>
    </w:p>
    <w:p w:rsidR="1E54915C" w:rsidP="5EB34601" w:rsidRDefault="1E54915C" w14:paraId="21DE6EF9" w14:textId="14A13256">
      <w:p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1E54915C">
        <w:rPr>
          <w:rFonts w:ascii="Calibri" w:hAnsi="Calibri" w:eastAsia="Calibri" w:cs="Calibri"/>
          <w:b w:val="1"/>
          <w:bCs w:val="1"/>
          <w:i w:val="0"/>
          <w:iCs w:val="0"/>
          <w:strike w:val="0"/>
          <w:dstrike w:val="0"/>
          <w:noProof w:val="0"/>
          <w:color w:val="000000" w:themeColor="text1" w:themeTint="FF" w:themeShade="FF"/>
          <w:sz w:val="24"/>
          <w:szCs w:val="24"/>
          <w:u w:val="none"/>
          <w:lang w:val="en-GB"/>
        </w:rPr>
        <w:t>Overall</w:t>
      </w:r>
      <w:r w:rsidRPr="5EB34601" w:rsidR="70E8BBBF">
        <w:rPr>
          <w:rFonts w:ascii="Calibri" w:hAnsi="Calibri" w:eastAsia="Calibri" w:cs="Calibri"/>
          <w:b w:val="1"/>
          <w:bCs w:val="1"/>
          <w:i w:val="0"/>
          <w:iCs w:val="0"/>
          <w:strike w:val="0"/>
          <w:dstrike w:val="0"/>
          <w:noProof w:val="0"/>
          <w:color w:val="000000" w:themeColor="text1" w:themeTint="FF" w:themeShade="FF"/>
          <w:sz w:val="24"/>
          <w:szCs w:val="24"/>
          <w:u w:val="none"/>
          <w:lang w:val="en-GB"/>
        </w:rPr>
        <w:t>:</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Thi</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s essay will explore how the three primary dramatic forms of classical Attica worked in tandem and separately to shape Athenian culture - politically, religiously, and socially. By exploring their purposes/functions in a civic and religious context, this will contribute to a richer understanding of theatre as a multifaceted and integral institution in ancient Greece. </w:t>
      </w:r>
    </w:p>
    <w:p w:rsidR="70E8BBBF" w:rsidP="5EB34601" w:rsidRDefault="70E8BBBF" w14:paraId="5144DBFF" w14:textId="3171C0E2">
      <w:p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70E8BBBF">
        <w:rPr>
          <w:rFonts w:ascii="Calibri" w:hAnsi="Calibri" w:eastAsia="Calibri" w:cs="Calibri"/>
          <w:b w:val="1"/>
          <w:bCs w:val="1"/>
          <w:i w:val="0"/>
          <w:iCs w:val="0"/>
          <w:strike w:val="0"/>
          <w:dstrike w:val="0"/>
          <w:noProof w:val="0"/>
          <w:color w:val="000000" w:themeColor="text1" w:themeTint="FF" w:themeShade="FF"/>
          <w:sz w:val="24"/>
          <w:szCs w:val="24"/>
          <w:u w:val="none"/>
          <w:lang w:val="en-GB"/>
        </w:rPr>
        <w:t>Brief structure/outline:</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subject to change, basic foundations</w:t>
      </w:r>
    </w:p>
    <w:p w:rsidR="70E8BBBF" w:rsidP="5EB34601" w:rsidRDefault="70E8BBBF" w14:paraId="101C6807" w14:textId="256FE3DD">
      <w:pPr>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&gt; Introduction (research topic, </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objectives</w:t>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 methodological and theoretical approach)</w:t>
      </w:r>
      <w:r>
        <w:br/>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&gt; Historical and Ritual Context</w:t>
      </w:r>
      <w:r>
        <w:br/>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&gt; Tragedy (themes and function)</w:t>
      </w:r>
      <w:r>
        <w:br/>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&gt; Comedy (themes and function)</w:t>
      </w:r>
      <w:r>
        <w:br/>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&gt; Satyr (themes and function)</w:t>
      </w:r>
      <w:r>
        <w:br/>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&gt; Comparative Analysis</w:t>
      </w:r>
      <w:r>
        <w:br/>
      </w:r>
      <w:r w:rsidRPr="5EB34601" w:rsidR="70E8BBBF">
        <w:rPr>
          <w:rFonts w:ascii="Calibri" w:hAnsi="Calibri" w:eastAsia="Calibri" w:cs="Calibri"/>
          <w:b w:val="0"/>
          <w:bCs w:val="0"/>
          <w:i w:val="0"/>
          <w:iCs w:val="0"/>
          <w:strike w:val="0"/>
          <w:dstrike w:val="0"/>
          <w:noProof w:val="0"/>
          <w:color w:val="000000" w:themeColor="text1" w:themeTint="FF" w:themeShade="FF"/>
          <w:sz w:val="24"/>
          <w:szCs w:val="24"/>
          <w:u w:val="none"/>
          <w:lang w:val="en-GB"/>
        </w:rPr>
        <w:t>&gt; Conclusion (summary of key findings).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2877dc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087f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4D136E"/>
    <w:rsid w:val="019DDA31"/>
    <w:rsid w:val="01FF8863"/>
    <w:rsid w:val="047001EF"/>
    <w:rsid w:val="050B065C"/>
    <w:rsid w:val="081CDACF"/>
    <w:rsid w:val="0A7539AF"/>
    <w:rsid w:val="0B4D69CE"/>
    <w:rsid w:val="0BB71972"/>
    <w:rsid w:val="0E0774F2"/>
    <w:rsid w:val="1108C67A"/>
    <w:rsid w:val="142A68F7"/>
    <w:rsid w:val="1487B888"/>
    <w:rsid w:val="1603B2A3"/>
    <w:rsid w:val="18A840EC"/>
    <w:rsid w:val="1ABA9CBC"/>
    <w:rsid w:val="1E54915C"/>
    <w:rsid w:val="22F17881"/>
    <w:rsid w:val="2395EBFC"/>
    <w:rsid w:val="25FD871F"/>
    <w:rsid w:val="2A3BC574"/>
    <w:rsid w:val="3181DE8B"/>
    <w:rsid w:val="354E76DB"/>
    <w:rsid w:val="3CC40F17"/>
    <w:rsid w:val="3F55998A"/>
    <w:rsid w:val="4171932A"/>
    <w:rsid w:val="41E1F1FD"/>
    <w:rsid w:val="424D136E"/>
    <w:rsid w:val="4361B67C"/>
    <w:rsid w:val="485595E4"/>
    <w:rsid w:val="4B148D69"/>
    <w:rsid w:val="4C52EAC1"/>
    <w:rsid w:val="4DEFCD99"/>
    <w:rsid w:val="4F89A459"/>
    <w:rsid w:val="543A9688"/>
    <w:rsid w:val="556AA023"/>
    <w:rsid w:val="55F1C517"/>
    <w:rsid w:val="59BF79C8"/>
    <w:rsid w:val="5EB34601"/>
    <w:rsid w:val="62534343"/>
    <w:rsid w:val="62C1AC90"/>
    <w:rsid w:val="666E8538"/>
    <w:rsid w:val="70E8BBBF"/>
    <w:rsid w:val="77245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D136E"/>
  <w15:chartTrackingRefBased/>
  <w15:docId w15:val="{D1D05F46-3D21-4A55-A079-B348583699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EB3460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EB3460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EB3460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EB3460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EB34601"/>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EB34601"/>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EB34601"/>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EB34601"/>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EB34601"/>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EB34601"/>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EB34601"/>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EB34601"/>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EB34601"/>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EB34601"/>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EB3460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6b9de8d82e345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2025-04-11T18:54:04.5977484Z</dcterms:created>
  <dcterms:modified xsi:type="dcterms:W3CDTF">2025-04-11T19:08:46.0978315Z</dcterms:modified>
  <dc:creator>Caitlin Clyne (2304935)</dc:creator>
  <lastModifiedBy>Caitlin Clyne (2304935)</lastModifiedBy>
</coreProperties>
</file>