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5">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6">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7">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8">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Financial Management for the Hotel Industry - BMIH5007</w:t>
      </w:r>
    </w:p>
    <w:p w:rsidR="00000000" w:rsidDel="00000000" w:rsidP="00000000" w:rsidRDefault="00000000" w:rsidRPr="00000000" w14:paraId="00000009">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Name: Alexandru Marius Neagu</w:t>
      </w:r>
    </w:p>
    <w:p w:rsidR="00000000" w:rsidDel="00000000" w:rsidP="00000000" w:rsidRDefault="00000000" w:rsidRPr="00000000" w14:paraId="0000000A">
      <w:pPr>
        <w:spacing w:line="360" w:lineRule="auto"/>
        <w:jc w:val="center"/>
        <w:rPr>
          <w:rFonts w:ascii="Arial" w:cs="Arial" w:eastAsia="Arial" w:hAnsi="Arial"/>
          <w:b w:val="1"/>
          <w:color w:val="2f5496"/>
        </w:rPr>
      </w:pPr>
      <w:r w:rsidDel="00000000" w:rsidR="00000000" w:rsidRPr="00000000">
        <w:rPr>
          <w:rFonts w:ascii="Arial" w:cs="Arial" w:eastAsia="Arial" w:hAnsi="Arial"/>
          <w:b w:val="1"/>
          <w:rtl w:val="0"/>
        </w:rPr>
        <w:t xml:space="preserve">Student ID: 2026287</w:t>
      </w: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i w:val="0"/>
          <w:smallCaps w:val="0"/>
          <w:strike w:val="0"/>
          <w:u w:val="none"/>
          <w:shd w:fill="auto" w:val="clear"/>
          <w:vertAlign w:val="baseline"/>
        </w:rPr>
      </w:pPr>
      <w:r w:rsidDel="00000000" w:rsidR="00000000" w:rsidRPr="00000000">
        <w:rPr>
          <w:rFonts w:ascii="Arial" w:cs="Arial" w:eastAsia="Arial" w:hAnsi="Arial"/>
          <w:b w:val="1"/>
          <w:i w:val="0"/>
          <w:smallCaps w:val="0"/>
          <w:strike w:val="0"/>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i w:val="0"/>
                <w:smallCaps w:val="0"/>
                <w:strike w:val="0"/>
                <w:color w:val="000000"/>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u w:val="none"/>
              <w:shd w:fill="auto" w:val="clear"/>
              <w:vertAlign w:val="baseline"/>
            </w:rPr>
          </w:pPr>
          <w:hyperlink w:anchor="_heading=h.30j0zll">
            <w:r w:rsidDel="00000000" w:rsidR="00000000" w:rsidRPr="00000000">
              <w:rPr>
                <w:rFonts w:ascii="Arial" w:cs="Arial" w:eastAsia="Arial" w:hAnsi="Arial"/>
                <w:i w:val="0"/>
                <w:smallCaps w:val="0"/>
                <w:strike w:val="0"/>
                <w:color w:val="000000"/>
                <w:u w:val="none"/>
                <w:shd w:fill="auto" w:val="clear"/>
                <w:vertAlign w:val="baseline"/>
                <w:rtl w:val="0"/>
              </w:rPr>
              <w:t xml:space="preserve">Ratio analysis</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u w:val="none"/>
              <w:shd w:fill="auto" w:val="clear"/>
              <w:vertAlign w:val="baseline"/>
            </w:rPr>
          </w:pPr>
          <w:hyperlink w:anchor="_heading=h.1fob9te">
            <w:r w:rsidDel="00000000" w:rsidR="00000000" w:rsidRPr="00000000">
              <w:rPr>
                <w:rFonts w:ascii="Arial" w:cs="Arial" w:eastAsia="Arial" w:hAnsi="Arial"/>
                <w:i w:val="0"/>
                <w:smallCaps w:val="0"/>
                <w:strike w:val="0"/>
                <w:color w:val="000000"/>
                <w:u w:val="none"/>
                <w:shd w:fill="auto" w:val="clear"/>
                <w:vertAlign w:val="baseline"/>
                <w:rtl w:val="0"/>
              </w:rPr>
              <w:t xml:space="preserve">Limitations of financial ratio analysis</w:t>
              <w:tab/>
              <w:t xml:space="preserve">6</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u w:val="none"/>
              <w:shd w:fill="auto" w:val="clear"/>
              <w:vertAlign w:val="baseline"/>
            </w:rPr>
          </w:pPr>
          <w:hyperlink w:anchor="_heading=h.3znysh7">
            <w:r w:rsidDel="00000000" w:rsidR="00000000" w:rsidRPr="00000000">
              <w:rPr>
                <w:rFonts w:ascii="Arial" w:cs="Arial" w:eastAsia="Arial" w:hAnsi="Arial"/>
                <w:i w:val="0"/>
                <w:smallCaps w:val="0"/>
                <w:strike w:val="0"/>
                <w:color w:val="000000"/>
                <w:u w:val="none"/>
                <w:shd w:fill="auto" w:val="clear"/>
                <w:vertAlign w:val="baseline"/>
                <w:rtl w:val="0"/>
              </w:rPr>
              <w:t xml:space="preserve">Understanding financial ratios for hotel management</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u w:val="none"/>
              <w:shd w:fill="auto" w:val="clear"/>
              <w:vertAlign w:val="baseline"/>
            </w:rPr>
          </w:pPr>
          <w:hyperlink w:anchor="_heading=h.2et92p0">
            <w:r w:rsidDel="00000000" w:rsidR="00000000" w:rsidRPr="00000000">
              <w:rPr>
                <w:rFonts w:ascii="Arial" w:cs="Arial" w:eastAsia="Arial" w:hAnsi="Arial"/>
                <w:i w:val="0"/>
                <w:smallCaps w:val="0"/>
                <w:strike w:val="0"/>
                <w:color w:val="000000"/>
                <w:u w:val="none"/>
                <w:shd w:fill="auto" w:val="clear"/>
                <w:vertAlign w:val="baseline"/>
                <w:rtl w:val="0"/>
              </w:rPr>
              <w:t xml:space="preserve">Understanding of financial ratios and its importance</w:t>
              <w:tab/>
              <w:t xml:space="preserve">7</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u w:val="none"/>
              <w:shd w:fill="auto" w:val="clear"/>
              <w:vertAlign w:val="baseline"/>
            </w:rPr>
          </w:pPr>
          <w:hyperlink w:anchor="_heading=h.tyjcwt">
            <w:r w:rsidDel="00000000" w:rsidR="00000000" w:rsidRPr="00000000">
              <w:rPr>
                <w:rFonts w:ascii="Arial" w:cs="Arial" w:eastAsia="Arial" w:hAnsi="Arial"/>
                <w:i w:val="0"/>
                <w:smallCaps w:val="0"/>
                <w:strike w:val="0"/>
                <w:color w:val="000000"/>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u w:val="none"/>
              <w:shd w:fill="auto" w:val="clear"/>
              <w:vertAlign w:val="baseline"/>
            </w:rPr>
          </w:pPr>
          <w:hyperlink w:anchor="_heading=h.3dy6vkm">
            <w:r w:rsidDel="00000000" w:rsidR="00000000" w:rsidRPr="00000000">
              <w:rPr>
                <w:rFonts w:ascii="Arial" w:cs="Arial" w:eastAsia="Arial" w:hAnsi="Arial"/>
                <w:i w:val="0"/>
                <w:smallCaps w:val="0"/>
                <w:strike w:val="0"/>
                <w:color w:val="000000"/>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3">
          <w:pPr>
            <w:spacing w:line="36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spacing w:line="360" w:lineRule="auto"/>
        <w:jc w:val="left"/>
        <w:rPr>
          <w:rFonts w:ascii="Arial" w:cs="Arial" w:eastAsia="Arial" w:hAnsi="Arial"/>
          <w:b w:val="1"/>
          <w:color w:val="2f5496"/>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spacing w:line="360" w:lineRule="auto"/>
        <w:rPr>
          <w:rFonts w:ascii="Arial" w:cs="Arial" w:eastAsia="Arial" w:hAnsi="Arial"/>
          <w:color w:val="000000"/>
          <w:sz w:val="24"/>
          <w:szCs w:val="24"/>
        </w:rPr>
      </w:pPr>
      <w:bookmarkStart w:colFirst="0" w:colLast="0" w:name="_heading=h.gjdgxs" w:id="0"/>
      <w:bookmarkEnd w:id="0"/>
      <w:r w:rsidDel="00000000" w:rsidR="00000000" w:rsidRPr="00000000">
        <w:rPr>
          <w:rFonts w:ascii="Arial" w:cs="Arial" w:eastAsia="Arial" w:hAnsi="Arial"/>
          <w:color w:val="000000"/>
          <w:sz w:val="24"/>
          <w:szCs w:val="24"/>
          <w:rtl w:val="0"/>
        </w:rPr>
        <w:t xml:space="preserve">Introduction</w:t>
      </w:r>
    </w:p>
    <w:p w:rsidR="00000000" w:rsidDel="00000000" w:rsidP="00000000" w:rsidRDefault="00000000" w:rsidRPr="00000000" w14:paraId="00000016">
      <w:pPr>
        <w:spacing w:line="360" w:lineRule="auto"/>
        <w:rPr>
          <w:rFonts w:ascii="Arial" w:cs="Arial" w:eastAsia="Arial" w:hAnsi="Arial"/>
        </w:rPr>
      </w:pPr>
      <w:r w:rsidDel="00000000" w:rsidR="00000000" w:rsidRPr="00000000">
        <w:rPr>
          <w:rFonts w:ascii="Arial" w:cs="Arial" w:eastAsia="Arial" w:hAnsi="Arial"/>
          <w:rtl w:val="0"/>
        </w:rPr>
        <w:t xml:space="preserve">This particular report will analyze the 2021-2020 annual report of Marriott International Inc. and discuss its financial ratios. The report will thoroughly analyze the ratio of the company in the following time scale and identify the reasons of their changes. The report will also discuss the limitations of financial ratios and also the report will discuss why it is important to understand the ratios for decision making.</w:t>
      </w:r>
    </w:p>
    <w:p w:rsidR="00000000" w:rsidDel="00000000" w:rsidP="00000000" w:rsidRDefault="00000000" w:rsidRPr="00000000" w14:paraId="00000017">
      <w:pPr>
        <w:pStyle w:val="Heading1"/>
        <w:spacing w:line="360" w:lineRule="auto"/>
        <w:rPr>
          <w:rFonts w:ascii="Arial" w:cs="Arial" w:eastAsia="Arial" w:hAnsi="Arial"/>
          <w:color w:val="000000"/>
          <w:sz w:val="24"/>
          <w:szCs w:val="24"/>
        </w:rPr>
      </w:pPr>
      <w:bookmarkStart w:colFirst="0" w:colLast="0" w:name="_heading=h.30j0zll" w:id="1"/>
      <w:bookmarkEnd w:id="1"/>
      <w:r w:rsidDel="00000000" w:rsidR="00000000" w:rsidRPr="00000000">
        <w:rPr>
          <w:rFonts w:ascii="Arial" w:cs="Arial" w:eastAsia="Arial" w:hAnsi="Arial"/>
          <w:color w:val="000000"/>
          <w:sz w:val="24"/>
          <w:szCs w:val="24"/>
          <w:rtl w:val="0"/>
        </w:rPr>
        <w:t xml:space="preserve">Ratio analysis</w:t>
      </w:r>
    </w:p>
    <w:p w:rsidR="00000000" w:rsidDel="00000000" w:rsidP="00000000" w:rsidRDefault="00000000" w:rsidRPr="00000000" w14:paraId="00000018">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Liquidity Ratio:</w:t>
      </w:r>
    </w:p>
    <w:tbl>
      <w:tblPr>
        <w:tblStyle w:val="Table1"/>
        <w:tblW w:w="9350.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975"/>
        <w:gridCol w:w="4258"/>
        <w:gridCol w:w="3117"/>
        <w:tblGridChange w:id="0">
          <w:tblGrid>
            <w:gridCol w:w="1975"/>
            <w:gridCol w:w="4258"/>
            <w:gridCol w:w="3117"/>
          </w:tblGrid>
        </w:tblGridChange>
      </w:tblGrid>
      <w:tr>
        <w:trPr>
          <w:cantSplit w:val="0"/>
          <w:tblHeader w:val="0"/>
        </w:trPr>
        <w:tc>
          <w:tcPr/>
          <w:p w:rsidR="00000000" w:rsidDel="00000000" w:rsidP="00000000" w:rsidRDefault="00000000" w:rsidRPr="00000000" w14:paraId="00000019">
            <w:pPr>
              <w:spacing w:line="360" w:lineRule="auto"/>
              <w:rPr>
                <w:rFonts w:ascii="Arial" w:cs="Arial" w:eastAsia="Arial" w:hAnsi="Arial"/>
              </w:rPr>
            </w:pPr>
            <w:r w:rsidDel="00000000" w:rsidR="00000000" w:rsidRPr="00000000">
              <w:rPr>
                <w:rFonts w:ascii="Arial" w:cs="Arial" w:eastAsia="Arial" w:hAnsi="Arial"/>
                <w:rtl w:val="0"/>
              </w:rPr>
              <w:t xml:space="preserve">Ratio</w:t>
            </w:r>
          </w:p>
        </w:tc>
        <w:tc>
          <w:tcPr/>
          <w:p w:rsidR="00000000" w:rsidDel="00000000" w:rsidP="00000000" w:rsidRDefault="00000000" w:rsidRPr="00000000" w14:paraId="0000001A">
            <w:pPr>
              <w:spacing w:line="360" w:lineRule="auto"/>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01B">
            <w:pPr>
              <w:spacing w:line="360" w:lineRule="auto"/>
              <w:rPr>
                <w:rFonts w:ascii="Arial" w:cs="Arial" w:eastAsia="Arial" w:hAnsi="Arial"/>
              </w:rPr>
            </w:pPr>
            <w:r w:rsidDel="00000000" w:rsidR="00000000" w:rsidRPr="00000000">
              <w:rPr>
                <w:rFonts w:ascii="Arial" w:cs="Arial" w:eastAsia="Arial" w:hAnsi="Arial"/>
                <w:rtl w:val="0"/>
              </w:rPr>
              <w:t xml:space="preserve">2020</w:t>
            </w:r>
          </w:p>
        </w:tc>
      </w:tr>
      <w:tr>
        <w:trPr>
          <w:cantSplit w:val="0"/>
          <w:tblHeader w:val="0"/>
        </w:trPr>
        <w:tc>
          <w:tcPr/>
          <w:p w:rsidR="00000000" w:rsidDel="00000000" w:rsidP="00000000" w:rsidRDefault="00000000" w:rsidRPr="00000000" w14:paraId="0000001C">
            <w:pPr>
              <w:spacing w:line="360" w:lineRule="auto"/>
              <w:rPr>
                <w:rFonts w:ascii="Arial" w:cs="Arial" w:eastAsia="Arial" w:hAnsi="Arial"/>
              </w:rPr>
            </w:pPr>
            <w:r w:rsidDel="00000000" w:rsidR="00000000" w:rsidRPr="00000000">
              <w:rPr>
                <w:rFonts w:ascii="Arial" w:cs="Arial" w:eastAsia="Arial" w:hAnsi="Arial"/>
                <w:rtl w:val="0"/>
              </w:rPr>
              <w:t xml:space="preserve">Liquidity ratio</w:t>
            </w:r>
          </w:p>
        </w:tc>
        <w:tc>
          <w:tcPr/>
          <w:p w:rsidR="00000000" w:rsidDel="00000000" w:rsidP="00000000" w:rsidRDefault="00000000" w:rsidRPr="00000000" w14:paraId="0000001D">
            <w:pPr>
              <w:spacing w:line="360" w:lineRule="auto"/>
              <w:rPr>
                <w:rFonts w:ascii="Arial" w:cs="Arial" w:eastAsia="Arial" w:hAnsi="Arial"/>
              </w:rPr>
            </w:pPr>
            <w:r w:rsidDel="00000000" w:rsidR="00000000" w:rsidRPr="00000000">
              <w:rPr>
                <w:rFonts w:ascii="Arial" w:cs="Arial" w:eastAsia="Arial" w:hAnsi="Arial"/>
                <w:rtl w:val="0"/>
              </w:rPr>
              <w:t xml:space="preserve">= Current Assets / Current Liabilities</w:t>
            </w:r>
          </w:p>
          <w:p w:rsidR="00000000" w:rsidDel="00000000" w:rsidP="00000000" w:rsidRDefault="00000000" w:rsidRPr="00000000" w14:paraId="0000001E">
            <w:pPr>
              <w:spacing w:line="360" w:lineRule="auto"/>
              <w:rPr>
                <w:rFonts w:ascii="Arial" w:cs="Arial" w:eastAsia="Arial" w:hAnsi="Arial"/>
              </w:rPr>
            </w:pPr>
            <w:r w:rsidDel="00000000" w:rsidR="00000000" w:rsidRPr="00000000">
              <w:rPr>
                <w:rFonts w:ascii="Arial" w:cs="Arial" w:eastAsia="Arial" w:hAnsi="Arial"/>
                <w:rtl w:val="0"/>
              </w:rPr>
              <w:t xml:space="preserve">= 3,626 / 6,407</w:t>
            </w:r>
          </w:p>
          <w:p w:rsidR="00000000" w:rsidDel="00000000" w:rsidP="00000000" w:rsidRDefault="00000000" w:rsidRPr="00000000" w14:paraId="0000001F">
            <w:pPr>
              <w:spacing w:line="360" w:lineRule="auto"/>
              <w:rPr>
                <w:rFonts w:ascii="Arial" w:cs="Arial" w:eastAsia="Arial" w:hAnsi="Arial"/>
              </w:rPr>
            </w:pPr>
            <w:r w:rsidDel="00000000" w:rsidR="00000000" w:rsidRPr="00000000">
              <w:rPr>
                <w:rFonts w:ascii="Arial" w:cs="Arial" w:eastAsia="Arial" w:hAnsi="Arial"/>
                <w:rtl w:val="0"/>
              </w:rPr>
              <w:t xml:space="preserve">= 0.56</w:t>
            </w:r>
          </w:p>
        </w:tc>
        <w:tc>
          <w:tcPr/>
          <w:p w:rsidR="00000000" w:rsidDel="00000000" w:rsidP="00000000" w:rsidRDefault="00000000" w:rsidRPr="00000000" w14:paraId="00000020">
            <w:pPr>
              <w:spacing w:line="360" w:lineRule="auto"/>
              <w:rPr>
                <w:rFonts w:ascii="Arial" w:cs="Arial" w:eastAsia="Arial" w:hAnsi="Arial"/>
              </w:rPr>
            </w:pPr>
            <w:r w:rsidDel="00000000" w:rsidR="00000000" w:rsidRPr="00000000">
              <w:rPr>
                <w:rFonts w:ascii="Arial" w:cs="Arial" w:eastAsia="Arial" w:hAnsi="Arial"/>
                <w:rtl w:val="0"/>
              </w:rPr>
              <w:t xml:space="preserve">= Current Assets / Current Liabilities</w:t>
            </w:r>
          </w:p>
          <w:p w:rsidR="00000000" w:rsidDel="00000000" w:rsidP="00000000" w:rsidRDefault="00000000" w:rsidRPr="00000000" w14:paraId="00000021">
            <w:pPr>
              <w:spacing w:line="360" w:lineRule="auto"/>
              <w:rPr>
                <w:rFonts w:ascii="Arial" w:cs="Arial" w:eastAsia="Arial" w:hAnsi="Arial"/>
              </w:rPr>
            </w:pPr>
            <w:r w:rsidDel="00000000" w:rsidR="00000000" w:rsidRPr="00000000">
              <w:rPr>
                <w:rFonts w:ascii="Arial" w:cs="Arial" w:eastAsia="Arial" w:hAnsi="Arial"/>
                <w:rtl w:val="0"/>
              </w:rPr>
              <w:t xml:space="preserve">= 2,825 / 5,752</w:t>
            </w:r>
          </w:p>
          <w:p w:rsidR="00000000" w:rsidDel="00000000" w:rsidP="00000000" w:rsidRDefault="00000000" w:rsidRPr="00000000" w14:paraId="00000022">
            <w:pPr>
              <w:spacing w:line="360" w:lineRule="auto"/>
              <w:rPr>
                <w:rFonts w:ascii="Arial" w:cs="Arial" w:eastAsia="Arial" w:hAnsi="Arial"/>
              </w:rPr>
            </w:pPr>
            <w:r w:rsidDel="00000000" w:rsidR="00000000" w:rsidRPr="00000000">
              <w:rPr>
                <w:rFonts w:ascii="Arial" w:cs="Arial" w:eastAsia="Arial" w:hAnsi="Arial"/>
                <w:rtl w:val="0"/>
              </w:rPr>
              <w:t xml:space="preserve">= 0.49</w:t>
            </w:r>
          </w:p>
        </w:tc>
      </w:tr>
    </w:tbl>
    <w:p w:rsidR="00000000" w:rsidDel="00000000" w:rsidP="00000000" w:rsidRDefault="00000000" w:rsidRPr="00000000" w14:paraId="00000023">
      <w:pPr>
        <w:spacing w:line="360" w:lineRule="auto"/>
        <w:jc w:val="center"/>
        <w:rPr>
          <w:rFonts w:ascii="Arial" w:cs="Arial" w:eastAsia="Arial" w:hAnsi="Arial"/>
          <w:i w:val="1"/>
          <w:color w:val="3b3838"/>
        </w:rPr>
      </w:pPr>
      <w:r w:rsidDel="00000000" w:rsidR="00000000" w:rsidRPr="00000000">
        <w:rPr>
          <w:rFonts w:ascii="Arial" w:cs="Arial" w:eastAsia="Arial" w:hAnsi="Arial"/>
          <w:i w:val="1"/>
          <w:color w:val="3b3838"/>
          <w:rtl w:val="0"/>
        </w:rPr>
        <w:t xml:space="preserve">Figure 01: Liquidity ratio calculation of Marriott International Inc. Source: Self-Made</w:t>
      </w:r>
    </w:p>
    <w:p w:rsidR="00000000" w:rsidDel="00000000" w:rsidP="00000000" w:rsidRDefault="00000000" w:rsidRPr="00000000" w14:paraId="00000024">
      <w:pPr>
        <w:spacing w:line="360" w:lineRule="auto"/>
        <w:rPr>
          <w:rFonts w:ascii="Arial" w:cs="Arial" w:eastAsia="Arial" w:hAnsi="Arial"/>
        </w:rPr>
      </w:pPr>
      <w:r w:rsidDel="00000000" w:rsidR="00000000" w:rsidRPr="00000000">
        <w:rPr>
          <w:rFonts w:ascii="Arial" w:cs="Arial" w:eastAsia="Arial" w:hAnsi="Arial"/>
          <w:rtl w:val="0"/>
        </w:rPr>
        <w:t xml:space="preserve">The liquidity ratio measures the amount of cash and securities that a company has available to meet its short-term debt obligations (</w:t>
      </w:r>
      <w:r w:rsidDel="00000000" w:rsidR="00000000" w:rsidRPr="00000000">
        <w:rPr>
          <w:rFonts w:ascii="Arial" w:cs="Arial" w:eastAsia="Arial" w:hAnsi="Arial"/>
          <w:highlight w:val="white"/>
          <w:rtl w:val="0"/>
        </w:rPr>
        <w:t xml:space="preserve">Shirsath and Bhawar, 2016)</w:t>
      </w:r>
      <w:r w:rsidDel="00000000" w:rsidR="00000000" w:rsidRPr="00000000">
        <w:rPr>
          <w:rFonts w:ascii="Arial" w:cs="Arial" w:eastAsia="Arial" w:hAnsi="Arial"/>
          <w:rtl w:val="0"/>
        </w:rPr>
        <w:t xml:space="preserve">. The higher the liquidity ratio, the more stable and sustainable a company's financial position appears to be. The above information shows that Marriott International Inc. had a good liquidity ratio in 2021 than 2020. The company had 0.49 liquidity ratio in 2020 but in 2021 the ratio reached to 0.56. There are several reasons why Marriott International Inc. may have a high liquidity ratio. For example, if Marriott International Inc. is profitable and doesn't need to raise money in order to cover its costs, it will likely have plenty of cash on hand. Additionally, if the has strong relationships with major creditors who are willing to extend credit lines without demanding high-interest rates or collateralized assets (such as stocks), then its liquidity will be increased as well (</w:t>
      </w:r>
      <w:r w:rsidDel="00000000" w:rsidR="00000000" w:rsidRPr="00000000">
        <w:rPr>
          <w:rFonts w:ascii="Arial" w:cs="Arial" w:eastAsia="Arial" w:hAnsi="Arial"/>
          <w:highlight w:val="white"/>
          <w:rtl w:val="0"/>
        </w:rPr>
        <w:t xml:space="preserve">Gibson, 2016)</w:t>
      </w:r>
      <w:r w:rsidDel="00000000" w:rsidR="00000000" w:rsidRPr="00000000">
        <w:rPr>
          <w:rFonts w:ascii="Arial" w:cs="Arial" w:eastAsia="Arial" w:hAnsi="Arial"/>
          <w:rtl w:val="0"/>
        </w:rPr>
        <w:t xml:space="preserve">. The benefits of having an increased level of liquidity include: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A greater ability for shareholders to sell shares at any time without concern about diluting their ownership stake.</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Increased confidence among investors which can lead them to reinvest money into a company rather than seeking out safer investments; </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Reduced risk from unexpected economic events since corporate debt is usually backed by real estate or other valuable assets instead of fiat currency or stock options; </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Improved decision-making abilities during times when uncertainty exists regarding market conditions because financiers know that there is ample capital available should problems arise.</w:t>
      </w:r>
    </w:p>
    <w:p w:rsidR="00000000" w:rsidDel="00000000" w:rsidP="00000000" w:rsidRDefault="00000000" w:rsidRPr="00000000" w14:paraId="00000029">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Quick Ratio</w:t>
      </w:r>
    </w:p>
    <w:tbl>
      <w:tblPr>
        <w:tblStyle w:val="Table2"/>
        <w:tblW w:w="9350.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525"/>
        <w:gridCol w:w="4708"/>
        <w:gridCol w:w="3117"/>
        <w:tblGridChange w:id="0">
          <w:tblGrid>
            <w:gridCol w:w="1525"/>
            <w:gridCol w:w="4708"/>
            <w:gridCol w:w="3117"/>
          </w:tblGrid>
        </w:tblGridChange>
      </w:tblGrid>
      <w:tr>
        <w:trPr>
          <w:cantSplit w:val="0"/>
          <w:tblHeader w:val="0"/>
        </w:trPr>
        <w:tc>
          <w:tcPr/>
          <w:p w:rsidR="00000000" w:rsidDel="00000000" w:rsidP="00000000" w:rsidRDefault="00000000" w:rsidRPr="00000000" w14:paraId="0000002A">
            <w:pPr>
              <w:spacing w:line="360" w:lineRule="auto"/>
              <w:rPr>
                <w:rFonts w:ascii="Arial" w:cs="Arial" w:eastAsia="Arial" w:hAnsi="Arial"/>
              </w:rPr>
            </w:pPr>
            <w:r w:rsidDel="00000000" w:rsidR="00000000" w:rsidRPr="00000000">
              <w:rPr>
                <w:rFonts w:ascii="Arial" w:cs="Arial" w:eastAsia="Arial" w:hAnsi="Arial"/>
                <w:rtl w:val="0"/>
              </w:rPr>
              <w:t xml:space="preserve">Ratio</w:t>
            </w:r>
          </w:p>
        </w:tc>
        <w:tc>
          <w:tcPr/>
          <w:p w:rsidR="00000000" w:rsidDel="00000000" w:rsidP="00000000" w:rsidRDefault="00000000" w:rsidRPr="00000000" w14:paraId="0000002B">
            <w:pPr>
              <w:spacing w:line="360" w:lineRule="auto"/>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02C">
            <w:pPr>
              <w:spacing w:line="360" w:lineRule="auto"/>
              <w:rPr>
                <w:rFonts w:ascii="Arial" w:cs="Arial" w:eastAsia="Arial" w:hAnsi="Arial"/>
              </w:rPr>
            </w:pPr>
            <w:r w:rsidDel="00000000" w:rsidR="00000000" w:rsidRPr="00000000">
              <w:rPr>
                <w:rFonts w:ascii="Arial" w:cs="Arial" w:eastAsia="Arial" w:hAnsi="Arial"/>
                <w:rtl w:val="0"/>
              </w:rPr>
              <w:t xml:space="preserve">2020</w:t>
            </w:r>
          </w:p>
        </w:tc>
      </w:tr>
      <w:tr>
        <w:trPr>
          <w:cantSplit w:val="0"/>
          <w:tblHeader w:val="0"/>
        </w:trPr>
        <w:tc>
          <w:tcPr/>
          <w:p w:rsidR="00000000" w:rsidDel="00000000" w:rsidP="00000000" w:rsidRDefault="00000000" w:rsidRPr="00000000" w14:paraId="0000002D">
            <w:pPr>
              <w:spacing w:line="360" w:lineRule="auto"/>
              <w:rPr>
                <w:rFonts w:ascii="Arial" w:cs="Arial" w:eastAsia="Arial" w:hAnsi="Arial"/>
              </w:rPr>
            </w:pPr>
            <w:r w:rsidDel="00000000" w:rsidR="00000000" w:rsidRPr="00000000">
              <w:rPr>
                <w:rFonts w:ascii="Arial" w:cs="Arial" w:eastAsia="Arial" w:hAnsi="Arial"/>
                <w:rtl w:val="0"/>
              </w:rPr>
              <w:t xml:space="preserve">Quick ratio</w:t>
            </w:r>
          </w:p>
          <w:p w:rsidR="00000000" w:rsidDel="00000000" w:rsidP="00000000" w:rsidRDefault="00000000" w:rsidRPr="00000000" w14:paraId="0000002E">
            <w:pPr>
              <w:spacing w:line="36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2F">
            <w:pPr>
              <w:spacing w:line="360" w:lineRule="auto"/>
              <w:rPr>
                <w:rFonts w:ascii="Arial" w:cs="Arial" w:eastAsia="Arial" w:hAnsi="Arial"/>
              </w:rPr>
            </w:pPr>
            <w:r w:rsidDel="00000000" w:rsidR="00000000" w:rsidRPr="00000000">
              <w:rPr>
                <w:rFonts w:ascii="Arial" w:cs="Arial" w:eastAsia="Arial" w:hAnsi="Arial"/>
                <w:rtl w:val="0"/>
              </w:rPr>
              <w:t xml:space="preserve">= Current Assets - Prepaid Expenses / Current Liabilities</w:t>
            </w:r>
          </w:p>
          <w:p w:rsidR="00000000" w:rsidDel="00000000" w:rsidP="00000000" w:rsidRDefault="00000000" w:rsidRPr="00000000" w14:paraId="00000030">
            <w:pPr>
              <w:spacing w:line="360" w:lineRule="auto"/>
              <w:rPr>
                <w:rFonts w:ascii="Arial" w:cs="Arial" w:eastAsia="Arial" w:hAnsi="Arial"/>
              </w:rPr>
            </w:pPr>
            <w:r w:rsidDel="00000000" w:rsidR="00000000" w:rsidRPr="00000000">
              <w:rPr>
                <w:rFonts w:ascii="Arial" w:cs="Arial" w:eastAsia="Arial" w:hAnsi="Arial"/>
                <w:rtl w:val="0"/>
              </w:rPr>
              <w:t xml:space="preserve">= 3,626 – 251 / 6,407</w:t>
            </w:r>
          </w:p>
          <w:p w:rsidR="00000000" w:rsidDel="00000000" w:rsidP="00000000" w:rsidRDefault="00000000" w:rsidRPr="00000000" w14:paraId="00000031">
            <w:pPr>
              <w:spacing w:line="360" w:lineRule="auto"/>
              <w:rPr>
                <w:rFonts w:ascii="Arial" w:cs="Arial" w:eastAsia="Arial" w:hAnsi="Arial"/>
              </w:rPr>
            </w:pPr>
            <w:r w:rsidDel="00000000" w:rsidR="00000000" w:rsidRPr="00000000">
              <w:rPr>
                <w:rFonts w:ascii="Arial" w:cs="Arial" w:eastAsia="Arial" w:hAnsi="Arial"/>
                <w:rtl w:val="0"/>
              </w:rPr>
              <w:t xml:space="preserve">= 0.53</w:t>
            </w:r>
          </w:p>
        </w:tc>
        <w:tc>
          <w:tcPr/>
          <w:p w:rsidR="00000000" w:rsidDel="00000000" w:rsidP="00000000" w:rsidRDefault="00000000" w:rsidRPr="00000000" w14:paraId="00000032">
            <w:pPr>
              <w:spacing w:line="360" w:lineRule="auto"/>
              <w:rPr>
                <w:rFonts w:ascii="Arial" w:cs="Arial" w:eastAsia="Arial" w:hAnsi="Arial"/>
              </w:rPr>
            </w:pPr>
            <w:r w:rsidDel="00000000" w:rsidR="00000000" w:rsidRPr="00000000">
              <w:rPr>
                <w:rFonts w:ascii="Arial" w:cs="Arial" w:eastAsia="Arial" w:hAnsi="Arial"/>
                <w:rtl w:val="0"/>
              </w:rPr>
              <w:t xml:space="preserve">= Current Assets - Prepaid Expenses / Current Liabilities</w:t>
            </w:r>
          </w:p>
          <w:p w:rsidR="00000000" w:rsidDel="00000000" w:rsidP="00000000" w:rsidRDefault="00000000" w:rsidRPr="00000000" w14:paraId="00000033">
            <w:pPr>
              <w:spacing w:line="360" w:lineRule="auto"/>
              <w:rPr>
                <w:rFonts w:ascii="Arial" w:cs="Arial" w:eastAsia="Arial" w:hAnsi="Arial"/>
              </w:rPr>
            </w:pPr>
            <w:r w:rsidDel="00000000" w:rsidR="00000000" w:rsidRPr="00000000">
              <w:rPr>
                <w:rFonts w:ascii="Arial" w:cs="Arial" w:eastAsia="Arial" w:hAnsi="Arial"/>
                <w:rtl w:val="0"/>
              </w:rPr>
              <w:t xml:space="preserve">= 2,825 – 180 / 5,752</w:t>
            </w:r>
          </w:p>
          <w:p w:rsidR="00000000" w:rsidDel="00000000" w:rsidP="00000000" w:rsidRDefault="00000000" w:rsidRPr="00000000" w14:paraId="00000034">
            <w:pPr>
              <w:spacing w:line="360" w:lineRule="auto"/>
              <w:rPr>
                <w:rFonts w:ascii="Arial" w:cs="Arial" w:eastAsia="Arial" w:hAnsi="Arial"/>
              </w:rPr>
            </w:pPr>
            <w:r w:rsidDel="00000000" w:rsidR="00000000" w:rsidRPr="00000000">
              <w:rPr>
                <w:rFonts w:ascii="Arial" w:cs="Arial" w:eastAsia="Arial" w:hAnsi="Arial"/>
                <w:rtl w:val="0"/>
              </w:rPr>
              <w:t xml:space="preserve">= 0.46</w:t>
            </w:r>
          </w:p>
        </w:tc>
      </w:tr>
    </w:tbl>
    <w:p w:rsidR="00000000" w:rsidDel="00000000" w:rsidP="00000000" w:rsidRDefault="00000000" w:rsidRPr="00000000" w14:paraId="00000035">
      <w:pPr>
        <w:spacing w:line="360" w:lineRule="auto"/>
        <w:jc w:val="center"/>
        <w:rPr>
          <w:rFonts w:ascii="Arial" w:cs="Arial" w:eastAsia="Arial" w:hAnsi="Arial"/>
          <w:i w:val="1"/>
          <w:color w:val="3b3838"/>
        </w:rPr>
      </w:pPr>
      <w:r w:rsidDel="00000000" w:rsidR="00000000" w:rsidRPr="00000000">
        <w:rPr>
          <w:rFonts w:ascii="Arial" w:cs="Arial" w:eastAsia="Arial" w:hAnsi="Arial"/>
          <w:i w:val="1"/>
          <w:color w:val="3b3838"/>
          <w:rtl w:val="0"/>
        </w:rPr>
        <w:t xml:space="preserve">Figure 02: Quick ratio calculation of Marriott International Inc. Source: Self-Made</w:t>
      </w:r>
    </w:p>
    <w:p w:rsidR="00000000" w:rsidDel="00000000" w:rsidP="00000000" w:rsidRDefault="00000000" w:rsidRPr="00000000" w14:paraId="00000036">
      <w:pPr>
        <w:spacing w:line="360" w:lineRule="auto"/>
        <w:rPr>
          <w:rFonts w:ascii="Arial" w:cs="Arial" w:eastAsia="Arial" w:hAnsi="Arial"/>
        </w:rPr>
      </w:pPr>
      <w:r w:rsidDel="00000000" w:rsidR="00000000" w:rsidRPr="00000000">
        <w:rPr>
          <w:rFonts w:ascii="Arial" w:cs="Arial" w:eastAsia="Arial" w:hAnsi="Arial"/>
          <w:rtl w:val="0"/>
        </w:rPr>
        <w:t xml:space="preserve">The quick ratio refers to the amount of equity the investors have in a business relative to the total liabilities (</w:t>
      </w:r>
      <w:r w:rsidDel="00000000" w:rsidR="00000000" w:rsidRPr="00000000">
        <w:rPr>
          <w:rFonts w:ascii="Arial" w:cs="Arial" w:eastAsia="Arial" w:hAnsi="Arial"/>
          <w:highlight w:val="white"/>
          <w:rtl w:val="0"/>
        </w:rPr>
        <w:t xml:space="preserve">Welc, 2022)</w:t>
      </w:r>
      <w:r w:rsidDel="00000000" w:rsidR="00000000" w:rsidRPr="00000000">
        <w:rPr>
          <w:rFonts w:ascii="Arial" w:cs="Arial" w:eastAsia="Arial" w:hAnsi="Arial"/>
          <w:rtl w:val="0"/>
        </w:rPr>
        <w:t xml:space="preserve">. When it is higher, this suggests that there is more money available for working capital and future expansion. Additionally, a high Quick Ratio indicates strong liquidity - which can be beneficial when trading stocks or completing other financial transactions (</w:t>
      </w:r>
      <w:r w:rsidDel="00000000" w:rsidR="00000000" w:rsidRPr="00000000">
        <w:rPr>
          <w:rFonts w:ascii="Arial" w:cs="Arial" w:eastAsia="Arial" w:hAnsi="Arial"/>
          <w:highlight w:val="white"/>
          <w:rtl w:val="0"/>
        </w:rPr>
        <w:t xml:space="preserve">Rahayu and Hari, 2016)</w:t>
      </w:r>
      <w:r w:rsidDel="00000000" w:rsidR="00000000" w:rsidRPr="00000000">
        <w:rPr>
          <w:rFonts w:ascii="Arial" w:cs="Arial" w:eastAsia="Arial" w:hAnsi="Arial"/>
          <w:rtl w:val="0"/>
        </w:rPr>
        <w:t xml:space="preserve">. In case of quick ratio, the company have seen almost same ratio as the liquidity ratio. The company had better quick ratio in 2021 than 2020. In 2021, the company had 0.53 ratio but in 2020 the company had 0.46 ratio. There are many reasons why a quick ratio could increase, but the benefits typically include improvements in management and reduced investment costs. With quick ratio increased, it can be said that the company is working more efficiently because the management is being more productive with less cost. The main reason why the quick ratio increased over time is that it measures how well Marriott International can pay its debts back quickly. This means that the business is not relying on long-term debt financing, which could become risky if interest rates rise or the industry suffers from poor Economic conditions (</w:t>
      </w:r>
      <w:r w:rsidDel="00000000" w:rsidR="00000000" w:rsidRPr="00000000">
        <w:rPr>
          <w:rFonts w:ascii="Arial" w:cs="Arial" w:eastAsia="Arial" w:hAnsi="Arial"/>
          <w:highlight w:val="white"/>
          <w:rtl w:val="0"/>
        </w:rPr>
        <w:t xml:space="preserve">Jufrizen and Nasution, 2017)</w:t>
      </w:r>
      <w:r w:rsidDel="00000000" w:rsidR="00000000" w:rsidRPr="00000000">
        <w:rPr>
          <w:rFonts w:ascii="Arial" w:cs="Arial" w:eastAsia="Arial" w:hAnsi="Arial"/>
          <w:rtl w:val="0"/>
        </w:rPr>
        <w:t xml:space="preserve">. Furthermore, a high Quick Ratio demonstrates quality earnings and stable cash flow - both of which are important indicators of future success.</w:t>
      </w:r>
    </w:p>
    <w:p w:rsidR="00000000" w:rsidDel="00000000" w:rsidP="00000000" w:rsidRDefault="00000000" w:rsidRPr="00000000" w14:paraId="0000003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8">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Profitability Ratio</w:t>
      </w:r>
    </w:p>
    <w:tbl>
      <w:tblPr>
        <w:tblStyle w:val="Table3"/>
        <w:tblW w:w="9350.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2965"/>
        <w:gridCol w:w="3268"/>
        <w:gridCol w:w="3117"/>
        <w:tblGridChange w:id="0">
          <w:tblGrid>
            <w:gridCol w:w="2965"/>
            <w:gridCol w:w="3268"/>
            <w:gridCol w:w="3117"/>
          </w:tblGrid>
        </w:tblGridChange>
      </w:tblGrid>
      <w:tr>
        <w:trPr>
          <w:cantSplit w:val="0"/>
          <w:tblHeader w:val="0"/>
        </w:trPr>
        <w:tc>
          <w:tcPr/>
          <w:p w:rsidR="00000000" w:rsidDel="00000000" w:rsidP="00000000" w:rsidRDefault="00000000" w:rsidRPr="00000000" w14:paraId="00000039">
            <w:pPr>
              <w:spacing w:line="360" w:lineRule="auto"/>
              <w:rPr>
                <w:rFonts w:ascii="Arial" w:cs="Arial" w:eastAsia="Arial" w:hAnsi="Arial"/>
              </w:rPr>
            </w:pPr>
            <w:r w:rsidDel="00000000" w:rsidR="00000000" w:rsidRPr="00000000">
              <w:rPr>
                <w:rFonts w:ascii="Arial" w:cs="Arial" w:eastAsia="Arial" w:hAnsi="Arial"/>
                <w:rtl w:val="0"/>
              </w:rPr>
              <w:t xml:space="preserve">Ratio</w:t>
            </w:r>
          </w:p>
        </w:tc>
        <w:tc>
          <w:tcPr/>
          <w:p w:rsidR="00000000" w:rsidDel="00000000" w:rsidP="00000000" w:rsidRDefault="00000000" w:rsidRPr="00000000" w14:paraId="0000003A">
            <w:pPr>
              <w:spacing w:line="360" w:lineRule="auto"/>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03B">
            <w:pPr>
              <w:spacing w:line="360" w:lineRule="auto"/>
              <w:rPr>
                <w:rFonts w:ascii="Arial" w:cs="Arial" w:eastAsia="Arial" w:hAnsi="Arial"/>
              </w:rPr>
            </w:pPr>
            <w:r w:rsidDel="00000000" w:rsidR="00000000" w:rsidRPr="00000000">
              <w:rPr>
                <w:rFonts w:ascii="Arial" w:cs="Arial" w:eastAsia="Arial" w:hAnsi="Arial"/>
                <w:rtl w:val="0"/>
              </w:rPr>
              <w:t xml:space="preserve">2020</w:t>
            </w:r>
          </w:p>
        </w:tc>
      </w:tr>
      <w:tr>
        <w:trPr>
          <w:cantSplit w:val="0"/>
          <w:tblHeader w:val="0"/>
        </w:trPr>
        <w:tc>
          <w:tcPr/>
          <w:p w:rsidR="00000000" w:rsidDel="00000000" w:rsidP="00000000" w:rsidRDefault="00000000" w:rsidRPr="00000000" w14:paraId="0000003C">
            <w:pPr>
              <w:spacing w:line="360" w:lineRule="auto"/>
              <w:rPr>
                <w:rFonts w:ascii="Arial" w:cs="Arial" w:eastAsia="Arial" w:hAnsi="Arial"/>
              </w:rPr>
            </w:pPr>
            <w:r w:rsidDel="00000000" w:rsidR="00000000" w:rsidRPr="00000000">
              <w:rPr>
                <w:rFonts w:ascii="Arial" w:cs="Arial" w:eastAsia="Arial" w:hAnsi="Arial"/>
                <w:rtl w:val="0"/>
              </w:rPr>
              <w:t xml:space="preserve">Profitability ratio</w:t>
            </w:r>
          </w:p>
          <w:p w:rsidR="00000000" w:rsidDel="00000000" w:rsidP="00000000" w:rsidRDefault="00000000" w:rsidRPr="00000000" w14:paraId="0000003D">
            <w:pPr>
              <w:spacing w:line="36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3E">
            <w:pPr>
              <w:spacing w:line="360" w:lineRule="auto"/>
              <w:rPr>
                <w:rFonts w:ascii="Arial" w:cs="Arial" w:eastAsia="Arial" w:hAnsi="Arial"/>
              </w:rPr>
            </w:pPr>
            <w:r w:rsidDel="00000000" w:rsidR="00000000" w:rsidRPr="00000000">
              <w:rPr>
                <w:rFonts w:ascii="Arial" w:cs="Arial" w:eastAsia="Arial" w:hAnsi="Arial"/>
                <w:rtl w:val="0"/>
              </w:rPr>
              <w:t xml:space="preserve">= Net Income / Sales</w:t>
            </w:r>
          </w:p>
          <w:p w:rsidR="00000000" w:rsidDel="00000000" w:rsidP="00000000" w:rsidRDefault="00000000" w:rsidRPr="00000000" w14:paraId="0000003F">
            <w:pPr>
              <w:spacing w:line="360" w:lineRule="auto"/>
              <w:rPr>
                <w:rFonts w:ascii="Arial" w:cs="Arial" w:eastAsia="Arial" w:hAnsi="Arial"/>
              </w:rPr>
            </w:pPr>
            <w:r w:rsidDel="00000000" w:rsidR="00000000" w:rsidRPr="00000000">
              <w:rPr>
                <w:rFonts w:ascii="Arial" w:cs="Arial" w:eastAsia="Arial" w:hAnsi="Arial"/>
                <w:rtl w:val="0"/>
              </w:rPr>
              <w:t xml:space="preserve">= 1,099 / 2,694</w:t>
            </w:r>
          </w:p>
          <w:p w:rsidR="00000000" w:rsidDel="00000000" w:rsidP="00000000" w:rsidRDefault="00000000" w:rsidRPr="00000000" w14:paraId="00000040">
            <w:pPr>
              <w:spacing w:line="360" w:lineRule="auto"/>
              <w:rPr>
                <w:rFonts w:ascii="Arial" w:cs="Arial" w:eastAsia="Arial" w:hAnsi="Arial"/>
              </w:rPr>
            </w:pPr>
            <w:r w:rsidDel="00000000" w:rsidR="00000000" w:rsidRPr="00000000">
              <w:rPr>
                <w:rFonts w:ascii="Arial" w:cs="Arial" w:eastAsia="Arial" w:hAnsi="Arial"/>
                <w:rtl w:val="0"/>
              </w:rPr>
              <w:t xml:space="preserve">= 0.40</w:t>
            </w:r>
          </w:p>
        </w:tc>
        <w:tc>
          <w:tcPr/>
          <w:p w:rsidR="00000000" w:rsidDel="00000000" w:rsidP="00000000" w:rsidRDefault="00000000" w:rsidRPr="00000000" w14:paraId="00000041">
            <w:pPr>
              <w:spacing w:line="360" w:lineRule="auto"/>
              <w:rPr>
                <w:rFonts w:ascii="Arial" w:cs="Arial" w:eastAsia="Arial" w:hAnsi="Arial"/>
              </w:rPr>
            </w:pPr>
            <w:r w:rsidDel="00000000" w:rsidR="00000000" w:rsidRPr="00000000">
              <w:rPr>
                <w:rFonts w:ascii="Arial" w:cs="Arial" w:eastAsia="Arial" w:hAnsi="Arial"/>
                <w:rtl w:val="0"/>
              </w:rPr>
              <w:t xml:space="preserve">= Net Income / Sales</w:t>
            </w:r>
          </w:p>
          <w:p w:rsidR="00000000" w:rsidDel="00000000" w:rsidP="00000000" w:rsidRDefault="00000000" w:rsidRPr="00000000" w14:paraId="00000042">
            <w:pPr>
              <w:spacing w:line="360" w:lineRule="auto"/>
              <w:rPr>
                <w:rFonts w:ascii="Arial" w:cs="Arial" w:eastAsia="Arial" w:hAnsi="Arial"/>
              </w:rPr>
            </w:pPr>
            <w:r w:rsidDel="00000000" w:rsidR="00000000" w:rsidRPr="00000000">
              <w:rPr>
                <w:rFonts w:ascii="Arial" w:cs="Arial" w:eastAsia="Arial" w:hAnsi="Arial"/>
                <w:rtl w:val="0"/>
              </w:rPr>
              <w:t xml:space="preserve">= (267) / 1,683</w:t>
            </w:r>
          </w:p>
          <w:p w:rsidR="00000000" w:rsidDel="00000000" w:rsidP="00000000" w:rsidRDefault="00000000" w:rsidRPr="00000000" w14:paraId="00000043">
            <w:pPr>
              <w:spacing w:line="360" w:lineRule="auto"/>
              <w:rPr>
                <w:rFonts w:ascii="Arial" w:cs="Arial" w:eastAsia="Arial" w:hAnsi="Arial"/>
              </w:rPr>
            </w:pPr>
            <w:r w:rsidDel="00000000" w:rsidR="00000000" w:rsidRPr="00000000">
              <w:rPr>
                <w:rFonts w:ascii="Arial" w:cs="Arial" w:eastAsia="Arial" w:hAnsi="Arial"/>
                <w:rtl w:val="0"/>
              </w:rPr>
              <w:t xml:space="preserve">= -0.15</w:t>
            </w:r>
          </w:p>
        </w:tc>
      </w:tr>
    </w:tbl>
    <w:p w:rsidR="00000000" w:rsidDel="00000000" w:rsidP="00000000" w:rsidRDefault="00000000" w:rsidRPr="00000000" w14:paraId="00000044">
      <w:pPr>
        <w:spacing w:line="360" w:lineRule="auto"/>
        <w:jc w:val="center"/>
        <w:rPr>
          <w:rFonts w:ascii="Arial" w:cs="Arial" w:eastAsia="Arial" w:hAnsi="Arial"/>
          <w:i w:val="1"/>
          <w:color w:val="3b3838"/>
        </w:rPr>
      </w:pPr>
      <w:r w:rsidDel="00000000" w:rsidR="00000000" w:rsidRPr="00000000">
        <w:rPr>
          <w:rFonts w:ascii="Arial" w:cs="Arial" w:eastAsia="Arial" w:hAnsi="Arial"/>
          <w:i w:val="1"/>
          <w:color w:val="3b3838"/>
          <w:rtl w:val="0"/>
        </w:rPr>
        <w:t xml:space="preserve">Figure 03: Profitability ratio calculation of Marriott International Inc. Source: Self-Made</w:t>
      </w:r>
    </w:p>
    <w:p w:rsidR="00000000" w:rsidDel="00000000" w:rsidP="00000000" w:rsidRDefault="00000000" w:rsidRPr="00000000" w14:paraId="00000045">
      <w:pPr>
        <w:spacing w:line="360" w:lineRule="auto"/>
        <w:rPr>
          <w:rFonts w:ascii="Arial" w:cs="Arial" w:eastAsia="Arial" w:hAnsi="Arial"/>
        </w:rPr>
      </w:pPr>
      <w:r w:rsidDel="00000000" w:rsidR="00000000" w:rsidRPr="00000000">
        <w:rPr>
          <w:rFonts w:ascii="Arial" w:cs="Arial" w:eastAsia="Arial" w:hAnsi="Arial"/>
          <w:rtl w:val="0"/>
        </w:rPr>
        <w:t xml:space="preserve">Profitability ratio shows that Marriott International Inc. had a massive decrease in 2020. But the company pushed well in 2021 when they reached from -0.15 to 0.40. This is a huge improvement for the company. The profitability ratio is a measure of company profitability that helps investors and other interested parties to understand how efficient the company is at turning revenue into profit (</w:t>
      </w:r>
      <w:r w:rsidDel="00000000" w:rsidR="00000000" w:rsidRPr="00000000">
        <w:rPr>
          <w:rFonts w:ascii="Arial" w:cs="Arial" w:eastAsia="Arial" w:hAnsi="Arial"/>
          <w:highlight w:val="white"/>
          <w:rtl w:val="0"/>
        </w:rPr>
        <w:t xml:space="preserve">Nalurita, 2015)</w:t>
      </w:r>
      <w:r w:rsidDel="00000000" w:rsidR="00000000" w:rsidRPr="00000000">
        <w:rPr>
          <w:rFonts w:ascii="Arial" w:cs="Arial" w:eastAsia="Arial" w:hAnsi="Arial"/>
          <w:rtl w:val="0"/>
        </w:rPr>
        <w:t xml:space="preserve">. The higher the profitability ratio, the more profitable the business appears to be. The benefits of having a high-profitability corporation can include increased liquidity and capital gains, as well as heightened investor confidence in future growth prospects. Additionally, a high-profitability corporation may also be more likely to attract new investment or acquisitions which could lead to even greater profits down the road.</w:t>
      </w:r>
    </w:p>
    <w:p w:rsidR="00000000" w:rsidDel="00000000" w:rsidP="00000000" w:rsidRDefault="00000000" w:rsidRPr="00000000" w14:paraId="00000046">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Return on Equity Ratio</w:t>
      </w:r>
    </w:p>
    <w:tbl>
      <w:tblPr>
        <w:tblStyle w:val="Table4"/>
        <w:tblW w:w="9350.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047">
            <w:pPr>
              <w:spacing w:line="360" w:lineRule="auto"/>
              <w:rPr>
                <w:rFonts w:ascii="Arial" w:cs="Arial" w:eastAsia="Arial" w:hAnsi="Arial"/>
              </w:rPr>
            </w:pPr>
            <w:r w:rsidDel="00000000" w:rsidR="00000000" w:rsidRPr="00000000">
              <w:rPr>
                <w:rFonts w:ascii="Arial" w:cs="Arial" w:eastAsia="Arial" w:hAnsi="Arial"/>
                <w:rtl w:val="0"/>
              </w:rPr>
              <w:t xml:space="preserve">Ratio</w:t>
            </w:r>
          </w:p>
        </w:tc>
        <w:tc>
          <w:tcPr/>
          <w:p w:rsidR="00000000" w:rsidDel="00000000" w:rsidP="00000000" w:rsidRDefault="00000000" w:rsidRPr="00000000" w14:paraId="00000048">
            <w:pPr>
              <w:spacing w:line="360" w:lineRule="auto"/>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049">
            <w:pPr>
              <w:spacing w:line="360" w:lineRule="auto"/>
              <w:rPr>
                <w:rFonts w:ascii="Arial" w:cs="Arial" w:eastAsia="Arial" w:hAnsi="Arial"/>
              </w:rPr>
            </w:pPr>
            <w:r w:rsidDel="00000000" w:rsidR="00000000" w:rsidRPr="00000000">
              <w:rPr>
                <w:rFonts w:ascii="Arial" w:cs="Arial" w:eastAsia="Arial" w:hAnsi="Arial"/>
                <w:rtl w:val="0"/>
              </w:rPr>
              <w:t xml:space="preserve">2020</w:t>
            </w:r>
          </w:p>
        </w:tc>
      </w:tr>
      <w:tr>
        <w:trPr>
          <w:cantSplit w:val="0"/>
          <w:tblHeader w:val="0"/>
        </w:trPr>
        <w:tc>
          <w:tcPr/>
          <w:p w:rsidR="00000000" w:rsidDel="00000000" w:rsidP="00000000" w:rsidRDefault="00000000" w:rsidRPr="00000000" w14:paraId="0000004A">
            <w:pPr>
              <w:spacing w:line="360" w:lineRule="auto"/>
              <w:rPr>
                <w:rFonts w:ascii="Arial" w:cs="Arial" w:eastAsia="Arial" w:hAnsi="Arial"/>
              </w:rPr>
            </w:pPr>
            <w:r w:rsidDel="00000000" w:rsidR="00000000" w:rsidRPr="00000000">
              <w:rPr>
                <w:rFonts w:ascii="Arial" w:cs="Arial" w:eastAsia="Arial" w:hAnsi="Arial"/>
                <w:rtl w:val="0"/>
              </w:rPr>
              <w:t xml:space="preserve">Return on equity ratio</w:t>
            </w:r>
          </w:p>
          <w:p w:rsidR="00000000" w:rsidDel="00000000" w:rsidP="00000000" w:rsidRDefault="00000000" w:rsidRPr="00000000" w14:paraId="0000004B">
            <w:pPr>
              <w:spacing w:line="36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4C">
            <w:pPr>
              <w:spacing w:line="360" w:lineRule="auto"/>
              <w:rPr>
                <w:rFonts w:ascii="Arial" w:cs="Arial" w:eastAsia="Arial" w:hAnsi="Arial"/>
              </w:rPr>
            </w:pPr>
            <w:r w:rsidDel="00000000" w:rsidR="00000000" w:rsidRPr="00000000">
              <w:rPr>
                <w:rFonts w:ascii="Arial" w:cs="Arial" w:eastAsia="Arial" w:hAnsi="Arial"/>
                <w:rtl w:val="0"/>
              </w:rPr>
              <w:t xml:space="preserve">= Net Annual Income / Shareholder’s Equity</w:t>
            </w:r>
          </w:p>
          <w:p w:rsidR="00000000" w:rsidDel="00000000" w:rsidP="00000000" w:rsidRDefault="00000000" w:rsidRPr="00000000" w14:paraId="0000004D">
            <w:pPr>
              <w:spacing w:line="360" w:lineRule="auto"/>
              <w:rPr>
                <w:rFonts w:ascii="Arial" w:cs="Arial" w:eastAsia="Arial" w:hAnsi="Arial"/>
              </w:rPr>
            </w:pPr>
            <w:r w:rsidDel="00000000" w:rsidR="00000000" w:rsidRPr="00000000">
              <w:rPr>
                <w:rFonts w:ascii="Arial" w:cs="Arial" w:eastAsia="Arial" w:hAnsi="Arial"/>
                <w:rtl w:val="0"/>
              </w:rPr>
              <w:t xml:space="preserve">= 1,099 / 5,892</w:t>
            </w:r>
          </w:p>
          <w:p w:rsidR="00000000" w:rsidDel="00000000" w:rsidP="00000000" w:rsidRDefault="00000000" w:rsidRPr="00000000" w14:paraId="0000004E">
            <w:pPr>
              <w:spacing w:line="360" w:lineRule="auto"/>
              <w:rPr>
                <w:rFonts w:ascii="Arial" w:cs="Arial" w:eastAsia="Arial" w:hAnsi="Arial"/>
              </w:rPr>
            </w:pPr>
            <w:r w:rsidDel="00000000" w:rsidR="00000000" w:rsidRPr="00000000">
              <w:rPr>
                <w:rFonts w:ascii="Arial" w:cs="Arial" w:eastAsia="Arial" w:hAnsi="Arial"/>
                <w:rtl w:val="0"/>
              </w:rPr>
              <w:t xml:space="preserve">= 0.18</w:t>
            </w:r>
          </w:p>
        </w:tc>
        <w:tc>
          <w:tcPr/>
          <w:p w:rsidR="00000000" w:rsidDel="00000000" w:rsidP="00000000" w:rsidRDefault="00000000" w:rsidRPr="00000000" w14:paraId="0000004F">
            <w:pPr>
              <w:spacing w:line="360" w:lineRule="auto"/>
              <w:rPr>
                <w:rFonts w:ascii="Arial" w:cs="Arial" w:eastAsia="Arial" w:hAnsi="Arial"/>
              </w:rPr>
            </w:pPr>
            <w:r w:rsidDel="00000000" w:rsidR="00000000" w:rsidRPr="00000000">
              <w:rPr>
                <w:rFonts w:ascii="Arial" w:cs="Arial" w:eastAsia="Arial" w:hAnsi="Arial"/>
                <w:rtl w:val="0"/>
              </w:rPr>
              <w:t xml:space="preserve">= Net Annual Income / Shareholder’s Equity</w:t>
            </w:r>
          </w:p>
          <w:p w:rsidR="00000000" w:rsidDel="00000000" w:rsidP="00000000" w:rsidRDefault="00000000" w:rsidRPr="00000000" w14:paraId="00000050">
            <w:pPr>
              <w:spacing w:line="360" w:lineRule="auto"/>
              <w:rPr>
                <w:rFonts w:ascii="Arial" w:cs="Arial" w:eastAsia="Arial" w:hAnsi="Arial"/>
              </w:rPr>
            </w:pPr>
            <w:r w:rsidDel="00000000" w:rsidR="00000000" w:rsidRPr="00000000">
              <w:rPr>
                <w:rFonts w:ascii="Arial" w:cs="Arial" w:eastAsia="Arial" w:hAnsi="Arial"/>
                <w:rtl w:val="0"/>
              </w:rPr>
              <w:t xml:space="preserve">= (267) / 5,851</w:t>
            </w:r>
          </w:p>
          <w:p w:rsidR="00000000" w:rsidDel="00000000" w:rsidP="00000000" w:rsidRDefault="00000000" w:rsidRPr="00000000" w14:paraId="00000051">
            <w:pPr>
              <w:spacing w:line="360" w:lineRule="auto"/>
              <w:rPr>
                <w:rFonts w:ascii="Arial" w:cs="Arial" w:eastAsia="Arial" w:hAnsi="Arial"/>
              </w:rPr>
            </w:pPr>
            <w:r w:rsidDel="00000000" w:rsidR="00000000" w:rsidRPr="00000000">
              <w:rPr>
                <w:rFonts w:ascii="Arial" w:cs="Arial" w:eastAsia="Arial" w:hAnsi="Arial"/>
                <w:rtl w:val="0"/>
              </w:rPr>
              <w:t xml:space="preserve">= -0.04</w:t>
            </w:r>
          </w:p>
        </w:tc>
      </w:tr>
    </w:tbl>
    <w:p w:rsidR="00000000" w:rsidDel="00000000" w:rsidP="00000000" w:rsidRDefault="00000000" w:rsidRPr="00000000" w14:paraId="00000052">
      <w:pPr>
        <w:spacing w:line="360" w:lineRule="auto"/>
        <w:jc w:val="center"/>
        <w:rPr>
          <w:rFonts w:ascii="Arial" w:cs="Arial" w:eastAsia="Arial" w:hAnsi="Arial"/>
          <w:i w:val="1"/>
          <w:color w:val="3b3838"/>
        </w:rPr>
      </w:pPr>
      <w:r w:rsidDel="00000000" w:rsidR="00000000" w:rsidRPr="00000000">
        <w:rPr>
          <w:rFonts w:ascii="Arial" w:cs="Arial" w:eastAsia="Arial" w:hAnsi="Arial"/>
          <w:i w:val="1"/>
          <w:color w:val="3b3838"/>
          <w:rtl w:val="0"/>
        </w:rPr>
        <w:t xml:space="preserve">Figure 04: Return on equity ratio calculation of Marriott International Inc. Source: Self-Made</w:t>
      </w:r>
    </w:p>
    <w:p w:rsidR="00000000" w:rsidDel="00000000" w:rsidP="00000000" w:rsidRDefault="00000000" w:rsidRPr="00000000" w14:paraId="00000053">
      <w:pPr>
        <w:spacing w:line="360" w:lineRule="auto"/>
        <w:rPr>
          <w:rFonts w:ascii="Arial" w:cs="Arial" w:eastAsia="Arial" w:hAnsi="Arial"/>
        </w:rPr>
      </w:pPr>
      <w:r w:rsidDel="00000000" w:rsidR="00000000" w:rsidRPr="00000000">
        <w:rPr>
          <w:rFonts w:ascii="Arial" w:cs="Arial" w:eastAsia="Arial" w:hAnsi="Arial"/>
          <w:rtl w:val="0"/>
        </w:rPr>
        <w:t xml:space="preserve">A Return on Equity (ROE) is a metric that measures a company's profitability relative to its shareholders' investment. Higher ROEs indicate that the company is generating more profits than its spending on shareholder returns, and this can lead to increased stock prices (</w:t>
      </w:r>
      <w:r w:rsidDel="00000000" w:rsidR="00000000" w:rsidRPr="00000000">
        <w:rPr>
          <w:rFonts w:ascii="Arial" w:cs="Arial" w:eastAsia="Arial" w:hAnsi="Arial"/>
          <w:highlight w:val="white"/>
          <w:rtl w:val="0"/>
        </w:rPr>
        <w:t xml:space="preserve">Sondakh, Tommy and Mangantar, 2015)</w:t>
      </w:r>
      <w:r w:rsidDel="00000000" w:rsidR="00000000" w:rsidRPr="00000000">
        <w:rPr>
          <w:rFonts w:ascii="Arial" w:cs="Arial" w:eastAsia="Arial" w:hAnsi="Arial"/>
          <w:rtl w:val="0"/>
        </w:rPr>
        <w:t xml:space="preserve">. In general, companies with high ROEs are usually in better shape financially because they are able to generate more income from their assets than they're spending on expenses.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For Marriott International Inc. the return on equity ratio in 2020 was way lower. It was -0.04 in 2020 but in 2021 the company has seen a massive increase in the return on equity ratio which was 0.18. The higher the ROE, the more profitable a company is relative to its shareholders. Higher profits mean that there is more money left over for shareholders, which in turn leads to increased stock prices and greater wealth creation for them (</w:t>
      </w:r>
      <w:r w:rsidDel="00000000" w:rsidR="00000000" w:rsidRPr="00000000">
        <w:rPr>
          <w:rFonts w:ascii="Arial" w:cs="Arial" w:eastAsia="Arial" w:hAnsi="Arial"/>
          <w:highlight w:val="white"/>
          <w:rtl w:val="0"/>
        </w:rPr>
        <w:t xml:space="preserve">Tumonggor, Murni and Van Rate, 2017)</w:t>
      </w:r>
      <w:r w:rsidDel="00000000" w:rsidR="00000000" w:rsidRPr="00000000">
        <w:rPr>
          <w:rFonts w:ascii="Arial" w:cs="Arial" w:eastAsia="Arial" w:hAnsi="Arial"/>
          <w:rtl w:val="0"/>
        </w:rPr>
        <w:t xml:space="preserve">. Significant increases in ROE can often be indicative of strong underlying business performance and suggest that management has been successful in executing strategies aimed at optimizing shareholder value.</w:t>
      </w:r>
    </w:p>
    <w:p w:rsidR="00000000" w:rsidDel="00000000" w:rsidP="00000000" w:rsidRDefault="00000000" w:rsidRPr="00000000" w14:paraId="00000054">
      <w:pPr>
        <w:pStyle w:val="Heading1"/>
        <w:spacing w:line="360" w:lineRule="auto"/>
        <w:rPr>
          <w:rFonts w:ascii="Arial" w:cs="Arial" w:eastAsia="Arial" w:hAnsi="Arial"/>
          <w:color w:val="000000"/>
          <w:sz w:val="24"/>
          <w:szCs w:val="24"/>
        </w:rPr>
      </w:pPr>
      <w:bookmarkStart w:colFirst="0" w:colLast="0" w:name="_heading=h.1fob9te" w:id="2"/>
      <w:bookmarkEnd w:id="2"/>
      <w:r w:rsidDel="00000000" w:rsidR="00000000" w:rsidRPr="00000000">
        <w:rPr>
          <w:rFonts w:ascii="Arial" w:cs="Arial" w:eastAsia="Arial" w:hAnsi="Arial"/>
          <w:color w:val="000000"/>
          <w:sz w:val="24"/>
          <w:szCs w:val="24"/>
          <w:rtl w:val="0"/>
        </w:rPr>
        <w:t xml:space="preserve">Limitations of financial ratio analysis</w:t>
      </w:r>
    </w:p>
    <w:p w:rsidR="00000000" w:rsidDel="00000000" w:rsidP="00000000" w:rsidRDefault="00000000" w:rsidRPr="00000000" w14:paraId="00000055">
      <w:pPr>
        <w:spacing w:line="360" w:lineRule="auto"/>
        <w:rPr>
          <w:rFonts w:ascii="Arial" w:cs="Arial" w:eastAsia="Arial" w:hAnsi="Arial"/>
        </w:rPr>
      </w:pPr>
      <w:r w:rsidDel="00000000" w:rsidR="00000000" w:rsidRPr="00000000">
        <w:rPr>
          <w:rFonts w:ascii="Arial" w:cs="Arial" w:eastAsia="Arial" w:hAnsi="Arial"/>
          <w:rtl w:val="0"/>
        </w:rPr>
        <w:t xml:space="preserve">Financial ratio analysis is a useful tool for evaluating a company's financial health, but there are certain limitations to be aware of (</w:t>
      </w:r>
      <w:r w:rsidDel="00000000" w:rsidR="00000000" w:rsidRPr="00000000">
        <w:rPr>
          <w:rFonts w:ascii="Arial" w:cs="Arial" w:eastAsia="Arial" w:hAnsi="Arial"/>
          <w:highlight w:val="white"/>
          <w:rtl w:val="0"/>
        </w:rPr>
        <w:t xml:space="preserve">Faello, 2015)</w:t>
      </w:r>
      <w:r w:rsidDel="00000000" w:rsidR="00000000" w:rsidRPr="00000000">
        <w:rPr>
          <w:rFonts w:ascii="Arial" w:cs="Arial" w:eastAsia="Arial" w:hAnsi="Arial"/>
          <w:rtl w:val="0"/>
        </w:rPr>
        <w:t xml:space="preserve">. For example, financial ratio analysis cannot tell an investor how well a company is doing relative to its competitors. It can only tell the investor how well the company is doing in comparison to what it was supposed to be doing based on its historical performance. This means that ratios like earnings per share (EPS) and Return on Equity (ROE) may be misleading if the company has been performing poorly recently (</w:t>
      </w:r>
      <w:r w:rsidDel="00000000" w:rsidR="00000000" w:rsidRPr="00000000">
        <w:rPr>
          <w:rFonts w:ascii="Arial" w:cs="Arial" w:eastAsia="Arial" w:hAnsi="Arial"/>
          <w:highlight w:val="white"/>
          <w:rtl w:val="0"/>
        </w:rPr>
        <w:t xml:space="preserve">Keasey and Watson, 2019)</w:t>
      </w:r>
      <w:r w:rsidDel="00000000" w:rsidR="00000000" w:rsidRPr="00000000">
        <w:rPr>
          <w:rFonts w:ascii="Arial" w:cs="Arial" w:eastAsia="Arial" w:hAnsi="Arial"/>
          <w:rtl w:val="0"/>
        </w:rPr>
        <w:t xml:space="preserve">. Another limitation of financial ratio analysis is that it does not account for debt levels or other liabilities. For example, if a company has high levels of debt, its debt-to-income ratio will be high even if its overall profitability is good. Conversely, if a company has low levels of debt and no other liabilities, its debt-to-income ratio will be low even though it may not be profitable at all (</w:t>
      </w:r>
      <w:r w:rsidDel="00000000" w:rsidR="00000000" w:rsidRPr="00000000">
        <w:rPr>
          <w:rFonts w:ascii="Arial" w:cs="Arial" w:eastAsia="Arial" w:hAnsi="Arial"/>
          <w:highlight w:val="white"/>
          <w:rtl w:val="0"/>
        </w:rPr>
        <w:t xml:space="preserve">Pasciuto et al., 2017)</w:t>
      </w:r>
      <w:r w:rsidDel="00000000" w:rsidR="00000000" w:rsidRPr="00000000">
        <w:rPr>
          <w:rFonts w:ascii="Arial" w:cs="Arial" w:eastAsia="Arial" w:hAnsi="Arial"/>
          <w:rtl w:val="0"/>
        </w:rPr>
        <w:t xml:space="preserve">. Overall, financial ratio analysis is an excellent tool for assessing a company's overall health, but it should not be taken as gospel truth. It must always be used in conjunction with other information sources like market data and financial statements to get the most complete picture possible.</w:t>
      </w:r>
    </w:p>
    <w:p w:rsidR="00000000" w:rsidDel="00000000" w:rsidP="00000000" w:rsidRDefault="00000000" w:rsidRPr="00000000" w14:paraId="00000056">
      <w:pPr>
        <w:pStyle w:val="Heading1"/>
        <w:spacing w:line="360" w:lineRule="auto"/>
        <w:rPr>
          <w:rFonts w:ascii="Arial" w:cs="Arial" w:eastAsia="Arial" w:hAnsi="Arial"/>
          <w:color w:val="000000"/>
          <w:sz w:val="24"/>
          <w:szCs w:val="24"/>
        </w:rPr>
      </w:pPr>
      <w:bookmarkStart w:colFirst="0" w:colLast="0" w:name="_heading=h.3znysh7" w:id="3"/>
      <w:bookmarkEnd w:id="3"/>
      <w:r w:rsidDel="00000000" w:rsidR="00000000" w:rsidRPr="00000000">
        <w:rPr>
          <w:rFonts w:ascii="Arial" w:cs="Arial" w:eastAsia="Arial" w:hAnsi="Arial"/>
          <w:color w:val="000000"/>
          <w:sz w:val="24"/>
          <w:szCs w:val="24"/>
          <w:rtl w:val="0"/>
        </w:rPr>
        <w:t xml:space="preserve">Understanding financial ratios for hotel management</w:t>
      </w:r>
    </w:p>
    <w:p w:rsidR="00000000" w:rsidDel="00000000" w:rsidP="00000000" w:rsidRDefault="00000000" w:rsidRPr="00000000" w14:paraId="00000057">
      <w:pPr>
        <w:spacing w:line="360" w:lineRule="auto"/>
        <w:rPr>
          <w:rFonts w:ascii="Arial" w:cs="Arial" w:eastAsia="Arial" w:hAnsi="Arial"/>
        </w:rPr>
      </w:pPr>
      <w:r w:rsidDel="00000000" w:rsidR="00000000" w:rsidRPr="00000000">
        <w:rPr>
          <w:rFonts w:ascii="Arial" w:cs="Arial" w:eastAsia="Arial" w:hAnsi="Arial"/>
          <w:rtl w:val="0"/>
        </w:rPr>
        <w:t xml:space="preserve">There's no denying that financial ratios are a major part of any Hotel manager's job. They provide a snapshot of a company's performance, and allow for quick decisions to be made about whether or not to invest in it (</w:t>
      </w:r>
      <w:r w:rsidDel="00000000" w:rsidR="00000000" w:rsidRPr="00000000">
        <w:rPr>
          <w:rFonts w:ascii="Arial" w:cs="Arial" w:eastAsia="Arial" w:hAnsi="Arial"/>
          <w:highlight w:val="white"/>
          <w:rtl w:val="0"/>
        </w:rPr>
        <w:t xml:space="preserve">Kizildag, 2015)</w:t>
      </w:r>
      <w:r w:rsidDel="00000000" w:rsidR="00000000" w:rsidRPr="00000000">
        <w:rPr>
          <w:rFonts w:ascii="Arial" w:cs="Arial" w:eastAsia="Arial" w:hAnsi="Arial"/>
          <w:rtl w:val="0"/>
        </w:rPr>
        <w:t xml:space="preserve">. It's important for hotel managers to have a solid understanding of financial ratios and their fluctuations in order to make informed decisions. Financial ratios are figures that quantify a company's financial performance in specific areas. They can help managers identify whether the company is healthy and whether there are any problems that need to be addressed (</w:t>
      </w:r>
      <w:r w:rsidDel="00000000" w:rsidR="00000000" w:rsidRPr="00000000">
        <w:rPr>
          <w:rFonts w:ascii="Arial" w:cs="Arial" w:eastAsia="Arial" w:hAnsi="Arial"/>
          <w:highlight w:val="white"/>
          <w:rtl w:val="0"/>
        </w:rPr>
        <w:t xml:space="preserve">Cetin and Walls, 2016)</w:t>
      </w:r>
      <w:r w:rsidDel="00000000" w:rsidR="00000000" w:rsidRPr="00000000">
        <w:rPr>
          <w:rFonts w:ascii="Arial" w:cs="Arial" w:eastAsia="Arial" w:hAnsi="Arial"/>
          <w:rtl w:val="0"/>
        </w:rPr>
        <w:t xml:space="preserve">. When it comes to hotel management, understanding financial ratios is essential for a number of reasons. For one, they can help managers to determine whether their hotel is profitable or not. Additionally, they can help managers make smart decisions when it comes to budgeting and cost-effective strategies. And lastly, financial ratios provide an indicator of how well the operations are performing overall (</w:t>
      </w:r>
      <w:r w:rsidDel="00000000" w:rsidR="00000000" w:rsidRPr="00000000">
        <w:rPr>
          <w:rFonts w:ascii="Arial" w:cs="Arial" w:eastAsia="Arial" w:hAnsi="Arial"/>
          <w:highlight w:val="white"/>
          <w:rtl w:val="0"/>
        </w:rPr>
        <w:t xml:space="preserve">Cunill et al., 2019)</w:t>
      </w:r>
      <w:r w:rsidDel="00000000" w:rsidR="00000000" w:rsidRPr="00000000">
        <w:rPr>
          <w:rFonts w:ascii="Arial" w:cs="Arial" w:eastAsia="Arial" w:hAnsi="Arial"/>
          <w:rtl w:val="0"/>
        </w:rPr>
        <w:t xml:space="preserve">. There are a variety of financial ratio tools that can be helpful in measuring these aspects of the operation. These tools include the profit margin index (PMI), inventory turnover index (ITI), and operating income index (OII). Moreover, using aggregate data from previous years can give managers a more accurate picture of trends over time so that they have better insight into future movements in these metrics.</w:t>
      </w:r>
    </w:p>
    <w:p w:rsidR="00000000" w:rsidDel="00000000" w:rsidP="00000000" w:rsidRDefault="00000000" w:rsidRPr="00000000" w14:paraId="00000058">
      <w:pPr>
        <w:pStyle w:val="Heading1"/>
        <w:spacing w:line="360" w:lineRule="auto"/>
        <w:rPr>
          <w:rFonts w:ascii="Arial" w:cs="Arial" w:eastAsia="Arial" w:hAnsi="Arial"/>
          <w:color w:val="000000"/>
          <w:sz w:val="24"/>
          <w:szCs w:val="24"/>
        </w:rPr>
      </w:pPr>
      <w:bookmarkStart w:colFirst="0" w:colLast="0" w:name="_heading=h.2et92p0" w:id="4"/>
      <w:bookmarkEnd w:id="4"/>
      <w:r w:rsidDel="00000000" w:rsidR="00000000" w:rsidRPr="00000000">
        <w:rPr>
          <w:rFonts w:ascii="Arial" w:cs="Arial" w:eastAsia="Arial" w:hAnsi="Arial"/>
          <w:color w:val="000000"/>
          <w:sz w:val="24"/>
          <w:szCs w:val="24"/>
          <w:rtl w:val="0"/>
        </w:rPr>
        <w:t xml:space="preserve">Understanding of financial ratios and its importance</w:t>
      </w:r>
    </w:p>
    <w:p w:rsidR="00000000" w:rsidDel="00000000" w:rsidP="00000000" w:rsidRDefault="00000000" w:rsidRPr="00000000" w14:paraId="00000059">
      <w:pPr>
        <w:spacing w:line="360" w:lineRule="auto"/>
        <w:rPr>
          <w:rFonts w:ascii="Arial" w:cs="Arial" w:eastAsia="Arial" w:hAnsi="Arial"/>
        </w:rPr>
      </w:pPr>
      <w:r w:rsidDel="00000000" w:rsidR="00000000" w:rsidRPr="00000000">
        <w:rPr>
          <w:rFonts w:ascii="Arial" w:cs="Arial" w:eastAsia="Arial" w:hAnsi="Arial"/>
          <w:rtl w:val="0"/>
        </w:rPr>
        <w:t xml:space="preserve">There are a number of reasons why it is important to understand financial ratios for decision-making. First and foremost, these ratios can help people identify potential risks and opportunities in their business (</w:t>
      </w:r>
      <w:r w:rsidDel="00000000" w:rsidR="00000000" w:rsidRPr="00000000">
        <w:rPr>
          <w:rFonts w:ascii="Arial" w:cs="Arial" w:eastAsia="Arial" w:hAnsi="Arial"/>
          <w:highlight w:val="white"/>
          <w:rtl w:val="0"/>
        </w:rPr>
        <w:t xml:space="preserve">Brigham and Houston, 2021)</w:t>
      </w:r>
      <w:r w:rsidDel="00000000" w:rsidR="00000000" w:rsidRPr="00000000">
        <w:rPr>
          <w:rFonts w:ascii="Arial" w:cs="Arial" w:eastAsia="Arial" w:hAnsi="Arial"/>
          <w:rtl w:val="0"/>
        </w:rPr>
        <w:t xml:space="preserve">. If they're able to identify any problems early on, they can address them before they become more serious. Another reason why financial ratios are so important is that they provide a comprehensive overview of the company's health. By understanding the company's strengths and weaknesses, people can make better strategic decisions about where to focus their efforts (</w:t>
      </w:r>
      <w:r w:rsidDel="00000000" w:rsidR="00000000" w:rsidRPr="00000000">
        <w:rPr>
          <w:rFonts w:ascii="Arial" w:cs="Arial" w:eastAsia="Arial" w:hAnsi="Arial"/>
          <w:highlight w:val="white"/>
          <w:rtl w:val="0"/>
        </w:rPr>
        <w:t xml:space="preserve">Steffen, 2018)</w:t>
      </w:r>
      <w:r w:rsidDel="00000000" w:rsidR="00000000" w:rsidRPr="00000000">
        <w:rPr>
          <w:rFonts w:ascii="Arial" w:cs="Arial" w:eastAsia="Arial" w:hAnsi="Arial"/>
          <w:rtl w:val="0"/>
        </w:rPr>
        <w:t xml:space="preserve">. Finally, financial ratios can also help everyone diagnose problems and determine whether or not they're likely to continue.</w:t>
      </w:r>
    </w:p>
    <w:p w:rsidR="00000000" w:rsidDel="00000000" w:rsidP="00000000" w:rsidRDefault="00000000" w:rsidRPr="00000000" w14:paraId="0000005A">
      <w:pPr>
        <w:pStyle w:val="Heading1"/>
        <w:spacing w:line="360" w:lineRule="auto"/>
        <w:rPr>
          <w:rFonts w:ascii="Arial" w:cs="Arial" w:eastAsia="Arial" w:hAnsi="Arial"/>
          <w:color w:val="000000"/>
          <w:sz w:val="24"/>
          <w:szCs w:val="24"/>
        </w:rPr>
      </w:pPr>
      <w:bookmarkStart w:colFirst="0" w:colLast="0" w:name="_heading=h.tyjcwt" w:id="5"/>
      <w:bookmarkEnd w:id="5"/>
      <w:r w:rsidDel="00000000" w:rsidR="00000000" w:rsidRPr="00000000">
        <w:rPr>
          <w:rFonts w:ascii="Arial" w:cs="Arial" w:eastAsia="Arial" w:hAnsi="Arial"/>
          <w:color w:val="000000"/>
          <w:sz w:val="24"/>
          <w:szCs w:val="24"/>
          <w:rtl w:val="0"/>
        </w:rPr>
        <w:t xml:space="preserve">Conclusion</w:t>
      </w:r>
    </w:p>
    <w:p w:rsidR="00000000" w:rsidDel="00000000" w:rsidP="00000000" w:rsidRDefault="00000000" w:rsidRPr="00000000" w14:paraId="0000005B">
      <w:pPr>
        <w:spacing w:line="360" w:lineRule="auto"/>
        <w:rPr>
          <w:rFonts w:ascii="Arial" w:cs="Arial" w:eastAsia="Arial" w:hAnsi="Arial"/>
        </w:rPr>
      </w:pPr>
      <w:r w:rsidDel="00000000" w:rsidR="00000000" w:rsidRPr="00000000">
        <w:rPr>
          <w:rFonts w:ascii="Arial" w:cs="Arial" w:eastAsia="Arial" w:hAnsi="Arial"/>
          <w:rtl w:val="0"/>
        </w:rPr>
        <w:t xml:space="preserve">Financial ratios can be an important tool in decision-making when it comes to finances. They are numerical measures that help investors identify the health of a company's financial performance. Financial ratios can provide insights into cash flow, profitability, liquidity, debt levels, and stock price movements. By understanding these metrics, an investor can make better decisions about whether or not to invest in a particular business or securities. Moreover, by watching for trends over time, the investor may be able to spot potential warning signs that could signal future problems.</w:t>
      </w:r>
    </w:p>
    <w:p w:rsidR="00000000" w:rsidDel="00000000" w:rsidP="00000000" w:rsidRDefault="00000000" w:rsidRPr="00000000" w14:paraId="0000005C">
      <w:pPr>
        <w:spacing w:line="360"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1"/>
        <w:spacing w:line="360" w:lineRule="auto"/>
        <w:rPr>
          <w:rFonts w:ascii="Arial" w:cs="Arial" w:eastAsia="Arial" w:hAnsi="Arial"/>
          <w:color w:val="000000"/>
          <w:sz w:val="24"/>
          <w:szCs w:val="24"/>
        </w:rPr>
      </w:pPr>
      <w:bookmarkStart w:colFirst="0" w:colLast="0" w:name="_heading=h.3dy6vkm" w:id="6"/>
      <w:bookmarkEnd w:id="6"/>
      <w:r w:rsidDel="00000000" w:rsidR="00000000" w:rsidRPr="00000000">
        <w:rPr>
          <w:rFonts w:ascii="Arial" w:cs="Arial" w:eastAsia="Arial" w:hAnsi="Arial"/>
          <w:color w:val="000000"/>
          <w:sz w:val="24"/>
          <w:szCs w:val="24"/>
          <w:rtl w:val="0"/>
        </w:rPr>
        <w:t xml:space="preserve">References</w:t>
      </w:r>
    </w:p>
    <w:p w:rsidR="00000000" w:rsidDel="00000000" w:rsidP="00000000" w:rsidRDefault="00000000" w:rsidRPr="00000000" w14:paraId="0000005E">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Brigham, E.F. and Houston, J.F., 2021. </w:t>
      </w:r>
      <w:r w:rsidDel="00000000" w:rsidR="00000000" w:rsidRPr="00000000">
        <w:rPr>
          <w:rFonts w:ascii="Arial" w:cs="Arial" w:eastAsia="Arial" w:hAnsi="Arial"/>
          <w:i w:val="1"/>
          <w:highlight w:val="white"/>
          <w:rtl w:val="0"/>
        </w:rPr>
        <w:t xml:space="preserve">Fundamentals of financial management</w:t>
      </w:r>
      <w:r w:rsidDel="00000000" w:rsidR="00000000" w:rsidRPr="00000000">
        <w:rPr>
          <w:rFonts w:ascii="Arial" w:cs="Arial" w:eastAsia="Arial" w:hAnsi="Arial"/>
          <w:highlight w:val="white"/>
          <w:rtl w:val="0"/>
        </w:rPr>
        <w:t xml:space="preserve">. Cengage Learning.</w:t>
      </w:r>
    </w:p>
    <w:p w:rsidR="00000000" w:rsidDel="00000000" w:rsidP="00000000" w:rsidRDefault="00000000" w:rsidRPr="00000000" w14:paraId="0000005F">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Cetin, G. and Walls, A., 2016. Understanding the customer experiences from the perspective of guests and hotel managers: Empirical findings from luxury hotels in Istanbul, Turkey. </w:t>
      </w:r>
      <w:r w:rsidDel="00000000" w:rsidR="00000000" w:rsidRPr="00000000">
        <w:rPr>
          <w:rFonts w:ascii="Arial" w:cs="Arial" w:eastAsia="Arial" w:hAnsi="Arial"/>
          <w:i w:val="1"/>
          <w:highlight w:val="white"/>
          <w:rtl w:val="0"/>
        </w:rPr>
        <w:t xml:space="preserve">Journal of Hospitality Marketing &amp; Management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25</w:t>
      </w:r>
      <w:r w:rsidDel="00000000" w:rsidR="00000000" w:rsidRPr="00000000">
        <w:rPr>
          <w:rFonts w:ascii="Arial" w:cs="Arial" w:eastAsia="Arial" w:hAnsi="Arial"/>
          <w:highlight w:val="white"/>
          <w:rtl w:val="0"/>
        </w:rPr>
        <w:t xml:space="preserve">(4), pp.395-424.</w:t>
      </w:r>
    </w:p>
    <w:p w:rsidR="00000000" w:rsidDel="00000000" w:rsidP="00000000" w:rsidRDefault="00000000" w:rsidRPr="00000000" w14:paraId="00000060">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Cunill, O.M., Salvá, A.S., Gonzalez, L.O. and Mulet-Forteza, C., 2019. Thirty-fifth anniversary of the International Journal of Hospitality Management: A bibliometric overview. </w:t>
      </w:r>
      <w:r w:rsidDel="00000000" w:rsidR="00000000" w:rsidRPr="00000000">
        <w:rPr>
          <w:rFonts w:ascii="Arial" w:cs="Arial" w:eastAsia="Arial" w:hAnsi="Arial"/>
          <w:i w:val="1"/>
          <w:highlight w:val="white"/>
          <w:rtl w:val="0"/>
        </w:rPr>
        <w:t xml:space="preserve">International Journal of Hospitality Management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78</w:t>
      </w:r>
      <w:r w:rsidDel="00000000" w:rsidR="00000000" w:rsidRPr="00000000">
        <w:rPr>
          <w:rFonts w:ascii="Arial" w:cs="Arial" w:eastAsia="Arial" w:hAnsi="Arial"/>
          <w:highlight w:val="white"/>
          <w:rtl w:val="0"/>
        </w:rPr>
        <w:t xml:space="preserve">, pp.89-101.</w:t>
      </w:r>
    </w:p>
    <w:p w:rsidR="00000000" w:rsidDel="00000000" w:rsidP="00000000" w:rsidRDefault="00000000" w:rsidRPr="00000000" w14:paraId="00000061">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Faello, J., 2015. Understanding the limitations of financial ratios. </w:t>
      </w:r>
      <w:r w:rsidDel="00000000" w:rsidR="00000000" w:rsidRPr="00000000">
        <w:rPr>
          <w:rFonts w:ascii="Arial" w:cs="Arial" w:eastAsia="Arial" w:hAnsi="Arial"/>
          <w:i w:val="1"/>
          <w:highlight w:val="white"/>
          <w:rtl w:val="0"/>
        </w:rPr>
        <w:t xml:space="preserve">Academy of accounting and financial studies journal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19</w:t>
      </w:r>
      <w:r w:rsidDel="00000000" w:rsidR="00000000" w:rsidRPr="00000000">
        <w:rPr>
          <w:rFonts w:ascii="Arial" w:cs="Arial" w:eastAsia="Arial" w:hAnsi="Arial"/>
          <w:highlight w:val="white"/>
          <w:rtl w:val="0"/>
        </w:rPr>
        <w:t xml:space="preserve">(3), p.75.</w:t>
      </w:r>
    </w:p>
    <w:p w:rsidR="00000000" w:rsidDel="00000000" w:rsidP="00000000" w:rsidRDefault="00000000" w:rsidRPr="00000000" w14:paraId="00000062">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Gibson, A.M., 2016. Reading and Interpreting A Financial Statement.</w:t>
      </w:r>
    </w:p>
    <w:p w:rsidR="00000000" w:rsidDel="00000000" w:rsidP="00000000" w:rsidRDefault="00000000" w:rsidRPr="00000000" w14:paraId="00000063">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Jufrizen, J. and Nasution, M.F., 2017. Pengaruh Return On Assets, Total Assets Turnover, Quick Ratio, Dan Inventory Turnover Terhadap Debt To Assets Ratio Pada Perusahaan Jasa Sub Sektor Perdagangan Besar Barang Produksi Yang Terdaftar Di Bursa Efek Indonesia. </w:t>
      </w:r>
      <w:r w:rsidDel="00000000" w:rsidR="00000000" w:rsidRPr="00000000">
        <w:rPr>
          <w:rFonts w:ascii="Arial" w:cs="Arial" w:eastAsia="Arial" w:hAnsi="Arial"/>
          <w:i w:val="1"/>
          <w:highlight w:val="white"/>
          <w:rtl w:val="0"/>
        </w:rPr>
        <w:t xml:space="preserve">Jurnal Riset Akuntansi dan Bisnis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16</w:t>
      </w:r>
      <w:r w:rsidDel="00000000" w:rsidR="00000000" w:rsidRPr="00000000">
        <w:rPr>
          <w:rFonts w:ascii="Arial" w:cs="Arial" w:eastAsia="Arial" w:hAnsi="Arial"/>
          <w:highlight w:val="white"/>
          <w:rtl w:val="0"/>
        </w:rPr>
        <w:t xml:space="preserve">(1).</w:t>
      </w:r>
    </w:p>
    <w:p w:rsidR="00000000" w:rsidDel="00000000" w:rsidP="00000000" w:rsidRDefault="00000000" w:rsidRPr="00000000" w14:paraId="00000064">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Keasey, K. and Watson, R., 2019. Financial distress prediction models: a review of their usefulness 1. </w:t>
      </w:r>
      <w:r w:rsidDel="00000000" w:rsidR="00000000" w:rsidRPr="00000000">
        <w:rPr>
          <w:rFonts w:ascii="Arial" w:cs="Arial" w:eastAsia="Arial" w:hAnsi="Arial"/>
          <w:i w:val="1"/>
          <w:highlight w:val="white"/>
          <w:rtl w:val="0"/>
        </w:rPr>
        <w:t xml:space="preserve">Risk Management</w:t>
      </w:r>
      <w:r w:rsidDel="00000000" w:rsidR="00000000" w:rsidRPr="00000000">
        <w:rPr>
          <w:rFonts w:ascii="Arial" w:cs="Arial" w:eastAsia="Arial" w:hAnsi="Arial"/>
          <w:highlight w:val="white"/>
          <w:rtl w:val="0"/>
        </w:rPr>
        <w:t xml:space="preserve">, pp.35-48.</w:t>
      </w:r>
    </w:p>
    <w:p w:rsidR="00000000" w:rsidDel="00000000" w:rsidP="00000000" w:rsidRDefault="00000000" w:rsidRPr="00000000" w14:paraId="00000065">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Kizildag, M., 2015. Financial leverage phenomenon in hospitality industry sub-sector portfolios. </w:t>
      </w:r>
      <w:r w:rsidDel="00000000" w:rsidR="00000000" w:rsidRPr="00000000">
        <w:rPr>
          <w:rFonts w:ascii="Arial" w:cs="Arial" w:eastAsia="Arial" w:hAnsi="Arial"/>
          <w:i w:val="1"/>
          <w:highlight w:val="white"/>
          <w:rtl w:val="0"/>
        </w:rPr>
        <w:t xml:space="preserve">International Journal of Contemporary Hospitality Management</w:t>
      </w:r>
      <w:r w:rsidDel="00000000" w:rsidR="00000000" w:rsidRPr="00000000">
        <w:rPr>
          <w:rFonts w:ascii="Arial" w:cs="Arial" w:eastAsia="Arial" w:hAnsi="Arial"/>
          <w:highlight w:val="white"/>
          <w:rtl w:val="0"/>
        </w:rPr>
        <w:t xml:space="preserve">.</w:t>
      </w:r>
    </w:p>
    <w:p w:rsidR="00000000" w:rsidDel="00000000" w:rsidP="00000000" w:rsidRDefault="00000000" w:rsidRPr="00000000" w14:paraId="00000066">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Nalurita, F., 2015. The effect of profitability ratio, solvability ratio, market ratio on stock return. </w:t>
      </w:r>
      <w:r w:rsidDel="00000000" w:rsidR="00000000" w:rsidRPr="00000000">
        <w:rPr>
          <w:rFonts w:ascii="Arial" w:cs="Arial" w:eastAsia="Arial" w:hAnsi="Arial"/>
          <w:i w:val="1"/>
          <w:highlight w:val="white"/>
          <w:rtl w:val="0"/>
        </w:rPr>
        <w:t xml:space="preserve">Business and Entrepreneurial Review</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15</w:t>
      </w:r>
      <w:r w:rsidDel="00000000" w:rsidR="00000000" w:rsidRPr="00000000">
        <w:rPr>
          <w:rFonts w:ascii="Arial" w:cs="Arial" w:eastAsia="Arial" w:hAnsi="Arial"/>
          <w:highlight w:val="white"/>
          <w:rtl w:val="0"/>
        </w:rPr>
        <w:t xml:space="preserve">(1), pp.73-94.</w:t>
      </w:r>
    </w:p>
    <w:p w:rsidR="00000000" w:rsidDel="00000000" w:rsidP="00000000" w:rsidRDefault="00000000" w:rsidRPr="00000000" w14:paraId="00000067">
      <w:pPr>
        <w:spacing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Pasciuto, I., Bergamini, E., Iosa, M., Vannozzi, G. and Cappozzo, A., 2017. Overcoming the limitations of the Harmonic Ratio for the reliable assessment of gait symmetry. </w:t>
      </w:r>
      <w:r w:rsidDel="00000000" w:rsidR="00000000" w:rsidRPr="00000000">
        <w:rPr>
          <w:rFonts w:ascii="Arial" w:cs="Arial" w:eastAsia="Arial" w:hAnsi="Arial"/>
          <w:i w:val="1"/>
          <w:highlight w:val="white"/>
          <w:rtl w:val="0"/>
        </w:rPr>
        <w:t xml:space="preserve">Journal of biomechanics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53</w:t>
      </w:r>
      <w:r w:rsidDel="00000000" w:rsidR="00000000" w:rsidRPr="00000000">
        <w:rPr>
          <w:rFonts w:ascii="Arial" w:cs="Arial" w:eastAsia="Arial" w:hAnsi="Arial"/>
          <w:highlight w:val="white"/>
          <w:rtl w:val="0"/>
        </w:rPr>
        <w:t xml:space="preserve">, pp.84-89.</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left"/>
    </w:pPr>
    <w:rPr>
      <w:b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D727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1"/>
    <w:rsid w:val="007D4D7B"/>
    <w:pPr>
      <w:keepNext w:val="1"/>
      <w:keepLines w:val="1"/>
      <w:spacing w:after="0" w:before="240"/>
      <w:jc w:val="left"/>
      <w:outlineLvl w:val="0"/>
    </w:pPr>
    <w:rPr>
      <w:rFonts w:cstheme="majorBidi" w:eastAsiaTheme="majorEastAsia"/>
      <w:b w:val="1"/>
      <w:color w:val="2f5496" w:themeColor="accent1" w:themeShade="0000BF"/>
      <w:sz w:val="32"/>
      <w:szCs w:val="32"/>
    </w:rPr>
  </w:style>
  <w:style w:type="paragraph" w:styleId="Heading2">
    <w:name w:val="heading 2"/>
    <w:basedOn w:val="Normal"/>
    <w:next w:val="Normal"/>
    <w:link w:val="Heading2Char"/>
    <w:uiPriority w:val="9"/>
    <w:semiHidden w:val="1"/>
    <w:unhideWhenUsed w:val="1"/>
    <w:qFormat w:val="1"/>
    <w:rsid w:val="007D4D7B"/>
    <w:pPr>
      <w:keepNext w:val="1"/>
      <w:keepLines w:val="1"/>
      <w:spacing w:after="0" w:before="40"/>
      <w:outlineLvl w:val="1"/>
    </w:pPr>
    <w:rPr>
      <w:rFonts w:cstheme="majorBidi" w:eastAsiaTheme="majorEastAsia"/>
      <w:color w:val="2f5496" w:themeColor="accent1" w:themeShade="0000BF"/>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D4D7B"/>
    <w:rPr>
      <w:rFonts w:ascii="Times New Roman" w:hAnsi="Times New Roman" w:cstheme="majorBidi" w:eastAsiaTheme="majorEastAsia"/>
      <w:b w:val="1"/>
      <w:color w:val="2f5496" w:themeColor="accent1" w:themeShade="0000BF"/>
      <w:sz w:val="32"/>
      <w:szCs w:val="32"/>
    </w:rPr>
  </w:style>
  <w:style w:type="character" w:styleId="Heading2Char" w:customStyle="1">
    <w:name w:val="Heading 2 Char"/>
    <w:basedOn w:val="DefaultParagraphFont"/>
    <w:link w:val="Heading2"/>
    <w:uiPriority w:val="9"/>
    <w:semiHidden w:val="1"/>
    <w:rsid w:val="007D4D7B"/>
    <w:rPr>
      <w:rFonts w:ascii="Times New Roman" w:hAnsi="Times New Roman" w:cstheme="majorBidi" w:eastAsiaTheme="majorEastAsia"/>
      <w:color w:val="2f5496" w:themeColor="accent1" w:themeShade="0000BF"/>
      <w:sz w:val="28"/>
      <w:szCs w:val="26"/>
    </w:rPr>
  </w:style>
  <w:style w:type="table" w:styleId="TableGrid">
    <w:name w:val="Table Grid"/>
    <w:basedOn w:val="TableNormal"/>
    <w:uiPriority w:val="39"/>
    <w:rsid w:val="0058140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4-Accent5">
    <w:name w:val="Grid Table 4 Accent 5"/>
    <w:basedOn w:val="TableNormal"/>
    <w:uiPriority w:val="49"/>
    <w:rsid w:val="00581409"/>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insideV w:space="0" w:sz="0" w:val="nil"/>
        </w:tcBorders>
        <w:shd w:color="auto" w:fill="5b9bd5" w:themeFill="accent5" w:val="clear"/>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paragraph" w:styleId="ListParagraph">
    <w:name w:val="List Paragraph"/>
    <w:basedOn w:val="Normal"/>
    <w:uiPriority w:val="34"/>
    <w:qFormat w:val="1"/>
    <w:rsid w:val="007762DD"/>
    <w:pPr>
      <w:ind w:left="720"/>
      <w:contextualSpacing w:val="1"/>
    </w:pPr>
  </w:style>
  <w:style w:type="paragraph" w:styleId="Header">
    <w:name w:val="header"/>
    <w:basedOn w:val="Normal"/>
    <w:link w:val="HeaderChar"/>
    <w:uiPriority w:val="99"/>
    <w:unhideWhenUsed w:val="1"/>
    <w:rsid w:val="003E7CB4"/>
    <w:pPr>
      <w:tabs>
        <w:tab w:val="center" w:pos="4680"/>
        <w:tab w:val="right" w:pos="9360"/>
      </w:tabs>
      <w:spacing w:after="0" w:line="240" w:lineRule="auto"/>
    </w:pPr>
  </w:style>
  <w:style w:type="character" w:styleId="HeaderChar" w:customStyle="1">
    <w:name w:val="Header Char"/>
    <w:basedOn w:val="DefaultParagraphFont"/>
    <w:link w:val="Header"/>
    <w:uiPriority w:val="99"/>
    <w:rsid w:val="003E7CB4"/>
    <w:rPr>
      <w:rFonts w:ascii="Times New Roman" w:hAnsi="Times New Roman"/>
      <w:sz w:val="24"/>
    </w:rPr>
  </w:style>
  <w:style w:type="paragraph" w:styleId="Footer">
    <w:name w:val="footer"/>
    <w:basedOn w:val="Normal"/>
    <w:link w:val="FooterChar"/>
    <w:uiPriority w:val="99"/>
    <w:unhideWhenUsed w:val="1"/>
    <w:rsid w:val="003E7CB4"/>
    <w:pPr>
      <w:tabs>
        <w:tab w:val="center" w:pos="4680"/>
        <w:tab w:val="right" w:pos="9360"/>
      </w:tabs>
      <w:spacing w:after="0" w:line="240" w:lineRule="auto"/>
    </w:pPr>
  </w:style>
  <w:style w:type="character" w:styleId="FooterChar" w:customStyle="1">
    <w:name w:val="Footer Char"/>
    <w:basedOn w:val="DefaultParagraphFont"/>
    <w:link w:val="Footer"/>
    <w:uiPriority w:val="99"/>
    <w:rsid w:val="003E7CB4"/>
    <w:rPr>
      <w:rFonts w:ascii="Times New Roman" w:hAnsi="Times New Roman"/>
      <w:sz w:val="24"/>
    </w:rPr>
  </w:style>
  <w:style w:type="paragraph" w:styleId="TOCHeading">
    <w:name w:val="TOC Heading"/>
    <w:basedOn w:val="Heading1"/>
    <w:next w:val="Normal"/>
    <w:uiPriority w:val="39"/>
    <w:unhideWhenUsed w:val="1"/>
    <w:qFormat w:val="1"/>
    <w:rsid w:val="00BD41C7"/>
    <w:pPr>
      <w:spacing w:line="259" w:lineRule="auto"/>
      <w:outlineLvl w:val="9"/>
    </w:pPr>
    <w:rPr>
      <w:rFonts w:asciiTheme="majorHAnsi" w:hAnsiTheme="majorHAnsi"/>
      <w:b w:val="0"/>
    </w:rPr>
  </w:style>
  <w:style w:type="paragraph" w:styleId="TOC1">
    <w:name w:val="toc 1"/>
    <w:basedOn w:val="Normal"/>
    <w:next w:val="Normal"/>
    <w:autoRedefine w:val="1"/>
    <w:uiPriority w:val="39"/>
    <w:unhideWhenUsed w:val="1"/>
    <w:rsid w:val="00BD41C7"/>
    <w:pPr>
      <w:spacing w:after="100"/>
    </w:pPr>
  </w:style>
  <w:style w:type="character" w:styleId="Hyperlink">
    <w:name w:val="Hyperlink"/>
    <w:basedOn w:val="DefaultParagraphFont"/>
    <w:uiPriority w:val="99"/>
    <w:unhideWhenUsed w:val="1"/>
    <w:rsid w:val="00BD41C7"/>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kqFLdettV6cch6mZ7ZuQJnR4Fw==">AMUW2mV0ggngwZchMmqJuk4wBUAH9HRZ06E+Z9us3GwuTsMIVR9ndtN85uWadXJFO/2npHLq6dr8K7WhCAmLwM3GiIaGz3igqv+xopRwWwZ7/itlXbtX80vnOS7/b73uDx2D0o2+dmR89eyS9Vd37ioFFZEwY8Xum0U98L+NplN7lv5+HfBy5TYFbmMkjANAjSUIdAlWbS1zTEnb+XKyagqGmwyaXKOF8Q==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2022-12-07T14:35:00Z</dcterms:created>
</cp:coreProperties>
</file>