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D582E04" w14:textId="77777777" w:rsidR="00794B18" w:rsidRPr="00794B18" w:rsidRDefault="00794B18" w:rsidP="00794B18">
      <w:pPr>
        <w:pBdr>
          <w:top w:val="nil"/>
          <w:left w:val="nil"/>
          <w:bottom w:val="nil"/>
          <w:right w:val="nil"/>
          <w:between w:val="nil"/>
        </w:pBdr>
        <w:spacing w:line="360" w:lineRule="auto"/>
        <w:rPr>
          <w:rFonts w:eastAsia="Times New Roman"/>
          <w:b/>
          <w:bCs/>
          <w:sz w:val="32"/>
          <w:szCs w:val="32"/>
        </w:rPr>
      </w:pPr>
      <w:r w:rsidRPr="00794B18">
        <w:rPr>
          <w:rFonts w:eastAsia="Times New Roman"/>
          <w:b/>
          <w:bCs/>
          <w:sz w:val="32"/>
          <w:szCs w:val="32"/>
        </w:rPr>
        <w:t xml:space="preserve">                          </w:t>
      </w:r>
      <w:r w:rsidRPr="00794B18">
        <w:rPr>
          <w:noProof/>
        </w:rPr>
        <w:drawing>
          <wp:inline distT="0" distB="0" distL="0" distR="0" wp14:anchorId="3A46EFE3" wp14:editId="4E6DAE9B">
            <wp:extent cx="3241964" cy="852055"/>
            <wp:effectExtent l="0" t="0" r="0" b="5715"/>
            <wp:docPr id="58" name="Picture 1" descr="A black text on a white background"/>
            <wp:cNvGraphicFramePr/>
            <a:graphic xmlns:a="http://schemas.openxmlformats.org/drawingml/2006/main">
              <a:graphicData uri="http://schemas.openxmlformats.org/drawingml/2006/picture">
                <pic:pic xmlns:pic="http://schemas.openxmlformats.org/drawingml/2006/picture">
                  <pic:nvPicPr>
                    <pic:cNvPr id="58" name="Picture 1" descr="A black text on a white background"/>
                    <pic:cNvPicPr/>
                  </pic:nvPicPr>
                  <pic:blipFill>
                    <a:blip r:embed="rId8"/>
                    <a:stretch>
                      <a:fillRect/>
                    </a:stretch>
                  </pic:blipFill>
                  <pic:spPr>
                    <a:xfrm>
                      <a:off x="0" y="0"/>
                      <a:ext cx="3269680" cy="859339"/>
                    </a:xfrm>
                    <a:prstGeom prst="rect">
                      <a:avLst/>
                    </a:prstGeom>
                  </pic:spPr>
                </pic:pic>
              </a:graphicData>
            </a:graphic>
          </wp:inline>
        </w:drawing>
      </w:r>
    </w:p>
    <w:p w14:paraId="4AEA1E21" w14:textId="77777777" w:rsidR="00794B18" w:rsidRPr="00794B18" w:rsidRDefault="00794B18" w:rsidP="00794B18">
      <w:pPr>
        <w:pBdr>
          <w:top w:val="nil"/>
          <w:left w:val="nil"/>
          <w:bottom w:val="nil"/>
          <w:right w:val="nil"/>
          <w:between w:val="nil"/>
        </w:pBdr>
        <w:spacing w:line="360" w:lineRule="auto"/>
        <w:rPr>
          <w:rFonts w:eastAsia="Times New Roman"/>
          <w:b/>
          <w:bCs/>
          <w:sz w:val="32"/>
          <w:szCs w:val="32"/>
        </w:rPr>
      </w:pPr>
    </w:p>
    <w:p w14:paraId="1292A731" w14:textId="77777777" w:rsidR="00794B18" w:rsidRPr="00794B18" w:rsidRDefault="00794B18" w:rsidP="00794B18">
      <w:pPr>
        <w:pBdr>
          <w:top w:val="nil"/>
          <w:left w:val="nil"/>
          <w:bottom w:val="nil"/>
          <w:right w:val="nil"/>
          <w:between w:val="nil"/>
        </w:pBdr>
        <w:spacing w:line="360" w:lineRule="auto"/>
        <w:rPr>
          <w:rFonts w:eastAsia="Times New Roman"/>
          <w:b/>
          <w:bCs/>
          <w:sz w:val="28"/>
          <w:szCs w:val="28"/>
        </w:rPr>
      </w:pPr>
      <w:r w:rsidRPr="00794B18">
        <w:rPr>
          <w:rFonts w:eastAsia="Times New Roman"/>
          <w:b/>
          <w:bCs/>
          <w:sz w:val="28"/>
          <w:szCs w:val="28"/>
        </w:rPr>
        <w:t>STUDENT NAME: Pratik Mukeshbhai Prajapati</w:t>
      </w:r>
    </w:p>
    <w:p w14:paraId="1F24B60E" w14:textId="77777777" w:rsidR="00794B18" w:rsidRPr="00794B18" w:rsidRDefault="00794B18" w:rsidP="00794B18">
      <w:pPr>
        <w:pBdr>
          <w:top w:val="nil"/>
          <w:left w:val="nil"/>
          <w:bottom w:val="nil"/>
          <w:right w:val="nil"/>
          <w:between w:val="nil"/>
        </w:pBdr>
        <w:spacing w:line="360" w:lineRule="auto"/>
        <w:rPr>
          <w:rFonts w:eastAsia="Times New Roman"/>
          <w:b/>
          <w:bCs/>
          <w:sz w:val="28"/>
          <w:szCs w:val="28"/>
        </w:rPr>
      </w:pPr>
      <w:r w:rsidRPr="00794B18">
        <w:rPr>
          <w:rFonts w:eastAsia="Times New Roman"/>
          <w:b/>
          <w:bCs/>
          <w:sz w:val="28"/>
          <w:szCs w:val="28"/>
        </w:rPr>
        <w:t>Student ID: 2428117</w:t>
      </w:r>
    </w:p>
    <w:p w14:paraId="5E68F3DA" w14:textId="77777777" w:rsidR="00794B18" w:rsidRPr="00794B18" w:rsidRDefault="00794B18" w:rsidP="00794B18">
      <w:pPr>
        <w:pBdr>
          <w:top w:val="nil"/>
          <w:left w:val="nil"/>
          <w:bottom w:val="nil"/>
          <w:right w:val="nil"/>
          <w:between w:val="nil"/>
        </w:pBdr>
        <w:spacing w:line="360" w:lineRule="auto"/>
        <w:rPr>
          <w:rFonts w:eastAsia="Times New Roman"/>
          <w:b/>
          <w:bCs/>
          <w:sz w:val="28"/>
          <w:szCs w:val="28"/>
        </w:rPr>
      </w:pPr>
      <w:r w:rsidRPr="00794B18">
        <w:rPr>
          <w:rFonts w:eastAsia="Times New Roman"/>
          <w:b/>
          <w:bCs/>
          <w:sz w:val="28"/>
          <w:szCs w:val="28"/>
        </w:rPr>
        <w:t>PROGRAMME: MASTER OF BUSINESS ADMINISTRATION</w:t>
      </w:r>
    </w:p>
    <w:p w14:paraId="7B5FD7F2" w14:textId="77777777" w:rsidR="00794B18" w:rsidRPr="00794B18" w:rsidRDefault="00794B18" w:rsidP="00794B18">
      <w:pPr>
        <w:pBdr>
          <w:top w:val="nil"/>
          <w:left w:val="nil"/>
          <w:bottom w:val="nil"/>
          <w:right w:val="nil"/>
          <w:between w:val="nil"/>
        </w:pBdr>
        <w:spacing w:line="360" w:lineRule="auto"/>
        <w:rPr>
          <w:rFonts w:eastAsia="Times New Roman"/>
          <w:b/>
          <w:bCs/>
          <w:sz w:val="28"/>
          <w:szCs w:val="28"/>
        </w:rPr>
      </w:pPr>
      <w:r w:rsidRPr="00794B18">
        <w:rPr>
          <w:rFonts w:eastAsia="Times New Roman"/>
          <w:b/>
          <w:bCs/>
          <w:sz w:val="28"/>
          <w:szCs w:val="28"/>
        </w:rPr>
        <w:t>MODULE: Dissertation</w:t>
      </w:r>
    </w:p>
    <w:p w14:paraId="26EC5261" w14:textId="77777777" w:rsidR="00794B18" w:rsidRPr="00794B18" w:rsidRDefault="00794B18" w:rsidP="00794B18">
      <w:pPr>
        <w:pBdr>
          <w:top w:val="nil"/>
          <w:left w:val="nil"/>
          <w:bottom w:val="nil"/>
          <w:right w:val="nil"/>
          <w:between w:val="nil"/>
        </w:pBdr>
        <w:spacing w:line="360" w:lineRule="auto"/>
        <w:rPr>
          <w:rFonts w:eastAsia="Times New Roman"/>
          <w:b/>
          <w:bCs/>
          <w:sz w:val="28"/>
          <w:szCs w:val="28"/>
        </w:rPr>
      </w:pPr>
      <w:r w:rsidRPr="00794B18">
        <w:rPr>
          <w:rFonts w:eastAsia="Times New Roman"/>
          <w:b/>
          <w:bCs/>
          <w:sz w:val="28"/>
          <w:szCs w:val="28"/>
        </w:rPr>
        <w:t>MODULE CODE: LCMB7035</w:t>
      </w:r>
    </w:p>
    <w:p w14:paraId="532129A1" w14:textId="77777777" w:rsidR="00794B18" w:rsidRPr="00794B18" w:rsidRDefault="00794B18" w:rsidP="00794B18">
      <w:pPr>
        <w:spacing w:line="360" w:lineRule="auto"/>
        <w:rPr>
          <w:rFonts w:eastAsia="Times New Roman"/>
          <w:b/>
          <w:bCs/>
          <w:color w:val="000000" w:themeColor="text1"/>
          <w:sz w:val="28"/>
          <w:szCs w:val="28"/>
          <w:highlight w:val="white"/>
        </w:rPr>
      </w:pPr>
    </w:p>
    <w:p w14:paraId="7C298367" w14:textId="2A15B695" w:rsidR="00E01473" w:rsidRPr="00794B18" w:rsidRDefault="00DC2ADC" w:rsidP="00794B18">
      <w:pPr>
        <w:spacing w:line="360" w:lineRule="auto"/>
        <w:jc w:val="center"/>
        <w:rPr>
          <w:rFonts w:eastAsia="Times New Roman"/>
          <w:b/>
          <w:bCs/>
          <w:sz w:val="28"/>
          <w:szCs w:val="28"/>
          <w:highlight w:val="white"/>
        </w:rPr>
      </w:pPr>
      <w:r w:rsidRPr="00794B18">
        <w:rPr>
          <w:rFonts w:eastAsia="Times New Roman"/>
          <w:b/>
          <w:bCs/>
          <w:sz w:val="28"/>
          <w:szCs w:val="28"/>
          <w:highlight w:val="white"/>
        </w:rPr>
        <w:t>POST-COVID TRADE BARRIERS AND GLOBAL STRATEGY ADAPTATION IN THE UK</w:t>
      </w:r>
    </w:p>
    <w:p w14:paraId="5FA2F0E4" w14:textId="528EB554" w:rsidR="00E01473" w:rsidRPr="00794B18" w:rsidRDefault="00DC2ADC" w:rsidP="00794B18">
      <w:pPr>
        <w:spacing w:line="360" w:lineRule="auto"/>
        <w:jc w:val="center"/>
        <w:rPr>
          <w:rFonts w:eastAsia="Times New Roman"/>
          <w:b/>
          <w:bCs/>
          <w:sz w:val="28"/>
          <w:szCs w:val="28"/>
          <w:highlight w:val="white"/>
        </w:rPr>
      </w:pPr>
      <w:r w:rsidRPr="00794B18">
        <w:rPr>
          <w:rFonts w:eastAsia="Times New Roman"/>
          <w:b/>
          <w:bCs/>
          <w:sz w:val="28"/>
          <w:szCs w:val="28"/>
          <w:highlight w:val="white"/>
        </w:rPr>
        <w:t>AUTOMOTIVE MANUFACTURING SECTOR</w:t>
      </w:r>
    </w:p>
    <w:p w14:paraId="09003904" w14:textId="77777777" w:rsidR="00E01473" w:rsidRPr="00794B18" w:rsidRDefault="00E01473" w:rsidP="00794B18">
      <w:pPr>
        <w:spacing w:line="360" w:lineRule="auto"/>
        <w:jc w:val="center"/>
        <w:rPr>
          <w:rFonts w:eastAsia="Times New Roman"/>
          <w:b/>
          <w:bCs/>
          <w:sz w:val="28"/>
          <w:szCs w:val="28"/>
          <w:highlight w:val="white"/>
        </w:rPr>
      </w:pPr>
    </w:p>
    <w:p w14:paraId="68980E4A" w14:textId="77777777" w:rsidR="00E01473" w:rsidRPr="00794B18" w:rsidRDefault="00E01473" w:rsidP="00DC2ADC">
      <w:pPr>
        <w:pBdr>
          <w:top w:val="nil"/>
          <w:left w:val="nil"/>
          <w:bottom w:val="nil"/>
          <w:right w:val="nil"/>
          <w:between w:val="nil"/>
        </w:pBdr>
        <w:spacing w:line="360" w:lineRule="auto"/>
        <w:jc w:val="both"/>
        <w:rPr>
          <w:rFonts w:eastAsia="Times New Roman"/>
          <w:b/>
          <w:bCs/>
          <w:sz w:val="32"/>
          <w:szCs w:val="32"/>
          <w:highlight w:val="white"/>
        </w:rPr>
      </w:pPr>
    </w:p>
    <w:p w14:paraId="2C6923CC" w14:textId="77777777" w:rsidR="00E01473" w:rsidRPr="00794B18" w:rsidRDefault="00D367EC" w:rsidP="00DC2ADC">
      <w:pPr>
        <w:spacing w:line="360" w:lineRule="auto"/>
        <w:jc w:val="both"/>
        <w:rPr>
          <w:rFonts w:eastAsia="Times New Roman"/>
          <w:b/>
          <w:bCs/>
          <w:sz w:val="32"/>
          <w:szCs w:val="32"/>
          <w:highlight w:val="white"/>
        </w:rPr>
      </w:pPr>
      <w:r w:rsidRPr="00794B18">
        <w:br w:type="page"/>
      </w:r>
    </w:p>
    <w:p w14:paraId="588F06B3" w14:textId="77777777" w:rsidR="00E01473" w:rsidRPr="00794B18" w:rsidRDefault="00D367EC" w:rsidP="003117DC">
      <w:pPr>
        <w:keepNext/>
        <w:keepLines/>
        <w:pBdr>
          <w:top w:val="nil"/>
          <w:left w:val="nil"/>
          <w:bottom w:val="nil"/>
          <w:right w:val="nil"/>
          <w:between w:val="nil"/>
        </w:pBdr>
        <w:spacing w:before="480" w:line="360" w:lineRule="auto"/>
        <w:jc w:val="center"/>
        <w:rPr>
          <w:rFonts w:eastAsia="Times New Roman"/>
          <w:b/>
          <w:bCs/>
          <w:sz w:val="24"/>
          <w:szCs w:val="24"/>
        </w:rPr>
      </w:pPr>
      <w:r w:rsidRPr="00794B18">
        <w:rPr>
          <w:rFonts w:eastAsia="Times New Roman"/>
          <w:b/>
          <w:bCs/>
          <w:sz w:val="28"/>
          <w:szCs w:val="28"/>
        </w:rPr>
        <w:lastRenderedPageBreak/>
        <w:t>TABLE OF CONTENTS</w:t>
      </w:r>
    </w:p>
    <w:sdt>
      <w:sdtPr>
        <w:id w:val="2044963145"/>
        <w:docPartObj>
          <w:docPartGallery w:val="Table of Contents"/>
          <w:docPartUnique/>
        </w:docPartObj>
      </w:sdtPr>
      <w:sdtEndPr/>
      <w:sdtContent>
        <w:p w14:paraId="2712363D" w14:textId="37581831" w:rsidR="003117DC" w:rsidRPr="00794B18" w:rsidRDefault="00D367EC" w:rsidP="003117DC">
          <w:pPr>
            <w:pStyle w:val="TOC1"/>
            <w:tabs>
              <w:tab w:val="right" w:pos="9350"/>
            </w:tabs>
            <w:spacing w:line="360" w:lineRule="auto"/>
            <w:jc w:val="both"/>
            <w:rPr>
              <w:rFonts w:eastAsiaTheme="minorEastAsia"/>
              <w:noProof/>
              <w:kern w:val="2"/>
              <w:sz w:val="28"/>
              <w:szCs w:val="28"/>
              <w14:ligatures w14:val="standardContextual"/>
            </w:rPr>
          </w:pPr>
          <w:r w:rsidRPr="00794B18">
            <w:rPr>
              <w:sz w:val="24"/>
              <w:szCs w:val="24"/>
            </w:rPr>
            <w:fldChar w:fldCharType="begin"/>
          </w:r>
          <w:r w:rsidRPr="00794B18">
            <w:rPr>
              <w:sz w:val="24"/>
              <w:szCs w:val="24"/>
            </w:rPr>
            <w:instrText xml:space="preserve"> TOC \h \u \z \t "Heading 1,1,Heading 2,2,Heading 3,3,"</w:instrText>
          </w:r>
          <w:r w:rsidRPr="00794B18">
            <w:rPr>
              <w:sz w:val="24"/>
              <w:szCs w:val="24"/>
            </w:rPr>
            <w:fldChar w:fldCharType="separate"/>
          </w:r>
          <w:hyperlink w:anchor="_Toc214028718" w:history="1">
            <w:r w:rsidR="003117DC" w:rsidRPr="00794B18">
              <w:rPr>
                <w:rStyle w:val="Hyperlink"/>
                <w:noProof/>
                <w:sz w:val="24"/>
                <w:szCs w:val="24"/>
              </w:rPr>
              <w:t>1. Introduction</w:t>
            </w:r>
            <w:r w:rsidR="003117DC" w:rsidRPr="00794B18">
              <w:rPr>
                <w:noProof/>
                <w:webHidden/>
                <w:sz w:val="24"/>
                <w:szCs w:val="24"/>
              </w:rPr>
              <w:tab/>
            </w:r>
            <w:r w:rsidR="003117DC" w:rsidRPr="00794B18">
              <w:rPr>
                <w:noProof/>
                <w:webHidden/>
                <w:sz w:val="24"/>
                <w:szCs w:val="24"/>
              </w:rPr>
              <w:fldChar w:fldCharType="begin"/>
            </w:r>
            <w:r w:rsidR="003117DC" w:rsidRPr="00794B18">
              <w:rPr>
                <w:noProof/>
                <w:webHidden/>
                <w:sz w:val="24"/>
                <w:szCs w:val="24"/>
              </w:rPr>
              <w:instrText xml:space="preserve"> PAGEREF _Toc214028718 \h </w:instrText>
            </w:r>
            <w:r w:rsidR="003117DC" w:rsidRPr="00794B18">
              <w:rPr>
                <w:noProof/>
                <w:webHidden/>
                <w:sz w:val="24"/>
                <w:szCs w:val="24"/>
              </w:rPr>
            </w:r>
            <w:r w:rsidR="003117DC" w:rsidRPr="00794B18">
              <w:rPr>
                <w:noProof/>
                <w:webHidden/>
                <w:sz w:val="24"/>
                <w:szCs w:val="24"/>
              </w:rPr>
              <w:fldChar w:fldCharType="separate"/>
            </w:r>
            <w:r w:rsidR="003117DC" w:rsidRPr="00794B18">
              <w:rPr>
                <w:noProof/>
                <w:webHidden/>
                <w:sz w:val="24"/>
                <w:szCs w:val="24"/>
              </w:rPr>
              <w:t>3</w:t>
            </w:r>
            <w:r w:rsidR="003117DC" w:rsidRPr="00794B18">
              <w:rPr>
                <w:noProof/>
                <w:webHidden/>
                <w:sz w:val="24"/>
                <w:szCs w:val="24"/>
              </w:rPr>
              <w:fldChar w:fldCharType="end"/>
            </w:r>
          </w:hyperlink>
        </w:p>
        <w:p w14:paraId="00B78F91" w14:textId="53820E55" w:rsidR="003117DC" w:rsidRPr="00794B18" w:rsidRDefault="003117DC" w:rsidP="003117DC">
          <w:pPr>
            <w:pStyle w:val="TOC1"/>
            <w:tabs>
              <w:tab w:val="right" w:pos="9350"/>
            </w:tabs>
            <w:spacing w:line="360" w:lineRule="auto"/>
            <w:jc w:val="both"/>
            <w:rPr>
              <w:rFonts w:eastAsiaTheme="minorEastAsia"/>
              <w:noProof/>
              <w:kern w:val="2"/>
              <w:sz w:val="28"/>
              <w:szCs w:val="28"/>
              <w14:ligatures w14:val="standardContextual"/>
            </w:rPr>
          </w:pPr>
          <w:hyperlink w:anchor="_Toc214028719" w:history="1">
            <w:r w:rsidRPr="00794B18">
              <w:rPr>
                <w:rStyle w:val="Hyperlink"/>
                <w:noProof/>
                <w:sz w:val="24"/>
                <w:szCs w:val="24"/>
              </w:rPr>
              <w:t>2. Literature review</w:t>
            </w:r>
            <w:r w:rsidRPr="00794B18">
              <w:rPr>
                <w:noProof/>
                <w:webHidden/>
                <w:sz w:val="24"/>
                <w:szCs w:val="24"/>
              </w:rPr>
              <w:tab/>
            </w:r>
            <w:r w:rsidRPr="00794B18">
              <w:rPr>
                <w:noProof/>
                <w:webHidden/>
                <w:sz w:val="24"/>
                <w:szCs w:val="24"/>
              </w:rPr>
              <w:fldChar w:fldCharType="begin"/>
            </w:r>
            <w:r w:rsidRPr="00794B18">
              <w:rPr>
                <w:noProof/>
                <w:webHidden/>
                <w:sz w:val="24"/>
                <w:szCs w:val="24"/>
              </w:rPr>
              <w:instrText xml:space="preserve"> PAGEREF _Toc214028719 \h </w:instrText>
            </w:r>
            <w:r w:rsidRPr="00794B18">
              <w:rPr>
                <w:noProof/>
                <w:webHidden/>
                <w:sz w:val="24"/>
                <w:szCs w:val="24"/>
              </w:rPr>
            </w:r>
            <w:r w:rsidRPr="00794B18">
              <w:rPr>
                <w:noProof/>
                <w:webHidden/>
                <w:sz w:val="24"/>
                <w:szCs w:val="24"/>
              </w:rPr>
              <w:fldChar w:fldCharType="separate"/>
            </w:r>
            <w:r w:rsidRPr="00794B18">
              <w:rPr>
                <w:noProof/>
                <w:webHidden/>
                <w:sz w:val="24"/>
                <w:szCs w:val="24"/>
              </w:rPr>
              <w:t>7</w:t>
            </w:r>
            <w:r w:rsidRPr="00794B18">
              <w:rPr>
                <w:noProof/>
                <w:webHidden/>
                <w:sz w:val="24"/>
                <w:szCs w:val="24"/>
              </w:rPr>
              <w:fldChar w:fldCharType="end"/>
            </w:r>
          </w:hyperlink>
        </w:p>
        <w:p w14:paraId="1D0B5324" w14:textId="46EE833B" w:rsidR="003117DC" w:rsidRPr="00794B18" w:rsidRDefault="003117DC" w:rsidP="003117DC">
          <w:pPr>
            <w:pStyle w:val="TOC1"/>
            <w:tabs>
              <w:tab w:val="right" w:pos="9350"/>
            </w:tabs>
            <w:spacing w:line="360" w:lineRule="auto"/>
            <w:jc w:val="both"/>
            <w:rPr>
              <w:rFonts w:eastAsiaTheme="minorEastAsia"/>
              <w:noProof/>
              <w:kern w:val="2"/>
              <w:sz w:val="28"/>
              <w:szCs w:val="28"/>
              <w14:ligatures w14:val="standardContextual"/>
            </w:rPr>
          </w:pPr>
          <w:hyperlink w:anchor="_Toc214028720" w:history="1">
            <w:r w:rsidRPr="00794B18">
              <w:rPr>
                <w:rStyle w:val="Hyperlink"/>
                <w:noProof/>
                <w:sz w:val="24"/>
                <w:szCs w:val="24"/>
              </w:rPr>
              <w:t>3. Methodology</w:t>
            </w:r>
            <w:r w:rsidRPr="00794B18">
              <w:rPr>
                <w:noProof/>
                <w:webHidden/>
                <w:sz w:val="24"/>
                <w:szCs w:val="24"/>
              </w:rPr>
              <w:tab/>
            </w:r>
            <w:r w:rsidRPr="00794B18">
              <w:rPr>
                <w:noProof/>
                <w:webHidden/>
                <w:sz w:val="24"/>
                <w:szCs w:val="24"/>
              </w:rPr>
              <w:fldChar w:fldCharType="begin"/>
            </w:r>
            <w:r w:rsidRPr="00794B18">
              <w:rPr>
                <w:noProof/>
                <w:webHidden/>
                <w:sz w:val="24"/>
                <w:szCs w:val="24"/>
              </w:rPr>
              <w:instrText xml:space="preserve"> PAGEREF _Toc214028720 \h </w:instrText>
            </w:r>
            <w:r w:rsidRPr="00794B18">
              <w:rPr>
                <w:noProof/>
                <w:webHidden/>
                <w:sz w:val="24"/>
                <w:szCs w:val="24"/>
              </w:rPr>
            </w:r>
            <w:r w:rsidRPr="00794B18">
              <w:rPr>
                <w:noProof/>
                <w:webHidden/>
                <w:sz w:val="24"/>
                <w:szCs w:val="24"/>
              </w:rPr>
              <w:fldChar w:fldCharType="separate"/>
            </w:r>
            <w:r w:rsidRPr="00794B18">
              <w:rPr>
                <w:noProof/>
                <w:webHidden/>
                <w:sz w:val="24"/>
                <w:szCs w:val="24"/>
              </w:rPr>
              <w:t>9</w:t>
            </w:r>
            <w:r w:rsidRPr="00794B18">
              <w:rPr>
                <w:noProof/>
                <w:webHidden/>
                <w:sz w:val="24"/>
                <w:szCs w:val="24"/>
              </w:rPr>
              <w:fldChar w:fldCharType="end"/>
            </w:r>
          </w:hyperlink>
        </w:p>
        <w:p w14:paraId="56815F06" w14:textId="30A1C6F0" w:rsidR="003117DC" w:rsidRPr="00794B18" w:rsidRDefault="003117DC" w:rsidP="003117DC">
          <w:pPr>
            <w:pStyle w:val="TOC1"/>
            <w:tabs>
              <w:tab w:val="right" w:pos="9350"/>
            </w:tabs>
            <w:spacing w:line="360" w:lineRule="auto"/>
            <w:jc w:val="both"/>
            <w:rPr>
              <w:rFonts w:eastAsiaTheme="minorEastAsia"/>
              <w:noProof/>
              <w:kern w:val="2"/>
              <w:sz w:val="28"/>
              <w:szCs w:val="28"/>
              <w14:ligatures w14:val="standardContextual"/>
            </w:rPr>
          </w:pPr>
          <w:hyperlink w:anchor="_Toc214028721" w:history="1">
            <w:r w:rsidRPr="00794B18">
              <w:rPr>
                <w:rStyle w:val="Hyperlink"/>
                <w:noProof/>
                <w:sz w:val="24"/>
                <w:szCs w:val="24"/>
              </w:rPr>
              <w:t>4. Expected findings</w:t>
            </w:r>
            <w:r w:rsidRPr="00794B18">
              <w:rPr>
                <w:noProof/>
                <w:webHidden/>
                <w:sz w:val="24"/>
                <w:szCs w:val="24"/>
              </w:rPr>
              <w:tab/>
            </w:r>
            <w:r w:rsidRPr="00794B18">
              <w:rPr>
                <w:noProof/>
                <w:webHidden/>
                <w:sz w:val="24"/>
                <w:szCs w:val="24"/>
              </w:rPr>
              <w:fldChar w:fldCharType="begin"/>
            </w:r>
            <w:r w:rsidRPr="00794B18">
              <w:rPr>
                <w:noProof/>
                <w:webHidden/>
                <w:sz w:val="24"/>
                <w:szCs w:val="24"/>
              </w:rPr>
              <w:instrText xml:space="preserve"> PAGEREF _Toc214028721 \h </w:instrText>
            </w:r>
            <w:r w:rsidRPr="00794B18">
              <w:rPr>
                <w:noProof/>
                <w:webHidden/>
                <w:sz w:val="24"/>
                <w:szCs w:val="24"/>
              </w:rPr>
            </w:r>
            <w:r w:rsidRPr="00794B18">
              <w:rPr>
                <w:noProof/>
                <w:webHidden/>
                <w:sz w:val="24"/>
                <w:szCs w:val="24"/>
              </w:rPr>
              <w:fldChar w:fldCharType="separate"/>
            </w:r>
            <w:r w:rsidRPr="00794B18">
              <w:rPr>
                <w:noProof/>
                <w:webHidden/>
                <w:sz w:val="24"/>
                <w:szCs w:val="24"/>
              </w:rPr>
              <w:t>11</w:t>
            </w:r>
            <w:r w:rsidRPr="00794B18">
              <w:rPr>
                <w:noProof/>
                <w:webHidden/>
                <w:sz w:val="24"/>
                <w:szCs w:val="24"/>
              </w:rPr>
              <w:fldChar w:fldCharType="end"/>
            </w:r>
          </w:hyperlink>
        </w:p>
        <w:p w14:paraId="3C275171" w14:textId="107B7E51" w:rsidR="003117DC" w:rsidRPr="00794B18" w:rsidRDefault="003117DC" w:rsidP="003117DC">
          <w:pPr>
            <w:pStyle w:val="TOC1"/>
            <w:tabs>
              <w:tab w:val="right" w:pos="9350"/>
            </w:tabs>
            <w:spacing w:line="360" w:lineRule="auto"/>
            <w:jc w:val="both"/>
            <w:rPr>
              <w:rFonts w:eastAsiaTheme="minorEastAsia"/>
              <w:noProof/>
              <w:kern w:val="2"/>
              <w:sz w:val="28"/>
              <w:szCs w:val="28"/>
              <w14:ligatures w14:val="standardContextual"/>
            </w:rPr>
          </w:pPr>
          <w:hyperlink w:anchor="_Toc214028722" w:history="1">
            <w:r w:rsidRPr="00794B18">
              <w:rPr>
                <w:rStyle w:val="Hyperlink"/>
                <w:noProof/>
                <w:sz w:val="24"/>
                <w:szCs w:val="24"/>
              </w:rPr>
              <w:t>5. Timeframe</w:t>
            </w:r>
            <w:r w:rsidRPr="00794B18">
              <w:rPr>
                <w:noProof/>
                <w:webHidden/>
                <w:sz w:val="24"/>
                <w:szCs w:val="24"/>
              </w:rPr>
              <w:tab/>
            </w:r>
            <w:r w:rsidRPr="00794B18">
              <w:rPr>
                <w:noProof/>
                <w:webHidden/>
                <w:sz w:val="24"/>
                <w:szCs w:val="24"/>
              </w:rPr>
              <w:fldChar w:fldCharType="begin"/>
            </w:r>
            <w:r w:rsidRPr="00794B18">
              <w:rPr>
                <w:noProof/>
                <w:webHidden/>
                <w:sz w:val="24"/>
                <w:szCs w:val="24"/>
              </w:rPr>
              <w:instrText xml:space="preserve"> PAGEREF _Toc214028722 \h </w:instrText>
            </w:r>
            <w:r w:rsidRPr="00794B18">
              <w:rPr>
                <w:noProof/>
                <w:webHidden/>
                <w:sz w:val="24"/>
                <w:szCs w:val="24"/>
              </w:rPr>
            </w:r>
            <w:r w:rsidRPr="00794B18">
              <w:rPr>
                <w:noProof/>
                <w:webHidden/>
                <w:sz w:val="24"/>
                <w:szCs w:val="24"/>
              </w:rPr>
              <w:fldChar w:fldCharType="separate"/>
            </w:r>
            <w:r w:rsidRPr="00794B18">
              <w:rPr>
                <w:noProof/>
                <w:webHidden/>
                <w:sz w:val="24"/>
                <w:szCs w:val="24"/>
              </w:rPr>
              <w:t>12</w:t>
            </w:r>
            <w:r w:rsidRPr="00794B18">
              <w:rPr>
                <w:noProof/>
                <w:webHidden/>
                <w:sz w:val="24"/>
                <w:szCs w:val="24"/>
              </w:rPr>
              <w:fldChar w:fldCharType="end"/>
            </w:r>
          </w:hyperlink>
        </w:p>
        <w:p w14:paraId="4B6C3F8E" w14:textId="42DDF11D" w:rsidR="003117DC" w:rsidRPr="00794B18" w:rsidRDefault="003117DC" w:rsidP="003117DC">
          <w:pPr>
            <w:pStyle w:val="TOC1"/>
            <w:tabs>
              <w:tab w:val="right" w:pos="9350"/>
            </w:tabs>
            <w:spacing w:line="360" w:lineRule="auto"/>
            <w:jc w:val="both"/>
            <w:rPr>
              <w:rFonts w:eastAsiaTheme="minorEastAsia"/>
              <w:noProof/>
              <w:kern w:val="2"/>
              <w:sz w:val="28"/>
              <w:szCs w:val="28"/>
              <w14:ligatures w14:val="standardContextual"/>
            </w:rPr>
          </w:pPr>
          <w:hyperlink w:anchor="_Toc214028723" w:history="1">
            <w:r w:rsidRPr="00794B18">
              <w:rPr>
                <w:rStyle w:val="Hyperlink"/>
                <w:noProof/>
                <w:sz w:val="24"/>
                <w:szCs w:val="24"/>
              </w:rPr>
              <w:t>References</w:t>
            </w:r>
            <w:r w:rsidRPr="00794B18">
              <w:rPr>
                <w:noProof/>
                <w:webHidden/>
                <w:sz w:val="24"/>
                <w:szCs w:val="24"/>
              </w:rPr>
              <w:tab/>
            </w:r>
            <w:r w:rsidRPr="00794B18">
              <w:rPr>
                <w:noProof/>
                <w:webHidden/>
                <w:sz w:val="24"/>
                <w:szCs w:val="24"/>
              </w:rPr>
              <w:fldChar w:fldCharType="begin"/>
            </w:r>
            <w:r w:rsidRPr="00794B18">
              <w:rPr>
                <w:noProof/>
                <w:webHidden/>
                <w:sz w:val="24"/>
                <w:szCs w:val="24"/>
              </w:rPr>
              <w:instrText xml:space="preserve"> PAGEREF _Toc214028723 \h </w:instrText>
            </w:r>
            <w:r w:rsidRPr="00794B18">
              <w:rPr>
                <w:noProof/>
                <w:webHidden/>
                <w:sz w:val="24"/>
                <w:szCs w:val="24"/>
              </w:rPr>
            </w:r>
            <w:r w:rsidRPr="00794B18">
              <w:rPr>
                <w:noProof/>
                <w:webHidden/>
                <w:sz w:val="24"/>
                <w:szCs w:val="24"/>
              </w:rPr>
              <w:fldChar w:fldCharType="separate"/>
            </w:r>
            <w:r w:rsidRPr="00794B18">
              <w:rPr>
                <w:noProof/>
                <w:webHidden/>
                <w:sz w:val="24"/>
                <w:szCs w:val="24"/>
              </w:rPr>
              <w:t>13</w:t>
            </w:r>
            <w:r w:rsidRPr="00794B18">
              <w:rPr>
                <w:noProof/>
                <w:webHidden/>
                <w:sz w:val="24"/>
                <w:szCs w:val="24"/>
              </w:rPr>
              <w:fldChar w:fldCharType="end"/>
            </w:r>
          </w:hyperlink>
        </w:p>
        <w:p w14:paraId="18658E95" w14:textId="12CF0CD2" w:rsidR="00E01473" w:rsidRPr="00794B18" w:rsidRDefault="00D367EC" w:rsidP="003117DC">
          <w:pPr>
            <w:spacing w:line="360" w:lineRule="auto"/>
            <w:jc w:val="both"/>
            <w:rPr>
              <w:rFonts w:eastAsia="Times New Roman"/>
            </w:rPr>
          </w:pPr>
          <w:r w:rsidRPr="00794B18">
            <w:rPr>
              <w:sz w:val="24"/>
              <w:szCs w:val="24"/>
            </w:rPr>
            <w:fldChar w:fldCharType="end"/>
          </w:r>
        </w:p>
      </w:sdtContent>
    </w:sdt>
    <w:p w14:paraId="0B1BA3C1" w14:textId="77777777" w:rsidR="00E01473" w:rsidRPr="00794B18" w:rsidRDefault="00E01473" w:rsidP="00DC2ADC">
      <w:pPr>
        <w:pBdr>
          <w:top w:val="nil"/>
          <w:left w:val="nil"/>
          <w:bottom w:val="nil"/>
          <w:right w:val="nil"/>
          <w:between w:val="nil"/>
        </w:pBdr>
        <w:spacing w:line="360" w:lineRule="auto"/>
        <w:jc w:val="both"/>
        <w:rPr>
          <w:rFonts w:eastAsia="Times New Roman"/>
          <w:b/>
          <w:bCs/>
          <w:sz w:val="26"/>
          <w:szCs w:val="26"/>
          <w:highlight w:val="white"/>
        </w:rPr>
      </w:pPr>
    </w:p>
    <w:p w14:paraId="3E65CA60" w14:textId="77777777" w:rsidR="00E01473" w:rsidRPr="00794B18" w:rsidRDefault="00E01473" w:rsidP="00DC2ADC">
      <w:pPr>
        <w:pBdr>
          <w:top w:val="nil"/>
          <w:left w:val="nil"/>
          <w:bottom w:val="nil"/>
          <w:right w:val="nil"/>
          <w:between w:val="nil"/>
        </w:pBdr>
        <w:spacing w:line="360" w:lineRule="auto"/>
        <w:jc w:val="both"/>
        <w:rPr>
          <w:rFonts w:eastAsia="Times New Roman"/>
          <w:b/>
          <w:bCs/>
          <w:sz w:val="24"/>
          <w:szCs w:val="24"/>
          <w:highlight w:val="white"/>
        </w:rPr>
      </w:pPr>
    </w:p>
    <w:p w14:paraId="6211A59B" w14:textId="77777777" w:rsidR="00E01473" w:rsidRPr="00794B18" w:rsidRDefault="00E01473" w:rsidP="00DC2ADC">
      <w:pPr>
        <w:pBdr>
          <w:top w:val="nil"/>
          <w:left w:val="nil"/>
          <w:bottom w:val="nil"/>
          <w:right w:val="nil"/>
          <w:between w:val="nil"/>
        </w:pBdr>
        <w:spacing w:line="360" w:lineRule="auto"/>
        <w:jc w:val="both"/>
        <w:rPr>
          <w:rFonts w:eastAsia="Times New Roman"/>
          <w:b/>
          <w:bCs/>
          <w:sz w:val="24"/>
          <w:szCs w:val="24"/>
          <w:highlight w:val="white"/>
        </w:rPr>
      </w:pPr>
    </w:p>
    <w:p w14:paraId="5A0B1841" w14:textId="77777777" w:rsidR="00E01473" w:rsidRPr="00794B18" w:rsidRDefault="00D367EC" w:rsidP="00DC2ADC">
      <w:pPr>
        <w:spacing w:line="360" w:lineRule="auto"/>
        <w:jc w:val="both"/>
        <w:rPr>
          <w:rFonts w:eastAsia="Times New Roman"/>
          <w:b/>
          <w:bCs/>
          <w:sz w:val="28"/>
          <w:szCs w:val="28"/>
        </w:rPr>
      </w:pPr>
      <w:bookmarkStart w:id="0" w:name="_heading=h.txe2inc9pydv" w:colFirst="0" w:colLast="0"/>
      <w:bookmarkEnd w:id="0"/>
      <w:r w:rsidRPr="00794B18">
        <w:br w:type="page"/>
      </w:r>
    </w:p>
    <w:p w14:paraId="76AE537F" w14:textId="77777777" w:rsidR="00E01473" w:rsidRPr="00794B18" w:rsidRDefault="00D367EC" w:rsidP="00DC2ADC">
      <w:pPr>
        <w:pStyle w:val="Heading1"/>
        <w:rPr>
          <w:rFonts w:ascii="Arial" w:hAnsi="Arial" w:cs="Arial"/>
          <w:color w:val="000000" w:themeColor="text1"/>
        </w:rPr>
      </w:pPr>
      <w:bookmarkStart w:id="1" w:name="_Toc214028718"/>
      <w:r w:rsidRPr="00794B18">
        <w:rPr>
          <w:rFonts w:ascii="Arial" w:hAnsi="Arial" w:cs="Arial"/>
          <w:color w:val="000000" w:themeColor="text1"/>
        </w:rPr>
        <w:lastRenderedPageBreak/>
        <w:t>1. Introduction</w:t>
      </w:r>
      <w:bookmarkEnd w:id="1"/>
    </w:p>
    <w:p w14:paraId="18C61FD5" w14:textId="77777777" w:rsidR="00E01473" w:rsidRPr="00794B18" w:rsidRDefault="00D367EC" w:rsidP="00DC2ADC">
      <w:pPr>
        <w:pBdr>
          <w:top w:val="nil"/>
          <w:left w:val="nil"/>
          <w:bottom w:val="nil"/>
          <w:right w:val="nil"/>
          <w:between w:val="nil"/>
        </w:pBdr>
        <w:spacing w:before="120" w:after="120" w:line="360" w:lineRule="auto"/>
        <w:jc w:val="both"/>
        <w:rPr>
          <w:rFonts w:eastAsia="Times New Roman"/>
          <w:b/>
          <w:bCs/>
          <w:color w:val="000000" w:themeColor="text1"/>
          <w:sz w:val="24"/>
          <w:szCs w:val="24"/>
          <w:highlight w:val="white"/>
        </w:rPr>
      </w:pPr>
      <w:r w:rsidRPr="00794B18">
        <w:rPr>
          <w:rFonts w:eastAsia="Times New Roman"/>
          <w:b/>
          <w:bCs/>
          <w:color w:val="000000" w:themeColor="text1"/>
          <w:sz w:val="24"/>
          <w:szCs w:val="24"/>
          <w:highlight w:val="white"/>
        </w:rPr>
        <w:t>Study Background</w:t>
      </w:r>
    </w:p>
    <w:p w14:paraId="03BFE90D" w14:textId="77777777" w:rsidR="00E01473" w:rsidRPr="00794B18" w:rsidRDefault="00D367EC" w:rsidP="00DC2ADC">
      <w:pPr>
        <w:pBdr>
          <w:top w:val="nil"/>
          <w:left w:val="nil"/>
          <w:bottom w:val="nil"/>
          <w:right w:val="nil"/>
          <w:between w:val="nil"/>
        </w:pBdr>
        <w:spacing w:before="120" w:after="120" w:line="360" w:lineRule="auto"/>
        <w:jc w:val="both"/>
        <w:rPr>
          <w:rFonts w:eastAsia="Times New Roman"/>
          <w:color w:val="000000" w:themeColor="text1"/>
          <w:sz w:val="24"/>
          <w:szCs w:val="24"/>
          <w:highlight w:val="white"/>
        </w:rPr>
      </w:pPr>
      <w:r w:rsidRPr="00794B18">
        <w:rPr>
          <w:rFonts w:eastAsia="Times New Roman"/>
          <w:color w:val="000000" w:themeColor="text1"/>
          <w:sz w:val="24"/>
          <w:szCs w:val="24"/>
          <w:highlight w:val="white"/>
        </w:rPr>
        <w:t>The global manufacturing industry has undergone a profound transformation after the COVID-19 pandemic. Although this pandemic has not only interrupted supply chains but also revealed vulnerabilities such as supply chain reshoring, protectionism, and trade barrier escalation. Referring to the manufacturing sector of the United Kingdom (UK), there is a rapid growth of structural upheaval from Brexit (Leruth and Taylor-Gooby, 2021), where it has found itself in navigating complex global trade environments. In the part of post-Covid recovery, many countries have also been found to develop trade barriers through tariffs and non- tariffs measurements, export restrictions, and localisation requirements. Considering the case study of the UK, the manufacturing sector is considered a critical component of its economy. As per 2022 data, the UK manufacturing sector is supporting about 2.6 million jobs (oxfordeconomics.com, 2024). This manufacturing sector accounts for about 10% gross value added (GVA) where the goods export has been stark. In the data of 2024, the manufacturing exports decreased by up to 15% which shows a shift towards service-dominated export and approximately two-thirds down from the year 2000 (globalindiannetwork.com, 2024).</w:t>
      </w:r>
    </w:p>
    <w:p w14:paraId="745C53D0" w14:textId="77777777" w:rsidR="00E01473" w:rsidRPr="00794B18" w:rsidRDefault="00D367EC" w:rsidP="003117DC">
      <w:pPr>
        <w:pBdr>
          <w:top w:val="nil"/>
          <w:left w:val="nil"/>
          <w:bottom w:val="nil"/>
          <w:right w:val="nil"/>
          <w:between w:val="nil"/>
        </w:pBdr>
        <w:spacing w:before="120" w:after="120" w:line="360" w:lineRule="auto"/>
        <w:jc w:val="center"/>
        <w:rPr>
          <w:rFonts w:eastAsia="Times New Roman"/>
          <w:color w:val="000000" w:themeColor="text1"/>
          <w:sz w:val="24"/>
          <w:szCs w:val="24"/>
          <w:highlight w:val="white"/>
        </w:rPr>
      </w:pPr>
      <w:r w:rsidRPr="00794B18">
        <w:rPr>
          <w:rFonts w:eastAsia="Times New Roman"/>
          <w:noProof/>
          <w:color w:val="000000" w:themeColor="text1"/>
          <w:sz w:val="24"/>
          <w:szCs w:val="24"/>
          <w:highlight w:val="white"/>
        </w:rPr>
        <w:drawing>
          <wp:inline distT="114300" distB="114300" distL="114300" distR="114300" wp14:anchorId="491A754A" wp14:editId="1712759F">
            <wp:extent cx="5568950" cy="2968625"/>
            <wp:effectExtent l="12700" t="12700" r="12700" b="12700"/>
            <wp:docPr id="206609589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568950" cy="2968625"/>
                    </a:xfrm>
                    <a:prstGeom prst="rect">
                      <a:avLst/>
                    </a:prstGeom>
                    <a:ln w="12700">
                      <a:solidFill>
                        <a:srgbClr val="000000"/>
                      </a:solidFill>
                      <a:prstDash val="solid"/>
                    </a:ln>
                  </pic:spPr>
                </pic:pic>
              </a:graphicData>
            </a:graphic>
          </wp:inline>
        </w:drawing>
      </w:r>
    </w:p>
    <w:p w14:paraId="15084654" w14:textId="77777777" w:rsidR="00E01473" w:rsidRPr="00794B18" w:rsidRDefault="00D367EC" w:rsidP="003117DC">
      <w:pPr>
        <w:pBdr>
          <w:top w:val="nil"/>
          <w:left w:val="nil"/>
          <w:bottom w:val="nil"/>
          <w:right w:val="nil"/>
          <w:between w:val="nil"/>
        </w:pBdr>
        <w:spacing w:before="120" w:after="120" w:line="360" w:lineRule="auto"/>
        <w:jc w:val="center"/>
        <w:rPr>
          <w:rFonts w:eastAsia="Times New Roman"/>
          <w:b/>
          <w:bCs/>
          <w:color w:val="000000" w:themeColor="text1"/>
          <w:sz w:val="24"/>
          <w:szCs w:val="24"/>
          <w:highlight w:val="white"/>
        </w:rPr>
      </w:pPr>
      <w:r w:rsidRPr="00794B18">
        <w:rPr>
          <w:rFonts w:eastAsia="Times New Roman"/>
          <w:b/>
          <w:bCs/>
          <w:color w:val="000000" w:themeColor="text1"/>
          <w:sz w:val="24"/>
          <w:szCs w:val="24"/>
          <w:highlight w:val="white"/>
        </w:rPr>
        <w:t>Figure 1: Export of Goods and Service in UK manufacturing sector</w:t>
      </w:r>
    </w:p>
    <w:p w14:paraId="797ED06A" w14:textId="77777777" w:rsidR="00E01473" w:rsidRPr="00794B18" w:rsidRDefault="00D367EC" w:rsidP="003117DC">
      <w:pPr>
        <w:pBdr>
          <w:top w:val="nil"/>
          <w:left w:val="nil"/>
          <w:bottom w:val="nil"/>
          <w:right w:val="nil"/>
          <w:between w:val="nil"/>
        </w:pBdr>
        <w:spacing w:before="120" w:after="120" w:line="360" w:lineRule="auto"/>
        <w:jc w:val="center"/>
        <w:rPr>
          <w:rFonts w:eastAsia="Times New Roman"/>
          <w:color w:val="000000" w:themeColor="text1"/>
          <w:sz w:val="24"/>
          <w:szCs w:val="24"/>
          <w:highlight w:val="white"/>
        </w:rPr>
      </w:pPr>
      <w:r w:rsidRPr="00794B18">
        <w:rPr>
          <w:rFonts w:eastAsia="Times New Roman"/>
          <w:color w:val="000000" w:themeColor="text1"/>
          <w:sz w:val="24"/>
          <w:szCs w:val="24"/>
          <w:highlight w:val="white"/>
        </w:rPr>
        <w:lastRenderedPageBreak/>
        <w:t>(Source: globalindiannetwork.com, 2024)</w:t>
      </w:r>
    </w:p>
    <w:p w14:paraId="110E72CA" w14:textId="77777777" w:rsidR="00E01473" w:rsidRPr="00794B18" w:rsidRDefault="00D367EC" w:rsidP="00DC2ADC">
      <w:pPr>
        <w:pBdr>
          <w:top w:val="nil"/>
          <w:left w:val="nil"/>
          <w:bottom w:val="nil"/>
          <w:right w:val="nil"/>
          <w:between w:val="nil"/>
        </w:pBdr>
        <w:spacing w:before="120" w:after="120" w:line="360" w:lineRule="auto"/>
        <w:jc w:val="both"/>
        <w:rPr>
          <w:rFonts w:eastAsia="Times New Roman"/>
          <w:b/>
          <w:bCs/>
          <w:color w:val="000000" w:themeColor="text1"/>
          <w:sz w:val="24"/>
          <w:szCs w:val="24"/>
          <w:highlight w:val="white"/>
        </w:rPr>
      </w:pPr>
      <w:r w:rsidRPr="00794B18">
        <w:rPr>
          <w:rFonts w:eastAsia="Times New Roman"/>
          <w:b/>
          <w:bCs/>
          <w:color w:val="000000" w:themeColor="text1"/>
          <w:sz w:val="24"/>
          <w:szCs w:val="24"/>
          <w:highlight w:val="white"/>
        </w:rPr>
        <w:t>Problem identification</w:t>
      </w:r>
    </w:p>
    <w:p w14:paraId="725661A8" w14:textId="77777777" w:rsidR="00E01473" w:rsidRPr="00794B18" w:rsidRDefault="00D367EC" w:rsidP="00DC2ADC">
      <w:pPr>
        <w:pBdr>
          <w:top w:val="nil"/>
          <w:left w:val="nil"/>
          <w:bottom w:val="nil"/>
          <w:right w:val="nil"/>
          <w:between w:val="nil"/>
        </w:pBdr>
        <w:spacing w:before="120" w:after="120" w:line="360" w:lineRule="auto"/>
        <w:jc w:val="both"/>
        <w:rPr>
          <w:rFonts w:eastAsia="Times New Roman"/>
          <w:color w:val="000000" w:themeColor="text1"/>
          <w:sz w:val="24"/>
          <w:szCs w:val="24"/>
          <w:highlight w:val="white"/>
        </w:rPr>
      </w:pPr>
      <w:r w:rsidRPr="00794B18">
        <w:rPr>
          <w:rFonts w:eastAsia="Times New Roman"/>
          <w:color w:val="000000" w:themeColor="text1"/>
          <w:sz w:val="24"/>
          <w:szCs w:val="24"/>
          <w:highlight w:val="white"/>
        </w:rPr>
        <w:t>Within the UK manufacturing sector, the key problem is attributed as misalignment in between raised trade barriers and global strategic ambitions of firms. Globalisation once offered UK manufacturers access to larger export markets, low cost inputs, and integrated supply networks while this pandemic shows the fragility of long value chains. But now, UK manufacturers have been found dealing with increased tariffs along with customs and origin rules in the post-Brexit era. Exemplifying this, due to US-imposed tariffs, UK exports may lower the country’s GDP by about 0.8% in 2025 (kpmg.com, 2025). Compared with the previous month, UK goods exports decreased to £2.7 billion in April 2025 (ons.gov.uk, 2025). The UK manufacturers have been facing challenges in global strategies intensified by post-COVID and post-Brexit circumstances, which have mainly been manifested in interrupted supply chains and increased tariff regimes. Heightened customs protocols, extended lead times of deliveries and compliance of origin has undermined the capacity of firms to maintain lean globalization. Increased tariffs on both exports and imports have also diminished cost leaderships and firms have been compelled to re-evaluate production and sourcing methods. Such shocks have led to strategic changes in the form of regionalisation of supply bases, investing in automating, and refreezing trade alliances. Therefore, the challenge of competitiveness on the international scale and the adjustment of global strategies to fragmented trade and supply chain facts are a twofold challenge facing the UK manufacturers.</w:t>
      </w:r>
    </w:p>
    <w:p w14:paraId="76ED65A9" w14:textId="77777777" w:rsidR="00E01473" w:rsidRPr="00794B18" w:rsidRDefault="00E01473" w:rsidP="00DC2ADC">
      <w:pPr>
        <w:pBdr>
          <w:top w:val="nil"/>
          <w:left w:val="nil"/>
          <w:bottom w:val="nil"/>
          <w:right w:val="nil"/>
          <w:between w:val="nil"/>
        </w:pBdr>
        <w:spacing w:before="120" w:after="120" w:line="360" w:lineRule="auto"/>
        <w:jc w:val="both"/>
        <w:rPr>
          <w:rFonts w:eastAsia="Times New Roman"/>
          <w:color w:val="000000" w:themeColor="text1"/>
          <w:sz w:val="24"/>
          <w:szCs w:val="24"/>
          <w:highlight w:val="white"/>
        </w:rPr>
      </w:pPr>
    </w:p>
    <w:p w14:paraId="0C61F983" w14:textId="77777777" w:rsidR="00E01473" w:rsidRPr="00794B18" w:rsidRDefault="00D367EC" w:rsidP="003117DC">
      <w:pPr>
        <w:pBdr>
          <w:top w:val="nil"/>
          <w:left w:val="nil"/>
          <w:bottom w:val="nil"/>
          <w:right w:val="nil"/>
          <w:between w:val="nil"/>
        </w:pBdr>
        <w:spacing w:before="120" w:after="120" w:line="360" w:lineRule="auto"/>
        <w:jc w:val="center"/>
        <w:rPr>
          <w:rFonts w:eastAsia="Times New Roman"/>
          <w:color w:val="000000" w:themeColor="text1"/>
          <w:sz w:val="24"/>
          <w:szCs w:val="24"/>
          <w:highlight w:val="white"/>
        </w:rPr>
      </w:pPr>
      <w:r w:rsidRPr="00794B18">
        <w:rPr>
          <w:rFonts w:eastAsia="Times New Roman"/>
          <w:noProof/>
          <w:color w:val="000000" w:themeColor="text1"/>
          <w:sz w:val="24"/>
          <w:szCs w:val="24"/>
          <w:highlight w:val="white"/>
        </w:rPr>
        <w:lastRenderedPageBreak/>
        <w:drawing>
          <wp:inline distT="114300" distB="114300" distL="114300" distR="114300" wp14:anchorId="3A371128" wp14:editId="6D99EE71">
            <wp:extent cx="4854901" cy="3597517"/>
            <wp:effectExtent l="12700" t="12700" r="12700" b="12700"/>
            <wp:docPr id="206609589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854901" cy="3597517"/>
                    </a:xfrm>
                    <a:prstGeom prst="rect">
                      <a:avLst/>
                    </a:prstGeom>
                    <a:ln w="12700">
                      <a:solidFill>
                        <a:srgbClr val="000000"/>
                      </a:solidFill>
                      <a:prstDash val="solid"/>
                    </a:ln>
                  </pic:spPr>
                </pic:pic>
              </a:graphicData>
            </a:graphic>
          </wp:inline>
        </w:drawing>
      </w:r>
    </w:p>
    <w:p w14:paraId="25ADC679" w14:textId="77777777" w:rsidR="00E01473" w:rsidRPr="00794B18" w:rsidRDefault="00D367EC" w:rsidP="003117DC">
      <w:pPr>
        <w:pBdr>
          <w:top w:val="nil"/>
          <w:left w:val="nil"/>
          <w:bottom w:val="nil"/>
          <w:right w:val="nil"/>
          <w:between w:val="nil"/>
        </w:pBdr>
        <w:spacing w:before="120" w:after="120" w:line="360" w:lineRule="auto"/>
        <w:jc w:val="center"/>
        <w:rPr>
          <w:rFonts w:eastAsia="Times New Roman"/>
          <w:b/>
          <w:bCs/>
          <w:color w:val="000000" w:themeColor="text1"/>
        </w:rPr>
      </w:pPr>
      <w:r w:rsidRPr="00794B18">
        <w:rPr>
          <w:rFonts w:eastAsia="Times New Roman"/>
          <w:b/>
          <w:bCs/>
          <w:color w:val="000000" w:themeColor="text1"/>
          <w:sz w:val="24"/>
          <w:szCs w:val="24"/>
          <w:highlight w:val="white"/>
        </w:rPr>
        <w:t>Figure 2: EU and non-EU goods imports and exports in UK</w:t>
      </w:r>
    </w:p>
    <w:p w14:paraId="16A3C60F" w14:textId="77777777" w:rsidR="00E01473" w:rsidRPr="00794B18" w:rsidRDefault="00D367EC" w:rsidP="003117DC">
      <w:pPr>
        <w:pBdr>
          <w:top w:val="nil"/>
          <w:left w:val="nil"/>
          <w:bottom w:val="nil"/>
          <w:right w:val="nil"/>
          <w:between w:val="nil"/>
        </w:pBdr>
        <w:spacing w:before="120" w:after="120" w:line="360" w:lineRule="auto"/>
        <w:jc w:val="center"/>
        <w:rPr>
          <w:rFonts w:eastAsia="Times New Roman"/>
          <w:color w:val="000000" w:themeColor="text1"/>
          <w:sz w:val="24"/>
          <w:szCs w:val="24"/>
          <w:highlight w:val="white"/>
        </w:rPr>
      </w:pPr>
      <w:r w:rsidRPr="00794B18">
        <w:rPr>
          <w:rFonts w:eastAsia="Times New Roman"/>
          <w:color w:val="000000" w:themeColor="text1"/>
          <w:sz w:val="24"/>
          <w:szCs w:val="24"/>
          <w:highlight w:val="white"/>
        </w:rPr>
        <w:t>(Source: ons.gov.uk, 2025)</w:t>
      </w:r>
    </w:p>
    <w:p w14:paraId="23F1E679" w14:textId="77777777" w:rsidR="00E01473" w:rsidRPr="00794B18" w:rsidRDefault="00D367EC" w:rsidP="00DC2ADC">
      <w:pPr>
        <w:pBdr>
          <w:top w:val="nil"/>
          <w:left w:val="nil"/>
          <w:bottom w:val="nil"/>
          <w:right w:val="nil"/>
          <w:between w:val="nil"/>
        </w:pBdr>
        <w:spacing w:before="120" w:after="120" w:line="360" w:lineRule="auto"/>
        <w:jc w:val="both"/>
        <w:rPr>
          <w:rFonts w:eastAsia="Times New Roman"/>
          <w:color w:val="000000" w:themeColor="text1"/>
          <w:sz w:val="24"/>
          <w:szCs w:val="24"/>
          <w:highlight w:val="white"/>
        </w:rPr>
      </w:pPr>
      <w:r w:rsidRPr="00794B18">
        <w:rPr>
          <w:rFonts w:eastAsia="Times New Roman"/>
          <w:color w:val="000000" w:themeColor="text1"/>
          <w:sz w:val="24"/>
          <w:szCs w:val="24"/>
          <w:highlight w:val="white"/>
        </w:rPr>
        <w:t>This fall in exports has been found in both non-EU and EU markets. These results into creating global competitiveness, raising cost pressures, and reducing market share. Here, the traditional strength of the UK manufacturing sector has been found in engineering and high-value goods (Okorie et al., 2021), where this limited global reach has made it less capable of doing international business. Therefore, the problem goes beyond temporary disruptions but also structural. This is also combined with rising trade barriers and supply chain fragility in post-COVID times, which threaten internalisation at the global business strategy of UK manufacturers.</w:t>
      </w:r>
    </w:p>
    <w:p w14:paraId="12236C34" w14:textId="77777777" w:rsidR="00E01473" w:rsidRPr="00794B18" w:rsidRDefault="00D367EC" w:rsidP="00DC2ADC">
      <w:pPr>
        <w:pBdr>
          <w:top w:val="nil"/>
          <w:left w:val="nil"/>
          <w:bottom w:val="nil"/>
          <w:right w:val="nil"/>
          <w:between w:val="nil"/>
        </w:pBdr>
        <w:spacing w:before="120" w:after="120" w:line="360" w:lineRule="auto"/>
        <w:jc w:val="both"/>
        <w:rPr>
          <w:rFonts w:eastAsia="Times New Roman"/>
          <w:b/>
          <w:bCs/>
          <w:color w:val="000000" w:themeColor="text1"/>
          <w:sz w:val="24"/>
          <w:szCs w:val="24"/>
          <w:highlight w:val="white"/>
        </w:rPr>
      </w:pPr>
      <w:r w:rsidRPr="00794B18">
        <w:rPr>
          <w:rFonts w:eastAsia="Times New Roman"/>
          <w:b/>
          <w:bCs/>
          <w:color w:val="000000" w:themeColor="text1"/>
          <w:sz w:val="24"/>
          <w:szCs w:val="24"/>
          <w:highlight w:val="white"/>
        </w:rPr>
        <w:t>Research aim and objectives</w:t>
      </w:r>
    </w:p>
    <w:p w14:paraId="73FABBDD" w14:textId="77777777" w:rsidR="00E01473" w:rsidRPr="00794B18" w:rsidRDefault="00D367EC" w:rsidP="00DC2ADC">
      <w:pPr>
        <w:pBdr>
          <w:top w:val="nil"/>
          <w:left w:val="nil"/>
          <w:bottom w:val="nil"/>
          <w:right w:val="nil"/>
          <w:between w:val="nil"/>
        </w:pBdr>
        <w:spacing w:before="120" w:after="120" w:line="360" w:lineRule="auto"/>
        <w:jc w:val="both"/>
        <w:rPr>
          <w:rFonts w:eastAsia="Times New Roman"/>
          <w:color w:val="000000" w:themeColor="text1"/>
          <w:sz w:val="24"/>
          <w:szCs w:val="24"/>
          <w:highlight w:val="white"/>
        </w:rPr>
      </w:pPr>
      <w:r w:rsidRPr="00794B18">
        <w:rPr>
          <w:rFonts w:eastAsia="Times New Roman"/>
          <w:color w:val="000000" w:themeColor="text1"/>
          <w:sz w:val="24"/>
          <w:szCs w:val="24"/>
          <w:highlight w:val="white"/>
        </w:rPr>
        <w:t>The aim of this research study is to analyse how post-COVID trade barriers and protectionist policies influence the internationalisation decisions and global strategic adaptations of firms within the UK automotive manufacturing sector.</w:t>
      </w:r>
    </w:p>
    <w:p w14:paraId="4BCF8734" w14:textId="77777777" w:rsidR="00794B18" w:rsidRPr="00794B18" w:rsidRDefault="00794B18" w:rsidP="00DC2ADC">
      <w:pPr>
        <w:pBdr>
          <w:top w:val="nil"/>
          <w:left w:val="nil"/>
          <w:bottom w:val="nil"/>
          <w:right w:val="nil"/>
          <w:between w:val="nil"/>
        </w:pBdr>
        <w:spacing w:before="120" w:after="120" w:line="360" w:lineRule="auto"/>
        <w:jc w:val="both"/>
        <w:rPr>
          <w:rFonts w:eastAsia="Times New Roman"/>
          <w:color w:val="000000" w:themeColor="text1"/>
          <w:sz w:val="24"/>
          <w:szCs w:val="24"/>
          <w:highlight w:val="white"/>
        </w:rPr>
      </w:pPr>
    </w:p>
    <w:p w14:paraId="7505F73B" w14:textId="77777777" w:rsidR="00E01473" w:rsidRPr="00794B18" w:rsidRDefault="00D367EC" w:rsidP="00DC2ADC">
      <w:pPr>
        <w:pBdr>
          <w:top w:val="nil"/>
          <w:left w:val="nil"/>
          <w:bottom w:val="nil"/>
          <w:right w:val="nil"/>
          <w:between w:val="nil"/>
        </w:pBdr>
        <w:spacing w:before="120" w:after="120" w:line="360" w:lineRule="auto"/>
        <w:jc w:val="both"/>
        <w:rPr>
          <w:rFonts w:eastAsia="Times New Roman"/>
          <w:color w:val="000000" w:themeColor="text1"/>
          <w:sz w:val="24"/>
          <w:szCs w:val="24"/>
          <w:highlight w:val="white"/>
        </w:rPr>
      </w:pPr>
      <w:r w:rsidRPr="00794B18">
        <w:rPr>
          <w:rFonts w:eastAsia="Times New Roman"/>
          <w:color w:val="000000" w:themeColor="text1"/>
          <w:sz w:val="24"/>
          <w:szCs w:val="24"/>
          <w:highlight w:val="white"/>
        </w:rPr>
        <w:lastRenderedPageBreak/>
        <w:t>Referring to this, the research objectives are as follows -</w:t>
      </w:r>
    </w:p>
    <w:p w14:paraId="00EA8CA5" w14:textId="77777777" w:rsidR="00E01473" w:rsidRPr="00794B18" w:rsidRDefault="00D367EC" w:rsidP="00DC2ADC">
      <w:pPr>
        <w:numPr>
          <w:ilvl w:val="0"/>
          <w:numId w:val="2"/>
        </w:numPr>
        <w:spacing w:line="360" w:lineRule="auto"/>
        <w:jc w:val="both"/>
        <w:rPr>
          <w:rFonts w:eastAsia="Times New Roman"/>
          <w:color w:val="000000" w:themeColor="text1"/>
          <w:sz w:val="24"/>
          <w:szCs w:val="24"/>
          <w:highlight w:val="white"/>
        </w:rPr>
      </w:pPr>
      <w:r w:rsidRPr="00794B18">
        <w:rPr>
          <w:rFonts w:eastAsia="Times New Roman"/>
          <w:color w:val="000000" w:themeColor="text1"/>
          <w:sz w:val="24"/>
          <w:szCs w:val="24"/>
          <w:highlight w:val="white"/>
        </w:rPr>
        <w:t>To identify key post-COVID trade barriers affecting the UK automotive manufacturing sector.</w:t>
      </w:r>
    </w:p>
    <w:p w14:paraId="4122534F" w14:textId="77777777" w:rsidR="00E01473" w:rsidRPr="00794B18" w:rsidRDefault="00D367EC" w:rsidP="00DC2ADC">
      <w:pPr>
        <w:numPr>
          <w:ilvl w:val="0"/>
          <w:numId w:val="2"/>
        </w:numPr>
        <w:spacing w:line="360" w:lineRule="auto"/>
        <w:jc w:val="both"/>
        <w:rPr>
          <w:rFonts w:eastAsia="Times New Roman"/>
          <w:color w:val="000000" w:themeColor="text1"/>
          <w:sz w:val="24"/>
          <w:szCs w:val="24"/>
          <w:highlight w:val="white"/>
        </w:rPr>
      </w:pPr>
      <w:r w:rsidRPr="00794B18">
        <w:rPr>
          <w:rFonts w:eastAsia="Times New Roman"/>
          <w:color w:val="000000" w:themeColor="text1"/>
          <w:sz w:val="24"/>
          <w:szCs w:val="24"/>
          <w:highlight w:val="white"/>
        </w:rPr>
        <w:t>To examine how these trade barriers influence firms’ internationalisation decisions and global strategic responses.</w:t>
      </w:r>
    </w:p>
    <w:p w14:paraId="5CE2CE79" w14:textId="77777777" w:rsidR="00E01473" w:rsidRPr="00794B18" w:rsidRDefault="00D367EC" w:rsidP="00DC2ADC">
      <w:pPr>
        <w:numPr>
          <w:ilvl w:val="0"/>
          <w:numId w:val="2"/>
        </w:numPr>
        <w:spacing w:line="360" w:lineRule="auto"/>
        <w:jc w:val="both"/>
        <w:rPr>
          <w:rFonts w:eastAsia="Times New Roman"/>
          <w:color w:val="000000" w:themeColor="text1"/>
          <w:sz w:val="24"/>
          <w:szCs w:val="24"/>
          <w:highlight w:val="white"/>
        </w:rPr>
      </w:pPr>
      <w:r w:rsidRPr="00794B18">
        <w:rPr>
          <w:rFonts w:eastAsia="Times New Roman"/>
          <w:color w:val="000000" w:themeColor="text1"/>
          <w:sz w:val="24"/>
          <w:szCs w:val="24"/>
          <w:highlight w:val="white"/>
        </w:rPr>
        <w:t>To evaluate the impact of market growth constraints on the sector’s global competitiveness.</w:t>
      </w:r>
    </w:p>
    <w:p w14:paraId="0417D5EC" w14:textId="77777777" w:rsidR="00E01473" w:rsidRPr="00794B18" w:rsidRDefault="00D367EC" w:rsidP="00DC2ADC">
      <w:pPr>
        <w:numPr>
          <w:ilvl w:val="0"/>
          <w:numId w:val="2"/>
        </w:numPr>
        <w:spacing w:after="360" w:line="360" w:lineRule="auto"/>
        <w:jc w:val="both"/>
        <w:rPr>
          <w:rFonts w:eastAsia="Times New Roman"/>
          <w:color w:val="000000" w:themeColor="text1"/>
          <w:sz w:val="24"/>
          <w:szCs w:val="24"/>
          <w:highlight w:val="white"/>
        </w:rPr>
      </w:pPr>
      <w:r w:rsidRPr="00794B18">
        <w:rPr>
          <w:rFonts w:eastAsia="Times New Roman"/>
          <w:color w:val="000000" w:themeColor="text1"/>
          <w:sz w:val="24"/>
          <w:szCs w:val="24"/>
          <w:highlight w:val="white"/>
        </w:rPr>
        <w:t>To propose strategic and policy recommendations for supporting international business growth under evolving trade conditions.</w:t>
      </w:r>
    </w:p>
    <w:p w14:paraId="217669AC" w14:textId="77777777" w:rsidR="00E01473" w:rsidRPr="00794B18" w:rsidRDefault="00D367EC" w:rsidP="00DC2ADC">
      <w:pPr>
        <w:spacing w:before="120" w:after="120" w:line="360" w:lineRule="auto"/>
        <w:jc w:val="both"/>
        <w:rPr>
          <w:rFonts w:eastAsia="Times New Roman"/>
          <w:b/>
          <w:bCs/>
          <w:color w:val="000000" w:themeColor="text1"/>
          <w:sz w:val="24"/>
          <w:szCs w:val="24"/>
          <w:highlight w:val="white"/>
        </w:rPr>
      </w:pPr>
      <w:r w:rsidRPr="00794B18">
        <w:rPr>
          <w:rFonts w:eastAsia="Times New Roman"/>
          <w:b/>
          <w:bCs/>
          <w:color w:val="000000" w:themeColor="text1"/>
          <w:sz w:val="24"/>
          <w:szCs w:val="24"/>
          <w:highlight w:val="white"/>
        </w:rPr>
        <w:t>Research Question</w:t>
      </w:r>
    </w:p>
    <w:p w14:paraId="56C0A208" w14:textId="77777777" w:rsidR="00E01473" w:rsidRPr="00794B18" w:rsidRDefault="00D367EC" w:rsidP="00DC2ADC">
      <w:pPr>
        <w:spacing w:before="120" w:after="120" w:line="360" w:lineRule="auto"/>
        <w:jc w:val="both"/>
        <w:rPr>
          <w:rFonts w:eastAsia="Times New Roman"/>
          <w:color w:val="000000" w:themeColor="text1"/>
          <w:sz w:val="24"/>
          <w:szCs w:val="24"/>
          <w:highlight w:val="white"/>
        </w:rPr>
      </w:pPr>
      <w:r w:rsidRPr="00794B18">
        <w:rPr>
          <w:rFonts w:eastAsia="Times New Roman"/>
          <w:color w:val="000000" w:themeColor="text1"/>
          <w:sz w:val="24"/>
          <w:szCs w:val="24"/>
          <w:highlight w:val="white"/>
        </w:rPr>
        <w:t>Research question is developed as -</w:t>
      </w:r>
    </w:p>
    <w:p w14:paraId="3714EFBD" w14:textId="77777777" w:rsidR="00E01473" w:rsidRPr="00794B18" w:rsidRDefault="00D367EC" w:rsidP="00DC2ADC">
      <w:pPr>
        <w:spacing w:before="120" w:after="120" w:line="360" w:lineRule="auto"/>
        <w:jc w:val="both"/>
        <w:rPr>
          <w:rFonts w:eastAsia="Times New Roman"/>
          <w:color w:val="000000" w:themeColor="text1"/>
          <w:sz w:val="24"/>
          <w:szCs w:val="24"/>
          <w:highlight w:val="white"/>
        </w:rPr>
      </w:pPr>
      <w:r w:rsidRPr="00794B18">
        <w:rPr>
          <w:rFonts w:eastAsia="Times New Roman"/>
          <w:color w:val="000000" w:themeColor="text1"/>
          <w:sz w:val="24"/>
          <w:szCs w:val="24"/>
          <w:highlight w:val="white"/>
        </w:rPr>
        <w:t>How are firms in the UK automotive manufacturing sector adapting their global strategies and internationalisation decisions in response to post-COVID trade barriers and restricted market growth?</w:t>
      </w:r>
    </w:p>
    <w:p w14:paraId="393DEF8A" w14:textId="77777777" w:rsidR="00E01473" w:rsidRPr="00794B18" w:rsidRDefault="00D367EC" w:rsidP="00DC2ADC">
      <w:pPr>
        <w:pBdr>
          <w:top w:val="nil"/>
          <w:left w:val="nil"/>
          <w:bottom w:val="nil"/>
          <w:right w:val="nil"/>
          <w:between w:val="nil"/>
        </w:pBdr>
        <w:spacing w:before="120" w:after="120" w:line="360" w:lineRule="auto"/>
        <w:jc w:val="both"/>
        <w:rPr>
          <w:rFonts w:eastAsia="Times New Roman"/>
          <w:b/>
          <w:bCs/>
          <w:color w:val="000000" w:themeColor="text1"/>
          <w:sz w:val="24"/>
          <w:szCs w:val="24"/>
          <w:highlight w:val="white"/>
        </w:rPr>
      </w:pPr>
      <w:r w:rsidRPr="00794B18">
        <w:rPr>
          <w:rFonts w:eastAsia="Times New Roman"/>
          <w:b/>
          <w:bCs/>
          <w:color w:val="000000" w:themeColor="text1"/>
          <w:sz w:val="24"/>
          <w:szCs w:val="24"/>
          <w:highlight w:val="white"/>
        </w:rPr>
        <w:t>Research rationale</w:t>
      </w:r>
    </w:p>
    <w:p w14:paraId="181B5EB9" w14:textId="77777777" w:rsidR="00E01473" w:rsidRPr="00794B18" w:rsidRDefault="00D367EC" w:rsidP="00DC2ADC">
      <w:pPr>
        <w:pBdr>
          <w:top w:val="nil"/>
          <w:left w:val="nil"/>
          <w:bottom w:val="nil"/>
          <w:right w:val="nil"/>
          <w:between w:val="nil"/>
        </w:pBdr>
        <w:spacing w:before="120" w:after="120" w:line="360" w:lineRule="auto"/>
        <w:jc w:val="both"/>
        <w:rPr>
          <w:rFonts w:eastAsia="Times New Roman"/>
          <w:color w:val="000000" w:themeColor="text1"/>
          <w:sz w:val="24"/>
          <w:szCs w:val="24"/>
          <w:highlight w:val="white"/>
        </w:rPr>
      </w:pPr>
      <w:r w:rsidRPr="00794B18">
        <w:rPr>
          <w:rFonts w:eastAsia="Times New Roman"/>
          <w:color w:val="000000" w:themeColor="text1"/>
          <w:sz w:val="24"/>
          <w:szCs w:val="24"/>
          <w:highlight w:val="white"/>
        </w:rPr>
        <w:t xml:space="preserve">Considering academic perspectives, the study contributes towards evolving literature about de-globalisation and the interplay between international business growth and trade policy. The majority of studies have been focused upon emerging economies, where less attention has been paid over manufacturing first in global economies (Rakshit and Neog, 2022). Here, this study will focus upon contending economic trends of the UK manufacturing sector in post-Brexit, pandemic-situated and protectionist escalation. </w:t>
      </w:r>
    </w:p>
    <w:p w14:paraId="6D0D8DA9" w14:textId="77777777" w:rsidR="00E01473" w:rsidRPr="00794B18" w:rsidRDefault="00D367EC" w:rsidP="00DC2ADC">
      <w:pPr>
        <w:pBdr>
          <w:top w:val="nil"/>
          <w:left w:val="nil"/>
          <w:bottom w:val="nil"/>
          <w:right w:val="nil"/>
          <w:between w:val="nil"/>
        </w:pBdr>
        <w:spacing w:before="120" w:after="120" w:line="360" w:lineRule="auto"/>
        <w:jc w:val="both"/>
        <w:rPr>
          <w:rFonts w:eastAsia="Times New Roman"/>
          <w:color w:val="000000" w:themeColor="text1"/>
          <w:sz w:val="24"/>
          <w:szCs w:val="24"/>
          <w:highlight w:val="white"/>
        </w:rPr>
      </w:pPr>
      <w:r w:rsidRPr="00794B18">
        <w:rPr>
          <w:rFonts w:eastAsia="Times New Roman"/>
          <w:color w:val="000000" w:themeColor="text1"/>
          <w:sz w:val="24"/>
          <w:szCs w:val="24"/>
          <w:highlight w:val="white"/>
        </w:rPr>
        <w:t xml:space="preserve">From a practical perspective, this research study will help manufacturing firms in the UK  in understanding how trade barriers can impact the adoption of global strategy, product localisation, and partner networks. In regard to policymakers, this research will generate a need for an industrial strategy through integrating business support, innovation, and trade policy. In a critical view, the research also acknowledged UK manufacturing has its international linkage and high value-added nature can erode export competitiveness. This also has wider implications for economic resilience and production. Here. This study will </w:t>
      </w:r>
      <w:r w:rsidRPr="00794B18">
        <w:rPr>
          <w:rFonts w:eastAsia="Times New Roman"/>
          <w:color w:val="000000" w:themeColor="text1"/>
          <w:sz w:val="24"/>
          <w:szCs w:val="24"/>
          <w:highlight w:val="white"/>
        </w:rPr>
        <w:lastRenderedPageBreak/>
        <w:t>offer how UK manufacturing forms can address this issue for strategic relevance and policy insights throughout the evolving trade-manufacturing paradigm</w:t>
      </w:r>
    </w:p>
    <w:p w14:paraId="3C007DE9" w14:textId="77777777" w:rsidR="00E01473" w:rsidRPr="00794B18" w:rsidRDefault="00D367EC" w:rsidP="00DC2ADC">
      <w:pPr>
        <w:pStyle w:val="Heading1"/>
        <w:rPr>
          <w:rFonts w:ascii="Arial" w:hAnsi="Arial" w:cs="Arial"/>
          <w:color w:val="000000" w:themeColor="text1"/>
        </w:rPr>
      </w:pPr>
      <w:bookmarkStart w:id="2" w:name="_Toc214028719"/>
      <w:r w:rsidRPr="00794B18">
        <w:rPr>
          <w:rFonts w:ascii="Arial" w:hAnsi="Arial" w:cs="Arial"/>
          <w:color w:val="000000" w:themeColor="text1"/>
        </w:rPr>
        <w:t>2. Literature review</w:t>
      </w:r>
      <w:bookmarkEnd w:id="2"/>
    </w:p>
    <w:p w14:paraId="79EB34AC" w14:textId="77777777" w:rsidR="00E01473" w:rsidRPr="00794B18" w:rsidRDefault="00D367EC" w:rsidP="00DC2ADC">
      <w:pPr>
        <w:pBdr>
          <w:top w:val="nil"/>
          <w:left w:val="nil"/>
          <w:bottom w:val="nil"/>
          <w:right w:val="nil"/>
          <w:between w:val="nil"/>
        </w:pBdr>
        <w:spacing w:before="240" w:after="240" w:line="360" w:lineRule="auto"/>
        <w:jc w:val="both"/>
        <w:rPr>
          <w:rFonts w:eastAsia="Times New Roman"/>
          <w:color w:val="000000" w:themeColor="text1"/>
          <w:sz w:val="24"/>
          <w:szCs w:val="24"/>
        </w:rPr>
      </w:pPr>
      <w:r w:rsidRPr="00794B18">
        <w:rPr>
          <w:rFonts w:eastAsia="Times New Roman"/>
          <w:color w:val="000000" w:themeColor="text1"/>
          <w:sz w:val="24"/>
          <w:szCs w:val="24"/>
        </w:rPr>
        <w:t xml:space="preserve">The COVID-19 shock triggered a fresh series of trade-policy interventions like tariffs, export restrictions and non-tariff measures and the way they reorganized manufacturing trade flows and the strategy of firms. </w:t>
      </w:r>
    </w:p>
    <w:p w14:paraId="4F50B34E" w14:textId="77777777" w:rsidR="00E01473" w:rsidRPr="00794B18" w:rsidRDefault="00D367EC" w:rsidP="00DC2ADC">
      <w:pPr>
        <w:pBdr>
          <w:top w:val="nil"/>
          <w:left w:val="nil"/>
          <w:bottom w:val="nil"/>
          <w:right w:val="nil"/>
          <w:between w:val="nil"/>
        </w:pBdr>
        <w:spacing w:before="240" w:after="240" w:line="360" w:lineRule="auto"/>
        <w:jc w:val="both"/>
        <w:rPr>
          <w:rFonts w:eastAsia="Times New Roman"/>
          <w:b/>
          <w:bCs/>
          <w:i/>
          <w:iCs/>
          <w:color w:val="000000" w:themeColor="text1"/>
          <w:sz w:val="24"/>
          <w:szCs w:val="24"/>
        </w:rPr>
      </w:pPr>
      <w:r w:rsidRPr="00794B18">
        <w:rPr>
          <w:rFonts w:eastAsia="Times New Roman"/>
          <w:b/>
          <w:bCs/>
          <w:i/>
          <w:iCs/>
          <w:color w:val="000000" w:themeColor="text1"/>
          <w:sz w:val="24"/>
          <w:szCs w:val="24"/>
        </w:rPr>
        <w:t>Trade policy tools</w:t>
      </w:r>
    </w:p>
    <w:p w14:paraId="65FB84E2" w14:textId="77777777" w:rsidR="00E01473" w:rsidRPr="00794B18" w:rsidRDefault="00D367EC" w:rsidP="00DC2ADC">
      <w:pPr>
        <w:pBdr>
          <w:top w:val="nil"/>
          <w:left w:val="nil"/>
          <w:bottom w:val="nil"/>
          <w:right w:val="nil"/>
          <w:between w:val="nil"/>
        </w:pBdr>
        <w:spacing w:before="240" w:after="240" w:line="360" w:lineRule="auto"/>
        <w:jc w:val="both"/>
        <w:rPr>
          <w:rFonts w:eastAsia="Times New Roman"/>
          <w:color w:val="000000" w:themeColor="text1"/>
          <w:sz w:val="24"/>
          <w:szCs w:val="24"/>
        </w:rPr>
      </w:pPr>
      <w:r w:rsidRPr="00794B18">
        <w:rPr>
          <w:rFonts w:eastAsia="Times New Roman"/>
          <w:color w:val="000000" w:themeColor="text1"/>
          <w:sz w:val="24"/>
          <w:szCs w:val="24"/>
        </w:rPr>
        <w:t xml:space="preserve">Trade policy followed closely by Evenett </w:t>
      </w:r>
      <w:r w:rsidRPr="00794B18">
        <w:rPr>
          <w:rFonts w:eastAsia="Times New Roman"/>
          <w:i/>
          <w:iCs/>
          <w:color w:val="000000" w:themeColor="text1"/>
          <w:sz w:val="24"/>
          <w:szCs w:val="24"/>
        </w:rPr>
        <w:t xml:space="preserve">et al., </w:t>
      </w:r>
      <w:r w:rsidRPr="00794B18">
        <w:rPr>
          <w:rFonts w:eastAsia="Times New Roman"/>
          <w:color w:val="000000" w:themeColor="text1"/>
          <w:sz w:val="24"/>
          <w:szCs w:val="24"/>
        </w:rPr>
        <w:t xml:space="preserve">(2022) of the pandemic reveals that in many instances, states enacted temporary export controls and medical or food specific restrictions. It indicated a shift to more intrusive trade tools, which increased the costs to companies active in cross-border production. The timely communication regarding trade policy actions is important to businesses that want to increase production and require procuring inputs to drive that production and to the authority’s assigned authority over purchasing vital suppliers, and policy analysts keen on determining the impact and efficacy of policymaking in line with the pandemic. Others responded to limit exports and liberalize imports to establish changes in their pre-Covid trade policy regime on a long-term basis, others responded on only one dimension, either by reducing trade or liberalizing trade. </w:t>
      </w:r>
    </w:p>
    <w:p w14:paraId="7D25D23A" w14:textId="77777777" w:rsidR="00E01473" w:rsidRPr="00794B18" w:rsidRDefault="00D367EC" w:rsidP="00DC2ADC">
      <w:pPr>
        <w:pBdr>
          <w:top w:val="nil"/>
          <w:left w:val="nil"/>
          <w:bottom w:val="nil"/>
          <w:right w:val="nil"/>
          <w:between w:val="nil"/>
        </w:pBdr>
        <w:spacing w:before="240" w:after="240" w:line="360" w:lineRule="auto"/>
        <w:jc w:val="both"/>
        <w:rPr>
          <w:rFonts w:eastAsia="Times New Roman"/>
          <w:color w:val="000000" w:themeColor="text1"/>
          <w:sz w:val="24"/>
          <w:szCs w:val="24"/>
        </w:rPr>
      </w:pPr>
      <w:r w:rsidRPr="00794B18">
        <w:rPr>
          <w:rFonts w:eastAsia="Times New Roman"/>
          <w:color w:val="000000" w:themeColor="text1"/>
          <w:sz w:val="24"/>
          <w:szCs w:val="24"/>
        </w:rPr>
        <w:t>According to Chen, and Tan, (2024) explains the presence of tariffs and trade policy shocks in a large-scale damping of GVC embeddedness, especially in secondary manufacturing sectors, its implies that tariffs decrease the level of participation in a cross-border production network, as opposed to merely changing final-goods trade.</w:t>
      </w:r>
    </w:p>
    <w:p w14:paraId="2EFEEC23" w14:textId="77777777" w:rsidR="00E01473" w:rsidRPr="00794B18" w:rsidRDefault="00D367EC" w:rsidP="00DC2ADC">
      <w:pPr>
        <w:pBdr>
          <w:top w:val="nil"/>
          <w:left w:val="nil"/>
          <w:bottom w:val="nil"/>
          <w:right w:val="nil"/>
          <w:between w:val="nil"/>
        </w:pBdr>
        <w:spacing w:before="240" w:after="240" w:line="360" w:lineRule="auto"/>
        <w:jc w:val="both"/>
        <w:rPr>
          <w:rFonts w:eastAsia="Times New Roman"/>
          <w:b/>
          <w:bCs/>
          <w:i/>
          <w:iCs/>
          <w:color w:val="000000" w:themeColor="text1"/>
          <w:sz w:val="24"/>
          <w:szCs w:val="24"/>
        </w:rPr>
      </w:pPr>
      <w:r w:rsidRPr="00794B18">
        <w:rPr>
          <w:rFonts w:eastAsia="Times New Roman"/>
          <w:b/>
          <w:bCs/>
          <w:i/>
          <w:iCs/>
          <w:color w:val="000000" w:themeColor="text1"/>
          <w:sz w:val="24"/>
          <w:szCs w:val="24"/>
        </w:rPr>
        <w:t>Global Value Chains (GVCs) and Firm Strategy</w:t>
      </w:r>
    </w:p>
    <w:p w14:paraId="04B5D84E" w14:textId="77777777" w:rsidR="00E01473" w:rsidRPr="00794B18" w:rsidRDefault="00D367EC" w:rsidP="00DC2ADC">
      <w:pPr>
        <w:pBdr>
          <w:top w:val="nil"/>
          <w:left w:val="nil"/>
          <w:bottom w:val="nil"/>
          <w:right w:val="nil"/>
          <w:between w:val="nil"/>
        </w:pBdr>
        <w:spacing w:line="360" w:lineRule="auto"/>
        <w:jc w:val="both"/>
        <w:rPr>
          <w:rFonts w:eastAsia="Times New Roman"/>
          <w:color w:val="000000" w:themeColor="text1"/>
          <w:sz w:val="24"/>
          <w:szCs w:val="24"/>
        </w:rPr>
      </w:pPr>
      <w:r w:rsidRPr="00794B18">
        <w:rPr>
          <w:rFonts w:eastAsia="Times New Roman"/>
          <w:color w:val="000000" w:themeColor="text1"/>
          <w:sz w:val="24"/>
          <w:szCs w:val="24"/>
        </w:rPr>
        <w:t xml:space="preserve">On the other hand, Kersan-Škabić, (2022) approaches the firm-level or internationalisation viewpoint, which states that the pandemic made conversations on de-risking and reshoring more conversations, though they stress the heterogeneity. Bigger and more vertically integrated producers had an easier time restructuring supply, but </w:t>
      </w:r>
      <w:r w:rsidRPr="00794B18">
        <w:rPr>
          <w:rFonts w:eastAsia="Times New Roman"/>
          <w:color w:val="000000" w:themeColor="text1"/>
          <w:sz w:val="24"/>
          <w:szCs w:val="24"/>
        </w:rPr>
        <w:lastRenderedPageBreak/>
        <w:t xml:space="preserve">SMEs were hit by the pandemic with acute disruptions, and in many markets they pulled out. Production along the global value chains (GVCs) and the retrieval of an intermediate product has been hindered by the covid-19 pandemic, leading to losses in most MNCs, thus to decreased global GDP. There was an increase in protectionism in respect to the local supply of medical equipment in trade policy.  In contrast, Zahoor </w:t>
      </w:r>
      <w:r w:rsidRPr="00794B18">
        <w:rPr>
          <w:rFonts w:eastAsia="Times New Roman"/>
          <w:i/>
          <w:iCs/>
          <w:color w:val="000000" w:themeColor="text1"/>
          <w:sz w:val="24"/>
          <w:szCs w:val="24"/>
        </w:rPr>
        <w:t xml:space="preserve">et al., </w:t>
      </w:r>
      <w:r w:rsidRPr="00794B18">
        <w:rPr>
          <w:rFonts w:eastAsia="Times New Roman"/>
          <w:color w:val="000000" w:themeColor="text1"/>
          <w:sz w:val="24"/>
          <w:szCs w:val="24"/>
        </w:rPr>
        <w:t>(2023) who describe the period as one of de-globalization whereby protectionist forces were more institutionalized. This records a continued reorganization of GVCs and finds that policy changes during and after covid-19 have longer lasting consequences to governance and geography of GVCs.</w:t>
      </w:r>
    </w:p>
    <w:p w14:paraId="4F37D6CA" w14:textId="77777777" w:rsidR="00E01473" w:rsidRPr="00794B18" w:rsidRDefault="00D367EC" w:rsidP="00DC2ADC">
      <w:pPr>
        <w:pBdr>
          <w:top w:val="nil"/>
          <w:left w:val="nil"/>
          <w:bottom w:val="nil"/>
          <w:right w:val="nil"/>
          <w:between w:val="nil"/>
        </w:pBdr>
        <w:spacing w:line="360" w:lineRule="auto"/>
        <w:jc w:val="both"/>
        <w:rPr>
          <w:rFonts w:eastAsia="Times New Roman"/>
          <w:b/>
          <w:bCs/>
          <w:i/>
          <w:iCs/>
          <w:color w:val="000000" w:themeColor="text1"/>
          <w:sz w:val="24"/>
          <w:szCs w:val="24"/>
        </w:rPr>
      </w:pPr>
      <w:r w:rsidRPr="00794B18">
        <w:rPr>
          <w:rFonts w:eastAsia="Times New Roman"/>
          <w:b/>
          <w:bCs/>
          <w:i/>
          <w:iCs/>
          <w:color w:val="000000" w:themeColor="text1"/>
          <w:sz w:val="24"/>
          <w:szCs w:val="24"/>
        </w:rPr>
        <w:t>UK manufacturing market</w:t>
      </w:r>
    </w:p>
    <w:p w14:paraId="2C37F4E7" w14:textId="77777777" w:rsidR="00E01473" w:rsidRPr="00794B18" w:rsidRDefault="00D367EC" w:rsidP="00DC2ADC">
      <w:pPr>
        <w:pBdr>
          <w:top w:val="nil"/>
          <w:left w:val="nil"/>
          <w:bottom w:val="nil"/>
          <w:right w:val="nil"/>
          <w:between w:val="nil"/>
        </w:pBdr>
        <w:spacing w:line="360" w:lineRule="auto"/>
        <w:jc w:val="both"/>
        <w:rPr>
          <w:rFonts w:eastAsia="Times New Roman"/>
          <w:color w:val="000000" w:themeColor="text1"/>
          <w:sz w:val="24"/>
          <w:szCs w:val="24"/>
        </w:rPr>
      </w:pPr>
      <w:r w:rsidRPr="00794B18">
        <w:rPr>
          <w:rFonts w:eastAsia="Times New Roman"/>
          <w:color w:val="000000" w:themeColor="text1"/>
          <w:sz w:val="24"/>
          <w:szCs w:val="24"/>
        </w:rPr>
        <w:t xml:space="preserve">The UK-centric manufacturing context Bailey, (2023) concludes that UK advanced manufacturing was subjected to intensified frictions due to pandemic mitigation strategies causing pre-existing high Brexit-related non-tariff barriers to increase. The outcome was that the effects of this were unevenly distributed, with large-scale OEMs bearing the expenses or redressing their logistics structures and small suppliers reducing exports. This is a contrast of UK evidence with cross-country studies indicating some regions were experiencing more intra-regional sourcing as a resilience measure instead of complete reshoring. </w:t>
      </w:r>
    </w:p>
    <w:p w14:paraId="79BAFC82" w14:textId="77777777" w:rsidR="00E01473" w:rsidRPr="00794B18" w:rsidRDefault="00D367EC" w:rsidP="00DC2ADC">
      <w:pPr>
        <w:pBdr>
          <w:top w:val="nil"/>
          <w:left w:val="nil"/>
          <w:bottom w:val="nil"/>
          <w:right w:val="nil"/>
          <w:between w:val="nil"/>
        </w:pBdr>
        <w:spacing w:line="360" w:lineRule="auto"/>
        <w:jc w:val="both"/>
        <w:rPr>
          <w:rFonts w:eastAsia="Times New Roman"/>
          <w:b/>
          <w:bCs/>
          <w:i/>
          <w:iCs/>
          <w:color w:val="000000" w:themeColor="text1"/>
          <w:sz w:val="24"/>
          <w:szCs w:val="24"/>
        </w:rPr>
      </w:pPr>
      <w:r w:rsidRPr="00794B18">
        <w:rPr>
          <w:rFonts w:eastAsia="Times New Roman"/>
          <w:b/>
          <w:bCs/>
          <w:i/>
          <w:iCs/>
          <w:color w:val="000000" w:themeColor="text1"/>
          <w:sz w:val="24"/>
          <w:szCs w:val="24"/>
        </w:rPr>
        <w:t>Transaction Cost Economics (TCE) theory</w:t>
      </w:r>
    </w:p>
    <w:p w14:paraId="15760915" w14:textId="6651F93B" w:rsidR="00E01473" w:rsidRPr="00794B18" w:rsidRDefault="00D367EC" w:rsidP="00DC2ADC">
      <w:pPr>
        <w:pBdr>
          <w:top w:val="nil"/>
          <w:left w:val="nil"/>
          <w:bottom w:val="nil"/>
          <w:right w:val="nil"/>
          <w:between w:val="nil"/>
        </w:pBdr>
        <w:spacing w:line="360" w:lineRule="auto"/>
        <w:jc w:val="both"/>
        <w:rPr>
          <w:rFonts w:eastAsia="Times New Roman"/>
          <w:color w:val="000000" w:themeColor="text1"/>
          <w:sz w:val="24"/>
          <w:szCs w:val="24"/>
        </w:rPr>
      </w:pPr>
      <w:r w:rsidRPr="00794B18">
        <w:rPr>
          <w:rFonts w:eastAsia="Times New Roman"/>
          <w:color w:val="000000" w:themeColor="text1"/>
          <w:sz w:val="24"/>
          <w:szCs w:val="24"/>
        </w:rPr>
        <w:t xml:space="preserve">The theory of Transaction Cost Economics (TCE) is used to </w:t>
      </w:r>
      <w:r w:rsidR="003117DC" w:rsidRPr="00794B18">
        <w:rPr>
          <w:rFonts w:eastAsia="Times New Roman"/>
          <w:color w:val="000000" w:themeColor="text1"/>
          <w:sz w:val="24"/>
          <w:szCs w:val="24"/>
        </w:rPr>
        <w:t>analyse</w:t>
      </w:r>
      <w:r w:rsidRPr="00794B18">
        <w:rPr>
          <w:rFonts w:eastAsia="Times New Roman"/>
          <w:color w:val="000000" w:themeColor="text1"/>
          <w:sz w:val="24"/>
          <w:szCs w:val="24"/>
        </w:rPr>
        <w:t xml:space="preserve"> make-or-buy choices. It suggests that businesses, motivated by opportunism and constrained rationality, select the governance structure—market, hybrid, or hierarchical—that reduces transaction costs. This theory is also known as firm-level expectations, in which cross-border transaction costs are on the increase such as tariffs, border delays, firms internalize activities to reduce ex post hazards or shortening supply chains (Basiru </w:t>
      </w:r>
      <w:r w:rsidRPr="00794B18">
        <w:rPr>
          <w:rFonts w:eastAsia="Times New Roman"/>
          <w:i/>
          <w:iCs/>
          <w:color w:val="000000" w:themeColor="text1"/>
          <w:sz w:val="24"/>
          <w:szCs w:val="24"/>
        </w:rPr>
        <w:t>et al.,</w:t>
      </w:r>
      <w:r w:rsidRPr="00794B18">
        <w:rPr>
          <w:rFonts w:eastAsia="Times New Roman"/>
          <w:color w:val="000000" w:themeColor="text1"/>
          <w:sz w:val="24"/>
          <w:szCs w:val="24"/>
        </w:rPr>
        <w:t xml:space="preserve"> 2023). The management lenses such as the ability to think and act strategically such as the real options and capabilities explain heterogeneity in responses. The companies that have greater absorptive power or logistic capability make investments in flexible contracts and multi-sourcing, and resource constraint companies diminish international activity.  To test the TCE theory, Khorana </w:t>
      </w:r>
      <w:r w:rsidRPr="00794B18">
        <w:rPr>
          <w:rFonts w:eastAsia="Times New Roman"/>
          <w:i/>
          <w:iCs/>
          <w:color w:val="000000" w:themeColor="text1"/>
          <w:sz w:val="24"/>
          <w:szCs w:val="24"/>
        </w:rPr>
        <w:t>et al.,</w:t>
      </w:r>
      <w:r w:rsidRPr="00794B18">
        <w:rPr>
          <w:rFonts w:eastAsia="Times New Roman"/>
          <w:color w:val="000000" w:themeColor="text1"/>
          <w:sz w:val="24"/>
          <w:szCs w:val="24"/>
        </w:rPr>
        <w:t xml:space="preserve"> (2022) investigate how GVC firms are likely to make </w:t>
      </w:r>
      <w:r w:rsidRPr="00794B18">
        <w:rPr>
          <w:rFonts w:eastAsia="Times New Roman"/>
          <w:color w:val="000000" w:themeColor="text1"/>
          <w:sz w:val="24"/>
          <w:szCs w:val="24"/>
        </w:rPr>
        <w:lastRenderedPageBreak/>
        <w:t xml:space="preserve">location and control decisions with the development. The management process of a difficult structure company and high quality management system. </w:t>
      </w:r>
    </w:p>
    <w:p w14:paraId="6C4715DC" w14:textId="77777777" w:rsidR="00E01473" w:rsidRPr="00794B18" w:rsidRDefault="00D367EC" w:rsidP="00DC2ADC">
      <w:pPr>
        <w:pBdr>
          <w:top w:val="nil"/>
          <w:left w:val="nil"/>
          <w:bottom w:val="nil"/>
          <w:right w:val="nil"/>
          <w:between w:val="nil"/>
        </w:pBdr>
        <w:spacing w:line="360" w:lineRule="auto"/>
        <w:jc w:val="both"/>
        <w:rPr>
          <w:rFonts w:eastAsia="Times New Roman"/>
          <w:color w:val="000000" w:themeColor="text1"/>
          <w:sz w:val="24"/>
          <w:szCs w:val="24"/>
        </w:rPr>
      </w:pPr>
      <w:r w:rsidRPr="00794B18">
        <w:rPr>
          <w:rFonts w:eastAsia="Times New Roman"/>
          <w:color w:val="000000" w:themeColor="text1"/>
          <w:sz w:val="24"/>
          <w:szCs w:val="24"/>
        </w:rPr>
        <w:t>The opportunistic, bounded rationality, and transaction hazards-focused TCE principles guide surveys to gauge particular transaction costs like search, negotiation, and monitoring. The characteristics of governance structures like market, hybrid, and hierarchical and how well they lower these costs.</w:t>
      </w:r>
    </w:p>
    <w:p w14:paraId="7E1E91B4" w14:textId="77777777" w:rsidR="00E01473" w:rsidRPr="00794B18" w:rsidRDefault="00D367EC" w:rsidP="00DC2ADC">
      <w:pPr>
        <w:pBdr>
          <w:top w:val="nil"/>
          <w:left w:val="nil"/>
          <w:bottom w:val="nil"/>
          <w:right w:val="nil"/>
          <w:between w:val="nil"/>
        </w:pBdr>
        <w:spacing w:line="360" w:lineRule="auto"/>
        <w:jc w:val="both"/>
        <w:rPr>
          <w:rFonts w:eastAsia="Times New Roman"/>
          <w:b/>
          <w:bCs/>
          <w:i/>
          <w:iCs/>
          <w:color w:val="000000" w:themeColor="text1"/>
          <w:sz w:val="24"/>
          <w:szCs w:val="24"/>
        </w:rPr>
      </w:pPr>
      <w:r w:rsidRPr="00794B18">
        <w:rPr>
          <w:rFonts w:eastAsia="Times New Roman"/>
          <w:b/>
          <w:bCs/>
          <w:i/>
          <w:iCs/>
          <w:color w:val="000000" w:themeColor="text1"/>
          <w:sz w:val="24"/>
          <w:szCs w:val="24"/>
        </w:rPr>
        <w:t>Literature gap</w:t>
      </w:r>
    </w:p>
    <w:p w14:paraId="75C89F19" w14:textId="77777777" w:rsidR="00E01473" w:rsidRPr="00794B18" w:rsidRDefault="00D367EC" w:rsidP="00DC2ADC">
      <w:pPr>
        <w:pBdr>
          <w:top w:val="nil"/>
          <w:left w:val="nil"/>
          <w:bottom w:val="nil"/>
          <w:right w:val="nil"/>
          <w:between w:val="nil"/>
        </w:pBdr>
        <w:spacing w:line="360" w:lineRule="auto"/>
        <w:jc w:val="both"/>
        <w:rPr>
          <w:rFonts w:eastAsia="Times New Roman"/>
          <w:color w:val="000000" w:themeColor="text1"/>
          <w:sz w:val="24"/>
          <w:szCs w:val="24"/>
        </w:rPr>
      </w:pPr>
      <w:r w:rsidRPr="00794B18">
        <w:rPr>
          <w:rFonts w:eastAsia="Times New Roman"/>
          <w:color w:val="000000" w:themeColor="text1"/>
          <w:sz w:val="24"/>
          <w:szCs w:val="24"/>
        </w:rPr>
        <w:t xml:space="preserve">There are still notable gaps in this literature review of the study:  </w:t>
      </w:r>
    </w:p>
    <w:p w14:paraId="2C8C73E6" w14:textId="77777777" w:rsidR="00E01473" w:rsidRPr="00794B18" w:rsidRDefault="00D367EC" w:rsidP="00DC2ADC">
      <w:pPr>
        <w:numPr>
          <w:ilvl w:val="0"/>
          <w:numId w:val="1"/>
        </w:numPr>
        <w:pBdr>
          <w:top w:val="nil"/>
          <w:left w:val="nil"/>
          <w:bottom w:val="nil"/>
          <w:right w:val="nil"/>
          <w:between w:val="nil"/>
        </w:pBdr>
        <w:spacing w:line="360" w:lineRule="auto"/>
        <w:jc w:val="both"/>
        <w:rPr>
          <w:rFonts w:eastAsia="Times New Roman"/>
          <w:color w:val="000000" w:themeColor="text1"/>
          <w:sz w:val="24"/>
          <w:szCs w:val="24"/>
        </w:rPr>
      </w:pPr>
      <w:r w:rsidRPr="00794B18">
        <w:rPr>
          <w:rFonts w:eastAsia="Times New Roman"/>
          <w:color w:val="000000" w:themeColor="text1"/>
          <w:sz w:val="24"/>
          <w:szCs w:val="24"/>
        </w:rPr>
        <w:t xml:space="preserve">To begin with, the UK-specific, firm-level causality distinguishing between marginal post-COVID tariff impacts and non-tariff impacts by the pandemic. It is also unavailable or blurred with other Brexit shocks - most of the research mixes the two. </w:t>
      </w:r>
    </w:p>
    <w:p w14:paraId="23471519" w14:textId="77777777" w:rsidR="00E01473" w:rsidRPr="00794B18" w:rsidRDefault="00D367EC" w:rsidP="00DC2ADC">
      <w:pPr>
        <w:numPr>
          <w:ilvl w:val="0"/>
          <w:numId w:val="1"/>
        </w:numPr>
        <w:pBdr>
          <w:top w:val="nil"/>
          <w:left w:val="nil"/>
          <w:bottom w:val="nil"/>
          <w:right w:val="nil"/>
          <w:between w:val="nil"/>
        </w:pBdr>
        <w:spacing w:line="360" w:lineRule="auto"/>
        <w:jc w:val="both"/>
        <w:rPr>
          <w:rFonts w:eastAsia="Times New Roman"/>
          <w:color w:val="000000" w:themeColor="text1"/>
          <w:sz w:val="24"/>
          <w:szCs w:val="24"/>
        </w:rPr>
      </w:pPr>
      <w:r w:rsidRPr="00794B18">
        <w:rPr>
          <w:rFonts w:eastAsia="Times New Roman"/>
          <w:color w:val="000000" w:themeColor="text1"/>
          <w:sz w:val="24"/>
          <w:szCs w:val="24"/>
        </w:rPr>
        <w:t xml:space="preserve">Longitudinal micro data of accommodation of SMEs over large manufactures with regard to contract form, pricing, and selection on market. </w:t>
      </w:r>
    </w:p>
    <w:p w14:paraId="7901320D" w14:textId="77777777" w:rsidR="00E01473" w:rsidRPr="00794B18" w:rsidRDefault="00D367EC" w:rsidP="00DC2ADC">
      <w:pPr>
        <w:numPr>
          <w:ilvl w:val="0"/>
          <w:numId w:val="1"/>
        </w:numPr>
        <w:pBdr>
          <w:top w:val="nil"/>
          <w:left w:val="nil"/>
          <w:bottom w:val="nil"/>
          <w:right w:val="nil"/>
          <w:between w:val="nil"/>
        </w:pBdr>
        <w:spacing w:line="360" w:lineRule="auto"/>
        <w:jc w:val="both"/>
        <w:rPr>
          <w:rFonts w:eastAsia="Times New Roman"/>
          <w:color w:val="000000" w:themeColor="text1"/>
          <w:sz w:val="24"/>
          <w:szCs w:val="24"/>
        </w:rPr>
      </w:pPr>
      <w:r w:rsidRPr="00794B18">
        <w:rPr>
          <w:rFonts w:eastAsia="Times New Roman"/>
          <w:color w:val="000000" w:themeColor="text1"/>
          <w:sz w:val="24"/>
          <w:szCs w:val="24"/>
        </w:rPr>
        <w:t xml:space="preserve">Effective and cost-trade-off of firm strategies such as regionalization, reshoring, multi-sourcing of the UK context has poor research. </w:t>
      </w:r>
    </w:p>
    <w:p w14:paraId="3DEA11FC" w14:textId="77777777" w:rsidR="00E01473" w:rsidRPr="00794B18" w:rsidRDefault="00D367EC" w:rsidP="00DC2ADC">
      <w:pPr>
        <w:pBdr>
          <w:top w:val="nil"/>
          <w:left w:val="nil"/>
          <w:bottom w:val="nil"/>
          <w:right w:val="nil"/>
          <w:between w:val="nil"/>
        </w:pBdr>
        <w:spacing w:line="360" w:lineRule="auto"/>
        <w:jc w:val="both"/>
        <w:rPr>
          <w:rFonts w:eastAsia="Times New Roman"/>
          <w:color w:val="000000" w:themeColor="text1"/>
          <w:sz w:val="24"/>
          <w:szCs w:val="24"/>
        </w:rPr>
      </w:pPr>
      <w:r w:rsidRPr="00794B18">
        <w:rPr>
          <w:rFonts w:eastAsia="Times New Roman"/>
          <w:color w:val="000000" w:themeColor="text1"/>
          <w:sz w:val="24"/>
          <w:szCs w:val="24"/>
        </w:rPr>
        <w:t>To close these gaps, matched firm trade data experimental designs are needed to separate policy vs. structural drivers.</w:t>
      </w:r>
    </w:p>
    <w:p w14:paraId="57C0D4BA" w14:textId="77777777" w:rsidR="00E01473" w:rsidRPr="00794B18" w:rsidRDefault="00D367EC" w:rsidP="00DC2ADC">
      <w:pPr>
        <w:pStyle w:val="Heading1"/>
        <w:rPr>
          <w:rFonts w:ascii="Arial" w:hAnsi="Arial" w:cs="Arial"/>
          <w:color w:val="000000" w:themeColor="text1"/>
        </w:rPr>
      </w:pPr>
      <w:bookmarkStart w:id="3" w:name="_Toc214028720"/>
      <w:r w:rsidRPr="00794B18">
        <w:rPr>
          <w:rFonts w:ascii="Arial" w:hAnsi="Arial" w:cs="Arial"/>
          <w:color w:val="000000" w:themeColor="text1"/>
        </w:rPr>
        <w:t>3. Methodology</w:t>
      </w:r>
      <w:bookmarkEnd w:id="3"/>
    </w:p>
    <w:p w14:paraId="1BADB7CB" w14:textId="77777777" w:rsidR="00E01473" w:rsidRPr="00794B18" w:rsidRDefault="00D367EC" w:rsidP="00DC2ADC">
      <w:pPr>
        <w:pBdr>
          <w:top w:val="nil"/>
          <w:left w:val="nil"/>
          <w:bottom w:val="nil"/>
          <w:right w:val="nil"/>
          <w:between w:val="nil"/>
        </w:pBdr>
        <w:spacing w:line="360" w:lineRule="auto"/>
        <w:jc w:val="both"/>
        <w:rPr>
          <w:rFonts w:eastAsia="Times New Roman"/>
          <w:b/>
          <w:bCs/>
          <w:i/>
          <w:iCs/>
          <w:color w:val="000000" w:themeColor="text1"/>
          <w:sz w:val="24"/>
          <w:szCs w:val="24"/>
          <w:highlight w:val="white"/>
        </w:rPr>
      </w:pPr>
      <w:r w:rsidRPr="00794B18">
        <w:rPr>
          <w:rFonts w:eastAsia="Times New Roman"/>
          <w:b/>
          <w:bCs/>
          <w:i/>
          <w:iCs/>
          <w:color w:val="000000" w:themeColor="text1"/>
          <w:sz w:val="24"/>
          <w:szCs w:val="24"/>
          <w:highlight w:val="white"/>
        </w:rPr>
        <w:t xml:space="preserve">Research philosophy </w:t>
      </w:r>
    </w:p>
    <w:p w14:paraId="7270A083" w14:textId="77777777" w:rsidR="00E01473" w:rsidRPr="00794B18" w:rsidRDefault="00D367EC" w:rsidP="00DC2ADC">
      <w:pPr>
        <w:spacing w:line="360" w:lineRule="auto"/>
        <w:jc w:val="both"/>
        <w:rPr>
          <w:rFonts w:eastAsia="Times New Roman"/>
          <w:color w:val="000000" w:themeColor="text1"/>
          <w:sz w:val="24"/>
          <w:szCs w:val="24"/>
          <w:highlight w:val="white"/>
        </w:rPr>
      </w:pPr>
      <w:r w:rsidRPr="00794B18">
        <w:rPr>
          <w:rFonts w:eastAsia="Times New Roman"/>
          <w:color w:val="000000" w:themeColor="text1"/>
          <w:sz w:val="24"/>
          <w:szCs w:val="24"/>
        </w:rPr>
        <w:t xml:space="preserve">The research philosophy that will be applied in this study is </w:t>
      </w:r>
      <w:r w:rsidRPr="00794B18">
        <w:rPr>
          <w:rFonts w:eastAsia="Times New Roman"/>
          <w:b/>
          <w:bCs/>
          <w:i/>
          <w:iCs/>
          <w:color w:val="000000" w:themeColor="text1"/>
          <w:sz w:val="24"/>
          <w:szCs w:val="24"/>
        </w:rPr>
        <w:t>pragmatism</w:t>
      </w:r>
      <w:r w:rsidRPr="00794B18">
        <w:rPr>
          <w:rFonts w:eastAsia="Times New Roman"/>
          <w:color w:val="000000" w:themeColor="text1"/>
          <w:sz w:val="24"/>
          <w:szCs w:val="24"/>
        </w:rPr>
        <w:t xml:space="preserve"> because it guides the research to explore the impact of post-COVID trade barriers on the adaptation of global strategy in the UK automotive manufacturing industry. Pragmatism is well suited to the research that aims at coming up with practical context specific solutions to complicated real-life issues (Brister, 2024). Pragmatism believes that knowledge is built by interaction of experience, action and consequences. The quantitative data can be used to determine the measurable trends, such as the delay in production, costs changes, or changes in export volumes whereas the qualitative data can offer more insight into the way the managers think, how they make strategic decisions, and how firms adjust to the changes. Pragmatism upholds this two-sided orientation stating that the effectiveness of a method in tackling the research problem is its value.</w:t>
      </w:r>
    </w:p>
    <w:p w14:paraId="65CAC383" w14:textId="77777777" w:rsidR="00E01473" w:rsidRPr="00794B18" w:rsidRDefault="00D367EC" w:rsidP="00DC2ADC">
      <w:pPr>
        <w:pBdr>
          <w:top w:val="nil"/>
          <w:left w:val="nil"/>
          <w:bottom w:val="nil"/>
          <w:right w:val="nil"/>
          <w:between w:val="nil"/>
        </w:pBdr>
        <w:spacing w:line="360" w:lineRule="auto"/>
        <w:jc w:val="both"/>
        <w:rPr>
          <w:rFonts w:eastAsia="Times New Roman"/>
          <w:b/>
          <w:bCs/>
          <w:i/>
          <w:iCs/>
          <w:color w:val="000000" w:themeColor="text1"/>
          <w:sz w:val="24"/>
          <w:szCs w:val="24"/>
          <w:highlight w:val="white"/>
        </w:rPr>
      </w:pPr>
      <w:r w:rsidRPr="00794B18">
        <w:rPr>
          <w:rFonts w:eastAsia="Times New Roman"/>
          <w:b/>
          <w:bCs/>
          <w:i/>
          <w:iCs/>
          <w:color w:val="000000" w:themeColor="text1"/>
          <w:sz w:val="24"/>
          <w:szCs w:val="24"/>
          <w:highlight w:val="white"/>
        </w:rPr>
        <w:lastRenderedPageBreak/>
        <w:t xml:space="preserve">Research approach </w:t>
      </w:r>
    </w:p>
    <w:p w14:paraId="2EBB7798" w14:textId="25157D45" w:rsidR="00E01473" w:rsidRPr="00794B18" w:rsidRDefault="00D367EC" w:rsidP="00DC2ADC">
      <w:pPr>
        <w:pBdr>
          <w:top w:val="nil"/>
          <w:left w:val="nil"/>
          <w:bottom w:val="nil"/>
          <w:right w:val="nil"/>
          <w:between w:val="nil"/>
        </w:pBdr>
        <w:spacing w:line="360" w:lineRule="auto"/>
        <w:jc w:val="both"/>
        <w:rPr>
          <w:rFonts w:eastAsia="Times New Roman"/>
          <w:color w:val="000000" w:themeColor="text1"/>
          <w:sz w:val="24"/>
          <w:szCs w:val="24"/>
          <w:highlight w:val="white"/>
        </w:rPr>
      </w:pPr>
      <w:r w:rsidRPr="00794B18">
        <w:rPr>
          <w:rFonts w:eastAsia="Times New Roman"/>
          <w:color w:val="000000" w:themeColor="text1"/>
          <w:sz w:val="24"/>
          <w:szCs w:val="24"/>
          <w:highlight w:val="white"/>
        </w:rPr>
        <w:t xml:space="preserve">This is helpful for researchers to obtain an in-depth guide on their collection and analysis of data. ‘Inductive’, ‘deductive’ and ‘abductive’ are commonly used as research approaches by researchers. In the ‘inductive’ approach, researchers can produce a wide and generalised view on a topic based on specific observation or pattern (Vears and Gillam, 2022). In comparison to this, researchers utilising deductive approaches can generate specific outcomes considering collection of data that are numeric in nature. This study will adopt a </w:t>
      </w:r>
      <w:r w:rsidRPr="00794B18">
        <w:rPr>
          <w:rFonts w:eastAsia="Times New Roman"/>
          <w:b/>
          <w:bCs/>
          <w:i/>
          <w:iCs/>
          <w:color w:val="000000" w:themeColor="text1"/>
          <w:sz w:val="24"/>
          <w:szCs w:val="24"/>
          <w:highlight w:val="white"/>
        </w:rPr>
        <w:t>abductive</w:t>
      </w:r>
      <w:r w:rsidRPr="00794B18">
        <w:rPr>
          <w:rFonts w:eastAsia="Times New Roman"/>
          <w:b/>
          <w:bCs/>
          <w:i/>
          <w:iCs/>
          <w:color w:val="000000" w:themeColor="text1"/>
          <w:sz w:val="24"/>
          <w:szCs w:val="24"/>
        </w:rPr>
        <w:t xml:space="preserve"> research approach</w:t>
      </w:r>
      <w:r w:rsidRPr="00794B18">
        <w:rPr>
          <w:rFonts w:eastAsia="Times New Roman"/>
          <w:color w:val="000000" w:themeColor="text1"/>
          <w:sz w:val="24"/>
          <w:szCs w:val="24"/>
        </w:rPr>
        <w:t xml:space="preserve"> to examine how the UK automotive manufacturing industry has responded strategically to trade barriers that have arisen due to COVID. Abductive approach enables the investigator to alternatively act through empirical observations and the existent theoretical frameworks, developing explanations to respond to the facts of the world</w:t>
      </w:r>
      <w:r w:rsidR="00BE21C8" w:rsidRPr="00794B18">
        <w:rPr>
          <w:rFonts w:eastAsia="Times New Roman"/>
          <w:color w:val="000000" w:themeColor="text1"/>
          <w:sz w:val="24"/>
          <w:szCs w:val="24"/>
        </w:rPr>
        <w:t xml:space="preserve"> (Tavory and Timmermans, 2022)</w:t>
      </w:r>
      <w:r w:rsidRPr="00794B18">
        <w:rPr>
          <w:rFonts w:eastAsia="Times New Roman"/>
          <w:color w:val="000000" w:themeColor="text1"/>
          <w:sz w:val="24"/>
          <w:szCs w:val="24"/>
        </w:rPr>
        <w:t xml:space="preserve">. Within the framework of this study, quantitative results indicate trends to be further explained, whereas quantitative data on managers, policy analysts, and industry experts reveal why such trends appear and how companies can change their strategies. </w:t>
      </w:r>
    </w:p>
    <w:p w14:paraId="68E7D77C" w14:textId="77777777" w:rsidR="00E01473" w:rsidRPr="00794B18" w:rsidRDefault="00D367EC" w:rsidP="00DC2ADC">
      <w:pPr>
        <w:pBdr>
          <w:top w:val="nil"/>
          <w:left w:val="nil"/>
          <w:bottom w:val="nil"/>
          <w:right w:val="nil"/>
          <w:between w:val="nil"/>
        </w:pBdr>
        <w:spacing w:line="360" w:lineRule="auto"/>
        <w:jc w:val="both"/>
        <w:rPr>
          <w:rFonts w:eastAsia="Times New Roman"/>
          <w:b/>
          <w:bCs/>
          <w:i/>
          <w:iCs/>
          <w:color w:val="000000" w:themeColor="text1"/>
          <w:sz w:val="24"/>
          <w:szCs w:val="24"/>
          <w:highlight w:val="white"/>
        </w:rPr>
      </w:pPr>
      <w:r w:rsidRPr="00794B18">
        <w:rPr>
          <w:rFonts w:eastAsia="Times New Roman"/>
          <w:b/>
          <w:bCs/>
          <w:i/>
          <w:iCs/>
          <w:color w:val="000000" w:themeColor="text1"/>
          <w:sz w:val="24"/>
          <w:szCs w:val="24"/>
          <w:highlight w:val="white"/>
        </w:rPr>
        <w:t xml:space="preserve">Research design </w:t>
      </w:r>
    </w:p>
    <w:p w14:paraId="2142A503" w14:textId="411EA9EF" w:rsidR="00E01473" w:rsidRPr="00794B18" w:rsidRDefault="00D367EC" w:rsidP="00DC2ADC">
      <w:pPr>
        <w:pBdr>
          <w:top w:val="nil"/>
          <w:left w:val="nil"/>
          <w:bottom w:val="nil"/>
          <w:right w:val="nil"/>
          <w:between w:val="nil"/>
        </w:pBdr>
        <w:spacing w:line="360" w:lineRule="auto"/>
        <w:jc w:val="both"/>
        <w:rPr>
          <w:rFonts w:eastAsia="Times New Roman"/>
          <w:color w:val="000000" w:themeColor="text1"/>
          <w:sz w:val="24"/>
          <w:szCs w:val="24"/>
          <w:highlight w:val="white"/>
        </w:rPr>
      </w:pPr>
      <w:r w:rsidRPr="00794B18">
        <w:rPr>
          <w:rFonts w:eastAsia="Times New Roman"/>
          <w:color w:val="000000" w:themeColor="text1"/>
          <w:sz w:val="24"/>
          <w:szCs w:val="24"/>
          <w:highlight w:val="white"/>
        </w:rPr>
        <w:t xml:space="preserve">It is called the strategy employed by researchers to get answers to their research questions. ‘Exploratory’ and ‘explanatory’ are two different types of research designs used by researchers. In ‘exploratory’ design, there is freedom for researchers to access data from various sources (Olawale </w:t>
      </w:r>
      <w:r w:rsidRPr="00794B18">
        <w:rPr>
          <w:rFonts w:eastAsia="Times New Roman"/>
          <w:i/>
          <w:iCs/>
          <w:color w:val="000000" w:themeColor="text1"/>
          <w:sz w:val="24"/>
          <w:szCs w:val="24"/>
          <w:highlight w:val="white"/>
        </w:rPr>
        <w:t>et al.,</w:t>
      </w:r>
      <w:r w:rsidRPr="00794B18">
        <w:rPr>
          <w:rFonts w:eastAsia="Times New Roman"/>
          <w:color w:val="000000" w:themeColor="text1"/>
          <w:sz w:val="24"/>
          <w:szCs w:val="24"/>
          <w:highlight w:val="white"/>
        </w:rPr>
        <w:t xml:space="preserve"> 2023). However, in the case of explanatory design, researchers are needed to follow a structured method for their data collection and analysis. </w:t>
      </w:r>
      <w:r w:rsidRPr="00794B18">
        <w:rPr>
          <w:rFonts w:eastAsia="Times New Roman"/>
          <w:color w:val="000000" w:themeColor="text1"/>
          <w:sz w:val="24"/>
          <w:szCs w:val="24"/>
        </w:rPr>
        <w:t xml:space="preserve">An </w:t>
      </w:r>
      <w:r w:rsidRPr="00794B18">
        <w:rPr>
          <w:rFonts w:eastAsia="Times New Roman"/>
          <w:b/>
          <w:bCs/>
          <w:i/>
          <w:iCs/>
          <w:color w:val="000000" w:themeColor="text1"/>
          <w:sz w:val="24"/>
          <w:szCs w:val="24"/>
        </w:rPr>
        <w:t>explanatory sequential mixed method design</w:t>
      </w:r>
      <w:r w:rsidRPr="00794B18">
        <w:rPr>
          <w:rFonts w:eastAsia="Times New Roman"/>
          <w:color w:val="000000" w:themeColor="text1"/>
          <w:sz w:val="24"/>
          <w:szCs w:val="24"/>
        </w:rPr>
        <w:t xml:space="preserve"> will suit the present study perfectly as it will enable the research to initially determine the presence of specific patterns of post-COVID trade barriers on the key performance levels of the UK automotive manufacturers. Managers, supply chain specialists and policy stakeholder interviews will assist in revealing the why of the numbers</w:t>
      </w:r>
      <w:r w:rsidR="00BE21C8" w:rsidRPr="00794B18">
        <w:rPr>
          <w:rFonts w:eastAsia="Times New Roman"/>
          <w:color w:val="000000" w:themeColor="text1"/>
          <w:sz w:val="24"/>
          <w:szCs w:val="24"/>
        </w:rPr>
        <w:t>-</w:t>
      </w:r>
      <w:r w:rsidRPr="00794B18">
        <w:rPr>
          <w:rFonts w:eastAsia="Times New Roman"/>
          <w:color w:val="000000" w:themeColor="text1"/>
          <w:sz w:val="24"/>
          <w:szCs w:val="24"/>
        </w:rPr>
        <w:t xml:space="preserve"> explaining strategic choices like nearshoring, supplier diversification, greater digitalisation or cooperating with EU-based distributors. This design is suitable within a highly dynamic and heterogeneous context such as the post-COVID trade environment, in which it is impossible to include managerial reasoning, political uncertainty or organisational adaptation dynamics by quantitative patterns alone.</w:t>
      </w:r>
    </w:p>
    <w:p w14:paraId="7B8AF4C2" w14:textId="77777777" w:rsidR="00794B18" w:rsidRPr="00794B18" w:rsidRDefault="00794B18" w:rsidP="00DC2ADC">
      <w:pPr>
        <w:pBdr>
          <w:top w:val="nil"/>
          <w:left w:val="nil"/>
          <w:bottom w:val="nil"/>
          <w:right w:val="nil"/>
          <w:between w:val="nil"/>
        </w:pBdr>
        <w:spacing w:line="360" w:lineRule="auto"/>
        <w:jc w:val="both"/>
        <w:rPr>
          <w:rFonts w:eastAsia="Times New Roman"/>
          <w:b/>
          <w:bCs/>
          <w:i/>
          <w:iCs/>
          <w:color w:val="000000" w:themeColor="text1"/>
          <w:sz w:val="24"/>
          <w:szCs w:val="24"/>
          <w:highlight w:val="white"/>
        </w:rPr>
      </w:pPr>
    </w:p>
    <w:p w14:paraId="14C12C53" w14:textId="52A0BD4C" w:rsidR="00E01473" w:rsidRPr="00794B18" w:rsidRDefault="00D367EC" w:rsidP="00DC2ADC">
      <w:pPr>
        <w:pBdr>
          <w:top w:val="nil"/>
          <w:left w:val="nil"/>
          <w:bottom w:val="nil"/>
          <w:right w:val="nil"/>
          <w:between w:val="nil"/>
        </w:pBdr>
        <w:spacing w:line="360" w:lineRule="auto"/>
        <w:jc w:val="both"/>
        <w:rPr>
          <w:rFonts w:eastAsia="Times New Roman"/>
          <w:b/>
          <w:bCs/>
          <w:i/>
          <w:iCs/>
          <w:color w:val="000000" w:themeColor="text1"/>
          <w:sz w:val="24"/>
          <w:szCs w:val="24"/>
          <w:highlight w:val="white"/>
        </w:rPr>
      </w:pPr>
      <w:r w:rsidRPr="00794B18">
        <w:rPr>
          <w:rFonts w:eastAsia="Times New Roman"/>
          <w:b/>
          <w:bCs/>
          <w:i/>
          <w:iCs/>
          <w:color w:val="000000" w:themeColor="text1"/>
          <w:sz w:val="24"/>
          <w:szCs w:val="24"/>
          <w:highlight w:val="white"/>
        </w:rPr>
        <w:lastRenderedPageBreak/>
        <w:t>Data collection</w:t>
      </w:r>
    </w:p>
    <w:p w14:paraId="51CE2386" w14:textId="77777777" w:rsidR="00E01473" w:rsidRPr="00794B18" w:rsidRDefault="00D367EC" w:rsidP="00DC2ADC">
      <w:pPr>
        <w:pBdr>
          <w:top w:val="nil"/>
          <w:left w:val="nil"/>
          <w:bottom w:val="nil"/>
          <w:right w:val="nil"/>
          <w:between w:val="nil"/>
        </w:pBdr>
        <w:spacing w:line="360" w:lineRule="auto"/>
        <w:jc w:val="both"/>
        <w:rPr>
          <w:rFonts w:eastAsia="Times New Roman"/>
          <w:color w:val="000000" w:themeColor="text1"/>
          <w:sz w:val="24"/>
          <w:szCs w:val="24"/>
          <w:highlight w:val="white"/>
        </w:rPr>
      </w:pPr>
      <w:r w:rsidRPr="00794B18">
        <w:rPr>
          <w:rFonts w:eastAsia="Times New Roman"/>
          <w:color w:val="000000" w:themeColor="text1"/>
          <w:sz w:val="24"/>
          <w:szCs w:val="24"/>
          <w:highlight w:val="white"/>
        </w:rPr>
        <w:t xml:space="preserve">There are two distinct methods available to researchers for their data collection process. These are ‘qualitative’ and ‘quantitative’ methods. In the first method, non-numeric forms of data are obtained by researchers (Mulisa, 2022). As a result of this, findings generated in research works are in-depth, supported by views and perspectives of people. In contrast, numeric forms of data are accumulated by researchers as they choose a ‘quantitative’ method for data collection. This helps to make the research outcomes more specific and measurable. This study will adopt a </w:t>
      </w:r>
      <w:r w:rsidRPr="00794B18">
        <w:rPr>
          <w:rFonts w:eastAsia="Times New Roman"/>
          <w:b/>
          <w:bCs/>
          <w:i/>
          <w:iCs/>
          <w:color w:val="000000" w:themeColor="text1"/>
          <w:sz w:val="24"/>
          <w:szCs w:val="24"/>
          <w:highlight w:val="white"/>
        </w:rPr>
        <w:t xml:space="preserve">mixed  method (both qualitative and quantitative) </w:t>
      </w:r>
      <w:r w:rsidRPr="00794B18">
        <w:rPr>
          <w:rFonts w:eastAsia="Times New Roman"/>
          <w:color w:val="000000" w:themeColor="text1"/>
          <w:sz w:val="24"/>
          <w:szCs w:val="24"/>
          <w:highlight w:val="white"/>
        </w:rPr>
        <w:t xml:space="preserve">for data collection and will be employed to execute this research. </w:t>
      </w:r>
    </w:p>
    <w:p w14:paraId="6C35AE6F" w14:textId="77777777" w:rsidR="00E01473" w:rsidRPr="00794B18" w:rsidRDefault="00D367EC" w:rsidP="00DC2ADC">
      <w:pPr>
        <w:pBdr>
          <w:top w:val="nil"/>
          <w:left w:val="nil"/>
          <w:bottom w:val="nil"/>
          <w:right w:val="nil"/>
          <w:between w:val="nil"/>
        </w:pBdr>
        <w:spacing w:line="360" w:lineRule="auto"/>
        <w:jc w:val="both"/>
        <w:rPr>
          <w:rFonts w:eastAsia="Times New Roman"/>
          <w:b/>
          <w:bCs/>
          <w:i/>
          <w:iCs/>
          <w:color w:val="000000" w:themeColor="text1"/>
          <w:sz w:val="24"/>
          <w:szCs w:val="24"/>
          <w:highlight w:val="white"/>
        </w:rPr>
      </w:pPr>
      <w:r w:rsidRPr="00794B18">
        <w:rPr>
          <w:rFonts w:eastAsia="Times New Roman"/>
          <w:b/>
          <w:bCs/>
          <w:i/>
          <w:iCs/>
          <w:color w:val="000000" w:themeColor="text1"/>
          <w:sz w:val="24"/>
          <w:szCs w:val="24"/>
          <w:highlight w:val="white"/>
        </w:rPr>
        <w:t>Sampling</w:t>
      </w:r>
    </w:p>
    <w:p w14:paraId="6271C199" w14:textId="77777777" w:rsidR="00E01473" w:rsidRPr="00794B18" w:rsidRDefault="00D367EC" w:rsidP="00DC2ADC">
      <w:pPr>
        <w:pBdr>
          <w:top w:val="nil"/>
          <w:left w:val="nil"/>
          <w:bottom w:val="nil"/>
          <w:right w:val="nil"/>
          <w:between w:val="nil"/>
        </w:pBdr>
        <w:spacing w:line="360" w:lineRule="auto"/>
        <w:jc w:val="both"/>
        <w:rPr>
          <w:rFonts w:eastAsia="Times New Roman"/>
          <w:color w:val="000000" w:themeColor="text1"/>
          <w:sz w:val="24"/>
          <w:szCs w:val="24"/>
          <w:highlight w:val="white"/>
        </w:rPr>
      </w:pPr>
      <w:r w:rsidRPr="00794B18">
        <w:rPr>
          <w:rFonts w:eastAsia="Times New Roman"/>
          <w:color w:val="000000" w:themeColor="text1"/>
          <w:sz w:val="24"/>
          <w:szCs w:val="24"/>
          <w:highlight w:val="white"/>
        </w:rPr>
        <w:t xml:space="preserve">It is considered as the process of selecting participants from a population for the goal of data collection. ‘Probability’ and ‘non-probability’ are two common types of sampling considered by researchers. There will be application of non-probability sampling in execution of this research. In this sampling method, researchers apply their subjective judgement to choose samples (Rahman, 2023). Under this sampling method, there will be application of purposive sampling technique to choose participants. For this study, </w:t>
      </w:r>
      <w:r w:rsidRPr="00794B18">
        <w:rPr>
          <w:rFonts w:eastAsia="Times New Roman"/>
          <w:b/>
          <w:bCs/>
          <w:i/>
          <w:iCs/>
          <w:color w:val="000000" w:themeColor="text1"/>
          <w:sz w:val="24"/>
          <w:szCs w:val="24"/>
          <w:highlight w:val="white"/>
        </w:rPr>
        <w:t>purposive sampling</w:t>
      </w:r>
      <w:r w:rsidRPr="00794B18">
        <w:rPr>
          <w:rFonts w:eastAsia="Times New Roman"/>
          <w:color w:val="000000" w:themeColor="text1"/>
          <w:sz w:val="24"/>
          <w:szCs w:val="24"/>
          <w:highlight w:val="white"/>
        </w:rPr>
        <w:t xml:space="preserve"> will be chosen as specific expertise required for quantitative data collection. Following this executives and managers associated with the automotive manufacturing sector of the UK will be chosen as samples for this research. These participants will be able to offer valuable insights on the impact of post-COVID trade barriers, such as tariffs and protectionism on the international growth of UK based manufacturers.</w:t>
      </w:r>
    </w:p>
    <w:p w14:paraId="411CEC5D" w14:textId="77777777" w:rsidR="00E01473" w:rsidRPr="00794B18" w:rsidRDefault="00D367EC" w:rsidP="00DC2ADC">
      <w:pPr>
        <w:pBdr>
          <w:top w:val="nil"/>
          <w:left w:val="nil"/>
          <w:bottom w:val="nil"/>
          <w:right w:val="nil"/>
          <w:between w:val="nil"/>
        </w:pBdr>
        <w:spacing w:line="360" w:lineRule="auto"/>
        <w:jc w:val="both"/>
        <w:rPr>
          <w:rFonts w:eastAsia="Times New Roman"/>
          <w:b/>
          <w:bCs/>
          <w:i/>
          <w:iCs/>
          <w:color w:val="000000" w:themeColor="text1"/>
          <w:sz w:val="24"/>
          <w:szCs w:val="24"/>
          <w:highlight w:val="white"/>
        </w:rPr>
      </w:pPr>
      <w:r w:rsidRPr="00794B18">
        <w:rPr>
          <w:rFonts w:eastAsia="Times New Roman"/>
          <w:b/>
          <w:bCs/>
          <w:i/>
          <w:iCs/>
          <w:color w:val="000000" w:themeColor="text1"/>
          <w:sz w:val="24"/>
          <w:szCs w:val="24"/>
          <w:highlight w:val="white"/>
        </w:rPr>
        <w:t>Data analysis</w:t>
      </w:r>
    </w:p>
    <w:p w14:paraId="0DA48733" w14:textId="77777777" w:rsidR="00E01473" w:rsidRPr="00794B18" w:rsidRDefault="00D367EC" w:rsidP="00DC2ADC">
      <w:pPr>
        <w:pBdr>
          <w:top w:val="nil"/>
          <w:left w:val="nil"/>
          <w:bottom w:val="nil"/>
          <w:right w:val="nil"/>
          <w:between w:val="nil"/>
        </w:pBdr>
        <w:spacing w:line="360" w:lineRule="auto"/>
        <w:jc w:val="both"/>
        <w:rPr>
          <w:rFonts w:eastAsia="Times New Roman"/>
          <w:color w:val="000000" w:themeColor="text1"/>
          <w:sz w:val="24"/>
          <w:szCs w:val="24"/>
          <w:highlight w:val="white"/>
        </w:rPr>
      </w:pPr>
      <w:r w:rsidRPr="00794B18">
        <w:rPr>
          <w:rFonts w:eastAsia="Times New Roman"/>
          <w:color w:val="000000" w:themeColor="text1"/>
          <w:sz w:val="24"/>
          <w:szCs w:val="24"/>
          <w:highlight w:val="white"/>
        </w:rPr>
        <w:t xml:space="preserve">As both quantitative and qualitative data will be collected, this study will follow a </w:t>
      </w:r>
      <w:r w:rsidRPr="00794B18">
        <w:rPr>
          <w:rFonts w:eastAsia="Times New Roman"/>
          <w:b/>
          <w:bCs/>
          <w:i/>
          <w:iCs/>
          <w:color w:val="000000" w:themeColor="text1"/>
          <w:sz w:val="24"/>
          <w:szCs w:val="24"/>
          <w:highlight w:val="white"/>
        </w:rPr>
        <w:t>convergent mixed-method analysis</w:t>
      </w:r>
      <w:r w:rsidRPr="00794B18">
        <w:rPr>
          <w:rFonts w:eastAsia="Times New Roman"/>
          <w:color w:val="000000" w:themeColor="text1"/>
          <w:sz w:val="24"/>
          <w:szCs w:val="24"/>
          <w:highlight w:val="white"/>
        </w:rPr>
        <w:t xml:space="preserve">. For analysing primary quantitative data, IBM SPSS software will be used. Therefore, it refers to a tool that helps to interpret data that are quantitative in nature (Rahman and Muktadir, 2021). Therefore, analysis will be done as descriptive statistics, correlation, regression and Cronbach Alpha test for finding internal consistency and relation in between research variables. Therefore, in terms of qualitative data analysis secondary sources such as industry reports, scholarly articles will be integrated by following thematic technique. </w:t>
      </w:r>
    </w:p>
    <w:p w14:paraId="7BE37A14" w14:textId="77777777" w:rsidR="00E01473" w:rsidRPr="00794B18" w:rsidRDefault="00D367EC" w:rsidP="00DC2ADC">
      <w:pPr>
        <w:pBdr>
          <w:top w:val="nil"/>
          <w:left w:val="nil"/>
          <w:bottom w:val="nil"/>
          <w:right w:val="nil"/>
          <w:between w:val="nil"/>
        </w:pBdr>
        <w:spacing w:line="360" w:lineRule="auto"/>
        <w:jc w:val="both"/>
        <w:rPr>
          <w:rFonts w:eastAsia="Times New Roman"/>
          <w:b/>
          <w:bCs/>
          <w:i/>
          <w:iCs/>
          <w:color w:val="000000" w:themeColor="text1"/>
          <w:sz w:val="24"/>
          <w:szCs w:val="24"/>
          <w:highlight w:val="white"/>
        </w:rPr>
      </w:pPr>
      <w:r w:rsidRPr="00794B18">
        <w:rPr>
          <w:rFonts w:eastAsia="Times New Roman"/>
          <w:b/>
          <w:bCs/>
          <w:i/>
          <w:iCs/>
          <w:color w:val="000000" w:themeColor="text1"/>
          <w:sz w:val="24"/>
          <w:szCs w:val="24"/>
          <w:highlight w:val="white"/>
        </w:rPr>
        <w:lastRenderedPageBreak/>
        <w:t>Ethical considerations</w:t>
      </w:r>
    </w:p>
    <w:p w14:paraId="60CF4733" w14:textId="3D941179" w:rsidR="00E01473" w:rsidRPr="00794B18" w:rsidRDefault="00D367EC" w:rsidP="00DC2ADC">
      <w:pPr>
        <w:pBdr>
          <w:top w:val="nil"/>
          <w:left w:val="nil"/>
          <w:bottom w:val="nil"/>
          <w:right w:val="nil"/>
          <w:between w:val="nil"/>
        </w:pBdr>
        <w:spacing w:line="360" w:lineRule="auto"/>
        <w:jc w:val="both"/>
        <w:rPr>
          <w:rFonts w:eastAsia="Times New Roman"/>
          <w:b/>
          <w:bCs/>
          <w:color w:val="000000" w:themeColor="text1"/>
          <w:sz w:val="24"/>
          <w:szCs w:val="24"/>
          <w:highlight w:val="white"/>
        </w:rPr>
      </w:pPr>
      <w:r w:rsidRPr="00794B18">
        <w:rPr>
          <w:rFonts w:eastAsia="Times New Roman"/>
          <w:color w:val="000000" w:themeColor="text1"/>
          <w:sz w:val="24"/>
          <w:szCs w:val="24"/>
          <w:highlight w:val="white"/>
        </w:rPr>
        <w:t xml:space="preserve">This research will be conducted following all data protection guidelines such as Data Protection Act (2018) </w:t>
      </w:r>
      <w:r w:rsidR="003117DC" w:rsidRPr="00794B18">
        <w:rPr>
          <w:rFonts w:eastAsia="Times New Roman"/>
          <w:color w:val="000000" w:themeColor="text1"/>
          <w:sz w:val="24"/>
          <w:szCs w:val="24"/>
          <w:highlight w:val="white"/>
        </w:rPr>
        <w:t>along with</w:t>
      </w:r>
      <w:r w:rsidRPr="00794B18">
        <w:rPr>
          <w:rFonts w:eastAsia="Times New Roman"/>
          <w:color w:val="000000" w:themeColor="text1"/>
          <w:sz w:val="24"/>
          <w:szCs w:val="24"/>
          <w:highlight w:val="white"/>
        </w:rPr>
        <w:t xml:space="preserve"> University data privacy regulations (Phillips, 2021).. Informed consent forms will be signed and collected from all the participants before they take part in the data collection process. This form will contain information regarding the purpose of the research and the types of data that will be collected. All the participants will have complete freedom to withdraw from the data collection anytime without showing any reason. Most importantly, it will be ensured that nobody is harmed because of the execution of this research.</w:t>
      </w:r>
    </w:p>
    <w:p w14:paraId="0AEB6C23" w14:textId="77777777" w:rsidR="00E01473" w:rsidRPr="00794B18" w:rsidRDefault="00D367EC" w:rsidP="00DC2ADC">
      <w:pPr>
        <w:pStyle w:val="Heading1"/>
        <w:rPr>
          <w:rFonts w:ascii="Arial" w:hAnsi="Arial" w:cs="Arial"/>
          <w:color w:val="000000" w:themeColor="text1"/>
        </w:rPr>
      </w:pPr>
      <w:bookmarkStart w:id="4" w:name="_Toc214028721"/>
      <w:r w:rsidRPr="00794B18">
        <w:rPr>
          <w:rFonts w:ascii="Arial" w:hAnsi="Arial" w:cs="Arial"/>
          <w:color w:val="000000" w:themeColor="text1"/>
        </w:rPr>
        <w:t>4. Expected findings</w:t>
      </w:r>
      <w:bookmarkEnd w:id="4"/>
      <w:r w:rsidRPr="00794B18">
        <w:rPr>
          <w:rFonts w:ascii="Arial" w:hAnsi="Arial" w:cs="Arial"/>
          <w:color w:val="000000" w:themeColor="text1"/>
        </w:rPr>
        <w:t xml:space="preserve"> </w:t>
      </w:r>
    </w:p>
    <w:p w14:paraId="04A030D1" w14:textId="77777777" w:rsidR="00E01473" w:rsidRPr="00794B18" w:rsidRDefault="00D367EC" w:rsidP="00DC2ADC">
      <w:pPr>
        <w:spacing w:line="360" w:lineRule="auto"/>
        <w:jc w:val="both"/>
        <w:rPr>
          <w:color w:val="000000" w:themeColor="text1"/>
        </w:rPr>
      </w:pPr>
      <w:r w:rsidRPr="00794B18">
        <w:rPr>
          <w:rFonts w:eastAsia="Times New Roman"/>
          <w:color w:val="000000" w:themeColor="text1"/>
          <w:sz w:val="24"/>
          <w:szCs w:val="24"/>
        </w:rPr>
        <w:t>The anticipated conclusions of the study will most probably demonstrate that trade barriers after COVID, including expanding checking of goods, discrepancy in regulatory norms, changes in the supply chain, and the rise of costs on logistics, has considerably hampered the competitiveness of the UK automotive producing industry. All these barriers are likely to have transformed the internationalisation strategies of firms to the point of depending on EU markets to diversify to emerging markets with more favourable trade arrangements. The results can also point to the way non-tariff obstacles, especially the ones to do with the rules of origin and regulatory compliance, have made the operations more complicated and less profitable to the manufacturers in the UK. In addition, the study expects to reveal that the market expansion barriers such as labour shortage and inaccessibility to major raw materials have hampered the capacity of the sector to grow internationally. But the evidence can suggest that adaptive strategic responses could be nearshoring, automation investment, and the establishment of international relationships to address these problems. The total outcome of the research is thought to be a determination that a combination of specific government trade policies, innovation-driven incentive, and increased global supply chain collaboration will play a central role in helping the UK automotive industry to regain international competitiveness and resilience in a post-pandemic global trade environment.</w:t>
      </w:r>
    </w:p>
    <w:p w14:paraId="107D7AF3" w14:textId="77777777" w:rsidR="00E01473" w:rsidRPr="00794B18" w:rsidRDefault="00D367EC" w:rsidP="00DC2ADC">
      <w:pPr>
        <w:pStyle w:val="Heading1"/>
        <w:rPr>
          <w:rFonts w:ascii="Arial" w:hAnsi="Arial" w:cs="Arial"/>
          <w:color w:val="000000" w:themeColor="text1"/>
        </w:rPr>
      </w:pPr>
      <w:bookmarkStart w:id="5" w:name="_Toc214028722"/>
      <w:r w:rsidRPr="00794B18">
        <w:rPr>
          <w:rFonts w:ascii="Arial" w:hAnsi="Arial" w:cs="Arial"/>
          <w:color w:val="000000" w:themeColor="text1"/>
        </w:rPr>
        <w:lastRenderedPageBreak/>
        <w:t>5. Timeframe</w:t>
      </w:r>
      <w:bookmarkEnd w:id="5"/>
      <w:r w:rsidRPr="00794B18">
        <w:rPr>
          <w:rFonts w:ascii="Arial" w:hAnsi="Arial" w:cs="Arial"/>
          <w:color w:val="000000" w:themeColor="text1"/>
        </w:rPr>
        <w:t xml:space="preserve"> </w:t>
      </w:r>
    </w:p>
    <w:p w14:paraId="38E27885" w14:textId="77777777" w:rsidR="00E01473" w:rsidRPr="00794B18" w:rsidRDefault="00D367EC" w:rsidP="003117DC">
      <w:pPr>
        <w:spacing w:line="360" w:lineRule="auto"/>
        <w:jc w:val="center"/>
        <w:rPr>
          <w:rFonts w:eastAsia="Times New Roman"/>
          <w:color w:val="000000" w:themeColor="text1"/>
          <w:sz w:val="24"/>
          <w:szCs w:val="24"/>
        </w:rPr>
      </w:pPr>
      <w:r w:rsidRPr="00794B18">
        <w:rPr>
          <w:rFonts w:eastAsia="Times New Roman"/>
          <w:noProof/>
          <w:color w:val="000000" w:themeColor="text1"/>
          <w:sz w:val="24"/>
          <w:szCs w:val="24"/>
        </w:rPr>
        <w:drawing>
          <wp:inline distT="0" distB="0" distL="0" distR="0" wp14:anchorId="455D46C2" wp14:editId="267054EC">
            <wp:extent cx="5943600" cy="1466850"/>
            <wp:effectExtent l="25400" t="25400" r="25400" b="25400"/>
            <wp:docPr id="206609589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943600" cy="1466850"/>
                    </a:xfrm>
                    <a:prstGeom prst="rect">
                      <a:avLst/>
                    </a:prstGeom>
                    <a:ln w="25400">
                      <a:solidFill>
                        <a:srgbClr val="000000"/>
                      </a:solidFill>
                      <a:prstDash val="solid"/>
                    </a:ln>
                  </pic:spPr>
                </pic:pic>
              </a:graphicData>
            </a:graphic>
          </wp:inline>
        </w:drawing>
      </w:r>
    </w:p>
    <w:p w14:paraId="633661A7" w14:textId="77777777" w:rsidR="00E01473" w:rsidRPr="00794B18" w:rsidRDefault="00D367EC" w:rsidP="003117DC">
      <w:pPr>
        <w:spacing w:line="360" w:lineRule="auto"/>
        <w:jc w:val="center"/>
        <w:rPr>
          <w:rFonts w:eastAsia="Times New Roman"/>
          <w:color w:val="000000" w:themeColor="text1"/>
          <w:sz w:val="24"/>
          <w:szCs w:val="24"/>
        </w:rPr>
      </w:pPr>
      <w:r w:rsidRPr="00794B18">
        <w:rPr>
          <w:rFonts w:eastAsia="Times New Roman"/>
          <w:color w:val="000000" w:themeColor="text1"/>
          <w:sz w:val="24"/>
          <w:szCs w:val="24"/>
        </w:rPr>
        <w:t>(Source: Gantt Chart)</w:t>
      </w:r>
    </w:p>
    <w:p w14:paraId="384D2D9E" w14:textId="77777777" w:rsidR="00E01473" w:rsidRPr="00794B18" w:rsidRDefault="00E01473" w:rsidP="00DC2ADC">
      <w:pPr>
        <w:pBdr>
          <w:top w:val="nil"/>
          <w:left w:val="nil"/>
          <w:bottom w:val="nil"/>
          <w:right w:val="nil"/>
          <w:between w:val="nil"/>
        </w:pBdr>
        <w:spacing w:line="360" w:lineRule="auto"/>
        <w:jc w:val="both"/>
        <w:rPr>
          <w:rFonts w:eastAsia="Times New Roman"/>
          <w:b/>
          <w:bCs/>
          <w:color w:val="000000" w:themeColor="text1"/>
          <w:sz w:val="24"/>
          <w:szCs w:val="24"/>
          <w:highlight w:val="white"/>
        </w:rPr>
      </w:pPr>
    </w:p>
    <w:p w14:paraId="03DBDA19" w14:textId="77777777" w:rsidR="00E01473" w:rsidRPr="00794B18" w:rsidRDefault="00D367EC" w:rsidP="00DC2ADC">
      <w:pPr>
        <w:pBdr>
          <w:top w:val="nil"/>
          <w:left w:val="nil"/>
          <w:bottom w:val="nil"/>
          <w:right w:val="nil"/>
          <w:between w:val="nil"/>
        </w:pBdr>
        <w:spacing w:line="360" w:lineRule="auto"/>
        <w:jc w:val="both"/>
        <w:rPr>
          <w:rFonts w:eastAsia="Times New Roman"/>
          <w:b/>
          <w:bCs/>
          <w:color w:val="000000" w:themeColor="text1"/>
          <w:sz w:val="24"/>
          <w:szCs w:val="24"/>
          <w:highlight w:val="white"/>
        </w:rPr>
      </w:pPr>
      <w:r w:rsidRPr="00794B18">
        <w:rPr>
          <w:color w:val="000000" w:themeColor="text1"/>
        </w:rPr>
        <w:br w:type="page"/>
      </w:r>
    </w:p>
    <w:p w14:paraId="244AA070" w14:textId="77777777" w:rsidR="00E01473" w:rsidRPr="00743719" w:rsidRDefault="00D367EC" w:rsidP="00DC2ADC">
      <w:pPr>
        <w:pStyle w:val="Heading1"/>
        <w:rPr>
          <w:rFonts w:ascii="Arial" w:hAnsi="Arial" w:cs="Arial"/>
          <w:color w:val="000000" w:themeColor="text1"/>
        </w:rPr>
      </w:pPr>
      <w:bookmarkStart w:id="6" w:name="_Toc214028723"/>
      <w:r w:rsidRPr="00743719">
        <w:rPr>
          <w:rFonts w:ascii="Arial" w:hAnsi="Arial" w:cs="Arial"/>
          <w:color w:val="000000" w:themeColor="text1"/>
        </w:rPr>
        <w:lastRenderedPageBreak/>
        <w:t>References</w:t>
      </w:r>
      <w:bookmarkEnd w:id="6"/>
    </w:p>
    <w:p w14:paraId="3408205F" w14:textId="77777777" w:rsidR="003117DC" w:rsidRPr="00743719" w:rsidRDefault="003117DC" w:rsidP="00DC2ADC">
      <w:pPr>
        <w:pBdr>
          <w:top w:val="nil"/>
          <w:left w:val="nil"/>
          <w:bottom w:val="nil"/>
          <w:right w:val="nil"/>
          <w:between w:val="nil"/>
        </w:pBdr>
        <w:spacing w:before="200" w:line="360" w:lineRule="auto"/>
        <w:jc w:val="both"/>
        <w:rPr>
          <w:rFonts w:eastAsia="Times New Roman"/>
          <w:color w:val="000000" w:themeColor="text1"/>
          <w:sz w:val="24"/>
          <w:szCs w:val="24"/>
          <w:highlight w:val="white"/>
        </w:rPr>
      </w:pPr>
      <w:r w:rsidRPr="00743719">
        <w:rPr>
          <w:rFonts w:eastAsia="Times New Roman"/>
          <w:color w:val="000000" w:themeColor="text1"/>
          <w:sz w:val="24"/>
          <w:szCs w:val="24"/>
          <w:highlight w:val="white"/>
        </w:rPr>
        <w:t xml:space="preserve">Aramide, K.A. and Adigun, I.O., 2025. From Positivism to Pragmatism: Mapping the Evolution of Research Paradigms in Library and Information Science. </w:t>
      </w:r>
      <w:r w:rsidRPr="00743719">
        <w:rPr>
          <w:rFonts w:eastAsia="Times New Roman"/>
          <w:i/>
          <w:iCs/>
          <w:color w:val="000000" w:themeColor="text1"/>
          <w:sz w:val="24"/>
          <w:szCs w:val="24"/>
          <w:highlight w:val="white"/>
        </w:rPr>
        <w:t>Lead City International Journal of Library, Information &amp; Communication Sciences</w:t>
      </w:r>
      <w:r w:rsidRPr="00743719">
        <w:rPr>
          <w:rFonts w:eastAsia="Times New Roman"/>
          <w:color w:val="000000" w:themeColor="text1"/>
          <w:sz w:val="24"/>
          <w:szCs w:val="24"/>
          <w:highlight w:val="white"/>
        </w:rPr>
        <w:t xml:space="preserve">, </w:t>
      </w:r>
      <w:r w:rsidRPr="00743719">
        <w:rPr>
          <w:rFonts w:eastAsia="Times New Roman"/>
          <w:i/>
          <w:iCs/>
          <w:color w:val="000000" w:themeColor="text1"/>
          <w:sz w:val="24"/>
          <w:szCs w:val="24"/>
          <w:highlight w:val="white"/>
        </w:rPr>
        <w:t>2</w:t>
      </w:r>
      <w:r w:rsidRPr="00743719">
        <w:rPr>
          <w:rFonts w:eastAsia="Times New Roman"/>
          <w:color w:val="000000" w:themeColor="text1"/>
          <w:sz w:val="24"/>
          <w:szCs w:val="24"/>
          <w:highlight w:val="white"/>
        </w:rPr>
        <w:t xml:space="preserve">(2), pp.102-127. </w:t>
      </w:r>
      <w:hyperlink r:id="rId12">
        <w:r w:rsidRPr="00743719">
          <w:rPr>
            <w:rFonts w:eastAsia="Times New Roman"/>
            <w:color w:val="000000" w:themeColor="text1"/>
            <w:sz w:val="24"/>
            <w:szCs w:val="24"/>
            <w:highlight w:val="white"/>
            <w:u w:val="single"/>
          </w:rPr>
          <w:t>https://journals.lcu.edu.ng/index.php/LCIJ/article/download/1474/1134</w:t>
        </w:r>
      </w:hyperlink>
    </w:p>
    <w:p w14:paraId="36CEAD5C" w14:textId="77777777" w:rsidR="003117DC" w:rsidRPr="00743719" w:rsidRDefault="003117DC" w:rsidP="00DC2ADC">
      <w:pPr>
        <w:pBdr>
          <w:top w:val="nil"/>
          <w:left w:val="nil"/>
          <w:bottom w:val="nil"/>
          <w:right w:val="nil"/>
          <w:between w:val="nil"/>
        </w:pBdr>
        <w:spacing w:line="360" w:lineRule="auto"/>
        <w:jc w:val="both"/>
        <w:rPr>
          <w:rFonts w:eastAsia="Times New Roman"/>
          <w:color w:val="000000" w:themeColor="text1"/>
          <w:sz w:val="24"/>
          <w:szCs w:val="24"/>
          <w:highlight w:val="white"/>
        </w:rPr>
      </w:pPr>
      <w:r w:rsidRPr="00743719">
        <w:rPr>
          <w:rFonts w:eastAsia="Times New Roman"/>
          <w:color w:val="000000" w:themeColor="text1"/>
          <w:sz w:val="24"/>
          <w:szCs w:val="24"/>
          <w:highlight w:val="white"/>
        </w:rPr>
        <w:t xml:space="preserve">Bailey, D., De Propris, L., De Ruyter, A., Hearne, D. and Ortega-Argilés, R., 2023. Brexit, trade and UK advanced manufacturing sectors: a Midlands’ perspective. </w:t>
      </w:r>
      <w:r w:rsidRPr="00743719">
        <w:rPr>
          <w:rFonts w:eastAsia="Times New Roman"/>
          <w:i/>
          <w:iCs/>
          <w:color w:val="000000" w:themeColor="text1"/>
          <w:sz w:val="24"/>
          <w:szCs w:val="24"/>
          <w:highlight w:val="white"/>
        </w:rPr>
        <w:t>Contemporary Social Science</w:t>
      </w:r>
      <w:r w:rsidRPr="00743719">
        <w:rPr>
          <w:rFonts w:eastAsia="Times New Roman"/>
          <w:color w:val="000000" w:themeColor="text1"/>
          <w:sz w:val="24"/>
          <w:szCs w:val="24"/>
          <w:highlight w:val="white"/>
        </w:rPr>
        <w:t xml:space="preserve">, </w:t>
      </w:r>
      <w:r w:rsidRPr="00743719">
        <w:rPr>
          <w:rFonts w:eastAsia="Times New Roman"/>
          <w:i/>
          <w:iCs/>
          <w:color w:val="000000" w:themeColor="text1"/>
          <w:sz w:val="24"/>
          <w:szCs w:val="24"/>
          <w:highlight w:val="white"/>
        </w:rPr>
        <w:t>18</w:t>
      </w:r>
      <w:r w:rsidRPr="00743719">
        <w:rPr>
          <w:rFonts w:eastAsia="Times New Roman"/>
          <w:color w:val="000000" w:themeColor="text1"/>
          <w:sz w:val="24"/>
          <w:szCs w:val="24"/>
          <w:highlight w:val="white"/>
        </w:rPr>
        <w:t>(2), pp.250-265.</w:t>
      </w:r>
      <w:hyperlink r:id="rId13">
        <w:r w:rsidRPr="00743719">
          <w:rPr>
            <w:rFonts w:eastAsia="Times New Roman"/>
            <w:color w:val="000000" w:themeColor="text1"/>
            <w:sz w:val="24"/>
            <w:szCs w:val="24"/>
            <w:highlight w:val="white"/>
            <w:u w:val="single"/>
          </w:rPr>
          <w:t>https://www.tandfonline.com/doi/abs/10.1080/21582041.2023.2192700</w:t>
        </w:r>
      </w:hyperlink>
    </w:p>
    <w:p w14:paraId="31DD7BE3" w14:textId="77777777" w:rsidR="003117DC" w:rsidRPr="00743719" w:rsidRDefault="003117DC" w:rsidP="00DC2ADC">
      <w:pPr>
        <w:pBdr>
          <w:top w:val="nil"/>
          <w:left w:val="nil"/>
          <w:bottom w:val="nil"/>
          <w:right w:val="nil"/>
          <w:between w:val="nil"/>
        </w:pBdr>
        <w:spacing w:line="360" w:lineRule="auto"/>
        <w:jc w:val="both"/>
        <w:rPr>
          <w:rFonts w:eastAsia="Times New Roman"/>
          <w:color w:val="000000" w:themeColor="text1"/>
          <w:sz w:val="24"/>
          <w:szCs w:val="24"/>
          <w:highlight w:val="white"/>
        </w:rPr>
      </w:pPr>
      <w:r w:rsidRPr="00743719">
        <w:rPr>
          <w:rFonts w:eastAsia="Times New Roman"/>
          <w:color w:val="000000" w:themeColor="text1"/>
          <w:sz w:val="24"/>
          <w:szCs w:val="24"/>
          <w:highlight w:val="white"/>
        </w:rPr>
        <w:t xml:space="preserve">Basiru, J.O., Ejiofor, C.L., Onukwulu, E.C. and Attah, R.U., 2023. The impact of contract negotiations on supplier relationships: A review of key theories and frameworks for organizational efficiency. </w:t>
      </w:r>
      <w:r w:rsidRPr="00743719">
        <w:rPr>
          <w:rFonts w:eastAsia="Times New Roman"/>
          <w:i/>
          <w:iCs/>
          <w:color w:val="000000" w:themeColor="text1"/>
          <w:sz w:val="24"/>
          <w:szCs w:val="24"/>
          <w:highlight w:val="white"/>
        </w:rPr>
        <w:t>International Journal of Multidisciplinary Research and Growth Evaluation</w:t>
      </w:r>
      <w:r w:rsidRPr="00743719">
        <w:rPr>
          <w:rFonts w:eastAsia="Times New Roman"/>
          <w:color w:val="000000" w:themeColor="text1"/>
          <w:sz w:val="24"/>
          <w:szCs w:val="24"/>
          <w:highlight w:val="white"/>
        </w:rPr>
        <w:t xml:space="preserve">, </w:t>
      </w:r>
      <w:r w:rsidRPr="00743719">
        <w:rPr>
          <w:rFonts w:eastAsia="Times New Roman"/>
          <w:i/>
          <w:iCs/>
          <w:color w:val="000000" w:themeColor="text1"/>
          <w:sz w:val="24"/>
          <w:szCs w:val="24"/>
          <w:highlight w:val="white"/>
        </w:rPr>
        <w:t>4</w:t>
      </w:r>
      <w:r w:rsidRPr="00743719">
        <w:rPr>
          <w:rFonts w:eastAsia="Times New Roman"/>
          <w:color w:val="000000" w:themeColor="text1"/>
          <w:sz w:val="24"/>
          <w:szCs w:val="24"/>
          <w:highlight w:val="white"/>
        </w:rPr>
        <w:t>(1), pp.788-802.</w:t>
      </w:r>
      <w:hyperlink r:id="rId14">
        <w:r w:rsidRPr="00743719">
          <w:rPr>
            <w:rFonts w:eastAsia="Times New Roman"/>
            <w:color w:val="000000" w:themeColor="text1"/>
            <w:sz w:val="24"/>
            <w:szCs w:val="24"/>
            <w:highlight w:val="white"/>
            <w:u w:val="single"/>
          </w:rPr>
          <w:t>https://www.researchgate.net/profile/Anfo-Pub-2/publication/388752840_The_Impact_of_Contract_Negotiations_on_Supplier_Relationships_A_Review_of_Key_Theories_and_Frameworks_for_Organizational_Efficiency/links/67a4a7e7207c0c20fa7b586f/The-Impact-of-Contract-Negotiations-on-Supplier-Relationships-A-Review-of-Key-Theories-and-Frameworks-for-Organizational-Efficiency.pdf</w:t>
        </w:r>
      </w:hyperlink>
      <w:r w:rsidRPr="00743719">
        <w:rPr>
          <w:rFonts w:eastAsia="Times New Roman"/>
          <w:color w:val="000000" w:themeColor="text1"/>
          <w:sz w:val="24"/>
          <w:szCs w:val="24"/>
        </w:rPr>
        <w:t xml:space="preserve"> </w:t>
      </w:r>
    </w:p>
    <w:p w14:paraId="18E688A9" w14:textId="77777777" w:rsidR="003117DC" w:rsidRPr="00743719" w:rsidRDefault="003117DC" w:rsidP="00DC2ADC">
      <w:pPr>
        <w:pBdr>
          <w:top w:val="nil"/>
          <w:left w:val="nil"/>
          <w:bottom w:val="nil"/>
          <w:right w:val="nil"/>
          <w:between w:val="nil"/>
        </w:pBdr>
        <w:spacing w:before="120" w:after="120" w:line="360" w:lineRule="auto"/>
        <w:jc w:val="both"/>
        <w:rPr>
          <w:rFonts w:eastAsia="Times New Roman"/>
          <w:color w:val="000000" w:themeColor="text1"/>
          <w:sz w:val="24"/>
          <w:szCs w:val="24"/>
        </w:rPr>
      </w:pPr>
      <w:r w:rsidRPr="00743719">
        <w:rPr>
          <w:rFonts w:eastAsia="Times New Roman"/>
          <w:color w:val="000000" w:themeColor="text1"/>
          <w:sz w:val="24"/>
          <w:szCs w:val="24"/>
        </w:rPr>
        <w:t>Braun, M., García, P.M. and Molero, D.F., 2023. Nearshoring and regional value chains: are they the new normal?. In The Elgar Companion to the World Trade Organization (pp. 638-659).</w:t>
      </w:r>
    </w:p>
    <w:p w14:paraId="5F158306" w14:textId="77777777" w:rsidR="003117DC" w:rsidRPr="00743719" w:rsidRDefault="003117DC" w:rsidP="00DC2ADC">
      <w:pPr>
        <w:pBdr>
          <w:top w:val="nil"/>
          <w:left w:val="nil"/>
          <w:bottom w:val="nil"/>
          <w:right w:val="nil"/>
          <w:between w:val="nil"/>
        </w:pBdr>
        <w:spacing w:before="120" w:after="120" w:line="360" w:lineRule="auto"/>
        <w:jc w:val="both"/>
        <w:rPr>
          <w:rFonts w:eastAsia="Times New Roman"/>
          <w:color w:val="000000" w:themeColor="text1"/>
          <w:sz w:val="24"/>
          <w:szCs w:val="24"/>
        </w:rPr>
      </w:pPr>
      <w:r w:rsidRPr="00743719">
        <w:rPr>
          <w:rFonts w:eastAsia="Times New Roman"/>
          <w:color w:val="000000" w:themeColor="text1"/>
          <w:sz w:val="24"/>
          <w:szCs w:val="24"/>
        </w:rPr>
        <w:t xml:space="preserve">Brister, E., 2024. Pragmatism, Problem Solving, and Strategies for Engaged Philosophy. In Paul B. Thompson's Philosophy of Agriculture: Fields, Farmers, Forks, and Food (pp. 17-32). </w:t>
      </w:r>
      <w:hyperlink r:id="rId15">
        <w:r w:rsidRPr="00743719">
          <w:rPr>
            <w:rFonts w:eastAsia="Times New Roman"/>
            <w:color w:val="000000" w:themeColor="text1"/>
            <w:sz w:val="24"/>
            <w:szCs w:val="24"/>
            <w:u w:val="single"/>
          </w:rPr>
          <w:t>https://www.evelynbrister.net/s/Brister-2023-Paul-Thompson-and-Engaged-Phil-draft.pdf</w:t>
        </w:r>
      </w:hyperlink>
      <w:r w:rsidRPr="00743719">
        <w:rPr>
          <w:rFonts w:eastAsia="Times New Roman"/>
          <w:color w:val="000000" w:themeColor="text1"/>
          <w:sz w:val="24"/>
          <w:szCs w:val="24"/>
        </w:rPr>
        <w:t xml:space="preserve"> </w:t>
      </w:r>
    </w:p>
    <w:p w14:paraId="57506FE5" w14:textId="77777777" w:rsidR="003117DC" w:rsidRPr="00743719" w:rsidRDefault="003117DC" w:rsidP="00DC2ADC">
      <w:pPr>
        <w:pBdr>
          <w:top w:val="nil"/>
          <w:left w:val="nil"/>
          <w:bottom w:val="nil"/>
          <w:right w:val="nil"/>
          <w:between w:val="nil"/>
        </w:pBdr>
        <w:spacing w:line="360" w:lineRule="auto"/>
        <w:jc w:val="both"/>
        <w:rPr>
          <w:rFonts w:eastAsia="Times New Roman"/>
          <w:color w:val="000000" w:themeColor="text1"/>
          <w:sz w:val="24"/>
          <w:szCs w:val="24"/>
          <w:highlight w:val="white"/>
        </w:rPr>
      </w:pPr>
      <w:r w:rsidRPr="00743719">
        <w:rPr>
          <w:rFonts w:eastAsia="Times New Roman"/>
          <w:color w:val="000000" w:themeColor="text1"/>
          <w:sz w:val="24"/>
          <w:szCs w:val="24"/>
          <w:highlight w:val="white"/>
        </w:rPr>
        <w:t xml:space="preserve">Chen, L. and Tan, J., 2024. Does the COVID-19 pandemic exacerbate the disincentive effect of trade tariffs on global value chains (GVCs) embeddedness?. </w:t>
      </w:r>
      <w:r w:rsidRPr="00743719">
        <w:rPr>
          <w:rFonts w:eastAsia="Times New Roman"/>
          <w:i/>
          <w:iCs/>
          <w:color w:val="000000" w:themeColor="text1"/>
          <w:sz w:val="24"/>
          <w:szCs w:val="24"/>
          <w:highlight w:val="white"/>
        </w:rPr>
        <w:t>Economic Analysis and Policy</w:t>
      </w:r>
      <w:r w:rsidRPr="00743719">
        <w:rPr>
          <w:rFonts w:eastAsia="Times New Roman"/>
          <w:color w:val="000000" w:themeColor="text1"/>
          <w:sz w:val="24"/>
          <w:szCs w:val="24"/>
          <w:highlight w:val="white"/>
        </w:rPr>
        <w:t xml:space="preserve">, </w:t>
      </w:r>
      <w:r w:rsidRPr="00743719">
        <w:rPr>
          <w:rFonts w:eastAsia="Times New Roman"/>
          <w:i/>
          <w:iCs/>
          <w:color w:val="000000" w:themeColor="text1"/>
          <w:sz w:val="24"/>
          <w:szCs w:val="24"/>
          <w:highlight w:val="white"/>
        </w:rPr>
        <w:t>83</w:t>
      </w:r>
      <w:r w:rsidRPr="00743719">
        <w:rPr>
          <w:rFonts w:eastAsia="Times New Roman"/>
          <w:color w:val="000000" w:themeColor="text1"/>
          <w:sz w:val="24"/>
          <w:szCs w:val="24"/>
          <w:highlight w:val="white"/>
        </w:rPr>
        <w:t>, pp.404-420.</w:t>
      </w:r>
      <w:hyperlink r:id="rId16">
        <w:r w:rsidRPr="00743719">
          <w:rPr>
            <w:rFonts w:eastAsia="Times New Roman"/>
            <w:color w:val="000000" w:themeColor="text1"/>
            <w:sz w:val="24"/>
            <w:szCs w:val="24"/>
            <w:highlight w:val="white"/>
            <w:u w:val="single"/>
          </w:rPr>
          <w:t>https://www.sciencedirect.com/science/article/pii/S0313592624001656</w:t>
        </w:r>
      </w:hyperlink>
      <w:r w:rsidRPr="00743719">
        <w:rPr>
          <w:rFonts w:eastAsia="Times New Roman"/>
          <w:color w:val="000000" w:themeColor="text1"/>
          <w:sz w:val="24"/>
          <w:szCs w:val="24"/>
          <w:highlight w:val="white"/>
        </w:rPr>
        <w:t xml:space="preserve"> </w:t>
      </w:r>
    </w:p>
    <w:p w14:paraId="43E1818D" w14:textId="77777777" w:rsidR="003117DC" w:rsidRPr="00743719" w:rsidRDefault="003117DC" w:rsidP="00DC2ADC">
      <w:pPr>
        <w:pBdr>
          <w:top w:val="nil"/>
          <w:left w:val="nil"/>
          <w:bottom w:val="nil"/>
          <w:right w:val="nil"/>
          <w:between w:val="nil"/>
        </w:pBdr>
        <w:spacing w:before="200" w:line="360" w:lineRule="auto"/>
        <w:jc w:val="both"/>
        <w:rPr>
          <w:rFonts w:eastAsia="Times New Roman"/>
          <w:color w:val="000000" w:themeColor="text1"/>
          <w:sz w:val="24"/>
          <w:szCs w:val="24"/>
          <w:highlight w:val="white"/>
        </w:rPr>
      </w:pPr>
      <w:r w:rsidRPr="00743719">
        <w:rPr>
          <w:rFonts w:eastAsia="Times New Roman"/>
          <w:color w:val="000000" w:themeColor="text1"/>
          <w:sz w:val="24"/>
          <w:szCs w:val="24"/>
          <w:highlight w:val="white"/>
        </w:rPr>
        <w:lastRenderedPageBreak/>
        <w:t xml:space="preserve">Drolet, M.J., Rose-Derouin, E., Leblanc, J.C., Ruest, M. and Williams-Jones, B., 2023. Ethical issues in research: Perceptions of researchers, research ethics board members and research ethics experts. </w:t>
      </w:r>
      <w:r w:rsidRPr="00743719">
        <w:rPr>
          <w:rFonts w:eastAsia="Times New Roman"/>
          <w:i/>
          <w:iCs/>
          <w:color w:val="000000" w:themeColor="text1"/>
          <w:sz w:val="24"/>
          <w:szCs w:val="24"/>
          <w:highlight w:val="white"/>
        </w:rPr>
        <w:t>Journal of Academic Ethics</w:t>
      </w:r>
      <w:r w:rsidRPr="00743719">
        <w:rPr>
          <w:rFonts w:eastAsia="Times New Roman"/>
          <w:color w:val="000000" w:themeColor="text1"/>
          <w:sz w:val="24"/>
          <w:szCs w:val="24"/>
          <w:highlight w:val="white"/>
        </w:rPr>
        <w:t xml:space="preserve">, </w:t>
      </w:r>
      <w:r w:rsidRPr="00743719">
        <w:rPr>
          <w:rFonts w:eastAsia="Times New Roman"/>
          <w:i/>
          <w:iCs/>
          <w:color w:val="000000" w:themeColor="text1"/>
          <w:sz w:val="24"/>
          <w:szCs w:val="24"/>
          <w:highlight w:val="white"/>
        </w:rPr>
        <w:t>21</w:t>
      </w:r>
      <w:r w:rsidRPr="00743719">
        <w:rPr>
          <w:rFonts w:eastAsia="Times New Roman"/>
          <w:color w:val="000000" w:themeColor="text1"/>
          <w:sz w:val="24"/>
          <w:szCs w:val="24"/>
          <w:highlight w:val="white"/>
        </w:rPr>
        <w:t xml:space="preserve">(2), pp.269-292. </w:t>
      </w:r>
      <w:hyperlink r:id="rId17">
        <w:r w:rsidRPr="00743719">
          <w:rPr>
            <w:rFonts w:eastAsia="Times New Roman"/>
            <w:color w:val="000000" w:themeColor="text1"/>
            <w:sz w:val="24"/>
            <w:szCs w:val="24"/>
            <w:highlight w:val="white"/>
            <w:u w:val="single"/>
          </w:rPr>
          <w:t>https://link.springer.com/content/pdf/10.1007/s10805-022-09455-3.pdf</w:t>
        </w:r>
      </w:hyperlink>
    </w:p>
    <w:p w14:paraId="3D33E480" w14:textId="77777777" w:rsidR="003117DC" w:rsidRPr="00743719" w:rsidRDefault="003117DC" w:rsidP="00DC2ADC">
      <w:pPr>
        <w:pBdr>
          <w:top w:val="nil"/>
          <w:left w:val="nil"/>
          <w:bottom w:val="nil"/>
          <w:right w:val="nil"/>
          <w:between w:val="nil"/>
        </w:pBdr>
        <w:spacing w:before="120" w:after="120" w:line="360" w:lineRule="auto"/>
        <w:jc w:val="both"/>
        <w:rPr>
          <w:rFonts w:eastAsia="Times New Roman"/>
          <w:color w:val="000000" w:themeColor="text1"/>
          <w:sz w:val="24"/>
          <w:szCs w:val="24"/>
        </w:rPr>
      </w:pPr>
      <w:r w:rsidRPr="00743719">
        <w:rPr>
          <w:rFonts w:eastAsia="Times New Roman"/>
          <w:color w:val="000000" w:themeColor="text1"/>
          <w:sz w:val="24"/>
          <w:szCs w:val="24"/>
        </w:rPr>
        <w:t xml:space="preserve">Du, J. and Shepotylo, O., 2025. Tariffs and Triumph: The UK’s Edge in a Fractured World. </w:t>
      </w:r>
      <w:hyperlink r:id="rId18">
        <w:r w:rsidRPr="00743719">
          <w:rPr>
            <w:rFonts w:eastAsia="Times New Roman"/>
            <w:color w:val="000000" w:themeColor="text1"/>
            <w:sz w:val="24"/>
            <w:szCs w:val="24"/>
            <w:u w:val="single"/>
          </w:rPr>
          <w:t>https://www.aston.ac.uk/sites/default/files/Tariffs%20and%20Triumph_v5.pdf</w:t>
        </w:r>
      </w:hyperlink>
      <w:r w:rsidRPr="00743719">
        <w:rPr>
          <w:rFonts w:eastAsia="Times New Roman"/>
          <w:color w:val="000000" w:themeColor="text1"/>
          <w:sz w:val="24"/>
          <w:szCs w:val="24"/>
        </w:rPr>
        <w:t xml:space="preserve"> </w:t>
      </w:r>
    </w:p>
    <w:p w14:paraId="0AD1DA05" w14:textId="77777777" w:rsidR="003117DC" w:rsidRPr="00743719" w:rsidRDefault="003117DC" w:rsidP="00DC2ADC">
      <w:pPr>
        <w:pBdr>
          <w:top w:val="nil"/>
          <w:left w:val="nil"/>
          <w:bottom w:val="nil"/>
          <w:right w:val="nil"/>
          <w:between w:val="nil"/>
        </w:pBdr>
        <w:spacing w:line="360" w:lineRule="auto"/>
        <w:jc w:val="both"/>
        <w:rPr>
          <w:rFonts w:eastAsia="Times New Roman"/>
          <w:color w:val="000000" w:themeColor="text1"/>
          <w:sz w:val="24"/>
          <w:szCs w:val="24"/>
          <w:highlight w:val="white"/>
        </w:rPr>
      </w:pPr>
      <w:r w:rsidRPr="00743719">
        <w:rPr>
          <w:rFonts w:eastAsia="Times New Roman"/>
          <w:color w:val="000000" w:themeColor="text1"/>
          <w:sz w:val="24"/>
          <w:szCs w:val="24"/>
          <w:highlight w:val="white"/>
        </w:rPr>
        <w:t>Evenett, S., Fiorini, M., Fritz, J., Hoekman, B., Lukaszuk, P., Rocha, N., Ruta, M., Santi, F. and Shingal, A., 2022. Trade policy responses to the COVID</w:t>
      </w:r>
      <w:r w:rsidRPr="00743719">
        <w:rPr>
          <w:rFonts w:ascii="Cambria Math" w:eastAsia="Times New Roman" w:hAnsi="Cambria Math" w:cs="Cambria Math"/>
          <w:color w:val="000000" w:themeColor="text1"/>
          <w:sz w:val="24"/>
          <w:szCs w:val="24"/>
          <w:highlight w:val="white"/>
        </w:rPr>
        <w:t>‐</w:t>
      </w:r>
      <w:r w:rsidRPr="00743719">
        <w:rPr>
          <w:rFonts w:eastAsia="Times New Roman"/>
          <w:color w:val="000000" w:themeColor="text1"/>
          <w:sz w:val="24"/>
          <w:szCs w:val="24"/>
          <w:highlight w:val="white"/>
        </w:rPr>
        <w:t xml:space="preserve">19 pandemic crisis: Evidence from a new data set. </w:t>
      </w:r>
      <w:r w:rsidRPr="00743719">
        <w:rPr>
          <w:rFonts w:eastAsia="Times New Roman"/>
          <w:i/>
          <w:iCs/>
          <w:color w:val="000000" w:themeColor="text1"/>
          <w:sz w:val="24"/>
          <w:szCs w:val="24"/>
          <w:highlight w:val="white"/>
        </w:rPr>
        <w:t>The World Economy</w:t>
      </w:r>
      <w:r w:rsidRPr="00743719">
        <w:rPr>
          <w:rFonts w:eastAsia="Times New Roman"/>
          <w:color w:val="000000" w:themeColor="text1"/>
          <w:sz w:val="24"/>
          <w:szCs w:val="24"/>
          <w:highlight w:val="white"/>
        </w:rPr>
        <w:t xml:space="preserve">, </w:t>
      </w:r>
      <w:r w:rsidRPr="00743719">
        <w:rPr>
          <w:rFonts w:eastAsia="Times New Roman"/>
          <w:i/>
          <w:iCs/>
          <w:color w:val="000000" w:themeColor="text1"/>
          <w:sz w:val="24"/>
          <w:szCs w:val="24"/>
          <w:highlight w:val="white"/>
        </w:rPr>
        <w:t>45</w:t>
      </w:r>
      <w:r w:rsidRPr="00743719">
        <w:rPr>
          <w:rFonts w:eastAsia="Times New Roman"/>
          <w:color w:val="000000" w:themeColor="text1"/>
          <w:sz w:val="24"/>
          <w:szCs w:val="24"/>
          <w:highlight w:val="white"/>
        </w:rPr>
        <w:t>(2), pp.342-364.</w:t>
      </w:r>
      <w:hyperlink r:id="rId19">
        <w:r w:rsidRPr="00743719">
          <w:rPr>
            <w:rFonts w:eastAsia="Times New Roman"/>
            <w:color w:val="000000" w:themeColor="text1"/>
            <w:sz w:val="24"/>
            <w:szCs w:val="24"/>
            <w:highlight w:val="white"/>
            <w:u w:val="single"/>
          </w:rPr>
          <w:t>https://onlinelibrary.wiley.com/doi/abs/10.1111/twec.13119</w:t>
        </w:r>
      </w:hyperlink>
      <w:r w:rsidRPr="00743719">
        <w:rPr>
          <w:rFonts w:eastAsia="Times New Roman"/>
          <w:color w:val="000000" w:themeColor="text1"/>
          <w:sz w:val="24"/>
          <w:szCs w:val="24"/>
          <w:highlight w:val="white"/>
        </w:rPr>
        <w:t xml:space="preserve">  </w:t>
      </w:r>
    </w:p>
    <w:p w14:paraId="2FA5AB4A" w14:textId="77777777" w:rsidR="003117DC" w:rsidRPr="00743719" w:rsidRDefault="003117DC" w:rsidP="00DC2ADC">
      <w:pPr>
        <w:pBdr>
          <w:top w:val="nil"/>
          <w:left w:val="nil"/>
          <w:bottom w:val="nil"/>
          <w:right w:val="nil"/>
          <w:between w:val="nil"/>
        </w:pBdr>
        <w:spacing w:before="120" w:after="120" w:line="360" w:lineRule="auto"/>
        <w:jc w:val="both"/>
        <w:rPr>
          <w:rFonts w:eastAsia="Times New Roman"/>
          <w:color w:val="000000" w:themeColor="text1"/>
          <w:sz w:val="24"/>
          <w:szCs w:val="24"/>
        </w:rPr>
      </w:pPr>
      <w:r w:rsidRPr="00743719">
        <w:rPr>
          <w:rFonts w:eastAsia="Times New Roman"/>
          <w:color w:val="000000" w:themeColor="text1"/>
          <w:sz w:val="24"/>
          <w:szCs w:val="24"/>
        </w:rPr>
        <w:t xml:space="preserve">globalindiannetwork.com, (2024), </w:t>
      </w:r>
      <w:r w:rsidRPr="00743719">
        <w:rPr>
          <w:rFonts w:eastAsia="Times New Roman"/>
          <w:i/>
          <w:iCs/>
          <w:color w:val="000000" w:themeColor="text1"/>
          <w:sz w:val="24"/>
          <w:szCs w:val="24"/>
        </w:rPr>
        <w:t>The Manufacturing Sector in 2024: A Look into the Indian Economy</w:t>
      </w:r>
      <w:r w:rsidRPr="00743719">
        <w:rPr>
          <w:rFonts w:eastAsia="Times New Roman"/>
          <w:color w:val="000000" w:themeColor="text1"/>
          <w:sz w:val="24"/>
          <w:szCs w:val="24"/>
        </w:rPr>
        <w:t xml:space="preserve">, Available at: </w:t>
      </w:r>
      <w:hyperlink r:id="rId20">
        <w:r w:rsidRPr="00743719">
          <w:rPr>
            <w:rFonts w:eastAsia="Times New Roman"/>
            <w:color w:val="000000" w:themeColor="text1"/>
            <w:sz w:val="24"/>
            <w:szCs w:val="24"/>
            <w:u w:val="single"/>
          </w:rPr>
          <w:t>https://globalindiannetwork.com/manufacturing-sector-in-2024/</w:t>
        </w:r>
      </w:hyperlink>
      <w:r w:rsidRPr="00743719">
        <w:rPr>
          <w:rFonts w:eastAsia="Times New Roman"/>
          <w:color w:val="000000" w:themeColor="text1"/>
          <w:sz w:val="24"/>
          <w:szCs w:val="24"/>
        </w:rPr>
        <w:t xml:space="preserve"> [Accessed on: 03.11.2025]</w:t>
      </w:r>
    </w:p>
    <w:p w14:paraId="01A8F593" w14:textId="77777777" w:rsidR="003117DC" w:rsidRPr="00743719" w:rsidRDefault="003117DC" w:rsidP="00DC2ADC">
      <w:pPr>
        <w:pBdr>
          <w:top w:val="nil"/>
          <w:left w:val="nil"/>
          <w:bottom w:val="nil"/>
          <w:right w:val="nil"/>
          <w:between w:val="nil"/>
        </w:pBdr>
        <w:spacing w:line="360" w:lineRule="auto"/>
        <w:jc w:val="both"/>
        <w:rPr>
          <w:rFonts w:eastAsia="Times New Roman"/>
          <w:color w:val="000000" w:themeColor="text1"/>
          <w:sz w:val="24"/>
          <w:szCs w:val="24"/>
          <w:highlight w:val="white"/>
        </w:rPr>
      </w:pPr>
      <w:r w:rsidRPr="00743719">
        <w:rPr>
          <w:rFonts w:eastAsia="Times New Roman"/>
          <w:color w:val="000000" w:themeColor="text1"/>
          <w:sz w:val="24"/>
          <w:szCs w:val="24"/>
          <w:highlight w:val="white"/>
        </w:rPr>
        <w:t>Kersan</w:t>
      </w:r>
      <w:r w:rsidRPr="00743719">
        <w:rPr>
          <w:rFonts w:ascii="Cambria Math" w:eastAsia="Times New Roman" w:hAnsi="Cambria Math" w:cs="Cambria Math"/>
          <w:color w:val="000000" w:themeColor="text1"/>
          <w:sz w:val="24"/>
          <w:szCs w:val="24"/>
          <w:highlight w:val="white"/>
        </w:rPr>
        <w:t>‐</w:t>
      </w:r>
      <w:r w:rsidRPr="00743719">
        <w:rPr>
          <w:rFonts w:eastAsia="Times New Roman"/>
          <w:color w:val="000000" w:themeColor="text1"/>
          <w:sz w:val="24"/>
          <w:szCs w:val="24"/>
          <w:highlight w:val="white"/>
        </w:rPr>
        <w:t>Škabić, I., 2022. The COVID</w:t>
      </w:r>
      <w:r w:rsidRPr="00743719">
        <w:rPr>
          <w:rFonts w:ascii="Cambria Math" w:eastAsia="Times New Roman" w:hAnsi="Cambria Math" w:cs="Cambria Math"/>
          <w:color w:val="000000" w:themeColor="text1"/>
          <w:sz w:val="24"/>
          <w:szCs w:val="24"/>
          <w:highlight w:val="white"/>
        </w:rPr>
        <w:t>‐</w:t>
      </w:r>
      <w:r w:rsidRPr="00743719">
        <w:rPr>
          <w:rFonts w:eastAsia="Times New Roman"/>
          <w:color w:val="000000" w:themeColor="text1"/>
          <w:sz w:val="24"/>
          <w:szCs w:val="24"/>
          <w:highlight w:val="white"/>
        </w:rPr>
        <w:t xml:space="preserve">19 pandemic and the internationalization of production: A review of the literature. </w:t>
      </w:r>
      <w:r w:rsidRPr="00743719">
        <w:rPr>
          <w:rFonts w:eastAsia="Times New Roman"/>
          <w:i/>
          <w:iCs/>
          <w:color w:val="000000" w:themeColor="text1"/>
          <w:sz w:val="24"/>
          <w:szCs w:val="24"/>
          <w:highlight w:val="white"/>
        </w:rPr>
        <w:t>Development Policy Review</w:t>
      </w:r>
      <w:r w:rsidRPr="00743719">
        <w:rPr>
          <w:rFonts w:eastAsia="Times New Roman"/>
          <w:color w:val="000000" w:themeColor="text1"/>
          <w:sz w:val="24"/>
          <w:szCs w:val="24"/>
          <w:highlight w:val="white"/>
        </w:rPr>
        <w:t xml:space="preserve">, </w:t>
      </w:r>
      <w:r w:rsidRPr="00743719">
        <w:rPr>
          <w:rFonts w:eastAsia="Times New Roman"/>
          <w:i/>
          <w:iCs/>
          <w:color w:val="000000" w:themeColor="text1"/>
          <w:sz w:val="24"/>
          <w:szCs w:val="24"/>
          <w:highlight w:val="white"/>
        </w:rPr>
        <w:t>40</w:t>
      </w:r>
      <w:r w:rsidRPr="00743719">
        <w:rPr>
          <w:rFonts w:eastAsia="Times New Roman"/>
          <w:color w:val="000000" w:themeColor="text1"/>
          <w:sz w:val="24"/>
          <w:szCs w:val="24"/>
          <w:highlight w:val="white"/>
        </w:rPr>
        <w:t>(2), p.e12560.</w:t>
      </w:r>
      <w:hyperlink r:id="rId21">
        <w:r w:rsidRPr="00743719">
          <w:rPr>
            <w:rFonts w:eastAsia="Times New Roman"/>
            <w:color w:val="000000" w:themeColor="text1"/>
            <w:sz w:val="24"/>
            <w:szCs w:val="24"/>
            <w:highlight w:val="white"/>
            <w:u w:val="single"/>
          </w:rPr>
          <w:t>https://onlinelibrary.wiley.com/doi/abs/10.1111/dpr.12560</w:t>
        </w:r>
      </w:hyperlink>
      <w:r w:rsidRPr="00743719">
        <w:rPr>
          <w:rFonts w:eastAsia="Times New Roman"/>
          <w:color w:val="000000" w:themeColor="text1"/>
          <w:sz w:val="24"/>
          <w:szCs w:val="24"/>
          <w:highlight w:val="white"/>
        </w:rPr>
        <w:t xml:space="preserve"> </w:t>
      </w:r>
    </w:p>
    <w:p w14:paraId="49E1CB03" w14:textId="77777777" w:rsidR="003117DC" w:rsidRPr="00743719" w:rsidRDefault="003117DC" w:rsidP="00DC2ADC">
      <w:pPr>
        <w:pBdr>
          <w:top w:val="nil"/>
          <w:left w:val="nil"/>
          <w:bottom w:val="nil"/>
          <w:right w:val="nil"/>
          <w:between w:val="nil"/>
        </w:pBdr>
        <w:spacing w:line="360" w:lineRule="auto"/>
        <w:jc w:val="both"/>
        <w:rPr>
          <w:rFonts w:eastAsia="Times New Roman"/>
          <w:color w:val="000000" w:themeColor="text1"/>
          <w:sz w:val="24"/>
          <w:szCs w:val="24"/>
        </w:rPr>
      </w:pPr>
      <w:r w:rsidRPr="00743719">
        <w:rPr>
          <w:rFonts w:eastAsia="Times New Roman"/>
          <w:color w:val="000000" w:themeColor="text1"/>
          <w:sz w:val="24"/>
          <w:szCs w:val="24"/>
          <w:highlight w:val="white"/>
        </w:rPr>
        <w:t xml:space="preserve">Khorana, S., Escaith, H., Ali, S., Kumari, S. and Do, Q., 2022. The changing contours of global value chains post-COVID: Evidence from the Commonwealth. </w:t>
      </w:r>
      <w:r w:rsidRPr="00743719">
        <w:rPr>
          <w:rFonts w:eastAsia="Times New Roman"/>
          <w:i/>
          <w:iCs/>
          <w:color w:val="000000" w:themeColor="text1"/>
          <w:sz w:val="24"/>
          <w:szCs w:val="24"/>
          <w:highlight w:val="white"/>
        </w:rPr>
        <w:t>Journal of Business Research</w:t>
      </w:r>
      <w:r w:rsidRPr="00743719">
        <w:rPr>
          <w:rFonts w:eastAsia="Times New Roman"/>
          <w:color w:val="000000" w:themeColor="text1"/>
          <w:sz w:val="24"/>
          <w:szCs w:val="24"/>
          <w:highlight w:val="white"/>
        </w:rPr>
        <w:t xml:space="preserve">, </w:t>
      </w:r>
      <w:r w:rsidRPr="00743719">
        <w:rPr>
          <w:rFonts w:eastAsia="Times New Roman"/>
          <w:i/>
          <w:iCs/>
          <w:color w:val="000000" w:themeColor="text1"/>
          <w:sz w:val="24"/>
          <w:szCs w:val="24"/>
          <w:highlight w:val="white"/>
        </w:rPr>
        <w:t>153</w:t>
      </w:r>
      <w:r w:rsidRPr="00743719">
        <w:rPr>
          <w:rFonts w:eastAsia="Times New Roman"/>
          <w:color w:val="000000" w:themeColor="text1"/>
          <w:sz w:val="24"/>
          <w:szCs w:val="24"/>
          <w:highlight w:val="white"/>
        </w:rPr>
        <w:t>, pp.75-86.</w:t>
      </w:r>
      <w:hyperlink r:id="rId22">
        <w:r w:rsidRPr="00743719">
          <w:rPr>
            <w:rFonts w:eastAsia="Times New Roman"/>
            <w:color w:val="000000" w:themeColor="text1"/>
            <w:sz w:val="24"/>
            <w:szCs w:val="24"/>
            <w:highlight w:val="white"/>
            <w:u w:val="single"/>
          </w:rPr>
          <w:t>https://www.sciencedirect.com/science/article/pii/S0148296322006567</w:t>
        </w:r>
      </w:hyperlink>
      <w:r w:rsidRPr="00743719">
        <w:rPr>
          <w:rFonts w:eastAsia="Times New Roman"/>
          <w:color w:val="000000" w:themeColor="text1"/>
          <w:sz w:val="24"/>
          <w:szCs w:val="24"/>
          <w:highlight w:val="white"/>
        </w:rPr>
        <w:t xml:space="preserve"> </w:t>
      </w:r>
    </w:p>
    <w:p w14:paraId="76361E49" w14:textId="77777777" w:rsidR="003117DC" w:rsidRPr="00743719" w:rsidRDefault="003117DC" w:rsidP="00DC2ADC">
      <w:pPr>
        <w:pBdr>
          <w:top w:val="nil"/>
          <w:left w:val="nil"/>
          <w:bottom w:val="nil"/>
          <w:right w:val="nil"/>
          <w:between w:val="nil"/>
        </w:pBdr>
        <w:spacing w:before="120" w:after="120" w:line="360" w:lineRule="auto"/>
        <w:jc w:val="both"/>
        <w:rPr>
          <w:rFonts w:eastAsia="Times New Roman"/>
          <w:color w:val="000000" w:themeColor="text1"/>
          <w:sz w:val="24"/>
          <w:szCs w:val="24"/>
        </w:rPr>
      </w:pPr>
      <w:r w:rsidRPr="00743719">
        <w:rPr>
          <w:rFonts w:eastAsia="Times New Roman"/>
          <w:color w:val="000000" w:themeColor="text1"/>
          <w:sz w:val="24"/>
          <w:szCs w:val="24"/>
        </w:rPr>
        <w:t xml:space="preserve">kpmg.com, (2025), </w:t>
      </w:r>
      <w:r w:rsidRPr="00743719">
        <w:rPr>
          <w:rFonts w:eastAsia="Times New Roman"/>
          <w:i/>
          <w:iCs/>
          <w:color w:val="000000" w:themeColor="text1"/>
          <w:sz w:val="24"/>
          <w:szCs w:val="24"/>
        </w:rPr>
        <w:t>US tariffs on UK exports could see GDP growth fall to 0.8% in 2025 and 2026,</w:t>
      </w:r>
      <w:r w:rsidRPr="00743719">
        <w:rPr>
          <w:rFonts w:eastAsia="Times New Roman"/>
          <w:color w:val="000000" w:themeColor="text1"/>
          <w:sz w:val="24"/>
          <w:szCs w:val="24"/>
        </w:rPr>
        <w:t xml:space="preserve"> Available at: </w:t>
      </w:r>
      <w:hyperlink r:id="rId23">
        <w:r w:rsidRPr="00743719">
          <w:rPr>
            <w:rFonts w:eastAsia="Times New Roman"/>
            <w:color w:val="000000" w:themeColor="text1"/>
            <w:sz w:val="24"/>
            <w:szCs w:val="24"/>
            <w:u w:val="single"/>
          </w:rPr>
          <w:t>https://kpmg.com/uk/en/media/press-releases/2025/04/us-tariffs-on-uk-exports.html</w:t>
        </w:r>
      </w:hyperlink>
      <w:r w:rsidRPr="00743719">
        <w:rPr>
          <w:rFonts w:eastAsia="Times New Roman"/>
          <w:color w:val="000000" w:themeColor="text1"/>
          <w:sz w:val="24"/>
          <w:szCs w:val="24"/>
        </w:rPr>
        <w:t xml:space="preserve"> [Accessed on: 03.11.2025]</w:t>
      </w:r>
    </w:p>
    <w:p w14:paraId="1534C6EA" w14:textId="77777777" w:rsidR="003117DC" w:rsidRPr="00743719" w:rsidRDefault="003117DC" w:rsidP="00DC2ADC">
      <w:pPr>
        <w:pBdr>
          <w:top w:val="nil"/>
          <w:left w:val="nil"/>
          <w:bottom w:val="nil"/>
          <w:right w:val="nil"/>
          <w:between w:val="nil"/>
        </w:pBdr>
        <w:spacing w:before="120" w:after="120" w:line="360" w:lineRule="auto"/>
        <w:jc w:val="both"/>
        <w:rPr>
          <w:rFonts w:eastAsia="Times New Roman"/>
          <w:color w:val="000000" w:themeColor="text1"/>
          <w:sz w:val="24"/>
          <w:szCs w:val="24"/>
        </w:rPr>
      </w:pPr>
      <w:r w:rsidRPr="00743719">
        <w:rPr>
          <w:rFonts w:eastAsia="Times New Roman"/>
          <w:color w:val="000000" w:themeColor="text1"/>
          <w:sz w:val="24"/>
          <w:szCs w:val="24"/>
        </w:rPr>
        <w:t>Leruth, B. and Taylor-Gooby, P., 2021. The United Kingdom before and after Brexit. In Handbook on austerity, populism and the welfare state (pp. 170-185).</w:t>
      </w:r>
    </w:p>
    <w:p w14:paraId="24BFC42B" w14:textId="77777777" w:rsidR="003117DC" w:rsidRPr="00743719" w:rsidRDefault="003117DC" w:rsidP="00DC2ADC">
      <w:pPr>
        <w:pBdr>
          <w:top w:val="nil"/>
          <w:left w:val="nil"/>
          <w:bottom w:val="nil"/>
          <w:right w:val="nil"/>
          <w:between w:val="nil"/>
        </w:pBdr>
        <w:spacing w:before="200" w:line="360" w:lineRule="auto"/>
        <w:jc w:val="both"/>
        <w:rPr>
          <w:rFonts w:eastAsia="Times New Roman"/>
          <w:color w:val="000000" w:themeColor="text1"/>
          <w:sz w:val="24"/>
          <w:szCs w:val="24"/>
          <w:highlight w:val="white"/>
        </w:rPr>
      </w:pPr>
      <w:r w:rsidRPr="00743719">
        <w:rPr>
          <w:rFonts w:eastAsia="Times New Roman"/>
          <w:color w:val="000000" w:themeColor="text1"/>
          <w:sz w:val="24"/>
          <w:szCs w:val="24"/>
          <w:highlight w:val="white"/>
        </w:rPr>
        <w:t xml:space="preserve">Mulisa, F., 2022. When does a researcher choose a quantitative, qualitative, or mixed research approach?. </w:t>
      </w:r>
      <w:r w:rsidRPr="00743719">
        <w:rPr>
          <w:rFonts w:eastAsia="Times New Roman"/>
          <w:i/>
          <w:iCs/>
          <w:color w:val="000000" w:themeColor="text1"/>
          <w:sz w:val="24"/>
          <w:szCs w:val="24"/>
          <w:highlight w:val="white"/>
        </w:rPr>
        <w:t>Interchange</w:t>
      </w:r>
      <w:r w:rsidRPr="00743719">
        <w:rPr>
          <w:rFonts w:eastAsia="Times New Roman"/>
          <w:color w:val="000000" w:themeColor="text1"/>
          <w:sz w:val="24"/>
          <w:szCs w:val="24"/>
          <w:highlight w:val="white"/>
        </w:rPr>
        <w:t xml:space="preserve">, </w:t>
      </w:r>
      <w:r w:rsidRPr="00743719">
        <w:rPr>
          <w:rFonts w:eastAsia="Times New Roman"/>
          <w:i/>
          <w:iCs/>
          <w:color w:val="000000" w:themeColor="text1"/>
          <w:sz w:val="24"/>
          <w:szCs w:val="24"/>
          <w:highlight w:val="white"/>
        </w:rPr>
        <w:t>53</w:t>
      </w:r>
      <w:r w:rsidRPr="00743719">
        <w:rPr>
          <w:rFonts w:eastAsia="Times New Roman"/>
          <w:color w:val="000000" w:themeColor="text1"/>
          <w:sz w:val="24"/>
          <w:szCs w:val="24"/>
          <w:highlight w:val="white"/>
        </w:rPr>
        <w:t>(1), pp.113-131.</w:t>
      </w:r>
      <w:hyperlink r:id="rId24">
        <w:r w:rsidRPr="00743719">
          <w:rPr>
            <w:rFonts w:eastAsia="Times New Roman"/>
            <w:color w:val="000000" w:themeColor="text1"/>
            <w:sz w:val="24"/>
            <w:szCs w:val="24"/>
            <w:highlight w:val="white"/>
            <w:u w:val="single"/>
          </w:rPr>
          <w:t>https://www.researchgate.net/profile/Feyisa-Mulisa/publication/356567326_When_Does_a_Researcher_Choose_a_Quantitative_Q</w:t>
        </w:r>
        <w:r w:rsidRPr="00743719">
          <w:rPr>
            <w:rFonts w:eastAsia="Times New Roman"/>
            <w:color w:val="000000" w:themeColor="text1"/>
            <w:sz w:val="24"/>
            <w:szCs w:val="24"/>
            <w:highlight w:val="white"/>
            <w:u w:val="single"/>
          </w:rPr>
          <w:lastRenderedPageBreak/>
          <w:t>ualitative_or_Mixed_Research_Approach/links/674965bb790d154bf9b386b0/When-Does-a-Researcher-Choose-a-Quantitative-Qualitative-or-Mixed-Research-Approach.pdf</w:t>
        </w:r>
      </w:hyperlink>
    </w:p>
    <w:p w14:paraId="6BD57232" w14:textId="77777777" w:rsidR="003117DC" w:rsidRPr="00743719" w:rsidRDefault="003117DC" w:rsidP="00DC2ADC">
      <w:pPr>
        <w:pBdr>
          <w:top w:val="nil"/>
          <w:left w:val="nil"/>
          <w:bottom w:val="nil"/>
          <w:right w:val="nil"/>
          <w:between w:val="nil"/>
        </w:pBdr>
        <w:spacing w:before="120" w:after="120" w:line="360" w:lineRule="auto"/>
        <w:jc w:val="both"/>
        <w:rPr>
          <w:rFonts w:eastAsia="Times New Roman"/>
          <w:color w:val="000000" w:themeColor="text1"/>
          <w:sz w:val="24"/>
          <w:szCs w:val="24"/>
        </w:rPr>
      </w:pPr>
      <w:r w:rsidRPr="00743719">
        <w:rPr>
          <w:rFonts w:eastAsia="Times New Roman"/>
          <w:color w:val="000000" w:themeColor="text1"/>
          <w:sz w:val="24"/>
          <w:szCs w:val="24"/>
        </w:rPr>
        <w:t xml:space="preserve">Okorie, O., Charnley, F., Russell, J., Tiwari, A. and Moreno, M., 2021. Circular business models in high value manufacturing: Five industry cases to bridge theory and practice. Business Strategy and the Environment, 30(4), pp.1780-1802. </w:t>
      </w:r>
      <w:hyperlink r:id="rId25">
        <w:r w:rsidRPr="00743719">
          <w:rPr>
            <w:rFonts w:eastAsia="Times New Roman"/>
            <w:color w:val="000000" w:themeColor="text1"/>
            <w:sz w:val="24"/>
            <w:szCs w:val="24"/>
            <w:u w:val="single"/>
          </w:rPr>
          <w:t>https://onlinelibrary.wiley.com/doi/pdf/10.1002/bse.2715</w:t>
        </w:r>
      </w:hyperlink>
      <w:r w:rsidRPr="00743719">
        <w:rPr>
          <w:rFonts w:eastAsia="Times New Roman"/>
          <w:color w:val="000000" w:themeColor="text1"/>
          <w:sz w:val="24"/>
          <w:szCs w:val="24"/>
        </w:rPr>
        <w:t xml:space="preserve"> </w:t>
      </w:r>
    </w:p>
    <w:p w14:paraId="768ADA6D" w14:textId="77777777" w:rsidR="003117DC" w:rsidRPr="00743719" w:rsidRDefault="003117DC" w:rsidP="00DC2ADC">
      <w:pPr>
        <w:pBdr>
          <w:top w:val="nil"/>
          <w:left w:val="nil"/>
          <w:bottom w:val="nil"/>
          <w:right w:val="nil"/>
          <w:between w:val="nil"/>
        </w:pBdr>
        <w:spacing w:before="200" w:line="360" w:lineRule="auto"/>
        <w:jc w:val="both"/>
        <w:rPr>
          <w:rFonts w:eastAsia="Times New Roman"/>
          <w:color w:val="000000" w:themeColor="text1"/>
          <w:sz w:val="24"/>
          <w:szCs w:val="24"/>
          <w:highlight w:val="white"/>
        </w:rPr>
      </w:pPr>
      <w:r w:rsidRPr="00743719">
        <w:rPr>
          <w:rFonts w:eastAsia="Times New Roman"/>
          <w:color w:val="000000" w:themeColor="text1"/>
          <w:sz w:val="24"/>
          <w:szCs w:val="24"/>
          <w:highlight w:val="white"/>
        </w:rPr>
        <w:t xml:space="preserve">Olawale, S.R., Chinagozi, O.G. and Joe, O.N., 2023. Exploratory research design in management science: A review of literature on conduct and application. </w:t>
      </w:r>
      <w:r w:rsidRPr="00743719">
        <w:rPr>
          <w:rFonts w:eastAsia="Times New Roman"/>
          <w:i/>
          <w:iCs/>
          <w:color w:val="000000" w:themeColor="text1"/>
          <w:sz w:val="24"/>
          <w:szCs w:val="24"/>
          <w:highlight w:val="white"/>
        </w:rPr>
        <w:t>International Journal of Research and Innovation in Social Science</w:t>
      </w:r>
      <w:r w:rsidRPr="00743719">
        <w:rPr>
          <w:rFonts w:eastAsia="Times New Roman"/>
          <w:color w:val="000000" w:themeColor="text1"/>
          <w:sz w:val="24"/>
          <w:szCs w:val="24"/>
          <w:highlight w:val="white"/>
        </w:rPr>
        <w:t xml:space="preserve">, </w:t>
      </w:r>
      <w:r w:rsidRPr="00743719">
        <w:rPr>
          <w:rFonts w:eastAsia="Times New Roman"/>
          <w:i/>
          <w:iCs/>
          <w:color w:val="000000" w:themeColor="text1"/>
          <w:sz w:val="24"/>
          <w:szCs w:val="24"/>
          <w:highlight w:val="white"/>
        </w:rPr>
        <w:t>7</w:t>
      </w:r>
      <w:r w:rsidRPr="00743719">
        <w:rPr>
          <w:rFonts w:eastAsia="Times New Roman"/>
          <w:color w:val="000000" w:themeColor="text1"/>
          <w:sz w:val="24"/>
          <w:szCs w:val="24"/>
          <w:highlight w:val="white"/>
        </w:rPr>
        <w:t xml:space="preserve">(4), pp.1384-1395. </w:t>
      </w:r>
      <w:hyperlink r:id="rId26">
        <w:r w:rsidRPr="00743719">
          <w:rPr>
            <w:rFonts w:eastAsia="Times New Roman"/>
            <w:color w:val="000000" w:themeColor="text1"/>
            <w:sz w:val="24"/>
            <w:szCs w:val="24"/>
            <w:highlight w:val="white"/>
            <w:u w:val="single"/>
          </w:rPr>
          <w:t>https://www.researchgate.net/profile/Rahmon-Saka/publication/370960798_Exploratory_Research_Design_in_Management_Science_A_Review_of_Literature_on_Conduct_and_Application/links/663bc00708aa54017aee05c9/Exploratory-Research-Design-in-Management-Science-A-Review-of-Literature-on-Conduct-and-Application.pdf</w:t>
        </w:r>
      </w:hyperlink>
    </w:p>
    <w:p w14:paraId="47EA87F3" w14:textId="77777777" w:rsidR="003117DC" w:rsidRPr="00743719" w:rsidRDefault="003117DC" w:rsidP="00DC2ADC">
      <w:pPr>
        <w:pBdr>
          <w:top w:val="nil"/>
          <w:left w:val="nil"/>
          <w:bottom w:val="nil"/>
          <w:right w:val="nil"/>
          <w:between w:val="nil"/>
        </w:pBdr>
        <w:spacing w:before="120" w:after="120" w:line="360" w:lineRule="auto"/>
        <w:jc w:val="both"/>
        <w:rPr>
          <w:rFonts w:eastAsia="Times New Roman"/>
          <w:color w:val="000000" w:themeColor="text1"/>
          <w:sz w:val="24"/>
          <w:szCs w:val="24"/>
        </w:rPr>
      </w:pPr>
      <w:r w:rsidRPr="00743719">
        <w:rPr>
          <w:rFonts w:eastAsia="Times New Roman"/>
          <w:color w:val="000000" w:themeColor="text1"/>
          <w:sz w:val="24"/>
          <w:szCs w:val="24"/>
        </w:rPr>
        <w:t xml:space="preserve">ons.gov.uk, (2025), </w:t>
      </w:r>
      <w:r w:rsidRPr="00743719">
        <w:rPr>
          <w:rFonts w:eastAsia="Times New Roman"/>
          <w:i/>
          <w:iCs/>
          <w:color w:val="000000" w:themeColor="text1"/>
          <w:sz w:val="24"/>
          <w:szCs w:val="24"/>
        </w:rPr>
        <w:t xml:space="preserve">UK trade: April 2025, </w:t>
      </w:r>
      <w:r w:rsidRPr="00743719">
        <w:rPr>
          <w:rFonts w:eastAsia="Times New Roman"/>
          <w:color w:val="000000" w:themeColor="text1"/>
          <w:sz w:val="24"/>
          <w:szCs w:val="24"/>
        </w:rPr>
        <w:t xml:space="preserve">Available at: </w:t>
      </w:r>
      <w:hyperlink r:id="rId27">
        <w:r w:rsidRPr="00743719">
          <w:rPr>
            <w:rFonts w:eastAsia="Times New Roman"/>
            <w:color w:val="000000" w:themeColor="text1"/>
            <w:sz w:val="24"/>
            <w:szCs w:val="24"/>
            <w:u w:val="single"/>
          </w:rPr>
          <w:t>https://www.ons.gov.uk/economy/nationalaccounts/balanceofpayments/bulletins/uktrade/april2025</w:t>
        </w:r>
      </w:hyperlink>
      <w:r w:rsidRPr="00743719">
        <w:rPr>
          <w:rFonts w:eastAsia="Times New Roman"/>
          <w:color w:val="000000" w:themeColor="text1"/>
          <w:sz w:val="24"/>
          <w:szCs w:val="24"/>
        </w:rPr>
        <w:t xml:space="preserve"> [Accessed on: 03.11.2025]</w:t>
      </w:r>
    </w:p>
    <w:p w14:paraId="0B6E54F7" w14:textId="77777777" w:rsidR="003117DC" w:rsidRPr="00743719" w:rsidRDefault="003117DC" w:rsidP="00DC2ADC">
      <w:pPr>
        <w:pBdr>
          <w:top w:val="nil"/>
          <w:left w:val="nil"/>
          <w:bottom w:val="nil"/>
          <w:right w:val="nil"/>
          <w:between w:val="nil"/>
        </w:pBdr>
        <w:spacing w:before="120" w:after="120" w:line="360" w:lineRule="auto"/>
        <w:jc w:val="both"/>
        <w:rPr>
          <w:rFonts w:eastAsia="Times New Roman"/>
          <w:color w:val="000000" w:themeColor="text1"/>
          <w:sz w:val="24"/>
          <w:szCs w:val="24"/>
        </w:rPr>
      </w:pPr>
      <w:r w:rsidRPr="00743719">
        <w:rPr>
          <w:rFonts w:eastAsia="Times New Roman"/>
          <w:color w:val="000000" w:themeColor="text1"/>
          <w:sz w:val="24"/>
          <w:szCs w:val="24"/>
        </w:rPr>
        <w:t xml:space="preserve">oxfordeconomics.com, (2024), </w:t>
      </w:r>
      <w:r w:rsidRPr="00743719">
        <w:rPr>
          <w:rFonts w:eastAsia="Times New Roman"/>
          <w:i/>
          <w:iCs/>
          <w:color w:val="000000" w:themeColor="text1"/>
          <w:sz w:val="24"/>
          <w:szCs w:val="24"/>
        </w:rPr>
        <w:t>The true impact of British Manufacturing</w:t>
      </w:r>
      <w:r w:rsidRPr="00743719">
        <w:rPr>
          <w:rFonts w:eastAsia="Times New Roman"/>
          <w:color w:val="000000" w:themeColor="text1"/>
          <w:sz w:val="24"/>
          <w:szCs w:val="24"/>
        </w:rPr>
        <w:t xml:space="preserve">, Available at: </w:t>
      </w:r>
      <w:hyperlink r:id="rId28">
        <w:r w:rsidRPr="00743719">
          <w:rPr>
            <w:rFonts w:eastAsia="Times New Roman"/>
            <w:color w:val="000000" w:themeColor="text1"/>
            <w:sz w:val="24"/>
            <w:szCs w:val="24"/>
            <w:u w:val="single"/>
          </w:rPr>
          <w:t>https://www.oxfordeconomics.com/wp-content/uploads/2024/04/Manufacturing-Technologies-Association-The-true-impact-of-British-Manufacturing.pdf</w:t>
        </w:r>
      </w:hyperlink>
      <w:r w:rsidRPr="00743719">
        <w:rPr>
          <w:rFonts w:eastAsia="Times New Roman"/>
          <w:color w:val="000000" w:themeColor="text1"/>
          <w:sz w:val="24"/>
          <w:szCs w:val="24"/>
        </w:rPr>
        <w:t xml:space="preserve"> [Accessed on: 03.11.2025]</w:t>
      </w:r>
    </w:p>
    <w:p w14:paraId="22BE397C" w14:textId="77777777" w:rsidR="003117DC" w:rsidRPr="00743719" w:rsidRDefault="003117DC" w:rsidP="00DC2ADC">
      <w:pPr>
        <w:pBdr>
          <w:top w:val="nil"/>
          <w:left w:val="nil"/>
          <w:bottom w:val="nil"/>
          <w:right w:val="nil"/>
          <w:between w:val="nil"/>
        </w:pBdr>
        <w:spacing w:before="120" w:after="120" w:line="360" w:lineRule="auto"/>
        <w:jc w:val="both"/>
        <w:rPr>
          <w:rFonts w:eastAsia="Times New Roman"/>
          <w:color w:val="000000" w:themeColor="text1"/>
          <w:sz w:val="24"/>
          <w:szCs w:val="24"/>
        </w:rPr>
      </w:pPr>
      <w:r w:rsidRPr="00743719">
        <w:rPr>
          <w:rFonts w:eastAsia="Times New Roman"/>
          <w:color w:val="000000" w:themeColor="text1"/>
          <w:sz w:val="24"/>
          <w:szCs w:val="24"/>
        </w:rPr>
        <w:t>Phillips, B., 2021. UK further education sector journey to compliance with the general data protection regulation and the data protection act 2018. Computer Law &amp; Security Review, 42, p.105586.</w:t>
      </w:r>
    </w:p>
    <w:p w14:paraId="76B014E6" w14:textId="77777777" w:rsidR="003117DC" w:rsidRPr="00743719" w:rsidRDefault="003117DC" w:rsidP="00DC2ADC">
      <w:pPr>
        <w:pBdr>
          <w:top w:val="nil"/>
          <w:left w:val="nil"/>
          <w:bottom w:val="nil"/>
          <w:right w:val="nil"/>
          <w:between w:val="nil"/>
        </w:pBdr>
        <w:spacing w:before="200" w:line="360" w:lineRule="auto"/>
        <w:jc w:val="both"/>
        <w:rPr>
          <w:rFonts w:eastAsia="Times New Roman"/>
          <w:color w:val="000000" w:themeColor="text1"/>
          <w:sz w:val="24"/>
          <w:szCs w:val="24"/>
          <w:highlight w:val="white"/>
        </w:rPr>
      </w:pPr>
      <w:r w:rsidRPr="00743719">
        <w:rPr>
          <w:rFonts w:eastAsia="Times New Roman"/>
          <w:color w:val="000000" w:themeColor="text1"/>
          <w:sz w:val="24"/>
          <w:szCs w:val="24"/>
          <w:highlight w:val="white"/>
        </w:rPr>
        <w:t xml:space="preserve">Rahman, A. and Muktadir, M.G., 2021. SPSS: An imperative quantitative data analysis tool for social science research. </w:t>
      </w:r>
      <w:r w:rsidRPr="00743719">
        <w:rPr>
          <w:rFonts w:eastAsia="Times New Roman"/>
          <w:i/>
          <w:iCs/>
          <w:color w:val="000000" w:themeColor="text1"/>
          <w:sz w:val="24"/>
          <w:szCs w:val="24"/>
          <w:highlight w:val="white"/>
        </w:rPr>
        <w:t>International Journal of Research and Innovation in Social Science</w:t>
      </w:r>
      <w:r w:rsidRPr="00743719">
        <w:rPr>
          <w:rFonts w:eastAsia="Times New Roman"/>
          <w:color w:val="000000" w:themeColor="text1"/>
          <w:sz w:val="24"/>
          <w:szCs w:val="24"/>
          <w:highlight w:val="white"/>
        </w:rPr>
        <w:t xml:space="preserve">, </w:t>
      </w:r>
      <w:r w:rsidRPr="00743719">
        <w:rPr>
          <w:rFonts w:eastAsia="Times New Roman"/>
          <w:i/>
          <w:iCs/>
          <w:color w:val="000000" w:themeColor="text1"/>
          <w:sz w:val="24"/>
          <w:szCs w:val="24"/>
          <w:highlight w:val="white"/>
        </w:rPr>
        <w:t>5</w:t>
      </w:r>
      <w:r w:rsidRPr="00743719">
        <w:rPr>
          <w:rFonts w:eastAsia="Times New Roman"/>
          <w:color w:val="000000" w:themeColor="text1"/>
          <w:sz w:val="24"/>
          <w:szCs w:val="24"/>
          <w:highlight w:val="white"/>
        </w:rPr>
        <w:t xml:space="preserve">(10), pp.300-302. </w:t>
      </w:r>
      <w:hyperlink r:id="rId29">
        <w:r w:rsidRPr="00743719">
          <w:rPr>
            <w:rFonts w:eastAsia="Times New Roman"/>
            <w:color w:val="000000" w:themeColor="text1"/>
            <w:sz w:val="24"/>
            <w:szCs w:val="24"/>
            <w:highlight w:val="white"/>
            <w:u w:val="single"/>
          </w:rPr>
          <w:t>https://www.academia.edu/download/79116055/300-302.pdf</w:t>
        </w:r>
      </w:hyperlink>
    </w:p>
    <w:p w14:paraId="5C1EA700" w14:textId="77777777" w:rsidR="003117DC" w:rsidRPr="00743719" w:rsidRDefault="003117DC" w:rsidP="00DC2ADC">
      <w:pPr>
        <w:pBdr>
          <w:top w:val="nil"/>
          <w:left w:val="nil"/>
          <w:bottom w:val="nil"/>
          <w:right w:val="nil"/>
          <w:between w:val="nil"/>
        </w:pBdr>
        <w:spacing w:before="200" w:line="360" w:lineRule="auto"/>
        <w:jc w:val="both"/>
        <w:rPr>
          <w:rFonts w:eastAsia="Times New Roman"/>
          <w:color w:val="000000" w:themeColor="text1"/>
          <w:sz w:val="24"/>
          <w:szCs w:val="24"/>
          <w:highlight w:val="white"/>
        </w:rPr>
      </w:pPr>
      <w:r w:rsidRPr="00743719">
        <w:rPr>
          <w:rFonts w:eastAsia="Times New Roman"/>
          <w:color w:val="000000" w:themeColor="text1"/>
          <w:sz w:val="24"/>
          <w:szCs w:val="24"/>
          <w:highlight w:val="white"/>
        </w:rPr>
        <w:lastRenderedPageBreak/>
        <w:t xml:space="preserve">Rahman, M.M., 2023. Sample size determination for survey research and non-probability sampling techniques: A review and set of recommendations. </w:t>
      </w:r>
      <w:r w:rsidRPr="00743719">
        <w:rPr>
          <w:rFonts w:eastAsia="Times New Roman"/>
          <w:i/>
          <w:iCs/>
          <w:color w:val="000000" w:themeColor="text1"/>
          <w:sz w:val="24"/>
          <w:szCs w:val="24"/>
          <w:highlight w:val="white"/>
        </w:rPr>
        <w:t>Journal of Entrepreneurship, Business and Economics</w:t>
      </w:r>
      <w:r w:rsidRPr="00743719">
        <w:rPr>
          <w:rFonts w:eastAsia="Times New Roman"/>
          <w:color w:val="000000" w:themeColor="text1"/>
          <w:sz w:val="24"/>
          <w:szCs w:val="24"/>
          <w:highlight w:val="white"/>
        </w:rPr>
        <w:t xml:space="preserve">, </w:t>
      </w:r>
      <w:r w:rsidRPr="00743719">
        <w:rPr>
          <w:rFonts w:eastAsia="Times New Roman"/>
          <w:i/>
          <w:iCs/>
          <w:color w:val="000000" w:themeColor="text1"/>
          <w:sz w:val="24"/>
          <w:szCs w:val="24"/>
          <w:highlight w:val="white"/>
        </w:rPr>
        <w:t>11</w:t>
      </w:r>
      <w:r w:rsidRPr="00743719">
        <w:rPr>
          <w:rFonts w:eastAsia="Times New Roman"/>
          <w:color w:val="000000" w:themeColor="text1"/>
          <w:sz w:val="24"/>
          <w:szCs w:val="24"/>
          <w:highlight w:val="white"/>
        </w:rPr>
        <w:t xml:space="preserve">(1), pp.42-62. </w:t>
      </w:r>
      <w:hyperlink r:id="rId30">
        <w:r w:rsidRPr="00743719">
          <w:rPr>
            <w:rFonts w:eastAsia="Times New Roman"/>
            <w:color w:val="000000" w:themeColor="text1"/>
            <w:sz w:val="24"/>
            <w:szCs w:val="24"/>
            <w:highlight w:val="white"/>
            <w:u w:val="single"/>
          </w:rPr>
          <w:t>https://www.scientificia.com/index.php/JEBE/article/download/201/190</w:t>
        </w:r>
      </w:hyperlink>
    </w:p>
    <w:p w14:paraId="1EF99720" w14:textId="77777777" w:rsidR="003117DC" w:rsidRPr="00743719" w:rsidRDefault="003117DC" w:rsidP="00DC2ADC">
      <w:pPr>
        <w:pBdr>
          <w:top w:val="nil"/>
          <w:left w:val="nil"/>
          <w:bottom w:val="nil"/>
          <w:right w:val="nil"/>
          <w:between w:val="nil"/>
        </w:pBdr>
        <w:spacing w:before="120" w:after="120" w:line="360" w:lineRule="auto"/>
        <w:jc w:val="both"/>
        <w:rPr>
          <w:rFonts w:eastAsia="Times New Roman"/>
          <w:color w:val="000000" w:themeColor="text1"/>
          <w:sz w:val="24"/>
          <w:szCs w:val="24"/>
        </w:rPr>
      </w:pPr>
      <w:r w:rsidRPr="00743719">
        <w:rPr>
          <w:rFonts w:eastAsia="Times New Roman"/>
          <w:color w:val="000000" w:themeColor="text1"/>
          <w:sz w:val="24"/>
          <w:szCs w:val="24"/>
        </w:rPr>
        <w:t>Rakshit, B. and Neog, Y., 2022. Effects of the COVID-19 pandemic on stock market returns and volatilities: evidence from selected emerging economies. Studies in Economics and Finance, 39(4), pp.549-571.</w:t>
      </w:r>
    </w:p>
    <w:p w14:paraId="50FA0554" w14:textId="4E36C428" w:rsidR="00BE21C8" w:rsidRPr="00743719" w:rsidRDefault="00BE21C8" w:rsidP="00DC2ADC">
      <w:pPr>
        <w:pBdr>
          <w:top w:val="nil"/>
          <w:left w:val="nil"/>
          <w:bottom w:val="nil"/>
          <w:right w:val="nil"/>
          <w:between w:val="nil"/>
        </w:pBdr>
        <w:spacing w:before="120" w:after="120" w:line="360" w:lineRule="auto"/>
        <w:jc w:val="both"/>
        <w:rPr>
          <w:rFonts w:eastAsia="Times New Roman"/>
          <w:color w:val="000000" w:themeColor="text1"/>
          <w:sz w:val="24"/>
          <w:szCs w:val="24"/>
        </w:rPr>
      </w:pPr>
      <w:r w:rsidRPr="00743719">
        <w:rPr>
          <w:rFonts w:eastAsia="Times New Roman"/>
          <w:color w:val="000000" w:themeColor="text1"/>
          <w:sz w:val="24"/>
          <w:szCs w:val="24"/>
        </w:rPr>
        <w:t>Tavory, I. and Timmermans, S., 2022. </w:t>
      </w:r>
      <w:r w:rsidRPr="00743719">
        <w:rPr>
          <w:rFonts w:eastAsia="Times New Roman"/>
          <w:i/>
          <w:iCs/>
          <w:color w:val="000000" w:themeColor="text1"/>
          <w:sz w:val="24"/>
          <w:szCs w:val="24"/>
        </w:rPr>
        <w:t>Abductive analysis: Theorizing qualitative research</w:t>
      </w:r>
      <w:r w:rsidRPr="00743719">
        <w:rPr>
          <w:rFonts w:eastAsia="Times New Roman"/>
          <w:color w:val="000000" w:themeColor="text1"/>
          <w:sz w:val="24"/>
          <w:szCs w:val="24"/>
        </w:rPr>
        <w:t>. University of Chicago press.</w:t>
      </w:r>
    </w:p>
    <w:p w14:paraId="68275E38" w14:textId="77777777" w:rsidR="003117DC" w:rsidRPr="00743719" w:rsidRDefault="003117DC" w:rsidP="00DC2ADC">
      <w:pPr>
        <w:pBdr>
          <w:top w:val="nil"/>
          <w:left w:val="nil"/>
          <w:bottom w:val="nil"/>
          <w:right w:val="nil"/>
          <w:between w:val="nil"/>
        </w:pBdr>
        <w:spacing w:before="200" w:line="360" w:lineRule="auto"/>
        <w:jc w:val="both"/>
        <w:rPr>
          <w:rFonts w:eastAsia="Times New Roman"/>
          <w:color w:val="000000" w:themeColor="text1"/>
          <w:sz w:val="24"/>
          <w:szCs w:val="24"/>
          <w:highlight w:val="white"/>
        </w:rPr>
      </w:pPr>
      <w:r w:rsidRPr="00743719">
        <w:rPr>
          <w:rFonts w:eastAsia="Times New Roman"/>
          <w:color w:val="000000" w:themeColor="text1"/>
          <w:sz w:val="24"/>
          <w:szCs w:val="24"/>
          <w:highlight w:val="white"/>
        </w:rPr>
        <w:t xml:space="preserve">Vears, D.F. and Gillam, L., 2022. Inductive content analysis: A guide for beginning qualitative researchers. </w:t>
      </w:r>
      <w:r w:rsidRPr="00743719">
        <w:rPr>
          <w:rFonts w:eastAsia="Times New Roman"/>
          <w:i/>
          <w:iCs/>
          <w:color w:val="000000" w:themeColor="text1"/>
          <w:sz w:val="24"/>
          <w:szCs w:val="24"/>
          <w:highlight w:val="white"/>
        </w:rPr>
        <w:t>Focus on Health Professional Education: A Multi-Professional Journal</w:t>
      </w:r>
      <w:r w:rsidRPr="00743719">
        <w:rPr>
          <w:rFonts w:eastAsia="Times New Roman"/>
          <w:color w:val="000000" w:themeColor="text1"/>
          <w:sz w:val="24"/>
          <w:szCs w:val="24"/>
          <w:highlight w:val="white"/>
        </w:rPr>
        <w:t xml:space="preserve">, </w:t>
      </w:r>
      <w:r w:rsidRPr="00743719">
        <w:rPr>
          <w:rFonts w:eastAsia="Times New Roman"/>
          <w:i/>
          <w:iCs/>
          <w:color w:val="000000" w:themeColor="text1"/>
          <w:sz w:val="24"/>
          <w:szCs w:val="24"/>
          <w:highlight w:val="white"/>
        </w:rPr>
        <w:t>23</w:t>
      </w:r>
      <w:r w:rsidRPr="00743719">
        <w:rPr>
          <w:rFonts w:eastAsia="Times New Roman"/>
          <w:color w:val="000000" w:themeColor="text1"/>
          <w:sz w:val="24"/>
          <w:szCs w:val="24"/>
          <w:highlight w:val="white"/>
        </w:rPr>
        <w:t xml:space="preserve">(1), pp.111-127. </w:t>
      </w:r>
      <w:hyperlink r:id="rId31">
        <w:r w:rsidRPr="00743719">
          <w:rPr>
            <w:rFonts w:eastAsia="Times New Roman"/>
            <w:color w:val="000000" w:themeColor="text1"/>
            <w:sz w:val="24"/>
            <w:szCs w:val="24"/>
            <w:highlight w:val="white"/>
            <w:u w:val="single"/>
          </w:rPr>
          <w:t>https://search.informit.org/doi/pdf/10.3316/informit.455663644555599</w:t>
        </w:r>
      </w:hyperlink>
    </w:p>
    <w:p w14:paraId="49568201" w14:textId="77777777" w:rsidR="003117DC" w:rsidRPr="00743719" w:rsidRDefault="003117DC" w:rsidP="00DC2ADC">
      <w:pPr>
        <w:pBdr>
          <w:top w:val="nil"/>
          <w:left w:val="nil"/>
          <w:bottom w:val="nil"/>
          <w:right w:val="nil"/>
          <w:between w:val="nil"/>
        </w:pBdr>
        <w:spacing w:line="360" w:lineRule="auto"/>
        <w:jc w:val="both"/>
        <w:rPr>
          <w:rFonts w:eastAsia="Times New Roman"/>
          <w:color w:val="000000" w:themeColor="text1"/>
          <w:sz w:val="24"/>
          <w:szCs w:val="24"/>
          <w:highlight w:val="white"/>
        </w:rPr>
      </w:pPr>
      <w:r w:rsidRPr="00743719">
        <w:rPr>
          <w:rFonts w:eastAsia="Times New Roman"/>
          <w:color w:val="000000" w:themeColor="text1"/>
          <w:sz w:val="24"/>
          <w:szCs w:val="24"/>
          <w:highlight w:val="white"/>
        </w:rPr>
        <w:t xml:space="preserve">Zahoor, N., Wu, J., Khan, H. and Khan, Z., 2023. De-globalization, international trade protectionism, and the reconfigurations of global value chains. </w:t>
      </w:r>
      <w:r w:rsidRPr="00743719">
        <w:rPr>
          <w:rFonts w:eastAsia="Times New Roman"/>
          <w:i/>
          <w:iCs/>
          <w:color w:val="000000" w:themeColor="text1"/>
          <w:sz w:val="24"/>
          <w:szCs w:val="24"/>
          <w:highlight w:val="white"/>
        </w:rPr>
        <w:t>Management International Review</w:t>
      </w:r>
      <w:r w:rsidRPr="00743719">
        <w:rPr>
          <w:rFonts w:eastAsia="Times New Roman"/>
          <w:color w:val="000000" w:themeColor="text1"/>
          <w:sz w:val="24"/>
          <w:szCs w:val="24"/>
          <w:highlight w:val="white"/>
        </w:rPr>
        <w:t xml:space="preserve">, </w:t>
      </w:r>
      <w:r w:rsidRPr="00743719">
        <w:rPr>
          <w:rFonts w:eastAsia="Times New Roman"/>
          <w:i/>
          <w:iCs/>
          <w:color w:val="000000" w:themeColor="text1"/>
          <w:sz w:val="24"/>
          <w:szCs w:val="24"/>
          <w:highlight w:val="white"/>
        </w:rPr>
        <w:t>63</w:t>
      </w:r>
      <w:r w:rsidRPr="00743719">
        <w:rPr>
          <w:rFonts w:eastAsia="Times New Roman"/>
          <w:color w:val="000000" w:themeColor="text1"/>
          <w:sz w:val="24"/>
          <w:szCs w:val="24"/>
          <w:highlight w:val="white"/>
        </w:rPr>
        <w:t>(5), pp.823-859.</w:t>
      </w:r>
      <w:hyperlink r:id="rId32">
        <w:r w:rsidRPr="00743719">
          <w:rPr>
            <w:rFonts w:eastAsia="Times New Roman"/>
            <w:color w:val="000000" w:themeColor="text1"/>
            <w:sz w:val="24"/>
            <w:szCs w:val="24"/>
            <w:highlight w:val="white"/>
            <w:u w:val="single"/>
          </w:rPr>
          <w:t>https://link.springer.com/article/10.1007/s11575-023-00522-4</w:t>
        </w:r>
      </w:hyperlink>
      <w:r w:rsidRPr="00743719">
        <w:rPr>
          <w:rFonts w:eastAsia="Times New Roman"/>
          <w:color w:val="000000" w:themeColor="text1"/>
          <w:sz w:val="24"/>
          <w:szCs w:val="24"/>
          <w:highlight w:val="white"/>
        </w:rPr>
        <w:t xml:space="preserve"> </w:t>
      </w:r>
    </w:p>
    <w:p w14:paraId="58AB925A" w14:textId="77777777" w:rsidR="00E01473" w:rsidRPr="00743719" w:rsidRDefault="00E01473" w:rsidP="00DC2ADC">
      <w:pPr>
        <w:pBdr>
          <w:top w:val="nil"/>
          <w:left w:val="nil"/>
          <w:bottom w:val="nil"/>
          <w:right w:val="nil"/>
          <w:between w:val="nil"/>
        </w:pBdr>
        <w:spacing w:line="360" w:lineRule="auto"/>
        <w:jc w:val="both"/>
        <w:rPr>
          <w:rFonts w:eastAsia="Times New Roman"/>
          <w:b/>
          <w:bCs/>
          <w:color w:val="000000" w:themeColor="text1"/>
          <w:sz w:val="24"/>
          <w:szCs w:val="24"/>
          <w:highlight w:val="white"/>
        </w:rPr>
      </w:pPr>
    </w:p>
    <w:sectPr w:rsidR="00E01473" w:rsidRPr="00743719" w:rsidSect="00DC2ADC">
      <w:footerReference w:type="default" r:id="rId3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5E99BF" w14:textId="77777777" w:rsidR="00397126" w:rsidRDefault="00397126">
      <w:pPr>
        <w:spacing w:line="240" w:lineRule="auto"/>
      </w:pPr>
      <w:r>
        <w:separator/>
      </w:r>
    </w:p>
  </w:endnote>
  <w:endnote w:type="continuationSeparator" w:id="0">
    <w:p w14:paraId="4B0922C2" w14:textId="77777777" w:rsidR="00397126" w:rsidRDefault="003971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63B75A9F-77B6-42C4-B8AE-2CFC57480320}"/>
  </w:font>
  <w:font w:name="Calibri">
    <w:panose1 w:val="020F0502020204030204"/>
    <w:charset w:val="00"/>
    <w:family w:val="swiss"/>
    <w:pitch w:val="variable"/>
    <w:sig w:usb0="E4002EFF" w:usb1="C200247B" w:usb2="00000009" w:usb3="00000000" w:csb0="000001FF" w:csb1="00000000"/>
    <w:embedRegular r:id="rId2" w:fontKey="{C205544C-A950-4ED4-A040-471D134655AB}"/>
    <w:embedBold r:id="rId3" w:fontKey="{1F91DCB6-AF48-4285-A6CF-897FB701994E}"/>
  </w:font>
  <w:font w:name="Cambria Math">
    <w:panose1 w:val="02040503050406030204"/>
    <w:charset w:val="00"/>
    <w:family w:val="roman"/>
    <w:pitch w:val="variable"/>
    <w:sig w:usb0="E00006FF" w:usb1="420024FF" w:usb2="02000000" w:usb3="00000000" w:csb0="0000019F" w:csb1="00000000"/>
    <w:embedRegular r:id="rId4" w:fontKey="{39845085-58E7-4BC2-A033-DF9F8B561274}"/>
  </w:font>
  <w:font w:name="Cambria">
    <w:panose1 w:val="02040503050406030204"/>
    <w:charset w:val="00"/>
    <w:family w:val="roman"/>
    <w:pitch w:val="variable"/>
    <w:sig w:usb0="E00006FF" w:usb1="420024FF" w:usb2="02000000" w:usb3="00000000" w:csb0="0000019F" w:csb1="00000000"/>
    <w:embedRegular r:id="rId5" w:fontKey="{98F1B532-8692-41C8-8527-AC56CFE0161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A309E" w14:textId="77777777" w:rsidR="00E01473" w:rsidRDefault="00D367EC">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DC2ADC">
      <w:rPr>
        <w:noProof/>
        <w:color w:val="000000"/>
      </w:rPr>
      <w:t>2</w:t>
    </w:r>
    <w:r>
      <w:rPr>
        <w:color w:val="000000"/>
      </w:rPr>
      <w:fldChar w:fldCharType="end"/>
    </w:r>
  </w:p>
  <w:p w14:paraId="52C7F537" w14:textId="77777777" w:rsidR="00E01473" w:rsidRDefault="00E01473">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8C916C" w14:textId="77777777" w:rsidR="00397126" w:rsidRDefault="00397126">
      <w:pPr>
        <w:spacing w:line="240" w:lineRule="auto"/>
      </w:pPr>
      <w:r>
        <w:separator/>
      </w:r>
    </w:p>
  </w:footnote>
  <w:footnote w:type="continuationSeparator" w:id="0">
    <w:p w14:paraId="6A974B0C" w14:textId="77777777" w:rsidR="00397126" w:rsidRDefault="0039712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84C29"/>
    <w:multiLevelType w:val="multilevel"/>
    <w:tmpl w:val="1A76A6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2D9163B"/>
    <w:multiLevelType w:val="multilevel"/>
    <w:tmpl w:val="FF342A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36212165">
    <w:abstractNumId w:val="0"/>
  </w:num>
  <w:num w:numId="2" w16cid:durableId="16028337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1473"/>
    <w:rsid w:val="001E07C6"/>
    <w:rsid w:val="00224884"/>
    <w:rsid w:val="003117DC"/>
    <w:rsid w:val="00397126"/>
    <w:rsid w:val="00743719"/>
    <w:rsid w:val="0075595E"/>
    <w:rsid w:val="00794B18"/>
    <w:rsid w:val="00BE21C8"/>
    <w:rsid w:val="00D367EC"/>
    <w:rsid w:val="00DC2ADC"/>
    <w:rsid w:val="00E0147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7FB9D"/>
  <w15:docId w15:val="{CCFE302B-2575-40D0-840F-B7E66F769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pBdr>
        <w:top w:val="nil"/>
        <w:left w:val="nil"/>
        <w:bottom w:val="nil"/>
        <w:right w:val="nil"/>
        <w:between w:val="nil"/>
      </w:pBdr>
      <w:spacing w:line="360" w:lineRule="auto"/>
      <w:jc w:val="both"/>
      <w:outlineLvl w:val="0"/>
    </w:pPr>
    <w:rPr>
      <w:rFonts w:ascii="Times New Roman" w:eastAsia="Times New Roman" w:hAnsi="Times New Roman" w:cs="Times New Roman"/>
      <w:b/>
      <w:bCs/>
      <w:color w:val="222222"/>
      <w:sz w:val="28"/>
      <w:szCs w:val="28"/>
    </w:rPr>
  </w:style>
  <w:style w:type="paragraph" w:styleId="Heading2">
    <w:name w:val="heading 2"/>
    <w:basedOn w:val="Normal"/>
    <w:next w:val="Normal"/>
    <w:uiPriority w:val="9"/>
    <w:semiHidden/>
    <w:unhideWhenUsed/>
    <w:qFormat/>
    <w:pPr>
      <w:keepNext/>
      <w:keepLines/>
      <w:pBdr>
        <w:top w:val="nil"/>
        <w:left w:val="nil"/>
        <w:bottom w:val="nil"/>
        <w:right w:val="nil"/>
        <w:between w:val="nil"/>
      </w:pBdr>
      <w:spacing w:before="360" w:after="120"/>
      <w:outlineLvl w:val="1"/>
    </w:pPr>
    <w:rPr>
      <w:color w:val="000000"/>
      <w:sz w:val="32"/>
      <w:szCs w:val="32"/>
    </w:rPr>
  </w:style>
  <w:style w:type="paragraph" w:styleId="Heading3">
    <w:name w:val="heading 3"/>
    <w:basedOn w:val="Normal"/>
    <w:next w:val="Normal"/>
    <w:uiPriority w:val="9"/>
    <w:semiHidden/>
    <w:unhideWhenUsed/>
    <w:qFormat/>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40" w:after="80"/>
      <w:outlineLvl w:val="4"/>
    </w:pPr>
    <w:rPr>
      <w:color w:val="666666"/>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pBdr>
        <w:top w:val="nil"/>
        <w:left w:val="nil"/>
        <w:bottom w:val="nil"/>
        <w:right w:val="nil"/>
        <w:between w:val="nil"/>
      </w:pBdr>
      <w:spacing w:after="60"/>
    </w:pPr>
    <w:rPr>
      <w:color w:val="000000"/>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rsid w:val="00655793"/>
    <w:tblPr>
      <w:tblCellMar>
        <w:top w:w="100" w:type="dxa"/>
        <w:left w:w="100" w:type="dxa"/>
        <w:bottom w:w="100" w:type="dxa"/>
        <w:right w:w="100" w:type="dxa"/>
      </w:tblCellMar>
    </w:tblPr>
  </w:style>
  <w:style w:type="paragraph" w:customStyle="1" w:styleId="Normal1">
    <w:name w:val="Normal1"/>
    <w:rsid w:val="00655793"/>
  </w:style>
  <w:style w:type="table" w:customStyle="1" w:styleId="a">
    <w:basedOn w:val="TableNormal3"/>
    <w:rsid w:val="00655793"/>
    <w:tblPr>
      <w:tblStyleRowBandSize w:val="1"/>
      <w:tblStyleColBandSize w:val="1"/>
    </w:tblPr>
  </w:style>
  <w:style w:type="paragraph" w:styleId="BalloonText">
    <w:name w:val="Balloon Text"/>
    <w:basedOn w:val="Normal"/>
    <w:link w:val="BalloonTextChar"/>
    <w:uiPriority w:val="99"/>
    <w:semiHidden/>
    <w:unhideWhenUsed/>
    <w:rsid w:val="00F6571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5712"/>
    <w:rPr>
      <w:rFonts w:ascii="Tahoma" w:hAnsi="Tahoma" w:cs="Tahoma"/>
      <w:sz w:val="16"/>
      <w:szCs w:val="16"/>
    </w:rPr>
  </w:style>
  <w:style w:type="paragraph" w:styleId="Header">
    <w:name w:val="header"/>
    <w:basedOn w:val="Normal"/>
    <w:link w:val="HeaderChar"/>
    <w:uiPriority w:val="99"/>
    <w:semiHidden/>
    <w:unhideWhenUsed/>
    <w:rsid w:val="00F65712"/>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F65712"/>
  </w:style>
  <w:style w:type="paragraph" w:styleId="Footer">
    <w:name w:val="footer"/>
    <w:basedOn w:val="Normal"/>
    <w:link w:val="FooterChar"/>
    <w:uiPriority w:val="99"/>
    <w:unhideWhenUsed/>
    <w:rsid w:val="00F65712"/>
    <w:pPr>
      <w:tabs>
        <w:tab w:val="center" w:pos="4680"/>
        <w:tab w:val="right" w:pos="9360"/>
      </w:tabs>
      <w:spacing w:line="240" w:lineRule="auto"/>
    </w:pPr>
  </w:style>
  <w:style w:type="character" w:customStyle="1" w:styleId="FooterChar">
    <w:name w:val="Footer Char"/>
    <w:basedOn w:val="DefaultParagraphFont"/>
    <w:link w:val="Footer"/>
    <w:uiPriority w:val="99"/>
    <w:rsid w:val="00F65712"/>
  </w:style>
  <w:style w:type="character" w:styleId="Hyperlink">
    <w:name w:val="Hyperlink"/>
    <w:basedOn w:val="DefaultParagraphFont"/>
    <w:uiPriority w:val="99"/>
    <w:unhideWhenUsed/>
    <w:rsid w:val="0025103A"/>
    <w:rPr>
      <w:color w:val="0000FF"/>
      <w:u w:val="single"/>
    </w:rPr>
  </w:style>
  <w:style w:type="paragraph" w:styleId="TOCHeading">
    <w:name w:val="TOC Heading"/>
    <w:basedOn w:val="Heading1"/>
    <w:next w:val="Normal"/>
    <w:uiPriority w:val="39"/>
    <w:semiHidden/>
    <w:unhideWhenUsed/>
    <w:qFormat/>
    <w:rsid w:val="0025103A"/>
    <w:pPr>
      <w:spacing w:before="480" w:line="276" w:lineRule="auto"/>
      <w:jc w:val="left"/>
      <w:outlineLvl w:val="9"/>
    </w:pPr>
    <w:rPr>
      <w:rFonts w:asciiTheme="majorHAnsi" w:eastAsiaTheme="majorEastAsia" w:hAnsiTheme="majorHAnsi" w:cstheme="majorBidi"/>
      <w:color w:val="365F91" w:themeColor="accent1" w:themeShade="BF"/>
      <w:lang w:val="en-US"/>
    </w:rPr>
  </w:style>
  <w:style w:type="paragraph" w:styleId="TOC1">
    <w:name w:val="toc 1"/>
    <w:basedOn w:val="Normal"/>
    <w:next w:val="Normal"/>
    <w:autoRedefine/>
    <w:uiPriority w:val="39"/>
    <w:unhideWhenUsed/>
    <w:rsid w:val="0025103A"/>
    <w:pPr>
      <w:spacing w:after="100"/>
    </w:pPr>
  </w:style>
  <w:style w:type="paragraph" w:styleId="Subtitle">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tandfonline.com/doi/abs/10.1080/21582041.2023.2192700" TargetMode="External"/><Relationship Id="rId18" Type="http://schemas.openxmlformats.org/officeDocument/2006/relationships/hyperlink" Target="https://www.aston.ac.uk/sites/default/files/Tariffs%20and%20Triumph_v5.pdf" TargetMode="External"/><Relationship Id="rId26" Type="http://schemas.openxmlformats.org/officeDocument/2006/relationships/hyperlink" Target="https://www.researchgate.net/profile/Rahmon-Saka/publication/370960798_Exploratory_Research_Design_in_Management_Science_A_Review_of_Literature_on_Conduct_and_Application/links/663bc00708aa54017aee05c9/Exploratory-Research-Design-in-Management-Science-A-Review-of-Literature-on-Conduct-and-Application.pdf" TargetMode="External"/><Relationship Id="rId3" Type="http://schemas.openxmlformats.org/officeDocument/2006/relationships/styles" Target="styles.xml"/><Relationship Id="rId21" Type="http://schemas.openxmlformats.org/officeDocument/2006/relationships/hyperlink" Target="https://onlinelibrary.wiley.com/doi/abs/10.1111/dpr.12560"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journals.lcu.edu.ng/index.php/LCIJ/article/download/1474/1134" TargetMode="External"/><Relationship Id="rId17" Type="http://schemas.openxmlformats.org/officeDocument/2006/relationships/hyperlink" Target="https://link.springer.com/content/pdf/10.1007/s10805-022-09455-3.pdf" TargetMode="External"/><Relationship Id="rId25" Type="http://schemas.openxmlformats.org/officeDocument/2006/relationships/hyperlink" Target="https://onlinelibrary.wiley.com/doi/pdf/10.1002/bse.2715"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sciencedirect.com/science/article/pii/S0313592624001656" TargetMode="External"/><Relationship Id="rId20" Type="http://schemas.openxmlformats.org/officeDocument/2006/relationships/hyperlink" Target="https://globalindiannetwork.com/manufacturing-sector-in-2024/" TargetMode="External"/><Relationship Id="rId29" Type="http://schemas.openxmlformats.org/officeDocument/2006/relationships/hyperlink" Target="https://www.academia.edu/download/79116055/300-302.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researchgate.net/profile/Feyisa-Mulisa/publication/356567326_When_Does_a_Researcher_Choose_a_Quantitative_Qualitative_or_Mixed_Research_Approach/links/674965bb790d154bf9b386b0/When-Does-a-Researcher-Choose-a-Quantitative-Qualitative-or-Mixed-Research-Approach.pdf" TargetMode="External"/><Relationship Id="rId32" Type="http://schemas.openxmlformats.org/officeDocument/2006/relationships/hyperlink" Target="https://link.springer.com/article/10.1007/s11575-023-00522-4" TargetMode="External"/><Relationship Id="rId5" Type="http://schemas.openxmlformats.org/officeDocument/2006/relationships/webSettings" Target="webSettings.xml"/><Relationship Id="rId15" Type="http://schemas.openxmlformats.org/officeDocument/2006/relationships/hyperlink" Target="https://www.evelynbrister.net/s/Brister-2023-Paul-Thompson-and-Engaged-Phil-draft.pdf" TargetMode="External"/><Relationship Id="rId23" Type="http://schemas.openxmlformats.org/officeDocument/2006/relationships/hyperlink" Target="https://kpmg.com/uk/en/media/press-releases/2025/04/us-tariffs-on-uk-exports.html" TargetMode="External"/><Relationship Id="rId28" Type="http://schemas.openxmlformats.org/officeDocument/2006/relationships/hyperlink" Target="https://www.oxfordeconomics.com/wp-content/uploads/2024/04/Manufacturing-Technologies-Association-The-true-impact-of-British-Manufacturing.pdf" TargetMode="External"/><Relationship Id="rId10" Type="http://schemas.openxmlformats.org/officeDocument/2006/relationships/image" Target="media/image3.png"/><Relationship Id="rId19" Type="http://schemas.openxmlformats.org/officeDocument/2006/relationships/hyperlink" Target="https://onlinelibrary.wiley.com/doi/abs/10.1111/twec.13119" TargetMode="External"/><Relationship Id="rId31" Type="http://schemas.openxmlformats.org/officeDocument/2006/relationships/hyperlink" Target="https://search.informit.org/doi/pdf/10.3316/informit.45566364455559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esearchgate.net/profile/Anfo-Pub-2/publication/388752840_The_Impact_of_Contract_Negotiations_on_Supplier_Relationships_A_Review_of_Key_Theories_and_Frameworks_for_Organizational_Efficiency/links/67a4a7e7207c0c20fa7b586f/The-Impact-of-Contract-Negotiations-on-Supplier-Relationships-A-Review-of-Key-Theories-and-Frameworks-for-Organizational-Efficiency.pdf" TargetMode="External"/><Relationship Id="rId22" Type="http://schemas.openxmlformats.org/officeDocument/2006/relationships/hyperlink" Target="https://www.sciencedirect.com/science/article/pii/S0148296322006567" TargetMode="External"/><Relationship Id="rId27" Type="http://schemas.openxmlformats.org/officeDocument/2006/relationships/hyperlink" Target="https://www.ons.gov.uk/economy/nationalaccounts/balanceofpayments/bulletins/uktrade/april2025" TargetMode="External"/><Relationship Id="rId30" Type="http://schemas.openxmlformats.org/officeDocument/2006/relationships/hyperlink" Target="https://www.scientificia.com/index.php/JEBE/article/download/201/190" TargetMode="External"/><Relationship Id="rId35" Type="http://schemas.openxmlformats.org/officeDocument/2006/relationships/theme" Target="theme/theme1.xml"/><Relationship Id="rId8" Type="http://schemas.openxmlformats.org/officeDocument/2006/relationships/image" Target="media/image1.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1FowOjOiHF+YD7sUJqgtZbzj8g==">CgMxLjAyDmgudHhlMmluYzlweWR2Mg5oLnF3aGo4d3huc3FoaDIOaC5kMGV3cjhvNmRxZzMyDmguMzQwNjVweXR3dnBuMg5oLmJyc2tnenU5cnB2YzIOaC5kM3J6Y2p6aDNieWsyDmguMWwyNnpqd21rZzhkOAByITFkMm9aWlB2R1R5RUF4VUJ6TmxWb2FNZjdQTjZ3d1liZw==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4494</Words>
  <Characters>25618</Characters>
  <Application>Microsoft Office Word</Application>
  <DocSecurity>4</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PRATIK PRAJAPATI</dc:creator>
  <cp:lastModifiedBy>pratik prajapati</cp:lastModifiedBy>
  <cp:revision>2</cp:revision>
  <dcterms:created xsi:type="dcterms:W3CDTF">2025-11-14T12:51:00Z</dcterms:created>
  <dcterms:modified xsi:type="dcterms:W3CDTF">2025-11-14T12:51:00Z</dcterms:modified>
</cp:coreProperties>
</file>