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75660" w14:textId="3635734C" w:rsidR="002D14F1" w:rsidRDefault="002D14F1" w:rsidP="002D14F1">
      <w:pPr>
        <w:jc w:val="center"/>
      </w:pPr>
      <w:r>
        <w:rPr>
          <w:noProof/>
        </w:rPr>
        <w:drawing>
          <wp:anchor distT="0" distB="0" distL="114300" distR="114300" simplePos="0" relativeHeight="251658240" behindDoc="1" locked="0" layoutInCell="1" allowOverlap="1" wp14:anchorId="6A2A6F29" wp14:editId="70EFAFBA">
            <wp:simplePos x="0" y="0"/>
            <wp:positionH relativeFrom="margin">
              <wp:align>center</wp:align>
            </wp:positionH>
            <wp:positionV relativeFrom="paragraph">
              <wp:posOffset>10160</wp:posOffset>
            </wp:positionV>
            <wp:extent cx="2690495" cy="1026795"/>
            <wp:effectExtent l="0" t="0" r="0" b="1905"/>
            <wp:wrapTight wrapText="bothSides">
              <wp:wrapPolygon edited="0">
                <wp:start x="0" y="0"/>
                <wp:lineTo x="0" y="21239"/>
                <wp:lineTo x="21411" y="21239"/>
                <wp:lineTo x="21411" y="0"/>
                <wp:lineTo x="0" y="0"/>
              </wp:wrapPolygon>
            </wp:wrapTight>
            <wp:docPr id="2047575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90495" cy="1026795"/>
                    </a:xfrm>
                    <a:prstGeom prst="rect">
                      <a:avLst/>
                    </a:prstGeom>
                    <a:noFill/>
                  </pic:spPr>
                </pic:pic>
              </a:graphicData>
            </a:graphic>
            <wp14:sizeRelH relativeFrom="margin">
              <wp14:pctWidth>0</wp14:pctWidth>
            </wp14:sizeRelH>
            <wp14:sizeRelV relativeFrom="margin">
              <wp14:pctHeight>0</wp14:pctHeight>
            </wp14:sizeRelV>
          </wp:anchor>
        </w:drawing>
      </w:r>
    </w:p>
    <w:p w14:paraId="43B9A2F3" w14:textId="77777777" w:rsidR="002D14F1" w:rsidRDefault="002D14F1" w:rsidP="002D14F1">
      <w:pPr>
        <w:jc w:val="center"/>
      </w:pPr>
    </w:p>
    <w:p w14:paraId="43AD2AB4" w14:textId="77777777" w:rsidR="002D14F1" w:rsidRDefault="002D14F1" w:rsidP="002D14F1">
      <w:pPr>
        <w:jc w:val="center"/>
      </w:pPr>
    </w:p>
    <w:p w14:paraId="654C20D7" w14:textId="77777777" w:rsidR="002D14F1" w:rsidRDefault="002D14F1" w:rsidP="002D14F1">
      <w:pPr>
        <w:jc w:val="center"/>
      </w:pPr>
    </w:p>
    <w:p w14:paraId="3494D610" w14:textId="77777777" w:rsidR="002D14F1" w:rsidRDefault="002D14F1" w:rsidP="002D14F1">
      <w:pPr>
        <w:jc w:val="center"/>
      </w:pPr>
    </w:p>
    <w:p w14:paraId="4CE4E440" w14:textId="77777777" w:rsidR="002D14F1" w:rsidRDefault="002D14F1" w:rsidP="002D14F1">
      <w:pPr>
        <w:jc w:val="center"/>
      </w:pPr>
    </w:p>
    <w:p w14:paraId="04154D2F" w14:textId="77777777" w:rsidR="002D14F1" w:rsidRPr="00114D2A" w:rsidRDefault="002D14F1" w:rsidP="002D14F1">
      <w:pPr>
        <w:jc w:val="center"/>
      </w:pPr>
    </w:p>
    <w:p w14:paraId="403EC70F" w14:textId="254AAAA7" w:rsidR="002D14F1" w:rsidRDefault="002D14F1" w:rsidP="002D14F1">
      <w:pPr>
        <w:spacing w:after="0" w:line="240" w:lineRule="auto"/>
        <w:jc w:val="center"/>
        <w:rPr>
          <w:rFonts w:ascii="Play" w:eastAsia="Play" w:hAnsi="Play" w:cs="Play"/>
          <w:sz w:val="72"/>
        </w:rPr>
      </w:pPr>
      <w:r w:rsidRPr="00114D2A">
        <w:rPr>
          <w:rFonts w:ascii="Play" w:eastAsia="Play" w:hAnsi="Play" w:cs="Play"/>
          <w:sz w:val="72"/>
        </w:rPr>
        <w:t>Essay</w:t>
      </w:r>
    </w:p>
    <w:p w14:paraId="2FCB9992" w14:textId="77777777" w:rsidR="00924AA7" w:rsidRPr="00114D2A" w:rsidRDefault="00924AA7" w:rsidP="002D14F1">
      <w:pPr>
        <w:spacing w:after="0" w:line="240" w:lineRule="auto"/>
        <w:jc w:val="center"/>
      </w:pPr>
    </w:p>
    <w:p w14:paraId="43677320" w14:textId="4F301CB5" w:rsidR="002D14F1" w:rsidRPr="00114D2A" w:rsidRDefault="002D14F1" w:rsidP="002D14F1">
      <w:pPr>
        <w:spacing w:before="120"/>
        <w:jc w:val="center"/>
        <w:rPr>
          <w:sz w:val="36"/>
          <w:szCs w:val="36"/>
        </w:rPr>
      </w:pPr>
      <w:r w:rsidRPr="00114D2A">
        <w:rPr>
          <w:sz w:val="36"/>
          <w:szCs w:val="36"/>
        </w:rPr>
        <w:t>Module Name: Psychology in Health and Social Care</w:t>
      </w:r>
    </w:p>
    <w:p w14:paraId="72B862F2" w14:textId="7D677B47" w:rsidR="002D14F1" w:rsidRPr="00114D2A" w:rsidRDefault="002D14F1" w:rsidP="002D14F1">
      <w:pPr>
        <w:spacing w:before="120"/>
        <w:jc w:val="center"/>
        <w:rPr>
          <w:sz w:val="36"/>
          <w:szCs w:val="36"/>
        </w:rPr>
      </w:pPr>
      <w:r w:rsidRPr="00114D2A">
        <w:rPr>
          <w:sz w:val="36"/>
          <w:szCs w:val="36"/>
        </w:rPr>
        <w:t>Module Code: LCHS4010</w:t>
      </w:r>
    </w:p>
    <w:p w14:paraId="26B8D354" w14:textId="77777777" w:rsidR="002D14F1" w:rsidRPr="00114D2A" w:rsidRDefault="002D14F1" w:rsidP="002D14F1">
      <w:pPr>
        <w:spacing w:before="120"/>
        <w:jc w:val="center"/>
        <w:rPr>
          <w:sz w:val="36"/>
          <w:szCs w:val="36"/>
        </w:rPr>
      </w:pPr>
      <w:r w:rsidRPr="00114D2A">
        <w:rPr>
          <w:sz w:val="36"/>
          <w:szCs w:val="36"/>
        </w:rPr>
        <w:t>Student name: Vikki Short</w:t>
      </w:r>
    </w:p>
    <w:p w14:paraId="1B900945" w14:textId="77777777" w:rsidR="002D14F1" w:rsidRPr="00114D2A" w:rsidRDefault="002D14F1" w:rsidP="002D14F1">
      <w:pPr>
        <w:spacing w:before="120"/>
        <w:jc w:val="center"/>
        <w:rPr>
          <w:sz w:val="36"/>
          <w:szCs w:val="36"/>
        </w:rPr>
      </w:pPr>
      <w:r w:rsidRPr="00114D2A">
        <w:rPr>
          <w:sz w:val="36"/>
          <w:szCs w:val="36"/>
        </w:rPr>
        <w:t>Student ID: 2508523</w:t>
      </w:r>
    </w:p>
    <w:p w14:paraId="6F691C7E" w14:textId="0197079A" w:rsidR="002D14F1" w:rsidRPr="00114D2A" w:rsidRDefault="002D14F1" w:rsidP="002D14F1">
      <w:pPr>
        <w:spacing w:before="120"/>
        <w:jc w:val="center"/>
        <w:rPr>
          <w:sz w:val="36"/>
          <w:szCs w:val="36"/>
        </w:rPr>
      </w:pPr>
      <w:r w:rsidRPr="00114D2A">
        <w:rPr>
          <w:sz w:val="36"/>
          <w:szCs w:val="36"/>
        </w:rPr>
        <w:t>Lecturer’s Name: Lou Wells</w:t>
      </w:r>
    </w:p>
    <w:p w14:paraId="3EE470BA" w14:textId="77777777" w:rsidR="002D14F1" w:rsidRDefault="002D14F1" w:rsidP="002D14F1">
      <w:pPr>
        <w:spacing w:before="120"/>
        <w:jc w:val="center"/>
        <w:rPr>
          <w:sz w:val="36"/>
          <w:szCs w:val="36"/>
        </w:rPr>
      </w:pPr>
    </w:p>
    <w:p w14:paraId="1D1D5AB3" w14:textId="77777777" w:rsidR="002D14F1" w:rsidRDefault="002D14F1" w:rsidP="002D14F1">
      <w:pPr>
        <w:spacing w:before="120"/>
        <w:jc w:val="center"/>
        <w:rPr>
          <w:sz w:val="36"/>
          <w:szCs w:val="36"/>
        </w:rPr>
      </w:pPr>
    </w:p>
    <w:p w14:paraId="04EBB262" w14:textId="77777777" w:rsidR="002D14F1" w:rsidRDefault="002D14F1" w:rsidP="002D14F1">
      <w:pPr>
        <w:spacing w:before="120"/>
        <w:jc w:val="center"/>
        <w:rPr>
          <w:sz w:val="36"/>
          <w:szCs w:val="36"/>
        </w:rPr>
      </w:pPr>
    </w:p>
    <w:p w14:paraId="318C912E" w14:textId="77777777" w:rsidR="002D14F1" w:rsidRDefault="002D14F1" w:rsidP="002D14F1">
      <w:pPr>
        <w:spacing w:before="120"/>
        <w:jc w:val="center"/>
        <w:rPr>
          <w:sz w:val="36"/>
          <w:szCs w:val="36"/>
        </w:rPr>
      </w:pPr>
    </w:p>
    <w:p w14:paraId="3CF291A3" w14:textId="77777777" w:rsidR="002D14F1" w:rsidRDefault="002D14F1" w:rsidP="002D14F1">
      <w:pPr>
        <w:spacing w:before="120"/>
        <w:jc w:val="center"/>
        <w:rPr>
          <w:sz w:val="36"/>
          <w:szCs w:val="36"/>
        </w:rPr>
      </w:pPr>
    </w:p>
    <w:p w14:paraId="1D571DC3" w14:textId="77777777" w:rsidR="002D14F1" w:rsidRDefault="002D14F1" w:rsidP="002D14F1">
      <w:pPr>
        <w:spacing w:before="120"/>
        <w:jc w:val="center"/>
        <w:rPr>
          <w:sz w:val="36"/>
          <w:szCs w:val="36"/>
        </w:rPr>
      </w:pPr>
    </w:p>
    <w:p w14:paraId="31BF985B" w14:textId="77777777" w:rsidR="002D14F1" w:rsidRDefault="002D14F1" w:rsidP="002D14F1">
      <w:pPr>
        <w:spacing w:before="120"/>
        <w:jc w:val="center"/>
        <w:rPr>
          <w:sz w:val="36"/>
          <w:szCs w:val="36"/>
        </w:rPr>
      </w:pPr>
    </w:p>
    <w:p w14:paraId="48BADCD1" w14:textId="77777777" w:rsidR="002D14F1" w:rsidRDefault="002D14F1" w:rsidP="002D14F1">
      <w:pPr>
        <w:spacing w:before="120"/>
        <w:jc w:val="center"/>
        <w:rPr>
          <w:sz w:val="36"/>
          <w:szCs w:val="36"/>
        </w:rPr>
      </w:pPr>
    </w:p>
    <w:p w14:paraId="3EB7297A" w14:textId="77777777" w:rsidR="002D14F1" w:rsidRDefault="002D14F1" w:rsidP="002D14F1">
      <w:pPr>
        <w:spacing w:before="120"/>
        <w:jc w:val="center"/>
        <w:rPr>
          <w:sz w:val="36"/>
          <w:szCs w:val="36"/>
        </w:rPr>
      </w:pPr>
    </w:p>
    <w:p w14:paraId="16037532" w14:textId="6B126CB5" w:rsidR="002D14F1" w:rsidRPr="002D14F1" w:rsidRDefault="002D14F1" w:rsidP="002D14F1">
      <w:pPr>
        <w:pStyle w:val="NormalWeb"/>
        <w:spacing w:line="360" w:lineRule="auto"/>
        <w:rPr>
          <w:rFonts w:ascii="Arial" w:hAnsi="Arial" w:cs="Arial"/>
          <w:sz w:val="22"/>
          <w:szCs w:val="22"/>
        </w:rPr>
      </w:pPr>
      <w:r w:rsidRPr="002D14F1">
        <w:rPr>
          <w:rFonts w:ascii="Arial" w:hAnsi="Arial" w:cs="Arial"/>
          <w:sz w:val="22"/>
          <w:szCs w:val="22"/>
        </w:rPr>
        <w:lastRenderedPageBreak/>
        <w:t>Social media has become a central part of everyday life for most adolescents, shaping how they communicate, form friendships, and develop their sense of identity. Platforms such as Instagram, TikTok, Snapchat, and YouTube are now deeply embedded in young people’s social worlds, influencing how they present themselves and how they interpret the behaviour of others. While social media can offer meaningful benefits</w:t>
      </w:r>
      <w:r w:rsidR="00554766">
        <w:rPr>
          <w:rFonts w:ascii="Arial" w:hAnsi="Arial" w:cs="Arial"/>
          <w:sz w:val="22"/>
          <w:szCs w:val="22"/>
        </w:rPr>
        <w:t xml:space="preserve"> </w:t>
      </w:r>
      <w:r w:rsidRPr="002D14F1">
        <w:rPr>
          <w:rFonts w:ascii="Arial" w:hAnsi="Arial" w:cs="Arial"/>
          <w:sz w:val="22"/>
          <w:szCs w:val="22"/>
        </w:rPr>
        <w:t>such as opportunities for connection, creativity, and entertainment</w:t>
      </w:r>
      <w:r w:rsidR="00554766">
        <w:rPr>
          <w:rFonts w:ascii="Arial" w:hAnsi="Arial" w:cs="Arial"/>
          <w:sz w:val="22"/>
          <w:szCs w:val="22"/>
        </w:rPr>
        <w:t xml:space="preserve"> </w:t>
      </w:r>
      <w:r w:rsidRPr="002D14F1">
        <w:rPr>
          <w:rFonts w:ascii="Arial" w:hAnsi="Arial" w:cs="Arial"/>
          <w:sz w:val="22"/>
          <w:szCs w:val="22"/>
        </w:rPr>
        <w:t>research consistently shows that it can also negatively affect young people’s mental health. Adolescence is a particularly sensitive developmental stage, characterised by rapid emotional, cognitive, and social changes. During this period, individuals become more aware of peer opinions, more sensitive to social evaluation, and more focused on developing a stable sense of self. These developmental factors can make adolescents especially vulnerable to the pressures and expectations that social media creates. Studies have found strong links between heavy social media use and increased levels of anxiety, depression, loneliness, and low self-esteem (Keles, McCrae and Grealish, 2020). To understand why social media can have such a powerful impact on adolescent wellbeing, this essay draws on Bowlby’s Attachment Theory and Bandura’s Social Learning Theory. These theories help explain how early relationships shape emotional responses to online interactions and how young people learn behaviours, compare themselves to others, and internalise social norms through digital environments.</w:t>
      </w:r>
    </w:p>
    <w:p w14:paraId="1DB3B4D1" w14:textId="6E29A850" w:rsidR="002D14F1" w:rsidRPr="002D14F1" w:rsidRDefault="002D14F1" w:rsidP="002D14F1">
      <w:pPr>
        <w:pStyle w:val="NormalWeb"/>
        <w:spacing w:line="360" w:lineRule="auto"/>
        <w:rPr>
          <w:rFonts w:ascii="Arial" w:hAnsi="Arial" w:cs="Arial"/>
          <w:sz w:val="22"/>
          <w:szCs w:val="22"/>
        </w:rPr>
      </w:pPr>
      <w:r w:rsidRPr="002D14F1">
        <w:rPr>
          <w:rFonts w:ascii="Arial" w:hAnsi="Arial" w:cs="Arial"/>
          <w:sz w:val="22"/>
          <w:szCs w:val="22"/>
        </w:rPr>
        <w:t>Bowlby’s Attachment Theory provides a useful framework for understanding why some adolescents are more emotionally affected by social media than others. According to Bowlby (1969), early relationships with caregivers form an internal working model that influences how individuals view themselves, how they expect others to behave, and how they manage emotions. Adolescents with secure attachments typically develop confidence, emotional stability, and a positive sense of self-worth. They tend to believe that others are reliable and supportive, which helps them navigate social situations with resilience. In contrast, adolescents with insecure attachments</w:t>
      </w:r>
      <w:r w:rsidR="0053123E">
        <w:rPr>
          <w:rFonts w:ascii="Arial" w:hAnsi="Arial" w:cs="Arial"/>
          <w:sz w:val="22"/>
          <w:szCs w:val="22"/>
        </w:rPr>
        <w:t xml:space="preserve"> </w:t>
      </w:r>
      <w:r w:rsidRPr="002D14F1">
        <w:rPr>
          <w:rFonts w:ascii="Arial" w:hAnsi="Arial" w:cs="Arial"/>
          <w:sz w:val="22"/>
          <w:szCs w:val="22"/>
        </w:rPr>
        <w:t>whether anxious, avoidant, or disorganised</w:t>
      </w:r>
      <w:r w:rsidR="0053123E">
        <w:rPr>
          <w:rFonts w:ascii="Arial" w:hAnsi="Arial" w:cs="Arial"/>
          <w:sz w:val="22"/>
          <w:szCs w:val="22"/>
        </w:rPr>
        <w:t xml:space="preserve"> </w:t>
      </w:r>
      <w:r w:rsidRPr="002D14F1">
        <w:rPr>
          <w:rFonts w:ascii="Arial" w:hAnsi="Arial" w:cs="Arial"/>
          <w:sz w:val="22"/>
          <w:szCs w:val="22"/>
        </w:rPr>
        <w:t>may struggle with fears of rejection, difficulties regulating emotions, and negative beliefs about themselves. These internal working models continue to influence behaviour throughout adolescence and can shape how young people interpret online interactions.</w:t>
      </w:r>
    </w:p>
    <w:p w14:paraId="122C6B81" w14:textId="77777777" w:rsidR="002D14F1" w:rsidRPr="002D14F1" w:rsidRDefault="002D14F1" w:rsidP="002D14F1">
      <w:pPr>
        <w:pStyle w:val="NormalWeb"/>
        <w:spacing w:line="360" w:lineRule="auto"/>
        <w:rPr>
          <w:rFonts w:ascii="Arial" w:hAnsi="Arial" w:cs="Arial"/>
          <w:sz w:val="22"/>
          <w:szCs w:val="22"/>
        </w:rPr>
      </w:pPr>
      <w:r w:rsidRPr="002D14F1">
        <w:rPr>
          <w:rFonts w:ascii="Arial" w:hAnsi="Arial" w:cs="Arial"/>
          <w:sz w:val="22"/>
          <w:szCs w:val="22"/>
        </w:rPr>
        <w:t xml:space="preserve">Social media can intensify these attachment-based patterns. For securely attached adolescents, online communication may strengthen friendships, provide additional emotional support, and offer a safe space for self-expression. They may be able to interpret online interactions more realistically and cope better with negative experiences. However, for adolescents with insecure attachments, social media can become a space where existing worries about rejection or exclusion are amplified. Seeing friends interact without them, </w:t>
      </w:r>
      <w:r w:rsidRPr="002D14F1">
        <w:rPr>
          <w:rFonts w:ascii="Arial" w:hAnsi="Arial" w:cs="Arial"/>
          <w:sz w:val="22"/>
          <w:szCs w:val="22"/>
        </w:rPr>
        <w:lastRenderedPageBreak/>
        <w:t>receiving fewer likes or comments than expected, or experiencing delayed responses can be interpreted as personal rejection. These interpretations may not reflect reality, but they align with the internal working models formed in early childhood. Research supports this connection, showing that adolescents with insecure attachment styles are more likely to use social media in unhealthy or compulsive ways and experience negative emotional outcomes (</w:t>
      </w:r>
      <w:proofErr w:type="spellStart"/>
      <w:r w:rsidRPr="002D14F1">
        <w:rPr>
          <w:rFonts w:ascii="Arial" w:hAnsi="Arial" w:cs="Arial"/>
          <w:sz w:val="22"/>
          <w:szCs w:val="22"/>
        </w:rPr>
        <w:t>Monacis</w:t>
      </w:r>
      <w:proofErr w:type="spellEnd"/>
      <w:r w:rsidRPr="002D14F1">
        <w:rPr>
          <w:rFonts w:ascii="Arial" w:hAnsi="Arial" w:cs="Arial"/>
          <w:sz w:val="22"/>
          <w:szCs w:val="22"/>
        </w:rPr>
        <w:t xml:space="preserve"> et al., 2017). This suggests that early attachment experiences continue to shape how young people respond to the complex social dynamics of digital environments.</w:t>
      </w:r>
    </w:p>
    <w:p w14:paraId="4D24E278" w14:textId="776F0094" w:rsidR="002D14F1" w:rsidRPr="002D14F1" w:rsidRDefault="002D14F1" w:rsidP="002D14F1">
      <w:pPr>
        <w:pStyle w:val="NormalWeb"/>
        <w:spacing w:line="360" w:lineRule="auto"/>
        <w:rPr>
          <w:rFonts w:ascii="Arial" w:hAnsi="Arial" w:cs="Arial"/>
          <w:sz w:val="22"/>
          <w:szCs w:val="22"/>
        </w:rPr>
      </w:pPr>
      <w:r w:rsidRPr="002D14F1">
        <w:rPr>
          <w:rFonts w:ascii="Arial" w:hAnsi="Arial" w:cs="Arial"/>
          <w:sz w:val="22"/>
          <w:szCs w:val="22"/>
        </w:rPr>
        <w:t xml:space="preserve">Social media also encourages adolescents to seek approval and validation from others, which can be particularly challenging for those with anxious attachment. Adolescents with anxious attachment may rely heavily on reassurance from peers and may be especially sensitive to signs of disapproval or exclusion. Social media platforms, with their constant flow of likes, comments, and notifications, can intensify this need for validation. These adolescents may post frequently, check their notifications repeatedly, or feel distressed if they do not receive the response they hoped for. This behaviour can create a cycle where social media is used to manage </w:t>
      </w:r>
      <w:r w:rsidR="004F3A0C" w:rsidRPr="002D14F1">
        <w:rPr>
          <w:rFonts w:ascii="Arial" w:hAnsi="Arial" w:cs="Arial"/>
          <w:sz w:val="22"/>
          <w:szCs w:val="22"/>
        </w:rPr>
        <w:t>emotions but</w:t>
      </w:r>
      <w:r w:rsidRPr="002D14F1">
        <w:rPr>
          <w:rFonts w:ascii="Arial" w:hAnsi="Arial" w:cs="Arial"/>
          <w:sz w:val="22"/>
          <w:szCs w:val="22"/>
        </w:rPr>
        <w:t xml:space="preserve"> ultimately increases anxiety and insecurity. In addition, social media exposes adolescents to idealised images of peers, influencers, and celebrities. These images are often edited, filtered, or carefully selected to present a perfect version of life. Adolescents may compare themselves to these unrealistic standards, leading to feelings of inadequacy. For those with insecure attachments, these comparisons may reinforce existing feelings of low self-worth. Bowlby’s theory therefore helps explain why some adolescents are more emotionally affected by social media than others: their early relationships shape how they interpret and respond to online interactions.</w:t>
      </w:r>
    </w:p>
    <w:p w14:paraId="1B10EEB0" w14:textId="77777777" w:rsidR="002D14F1" w:rsidRPr="002D14F1" w:rsidRDefault="002D14F1" w:rsidP="002D14F1">
      <w:pPr>
        <w:pStyle w:val="NormalWeb"/>
        <w:spacing w:line="360" w:lineRule="auto"/>
        <w:rPr>
          <w:rFonts w:ascii="Arial" w:hAnsi="Arial" w:cs="Arial"/>
          <w:sz w:val="22"/>
          <w:szCs w:val="22"/>
        </w:rPr>
      </w:pPr>
      <w:r w:rsidRPr="002D14F1">
        <w:rPr>
          <w:rFonts w:ascii="Arial" w:hAnsi="Arial" w:cs="Arial"/>
          <w:sz w:val="22"/>
          <w:szCs w:val="22"/>
        </w:rPr>
        <w:t>Bandura’s Social Learning Theory also provides valuable insight into the impact of social media on adolescent mental health. According to Bandura (1977), people learn behaviours, attitudes, and emotional responses by observing others, especially those they admire or see as similar to themselves. Social media dramatically increases opportunities for observational learning because adolescents are constantly exposed to the behaviours, lifestyles, and achievements of others. They may copy behaviours that appear to be rewarded with likes, comments, or followers. This can create pressure to look a certain way, act in a particular manner, or present an idealised version of themselves online. Research has shown that exposure to idealised images on social media is linked to body dissatisfaction and depressive symptoms in adolescents (</w:t>
      </w:r>
      <w:proofErr w:type="spellStart"/>
      <w:r w:rsidRPr="002D14F1">
        <w:rPr>
          <w:rFonts w:ascii="Arial" w:hAnsi="Arial" w:cs="Arial"/>
          <w:sz w:val="22"/>
          <w:szCs w:val="22"/>
        </w:rPr>
        <w:t>Fardouly</w:t>
      </w:r>
      <w:proofErr w:type="spellEnd"/>
      <w:r w:rsidRPr="002D14F1">
        <w:rPr>
          <w:rFonts w:ascii="Arial" w:hAnsi="Arial" w:cs="Arial"/>
          <w:sz w:val="22"/>
          <w:szCs w:val="22"/>
        </w:rPr>
        <w:t xml:space="preserve"> and Vartanian, 2016). Social Learning Theory helps explain this by showing how repeated exposure to rewarded behaviours leads adolescents to internalise unrealistic standards and compare themselves negatively.</w:t>
      </w:r>
    </w:p>
    <w:p w14:paraId="73A18849" w14:textId="77777777" w:rsidR="002D14F1" w:rsidRPr="002D14F1" w:rsidRDefault="002D14F1" w:rsidP="002D14F1">
      <w:pPr>
        <w:pStyle w:val="NormalWeb"/>
        <w:spacing w:line="360" w:lineRule="auto"/>
        <w:rPr>
          <w:rFonts w:ascii="Arial" w:hAnsi="Arial" w:cs="Arial"/>
          <w:sz w:val="22"/>
          <w:szCs w:val="22"/>
        </w:rPr>
      </w:pPr>
      <w:r w:rsidRPr="002D14F1">
        <w:rPr>
          <w:rFonts w:ascii="Arial" w:hAnsi="Arial" w:cs="Arial"/>
          <w:sz w:val="22"/>
          <w:szCs w:val="22"/>
        </w:rPr>
        <w:lastRenderedPageBreak/>
        <w:t>Social Learning Theory also explains how risky or harmful behaviours can spread online. Adolescents may see peers or influencers engaging in dangerous challenges, self-harm, substance use, or extreme dieting. When these behaviours receive attention, praise, or high engagement, they may appear normal or socially acceptable. Bandura argued that people are more likely to imitate behaviours that seem to be rewarded. On social media, likes, shares, and comments act as powerful reinforcers, increasing the likelihood that adolescents will copy what they see. This can contribute to mental health difficulties, especially when young people are exposed to harmful or triggering content. However, Social Learning Theory also highlights the potential for positive influence. Social media can expose adolescents to supportive communities, mental health information, and positive role models who promote healthy behaviours. Influencers who encourage self-care, resilience, creativity, or activism can have a beneficial impact. This demonstrates that social media can have both positive and negative effects, depending on the content adolescents engage with and the behaviours they observe.</w:t>
      </w:r>
    </w:p>
    <w:p w14:paraId="16F65B1F" w14:textId="0477E193" w:rsidR="002D14F1" w:rsidRPr="002D14F1" w:rsidRDefault="002D14F1" w:rsidP="002D14F1">
      <w:pPr>
        <w:pStyle w:val="NormalWeb"/>
        <w:spacing w:line="360" w:lineRule="auto"/>
        <w:rPr>
          <w:rFonts w:ascii="Arial" w:hAnsi="Arial" w:cs="Arial"/>
          <w:sz w:val="22"/>
          <w:szCs w:val="22"/>
        </w:rPr>
      </w:pPr>
      <w:r w:rsidRPr="002D14F1">
        <w:rPr>
          <w:rFonts w:ascii="Arial" w:hAnsi="Arial" w:cs="Arial"/>
          <w:sz w:val="22"/>
          <w:szCs w:val="22"/>
        </w:rPr>
        <w:t xml:space="preserve">When Attachment Theory and Social Learning Theory are combined, they offer a deeper and more </w:t>
      </w:r>
      <w:r w:rsidR="00E82E14">
        <w:rPr>
          <w:rFonts w:ascii="Arial" w:hAnsi="Arial" w:cs="Arial"/>
          <w:sz w:val="22"/>
          <w:szCs w:val="22"/>
        </w:rPr>
        <w:t>detailed</w:t>
      </w:r>
      <w:r w:rsidR="00A6381D">
        <w:rPr>
          <w:rFonts w:ascii="Arial" w:hAnsi="Arial" w:cs="Arial"/>
          <w:sz w:val="22"/>
          <w:szCs w:val="22"/>
        </w:rPr>
        <w:t xml:space="preserve"> </w:t>
      </w:r>
      <w:r w:rsidRPr="002D14F1">
        <w:rPr>
          <w:rFonts w:ascii="Arial" w:hAnsi="Arial" w:cs="Arial"/>
          <w:sz w:val="22"/>
          <w:szCs w:val="22"/>
        </w:rPr>
        <w:t>understanding of why social media affects adolescents differently. Adolescents with insecure attachments may be more likely to compare themselves to others, seek validation, or feel rejected online. This makes them more vulnerable to the pressures described in Social Learning Theory. For example, an adolescent with anxious attachment may compare themselves to influencers who receive large amounts of praise, leading to feelings of inadequacy and self-doubt. Those with avoidant attachment may withdraw from face-to-face relationships and rely more heavily on online interactions, which can increase loneliness and reduce opportunities for meaningful connection. The interaction between early attachment experiences and observational learning helps explain why some adolescents experience significant mental health challenges related to social media, while others do not.</w:t>
      </w:r>
    </w:p>
    <w:p w14:paraId="04127ED2" w14:textId="77777777" w:rsidR="002D14F1" w:rsidRPr="002D14F1" w:rsidRDefault="002D14F1" w:rsidP="002D14F1">
      <w:pPr>
        <w:pStyle w:val="NormalWeb"/>
        <w:spacing w:line="360" w:lineRule="auto"/>
        <w:rPr>
          <w:rFonts w:ascii="Arial" w:hAnsi="Arial" w:cs="Arial"/>
          <w:sz w:val="22"/>
          <w:szCs w:val="22"/>
        </w:rPr>
      </w:pPr>
      <w:r w:rsidRPr="002D14F1">
        <w:rPr>
          <w:rFonts w:ascii="Arial" w:hAnsi="Arial" w:cs="Arial"/>
          <w:sz w:val="22"/>
          <w:szCs w:val="22"/>
        </w:rPr>
        <w:t xml:space="preserve">Despite the risks, social media can also support adolescent development in meaningful ways. For securely attached adolescents, online communication may strengthen friendships, provide opportunities for identity exploration, and enhance social support. Social Learning Theory suggests that exposure to positive role models can encourage healthy behaviours, such as creativity, activism, or seeking help when needed. Many adolescents use social media to express themselves, build supportive communities, and access information that improves their wellbeing. These positive experiences can reduce feelings of isolation and promote resilience. Therefore, the impact of social media depends on individual factors, </w:t>
      </w:r>
      <w:r w:rsidRPr="002D14F1">
        <w:rPr>
          <w:rFonts w:ascii="Arial" w:hAnsi="Arial" w:cs="Arial"/>
          <w:sz w:val="22"/>
          <w:szCs w:val="22"/>
        </w:rPr>
        <w:lastRenderedPageBreak/>
        <w:t>such as attachment style, and environmental factors, such as the type of content adolescents view and the social norms of their online communities.</w:t>
      </w:r>
    </w:p>
    <w:p w14:paraId="5497E780" w14:textId="43655898" w:rsidR="002D14F1" w:rsidRPr="002D14F1" w:rsidRDefault="002D14F1" w:rsidP="002D14F1">
      <w:pPr>
        <w:pStyle w:val="NormalWeb"/>
        <w:spacing w:line="360" w:lineRule="auto"/>
        <w:rPr>
          <w:rFonts w:ascii="Arial" w:hAnsi="Arial" w:cs="Arial"/>
          <w:sz w:val="22"/>
          <w:szCs w:val="22"/>
        </w:rPr>
      </w:pPr>
      <w:r w:rsidRPr="002D14F1">
        <w:rPr>
          <w:rFonts w:ascii="Arial" w:hAnsi="Arial" w:cs="Arial"/>
          <w:sz w:val="22"/>
          <w:szCs w:val="22"/>
        </w:rPr>
        <w:t xml:space="preserve">In conclusion, social media has a complex and </w:t>
      </w:r>
      <w:r w:rsidR="007A7DEF">
        <w:rPr>
          <w:rFonts w:ascii="Arial" w:hAnsi="Arial" w:cs="Arial"/>
          <w:sz w:val="22"/>
          <w:szCs w:val="22"/>
        </w:rPr>
        <w:t>diverse</w:t>
      </w:r>
      <w:r w:rsidRPr="002D14F1">
        <w:rPr>
          <w:rFonts w:ascii="Arial" w:hAnsi="Arial" w:cs="Arial"/>
          <w:sz w:val="22"/>
          <w:szCs w:val="22"/>
        </w:rPr>
        <w:t xml:space="preserve"> impact on adolescent mental health. It can offer connection, support, and opportunities for learning, but it can also create pressure, encourage comparison, and expose young people to harmful behaviours. Bowlby’s Attachment Theory shows how early relationships shape adolescents’ emotional responses to online interactions, influencing their vulnerability to anxiety, rejection, and low self-esteem. Bandura’s Social Learning Theory explains how adolescents learn from the behaviours they observe online, internalising social norms and comparing themselves to idealised models. Together, these theories help explain why social media can significantly affect mental health during adolescence. The evidence suggests that the impact of social media is not entirely positive or </w:t>
      </w:r>
      <w:r w:rsidR="008535A6" w:rsidRPr="002D14F1">
        <w:rPr>
          <w:rFonts w:ascii="Arial" w:hAnsi="Arial" w:cs="Arial"/>
          <w:sz w:val="22"/>
          <w:szCs w:val="22"/>
        </w:rPr>
        <w:t>negative but</w:t>
      </w:r>
      <w:r w:rsidRPr="002D14F1">
        <w:rPr>
          <w:rFonts w:ascii="Arial" w:hAnsi="Arial" w:cs="Arial"/>
          <w:sz w:val="22"/>
          <w:szCs w:val="22"/>
        </w:rPr>
        <w:t xml:space="preserve"> depends on individual differences and the nature of online experiences. Supporting adolescents to develop secure relationships, critical thinking skills, and healthy online habits may help reduce risks and promote positive mental health outcomes in an increasingly digital world.</w:t>
      </w:r>
    </w:p>
    <w:p w14:paraId="4037EC61" w14:textId="77777777" w:rsidR="002D14F1" w:rsidRPr="002D14F1" w:rsidRDefault="002D14F1" w:rsidP="002D14F1">
      <w:pPr>
        <w:pStyle w:val="NormalWeb"/>
        <w:spacing w:line="360" w:lineRule="auto"/>
        <w:rPr>
          <w:rFonts w:ascii="Arial" w:hAnsi="Arial" w:cs="Arial"/>
          <w:sz w:val="22"/>
          <w:szCs w:val="22"/>
        </w:rPr>
      </w:pPr>
    </w:p>
    <w:p w14:paraId="4E2C7030" w14:textId="77777777" w:rsidR="002D14F1" w:rsidRPr="002D14F1" w:rsidRDefault="002D14F1" w:rsidP="002D14F1">
      <w:pPr>
        <w:pStyle w:val="NormalWeb"/>
        <w:spacing w:line="360" w:lineRule="auto"/>
        <w:rPr>
          <w:rFonts w:ascii="Arial" w:hAnsi="Arial" w:cs="Arial"/>
          <w:sz w:val="22"/>
          <w:szCs w:val="22"/>
        </w:rPr>
      </w:pPr>
    </w:p>
    <w:p w14:paraId="29DA8CDF" w14:textId="77777777" w:rsidR="002D14F1" w:rsidRDefault="002D14F1" w:rsidP="002D14F1">
      <w:pPr>
        <w:pStyle w:val="NormalWeb"/>
        <w:spacing w:line="360" w:lineRule="auto"/>
        <w:rPr>
          <w:rFonts w:ascii="Arial" w:hAnsi="Arial" w:cs="Arial"/>
          <w:sz w:val="22"/>
          <w:szCs w:val="22"/>
        </w:rPr>
      </w:pPr>
    </w:p>
    <w:p w14:paraId="02DCFED0" w14:textId="77777777" w:rsidR="002D14F1" w:rsidRDefault="002D14F1" w:rsidP="002D14F1">
      <w:pPr>
        <w:pStyle w:val="NormalWeb"/>
        <w:spacing w:line="360" w:lineRule="auto"/>
        <w:rPr>
          <w:rFonts w:ascii="Arial" w:hAnsi="Arial" w:cs="Arial"/>
          <w:sz w:val="22"/>
          <w:szCs w:val="22"/>
        </w:rPr>
      </w:pPr>
    </w:p>
    <w:p w14:paraId="63D47CD1" w14:textId="77777777" w:rsidR="002D14F1" w:rsidRDefault="002D14F1" w:rsidP="002D14F1">
      <w:pPr>
        <w:pStyle w:val="NormalWeb"/>
        <w:spacing w:line="360" w:lineRule="auto"/>
        <w:rPr>
          <w:rFonts w:ascii="Arial" w:hAnsi="Arial" w:cs="Arial"/>
          <w:sz w:val="22"/>
          <w:szCs w:val="22"/>
        </w:rPr>
      </w:pPr>
    </w:p>
    <w:p w14:paraId="517A0386" w14:textId="77777777" w:rsidR="002D14F1" w:rsidRPr="002D14F1" w:rsidRDefault="002D14F1" w:rsidP="002D14F1">
      <w:pPr>
        <w:pStyle w:val="NormalWeb"/>
        <w:spacing w:line="360" w:lineRule="auto"/>
        <w:rPr>
          <w:rFonts w:ascii="Arial" w:hAnsi="Arial" w:cs="Arial"/>
          <w:sz w:val="22"/>
          <w:szCs w:val="22"/>
        </w:rPr>
      </w:pPr>
    </w:p>
    <w:p w14:paraId="0273BBC4" w14:textId="77777777" w:rsidR="002D14F1" w:rsidRDefault="002D14F1" w:rsidP="002D14F1">
      <w:pPr>
        <w:spacing w:before="100" w:beforeAutospacing="1" w:after="100" w:afterAutospacing="1" w:line="360" w:lineRule="auto"/>
        <w:outlineLvl w:val="1"/>
        <w:rPr>
          <w:rFonts w:ascii="Arial" w:eastAsia="Times New Roman" w:hAnsi="Arial" w:cs="Arial"/>
          <w:b/>
          <w:bCs/>
          <w:sz w:val="22"/>
          <w:szCs w:val="22"/>
        </w:rPr>
      </w:pPr>
    </w:p>
    <w:p w14:paraId="19A991AA" w14:textId="77777777" w:rsidR="002D14F1" w:rsidRDefault="002D14F1" w:rsidP="002D14F1">
      <w:pPr>
        <w:spacing w:before="100" w:beforeAutospacing="1" w:after="100" w:afterAutospacing="1" w:line="360" w:lineRule="auto"/>
        <w:outlineLvl w:val="1"/>
        <w:rPr>
          <w:rFonts w:ascii="Arial" w:eastAsia="Times New Roman" w:hAnsi="Arial" w:cs="Arial"/>
          <w:b/>
          <w:bCs/>
          <w:sz w:val="22"/>
          <w:szCs w:val="22"/>
        </w:rPr>
      </w:pPr>
    </w:p>
    <w:p w14:paraId="2BCE738F" w14:textId="77777777" w:rsidR="002D14F1" w:rsidRDefault="002D14F1" w:rsidP="002D14F1">
      <w:pPr>
        <w:spacing w:before="100" w:beforeAutospacing="1" w:after="100" w:afterAutospacing="1" w:line="360" w:lineRule="auto"/>
        <w:outlineLvl w:val="1"/>
        <w:rPr>
          <w:rFonts w:ascii="Arial" w:eastAsia="Times New Roman" w:hAnsi="Arial" w:cs="Arial"/>
          <w:b/>
          <w:bCs/>
          <w:sz w:val="22"/>
          <w:szCs w:val="22"/>
        </w:rPr>
      </w:pPr>
    </w:p>
    <w:p w14:paraId="295096C1" w14:textId="77777777" w:rsidR="002D14F1" w:rsidRDefault="002D14F1" w:rsidP="002D14F1">
      <w:pPr>
        <w:spacing w:before="100" w:beforeAutospacing="1" w:after="100" w:afterAutospacing="1" w:line="360" w:lineRule="auto"/>
        <w:outlineLvl w:val="1"/>
        <w:rPr>
          <w:rFonts w:ascii="Arial" w:eastAsia="Times New Roman" w:hAnsi="Arial" w:cs="Arial"/>
          <w:b/>
          <w:bCs/>
          <w:sz w:val="22"/>
          <w:szCs w:val="22"/>
        </w:rPr>
      </w:pPr>
    </w:p>
    <w:p w14:paraId="05E1D658" w14:textId="77777777" w:rsidR="002D14F1" w:rsidRDefault="002D14F1" w:rsidP="002D14F1">
      <w:pPr>
        <w:spacing w:before="100" w:beforeAutospacing="1" w:after="100" w:afterAutospacing="1" w:line="360" w:lineRule="auto"/>
        <w:outlineLvl w:val="1"/>
        <w:rPr>
          <w:rFonts w:ascii="Arial" w:eastAsia="Times New Roman" w:hAnsi="Arial" w:cs="Arial"/>
          <w:b/>
          <w:bCs/>
          <w:sz w:val="22"/>
          <w:szCs w:val="22"/>
        </w:rPr>
      </w:pPr>
    </w:p>
    <w:p w14:paraId="4BC06407" w14:textId="77777777" w:rsidR="002D14F1" w:rsidRDefault="002D14F1" w:rsidP="002D14F1">
      <w:pPr>
        <w:spacing w:before="100" w:beforeAutospacing="1" w:after="100" w:afterAutospacing="1" w:line="360" w:lineRule="auto"/>
        <w:outlineLvl w:val="1"/>
        <w:rPr>
          <w:rFonts w:ascii="Arial" w:eastAsia="Times New Roman" w:hAnsi="Arial" w:cs="Arial"/>
          <w:b/>
          <w:bCs/>
          <w:sz w:val="22"/>
          <w:szCs w:val="22"/>
        </w:rPr>
      </w:pPr>
    </w:p>
    <w:p w14:paraId="7CCAC765" w14:textId="43E88EF0" w:rsidR="002D14F1" w:rsidRPr="002D14F1" w:rsidRDefault="002D14F1" w:rsidP="002D14F1">
      <w:pPr>
        <w:spacing w:before="100" w:beforeAutospacing="1" w:after="100" w:afterAutospacing="1" w:line="360" w:lineRule="auto"/>
        <w:outlineLvl w:val="1"/>
        <w:rPr>
          <w:rFonts w:ascii="Arial" w:eastAsia="Times New Roman" w:hAnsi="Arial" w:cs="Arial"/>
          <w:b/>
          <w:bCs/>
          <w:sz w:val="22"/>
          <w:szCs w:val="22"/>
        </w:rPr>
      </w:pPr>
      <w:r w:rsidRPr="002D14F1">
        <w:rPr>
          <w:rFonts w:ascii="Arial" w:eastAsia="Times New Roman" w:hAnsi="Arial" w:cs="Arial"/>
          <w:b/>
          <w:bCs/>
          <w:sz w:val="22"/>
          <w:szCs w:val="22"/>
        </w:rPr>
        <w:lastRenderedPageBreak/>
        <w:t xml:space="preserve">Reference List </w:t>
      </w:r>
    </w:p>
    <w:p w14:paraId="0A50571E" w14:textId="77777777" w:rsidR="002D14F1" w:rsidRPr="002D14F1" w:rsidRDefault="002D14F1" w:rsidP="002D14F1">
      <w:pPr>
        <w:spacing w:before="100" w:beforeAutospacing="1" w:after="100" w:afterAutospacing="1" w:line="360" w:lineRule="auto"/>
        <w:rPr>
          <w:rFonts w:ascii="Arial" w:eastAsia="Times New Roman" w:hAnsi="Arial" w:cs="Arial"/>
          <w:sz w:val="22"/>
          <w:szCs w:val="22"/>
        </w:rPr>
      </w:pPr>
      <w:r w:rsidRPr="002D14F1">
        <w:rPr>
          <w:rFonts w:ascii="Arial" w:eastAsia="Times New Roman" w:hAnsi="Arial" w:cs="Arial"/>
          <w:sz w:val="22"/>
          <w:szCs w:val="22"/>
        </w:rPr>
        <w:t xml:space="preserve">Bandura, A. (1977) </w:t>
      </w:r>
      <w:r w:rsidRPr="002D14F1">
        <w:rPr>
          <w:rFonts w:ascii="Arial" w:eastAsia="Times New Roman" w:hAnsi="Arial" w:cs="Arial"/>
          <w:i/>
          <w:iCs/>
          <w:sz w:val="22"/>
          <w:szCs w:val="22"/>
        </w:rPr>
        <w:t>Social Learning Theory</w:t>
      </w:r>
      <w:r w:rsidRPr="002D14F1">
        <w:rPr>
          <w:rFonts w:ascii="Arial" w:eastAsia="Times New Roman" w:hAnsi="Arial" w:cs="Arial"/>
          <w:sz w:val="22"/>
          <w:szCs w:val="22"/>
        </w:rPr>
        <w:t>. Englewood Cliffs: Prentice Hall.</w:t>
      </w:r>
    </w:p>
    <w:p w14:paraId="472AE341" w14:textId="77777777" w:rsidR="002D14F1" w:rsidRPr="002D14F1" w:rsidRDefault="002D14F1" w:rsidP="002D14F1">
      <w:pPr>
        <w:spacing w:before="100" w:beforeAutospacing="1" w:after="100" w:afterAutospacing="1" w:line="360" w:lineRule="auto"/>
        <w:rPr>
          <w:rFonts w:ascii="Arial" w:eastAsia="Times New Roman" w:hAnsi="Arial" w:cs="Arial"/>
          <w:sz w:val="22"/>
          <w:szCs w:val="22"/>
        </w:rPr>
      </w:pPr>
      <w:r w:rsidRPr="002D14F1">
        <w:rPr>
          <w:rFonts w:ascii="Arial" w:eastAsia="Times New Roman" w:hAnsi="Arial" w:cs="Arial"/>
          <w:sz w:val="22"/>
          <w:szCs w:val="22"/>
        </w:rPr>
        <w:t xml:space="preserve">Bowlby, J. (1969) </w:t>
      </w:r>
      <w:r w:rsidRPr="002D14F1">
        <w:rPr>
          <w:rFonts w:ascii="Arial" w:eastAsia="Times New Roman" w:hAnsi="Arial" w:cs="Arial"/>
          <w:i/>
          <w:iCs/>
          <w:sz w:val="22"/>
          <w:szCs w:val="22"/>
        </w:rPr>
        <w:t>Attachment and Loss: Volume 1 – Attachment</w:t>
      </w:r>
      <w:r w:rsidRPr="002D14F1">
        <w:rPr>
          <w:rFonts w:ascii="Arial" w:eastAsia="Times New Roman" w:hAnsi="Arial" w:cs="Arial"/>
          <w:sz w:val="22"/>
          <w:szCs w:val="22"/>
        </w:rPr>
        <w:t>. London: Hogarth Press.</w:t>
      </w:r>
    </w:p>
    <w:p w14:paraId="535D07C8" w14:textId="77777777" w:rsidR="002D14F1" w:rsidRPr="002D14F1" w:rsidRDefault="002D14F1" w:rsidP="002D14F1">
      <w:pPr>
        <w:spacing w:before="100" w:beforeAutospacing="1" w:after="100" w:afterAutospacing="1" w:line="360" w:lineRule="auto"/>
        <w:rPr>
          <w:rFonts w:ascii="Arial" w:eastAsia="Times New Roman" w:hAnsi="Arial" w:cs="Arial"/>
          <w:sz w:val="22"/>
          <w:szCs w:val="22"/>
        </w:rPr>
      </w:pPr>
      <w:proofErr w:type="spellStart"/>
      <w:r w:rsidRPr="002D14F1">
        <w:rPr>
          <w:rFonts w:ascii="Arial" w:eastAsia="Times New Roman" w:hAnsi="Arial" w:cs="Arial"/>
          <w:sz w:val="22"/>
          <w:szCs w:val="22"/>
        </w:rPr>
        <w:t>Fardouly</w:t>
      </w:r>
      <w:proofErr w:type="spellEnd"/>
      <w:r w:rsidRPr="002D14F1">
        <w:rPr>
          <w:rFonts w:ascii="Arial" w:eastAsia="Times New Roman" w:hAnsi="Arial" w:cs="Arial"/>
          <w:sz w:val="22"/>
          <w:szCs w:val="22"/>
        </w:rPr>
        <w:t xml:space="preserve">, J. and Vartanian, L.R. (2016) ‘Social media and body image concerns: Current research and future directions’, </w:t>
      </w:r>
      <w:r w:rsidRPr="002D14F1">
        <w:rPr>
          <w:rFonts w:ascii="Arial" w:eastAsia="Times New Roman" w:hAnsi="Arial" w:cs="Arial"/>
          <w:i/>
          <w:iCs/>
          <w:sz w:val="22"/>
          <w:szCs w:val="22"/>
        </w:rPr>
        <w:t>Current Opinion in Psychology</w:t>
      </w:r>
      <w:r w:rsidRPr="002D14F1">
        <w:rPr>
          <w:rFonts w:ascii="Arial" w:eastAsia="Times New Roman" w:hAnsi="Arial" w:cs="Arial"/>
          <w:sz w:val="22"/>
          <w:szCs w:val="22"/>
        </w:rPr>
        <w:t>, 9, pp. 1–5.</w:t>
      </w:r>
    </w:p>
    <w:p w14:paraId="33007553" w14:textId="77777777" w:rsidR="002D14F1" w:rsidRPr="002D14F1" w:rsidRDefault="002D14F1" w:rsidP="002D14F1">
      <w:pPr>
        <w:spacing w:before="100" w:beforeAutospacing="1" w:after="100" w:afterAutospacing="1" w:line="360" w:lineRule="auto"/>
        <w:rPr>
          <w:rFonts w:ascii="Arial" w:eastAsia="Times New Roman" w:hAnsi="Arial" w:cs="Arial"/>
          <w:sz w:val="22"/>
          <w:szCs w:val="22"/>
        </w:rPr>
      </w:pPr>
      <w:r w:rsidRPr="002D14F1">
        <w:rPr>
          <w:rFonts w:ascii="Arial" w:eastAsia="Times New Roman" w:hAnsi="Arial" w:cs="Arial"/>
          <w:sz w:val="22"/>
          <w:szCs w:val="22"/>
        </w:rPr>
        <w:t xml:space="preserve">Keles, B., McCrae, N. and Grealish, A. (2020) ‘A systematic review: The influence of social media on depression, anxiety and psychological distress in adolescents’, </w:t>
      </w:r>
      <w:r w:rsidRPr="002D14F1">
        <w:rPr>
          <w:rFonts w:ascii="Arial" w:eastAsia="Times New Roman" w:hAnsi="Arial" w:cs="Arial"/>
          <w:i/>
          <w:iCs/>
          <w:sz w:val="22"/>
          <w:szCs w:val="22"/>
        </w:rPr>
        <w:t>International Journal of Adolescence and Youth</w:t>
      </w:r>
      <w:r w:rsidRPr="002D14F1">
        <w:rPr>
          <w:rFonts w:ascii="Arial" w:eastAsia="Times New Roman" w:hAnsi="Arial" w:cs="Arial"/>
          <w:sz w:val="22"/>
          <w:szCs w:val="22"/>
        </w:rPr>
        <w:t>, 25(1), pp. 79–93.</w:t>
      </w:r>
    </w:p>
    <w:p w14:paraId="33A1B9AF" w14:textId="77777777" w:rsidR="002D14F1" w:rsidRPr="002D14F1" w:rsidRDefault="002D14F1" w:rsidP="002D14F1">
      <w:pPr>
        <w:spacing w:before="100" w:beforeAutospacing="1" w:after="100" w:afterAutospacing="1" w:line="360" w:lineRule="auto"/>
        <w:rPr>
          <w:rFonts w:ascii="Arial" w:eastAsia="Times New Roman" w:hAnsi="Arial" w:cs="Arial"/>
          <w:sz w:val="22"/>
          <w:szCs w:val="22"/>
        </w:rPr>
      </w:pPr>
      <w:proofErr w:type="spellStart"/>
      <w:r w:rsidRPr="002D14F1">
        <w:rPr>
          <w:rFonts w:ascii="Arial" w:eastAsia="Times New Roman" w:hAnsi="Arial" w:cs="Arial"/>
          <w:sz w:val="22"/>
          <w:szCs w:val="22"/>
        </w:rPr>
        <w:t>Monacis</w:t>
      </w:r>
      <w:proofErr w:type="spellEnd"/>
      <w:r w:rsidRPr="002D14F1">
        <w:rPr>
          <w:rFonts w:ascii="Arial" w:eastAsia="Times New Roman" w:hAnsi="Arial" w:cs="Arial"/>
          <w:sz w:val="22"/>
          <w:szCs w:val="22"/>
        </w:rPr>
        <w:t xml:space="preserve">, L., de Palo, V., Griffiths, M.D. and Sinatra, M. (2017) ‘Social networking addiction, attachment style, and validation of the Italian version of the Bergen Social Media Addiction Scale’, </w:t>
      </w:r>
      <w:r w:rsidRPr="002D14F1">
        <w:rPr>
          <w:rFonts w:ascii="Arial" w:eastAsia="Times New Roman" w:hAnsi="Arial" w:cs="Arial"/>
          <w:i/>
          <w:iCs/>
          <w:sz w:val="22"/>
          <w:szCs w:val="22"/>
        </w:rPr>
        <w:t xml:space="preserve">Journal of </w:t>
      </w:r>
      <w:proofErr w:type="spellStart"/>
      <w:r w:rsidRPr="002D14F1">
        <w:rPr>
          <w:rFonts w:ascii="Arial" w:eastAsia="Times New Roman" w:hAnsi="Arial" w:cs="Arial"/>
          <w:i/>
          <w:iCs/>
          <w:sz w:val="22"/>
          <w:szCs w:val="22"/>
        </w:rPr>
        <w:t>Behavioral</w:t>
      </w:r>
      <w:proofErr w:type="spellEnd"/>
      <w:r w:rsidRPr="002D14F1">
        <w:rPr>
          <w:rFonts w:ascii="Arial" w:eastAsia="Times New Roman" w:hAnsi="Arial" w:cs="Arial"/>
          <w:i/>
          <w:iCs/>
          <w:sz w:val="22"/>
          <w:szCs w:val="22"/>
        </w:rPr>
        <w:t xml:space="preserve"> Addictions</w:t>
      </w:r>
      <w:r w:rsidRPr="002D14F1">
        <w:rPr>
          <w:rFonts w:ascii="Arial" w:eastAsia="Times New Roman" w:hAnsi="Arial" w:cs="Arial"/>
          <w:sz w:val="22"/>
          <w:szCs w:val="22"/>
        </w:rPr>
        <w:t>, 6(2), pp. 178–186.</w:t>
      </w:r>
    </w:p>
    <w:p w14:paraId="5E5D41D1" w14:textId="77777777" w:rsidR="002D14F1" w:rsidRPr="002D14F1" w:rsidRDefault="002D14F1" w:rsidP="002D14F1">
      <w:pPr>
        <w:spacing w:before="100" w:beforeAutospacing="1" w:after="100" w:afterAutospacing="1" w:line="360" w:lineRule="auto"/>
        <w:rPr>
          <w:rFonts w:ascii="Arial" w:eastAsia="Times New Roman" w:hAnsi="Arial" w:cs="Arial"/>
          <w:sz w:val="22"/>
          <w:szCs w:val="22"/>
        </w:rPr>
      </w:pPr>
      <w:r w:rsidRPr="002D14F1">
        <w:rPr>
          <w:rFonts w:ascii="Arial" w:eastAsia="Times New Roman" w:hAnsi="Arial" w:cs="Arial"/>
          <w:sz w:val="22"/>
          <w:szCs w:val="22"/>
        </w:rPr>
        <w:t xml:space="preserve">Twenge, J.M. and Campbell, W.K. (2018) ‘Associations between screen time and lower psychological wellbeing among children and adolescents’, </w:t>
      </w:r>
      <w:r w:rsidRPr="002D14F1">
        <w:rPr>
          <w:rFonts w:ascii="Arial" w:eastAsia="Times New Roman" w:hAnsi="Arial" w:cs="Arial"/>
          <w:i/>
          <w:iCs/>
          <w:sz w:val="22"/>
          <w:szCs w:val="22"/>
        </w:rPr>
        <w:t>Preventive Medicine Reports</w:t>
      </w:r>
      <w:r w:rsidRPr="002D14F1">
        <w:rPr>
          <w:rFonts w:ascii="Arial" w:eastAsia="Times New Roman" w:hAnsi="Arial" w:cs="Arial"/>
          <w:sz w:val="22"/>
          <w:szCs w:val="22"/>
        </w:rPr>
        <w:t>, 12, pp. 271–283.</w:t>
      </w:r>
    </w:p>
    <w:p w14:paraId="1F24285E" w14:textId="77777777" w:rsidR="002D14F1" w:rsidRDefault="002D14F1" w:rsidP="002D14F1">
      <w:pPr>
        <w:spacing w:before="120"/>
        <w:jc w:val="center"/>
      </w:pPr>
    </w:p>
    <w:sectPr w:rsidR="002D14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Play">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4F1"/>
    <w:rsid w:val="000271C7"/>
    <w:rsid w:val="00114D2A"/>
    <w:rsid w:val="00227CAD"/>
    <w:rsid w:val="002D14F1"/>
    <w:rsid w:val="004F3A0C"/>
    <w:rsid w:val="0053123E"/>
    <w:rsid w:val="00541DE5"/>
    <w:rsid w:val="00554766"/>
    <w:rsid w:val="007A7DEF"/>
    <w:rsid w:val="008535A6"/>
    <w:rsid w:val="00924AA7"/>
    <w:rsid w:val="00A6381D"/>
    <w:rsid w:val="00E82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94F08"/>
  <w15:chartTrackingRefBased/>
  <w15:docId w15:val="{5B2055A4-366D-4DF0-9247-F5C9EAC7C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4F1"/>
    <w:pPr>
      <w:spacing w:line="276" w:lineRule="auto"/>
    </w:pPr>
    <w:rPr>
      <w:rFonts w:ascii="Aptos" w:eastAsia="Aptos" w:hAnsi="Aptos" w:cs="Aptos"/>
      <w:kern w:val="0"/>
      <w:lang w:eastAsia="en-GB"/>
      <w14:ligatures w14:val="none"/>
    </w:rPr>
  </w:style>
  <w:style w:type="paragraph" w:styleId="Heading1">
    <w:name w:val="heading 1"/>
    <w:basedOn w:val="Normal"/>
    <w:next w:val="Normal"/>
    <w:link w:val="Heading1Char"/>
    <w:uiPriority w:val="9"/>
    <w:qFormat/>
    <w:rsid w:val="002D14F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D14F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D14F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D14F1"/>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D14F1"/>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D14F1"/>
    <w:pPr>
      <w:keepNext/>
      <w:keepLines/>
      <w:spacing w:before="40" w:after="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D14F1"/>
    <w:pPr>
      <w:keepNext/>
      <w:keepLines/>
      <w:spacing w:before="40" w:after="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D14F1"/>
    <w:pPr>
      <w:keepNext/>
      <w:keepLines/>
      <w:spacing w:after="0"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D14F1"/>
    <w:pPr>
      <w:keepNext/>
      <w:keepLines/>
      <w:spacing w:after="0"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4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4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4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4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4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4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4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4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4F1"/>
    <w:rPr>
      <w:rFonts w:eastAsiaTheme="majorEastAsia" w:cstheme="majorBidi"/>
      <w:color w:val="272727" w:themeColor="text1" w:themeTint="D8"/>
    </w:rPr>
  </w:style>
  <w:style w:type="paragraph" w:styleId="Title">
    <w:name w:val="Title"/>
    <w:basedOn w:val="Normal"/>
    <w:next w:val="Normal"/>
    <w:link w:val="TitleChar"/>
    <w:uiPriority w:val="10"/>
    <w:qFormat/>
    <w:rsid w:val="002D14F1"/>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D14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4F1"/>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D14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4F1"/>
    <w:pPr>
      <w:spacing w:before="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D14F1"/>
    <w:rPr>
      <w:i/>
      <w:iCs/>
      <w:color w:val="404040" w:themeColor="text1" w:themeTint="BF"/>
    </w:rPr>
  </w:style>
  <w:style w:type="paragraph" w:styleId="ListParagraph">
    <w:name w:val="List Paragraph"/>
    <w:basedOn w:val="Normal"/>
    <w:uiPriority w:val="34"/>
    <w:qFormat/>
    <w:rsid w:val="002D14F1"/>
    <w:pPr>
      <w:spacing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D14F1"/>
    <w:rPr>
      <w:i/>
      <w:iCs/>
      <w:color w:val="0F4761" w:themeColor="accent1" w:themeShade="BF"/>
    </w:rPr>
  </w:style>
  <w:style w:type="paragraph" w:styleId="IntenseQuote">
    <w:name w:val="Intense Quote"/>
    <w:basedOn w:val="Normal"/>
    <w:next w:val="Normal"/>
    <w:link w:val="IntenseQuoteChar"/>
    <w:uiPriority w:val="30"/>
    <w:qFormat/>
    <w:rsid w:val="002D14F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D14F1"/>
    <w:rPr>
      <w:i/>
      <w:iCs/>
      <w:color w:val="0F4761" w:themeColor="accent1" w:themeShade="BF"/>
    </w:rPr>
  </w:style>
  <w:style w:type="character" w:styleId="IntenseReference">
    <w:name w:val="Intense Reference"/>
    <w:basedOn w:val="DefaultParagraphFont"/>
    <w:uiPriority w:val="32"/>
    <w:qFormat/>
    <w:rsid w:val="002D14F1"/>
    <w:rPr>
      <w:b/>
      <w:bCs/>
      <w:smallCaps/>
      <w:color w:val="0F4761" w:themeColor="accent1" w:themeShade="BF"/>
      <w:spacing w:val="5"/>
    </w:rPr>
  </w:style>
  <w:style w:type="paragraph" w:styleId="NormalWeb">
    <w:name w:val="Normal (Web)"/>
    <w:basedOn w:val="Normal"/>
    <w:uiPriority w:val="99"/>
    <w:semiHidden/>
    <w:unhideWhenUsed/>
    <w:rsid w:val="002D14F1"/>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6</Pages>
  <Words>1700</Words>
  <Characters>9696</Characters>
  <Application>Microsoft Office Word</Application>
  <DocSecurity>0</DocSecurity>
  <Lines>80</Lines>
  <Paragraphs>22</Paragraphs>
  <ScaleCrop>false</ScaleCrop>
  <Company/>
  <LinksUpToDate>false</LinksUpToDate>
  <CharactersWithSpaces>11374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short</dc:creator>
  <cp:keywords/>
  <dc:description/>
  <cp:lastModifiedBy>vikki short</cp:lastModifiedBy>
  <cp:revision>10</cp:revision>
  <dcterms:created xsi:type="dcterms:W3CDTF">2026-06-25T12:18:00Z</dcterms:created>
  <dcterms:modified xsi:type="dcterms:W3CDTF">2026-07-23T09:40:00Z</dcterms:modified>
</cp:coreProperties>
</file>