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F43DF" w14:textId="5CCFC626" w:rsidR="00651AF5" w:rsidRPr="00651AF5" w:rsidRDefault="00651AF5" w:rsidP="00651AF5">
      <w:pPr>
        <w:spacing w:line="360" w:lineRule="auto"/>
        <w:jc w:val="center"/>
        <w:rPr>
          <w:rFonts w:ascii="Arial" w:hAnsi="Arial" w:cs="Arial"/>
          <w:b/>
          <w:bCs/>
          <w:color w:val="0D0D0D" w:themeColor="text1" w:themeTint="F2"/>
          <w:sz w:val="28"/>
          <w:szCs w:val="28"/>
        </w:rPr>
      </w:pPr>
      <w:r w:rsidRPr="00651AF5">
        <w:rPr>
          <w:rFonts w:ascii="Arial" w:hAnsi="Arial" w:cs="Arial"/>
          <w:b/>
          <w:bCs/>
          <w:color w:val="0D0D0D" w:themeColor="text1" w:themeTint="F2"/>
          <w:sz w:val="28"/>
          <w:szCs w:val="28"/>
        </w:rPr>
        <w:t>Title of the essay: Reviewing the analyze the current challenges facing hotels in managing their employee turnover in the UK.</w:t>
      </w:r>
    </w:p>
    <w:p w14:paraId="4BD88152" w14:textId="77777777" w:rsidR="00651AF5" w:rsidRDefault="00651AF5" w:rsidP="002F4FB9">
      <w:pPr>
        <w:spacing w:line="360" w:lineRule="auto"/>
        <w:jc w:val="both"/>
        <w:rPr>
          <w:rFonts w:ascii="Arial" w:hAnsi="Arial" w:cs="Arial"/>
          <w:b/>
          <w:bCs/>
          <w:color w:val="0D0D0D" w:themeColor="text1" w:themeTint="F2"/>
          <w:sz w:val="24"/>
          <w:szCs w:val="24"/>
        </w:rPr>
      </w:pPr>
    </w:p>
    <w:p w14:paraId="4FAAA991" w14:textId="77777777" w:rsidR="00651AF5" w:rsidRDefault="00651AF5" w:rsidP="002F4FB9">
      <w:pPr>
        <w:spacing w:line="360" w:lineRule="auto"/>
        <w:jc w:val="both"/>
        <w:rPr>
          <w:rFonts w:ascii="Arial" w:hAnsi="Arial" w:cs="Arial"/>
          <w:b/>
          <w:bCs/>
          <w:color w:val="0D0D0D" w:themeColor="text1" w:themeTint="F2"/>
          <w:sz w:val="24"/>
          <w:szCs w:val="24"/>
        </w:rPr>
      </w:pPr>
    </w:p>
    <w:p w14:paraId="3DE7520B" w14:textId="77777777" w:rsidR="00651AF5" w:rsidRDefault="00651AF5" w:rsidP="002F4FB9">
      <w:pPr>
        <w:spacing w:line="360" w:lineRule="auto"/>
        <w:jc w:val="both"/>
        <w:rPr>
          <w:rFonts w:ascii="Arial" w:hAnsi="Arial" w:cs="Arial"/>
          <w:b/>
          <w:bCs/>
          <w:color w:val="0D0D0D" w:themeColor="text1" w:themeTint="F2"/>
          <w:sz w:val="24"/>
          <w:szCs w:val="24"/>
        </w:rPr>
      </w:pPr>
    </w:p>
    <w:p w14:paraId="27E177FE" w14:textId="77777777" w:rsidR="00651AF5" w:rsidRDefault="00651AF5" w:rsidP="002F4FB9">
      <w:pPr>
        <w:spacing w:line="360" w:lineRule="auto"/>
        <w:jc w:val="both"/>
        <w:rPr>
          <w:rFonts w:ascii="Arial" w:hAnsi="Arial" w:cs="Arial"/>
          <w:b/>
          <w:bCs/>
          <w:color w:val="0D0D0D" w:themeColor="text1" w:themeTint="F2"/>
          <w:sz w:val="24"/>
          <w:szCs w:val="24"/>
        </w:rPr>
      </w:pPr>
    </w:p>
    <w:p w14:paraId="390B018F" w14:textId="77777777" w:rsidR="00651AF5" w:rsidRPr="00651AF5" w:rsidRDefault="00651AF5" w:rsidP="00651AF5">
      <w:pPr>
        <w:spacing w:line="360" w:lineRule="auto"/>
        <w:jc w:val="both"/>
        <w:rPr>
          <w:rFonts w:ascii="Arial" w:hAnsi="Arial" w:cs="Arial"/>
          <w:b/>
          <w:bCs/>
          <w:color w:val="0D0D0D" w:themeColor="text1" w:themeTint="F2"/>
          <w:sz w:val="24"/>
          <w:szCs w:val="24"/>
        </w:rPr>
      </w:pPr>
    </w:p>
    <w:p w14:paraId="764795E0" w14:textId="46EBB709" w:rsidR="00651AF5" w:rsidRPr="00651AF5" w:rsidRDefault="00651AF5" w:rsidP="00651AF5">
      <w:pPr>
        <w:spacing w:line="360" w:lineRule="auto"/>
        <w:jc w:val="center"/>
        <w:rPr>
          <w:rFonts w:ascii="Arial" w:hAnsi="Arial" w:cs="Arial"/>
          <w:b/>
          <w:bCs/>
          <w:color w:val="0D0D0D" w:themeColor="text1" w:themeTint="F2"/>
          <w:sz w:val="28"/>
          <w:szCs w:val="28"/>
        </w:rPr>
      </w:pPr>
      <w:r w:rsidRPr="00651AF5">
        <w:rPr>
          <w:rFonts w:ascii="Arial" w:hAnsi="Arial" w:cs="Arial"/>
          <w:b/>
          <w:bCs/>
          <w:color w:val="0D0D0D" w:themeColor="text1" w:themeTint="F2"/>
          <w:sz w:val="28"/>
          <w:szCs w:val="28"/>
        </w:rPr>
        <w:t>Student Name:</w:t>
      </w:r>
      <w:r w:rsidR="00D217EE">
        <w:rPr>
          <w:rFonts w:ascii="Arial" w:hAnsi="Arial" w:cs="Arial"/>
          <w:b/>
          <w:bCs/>
          <w:color w:val="0D0D0D" w:themeColor="text1" w:themeTint="F2"/>
          <w:sz w:val="28"/>
          <w:szCs w:val="28"/>
        </w:rPr>
        <w:t xml:space="preserve"> Roussebelle Miesi</w:t>
      </w:r>
    </w:p>
    <w:p w14:paraId="334DA4CB" w14:textId="1DFD2E1B" w:rsidR="00651AF5" w:rsidRPr="00651AF5" w:rsidRDefault="00651AF5" w:rsidP="00651AF5">
      <w:pPr>
        <w:spacing w:line="360" w:lineRule="auto"/>
        <w:jc w:val="center"/>
        <w:rPr>
          <w:rFonts w:ascii="Arial" w:hAnsi="Arial" w:cs="Arial"/>
          <w:b/>
          <w:bCs/>
          <w:color w:val="0D0D0D" w:themeColor="text1" w:themeTint="F2"/>
          <w:sz w:val="28"/>
          <w:szCs w:val="28"/>
        </w:rPr>
      </w:pPr>
      <w:r w:rsidRPr="00651AF5">
        <w:rPr>
          <w:rFonts w:ascii="Arial" w:hAnsi="Arial" w:cs="Arial"/>
          <w:b/>
          <w:bCs/>
          <w:color w:val="0D0D0D" w:themeColor="text1" w:themeTint="F2"/>
          <w:sz w:val="28"/>
          <w:szCs w:val="28"/>
        </w:rPr>
        <w:t>Student ID:</w:t>
      </w:r>
      <w:r w:rsidR="00D217EE">
        <w:rPr>
          <w:rFonts w:ascii="Arial" w:hAnsi="Arial" w:cs="Arial"/>
          <w:b/>
          <w:bCs/>
          <w:color w:val="0D0D0D" w:themeColor="text1" w:themeTint="F2"/>
          <w:sz w:val="28"/>
          <w:szCs w:val="28"/>
        </w:rPr>
        <w:t>2022878</w:t>
      </w:r>
    </w:p>
    <w:p w14:paraId="156D8668" w14:textId="77777777" w:rsidR="00651AF5" w:rsidRDefault="00651AF5" w:rsidP="002F4FB9">
      <w:pPr>
        <w:spacing w:line="360" w:lineRule="auto"/>
        <w:jc w:val="both"/>
        <w:rPr>
          <w:rFonts w:ascii="Arial" w:hAnsi="Arial" w:cs="Arial"/>
          <w:b/>
          <w:bCs/>
          <w:color w:val="0D0D0D" w:themeColor="text1" w:themeTint="F2"/>
          <w:sz w:val="24"/>
          <w:szCs w:val="24"/>
        </w:rPr>
      </w:pPr>
    </w:p>
    <w:p w14:paraId="4F5BF971" w14:textId="77777777" w:rsidR="00651AF5" w:rsidRDefault="00651AF5" w:rsidP="002F4FB9">
      <w:pPr>
        <w:spacing w:line="360" w:lineRule="auto"/>
        <w:jc w:val="both"/>
        <w:rPr>
          <w:rFonts w:ascii="Arial" w:hAnsi="Arial" w:cs="Arial"/>
          <w:b/>
          <w:bCs/>
          <w:color w:val="0D0D0D" w:themeColor="text1" w:themeTint="F2"/>
          <w:sz w:val="24"/>
          <w:szCs w:val="24"/>
        </w:rPr>
      </w:pPr>
    </w:p>
    <w:p w14:paraId="5F6B5219" w14:textId="77777777" w:rsidR="00651AF5" w:rsidRDefault="00651AF5" w:rsidP="002F4FB9">
      <w:pPr>
        <w:spacing w:line="360" w:lineRule="auto"/>
        <w:jc w:val="both"/>
        <w:rPr>
          <w:rFonts w:ascii="Arial" w:hAnsi="Arial" w:cs="Arial"/>
          <w:b/>
          <w:bCs/>
          <w:color w:val="0D0D0D" w:themeColor="text1" w:themeTint="F2"/>
          <w:sz w:val="24"/>
          <w:szCs w:val="24"/>
        </w:rPr>
      </w:pPr>
    </w:p>
    <w:p w14:paraId="409C8F78" w14:textId="77777777" w:rsidR="00651AF5" w:rsidRDefault="00651AF5" w:rsidP="002F4FB9">
      <w:pPr>
        <w:spacing w:line="360" w:lineRule="auto"/>
        <w:jc w:val="both"/>
        <w:rPr>
          <w:rFonts w:ascii="Arial" w:hAnsi="Arial" w:cs="Arial"/>
          <w:b/>
          <w:bCs/>
          <w:color w:val="0D0D0D" w:themeColor="text1" w:themeTint="F2"/>
          <w:sz w:val="24"/>
          <w:szCs w:val="24"/>
        </w:rPr>
      </w:pPr>
    </w:p>
    <w:p w14:paraId="09A4E50D" w14:textId="77777777" w:rsidR="00651AF5" w:rsidRDefault="00651AF5" w:rsidP="002F4FB9">
      <w:pPr>
        <w:spacing w:line="360" w:lineRule="auto"/>
        <w:jc w:val="both"/>
        <w:rPr>
          <w:rFonts w:ascii="Arial" w:hAnsi="Arial" w:cs="Arial"/>
          <w:b/>
          <w:bCs/>
          <w:color w:val="0D0D0D" w:themeColor="text1" w:themeTint="F2"/>
          <w:sz w:val="24"/>
          <w:szCs w:val="24"/>
        </w:rPr>
      </w:pPr>
    </w:p>
    <w:p w14:paraId="497EEF93" w14:textId="77777777" w:rsidR="00651AF5" w:rsidRDefault="00651AF5" w:rsidP="002F4FB9">
      <w:pPr>
        <w:spacing w:line="360" w:lineRule="auto"/>
        <w:jc w:val="both"/>
        <w:rPr>
          <w:rFonts w:ascii="Arial" w:hAnsi="Arial" w:cs="Arial"/>
          <w:b/>
          <w:bCs/>
          <w:color w:val="0D0D0D" w:themeColor="text1" w:themeTint="F2"/>
          <w:sz w:val="24"/>
          <w:szCs w:val="24"/>
        </w:rPr>
      </w:pPr>
    </w:p>
    <w:p w14:paraId="609ABC50" w14:textId="77777777" w:rsidR="00651AF5" w:rsidRDefault="00651AF5" w:rsidP="002F4FB9">
      <w:pPr>
        <w:spacing w:line="360" w:lineRule="auto"/>
        <w:jc w:val="both"/>
        <w:rPr>
          <w:rFonts w:ascii="Arial" w:hAnsi="Arial" w:cs="Arial"/>
          <w:b/>
          <w:bCs/>
          <w:color w:val="0D0D0D" w:themeColor="text1" w:themeTint="F2"/>
          <w:sz w:val="24"/>
          <w:szCs w:val="24"/>
        </w:rPr>
      </w:pPr>
    </w:p>
    <w:p w14:paraId="01A996E6" w14:textId="77777777" w:rsidR="00651AF5" w:rsidRDefault="00651AF5" w:rsidP="002F4FB9">
      <w:pPr>
        <w:spacing w:line="360" w:lineRule="auto"/>
        <w:jc w:val="both"/>
        <w:rPr>
          <w:rFonts w:ascii="Arial" w:hAnsi="Arial" w:cs="Arial"/>
          <w:b/>
          <w:bCs/>
          <w:color w:val="0D0D0D" w:themeColor="text1" w:themeTint="F2"/>
          <w:sz w:val="24"/>
          <w:szCs w:val="24"/>
        </w:rPr>
      </w:pPr>
    </w:p>
    <w:p w14:paraId="66C53198" w14:textId="77777777" w:rsidR="00651AF5" w:rsidRDefault="00651AF5" w:rsidP="002F4FB9">
      <w:pPr>
        <w:spacing w:line="360" w:lineRule="auto"/>
        <w:jc w:val="both"/>
        <w:rPr>
          <w:rFonts w:ascii="Arial" w:hAnsi="Arial" w:cs="Arial"/>
          <w:b/>
          <w:bCs/>
          <w:color w:val="0D0D0D" w:themeColor="text1" w:themeTint="F2"/>
          <w:sz w:val="24"/>
          <w:szCs w:val="24"/>
        </w:rPr>
      </w:pPr>
    </w:p>
    <w:p w14:paraId="1B592867" w14:textId="77777777" w:rsidR="00651AF5" w:rsidRDefault="00651AF5" w:rsidP="002F4FB9">
      <w:pPr>
        <w:spacing w:line="360" w:lineRule="auto"/>
        <w:jc w:val="both"/>
        <w:rPr>
          <w:rFonts w:ascii="Arial" w:hAnsi="Arial" w:cs="Arial"/>
          <w:b/>
          <w:bCs/>
          <w:color w:val="0D0D0D" w:themeColor="text1" w:themeTint="F2"/>
          <w:sz w:val="24"/>
          <w:szCs w:val="24"/>
        </w:rPr>
      </w:pPr>
    </w:p>
    <w:p w14:paraId="44580C3C" w14:textId="77777777" w:rsidR="00651AF5" w:rsidRDefault="00651AF5" w:rsidP="002F4FB9">
      <w:pPr>
        <w:spacing w:line="360" w:lineRule="auto"/>
        <w:jc w:val="both"/>
        <w:rPr>
          <w:rFonts w:ascii="Arial" w:hAnsi="Arial" w:cs="Arial"/>
          <w:b/>
          <w:bCs/>
          <w:color w:val="0D0D0D" w:themeColor="text1" w:themeTint="F2"/>
          <w:sz w:val="24"/>
          <w:szCs w:val="24"/>
        </w:rPr>
      </w:pPr>
    </w:p>
    <w:p w14:paraId="4E9F9E84" w14:textId="77777777" w:rsidR="00651AF5" w:rsidRDefault="00651AF5" w:rsidP="002F4FB9">
      <w:pPr>
        <w:spacing w:line="360" w:lineRule="auto"/>
        <w:jc w:val="both"/>
        <w:rPr>
          <w:rFonts w:ascii="Arial" w:hAnsi="Arial" w:cs="Arial"/>
          <w:b/>
          <w:bCs/>
          <w:color w:val="0D0D0D" w:themeColor="text1" w:themeTint="F2"/>
          <w:sz w:val="24"/>
          <w:szCs w:val="24"/>
        </w:rPr>
      </w:pPr>
    </w:p>
    <w:p w14:paraId="421E7CCE" w14:textId="77777777" w:rsidR="00651AF5" w:rsidRDefault="00651AF5" w:rsidP="002F4FB9">
      <w:pPr>
        <w:spacing w:line="360" w:lineRule="auto"/>
        <w:jc w:val="both"/>
        <w:rPr>
          <w:rFonts w:ascii="Arial" w:hAnsi="Arial" w:cs="Arial"/>
          <w:b/>
          <w:bCs/>
          <w:color w:val="0D0D0D" w:themeColor="text1" w:themeTint="F2"/>
          <w:sz w:val="24"/>
          <w:szCs w:val="24"/>
        </w:rPr>
      </w:pPr>
    </w:p>
    <w:p w14:paraId="6E8C0045" w14:textId="77777777" w:rsidR="00651AF5" w:rsidRDefault="00651AF5" w:rsidP="002F4FB9">
      <w:pPr>
        <w:spacing w:line="360" w:lineRule="auto"/>
        <w:jc w:val="both"/>
        <w:rPr>
          <w:rFonts w:ascii="Arial" w:hAnsi="Arial" w:cs="Arial"/>
          <w:b/>
          <w:bCs/>
          <w:color w:val="0D0D0D" w:themeColor="text1" w:themeTint="F2"/>
          <w:sz w:val="24"/>
          <w:szCs w:val="24"/>
        </w:rPr>
      </w:pPr>
    </w:p>
    <w:sdt>
      <w:sdtPr>
        <w:rPr>
          <w:rFonts w:asciiTheme="minorHAnsi" w:eastAsiaTheme="minorHAnsi" w:hAnsiTheme="minorHAnsi" w:cstheme="minorBidi"/>
          <w:color w:val="auto"/>
          <w:kern w:val="2"/>
          <w:sz w:val="22"/>
          <w:szCs w:val="22"/>
          <w14:ligatures w14:val="standardContextual"/>
        </w:rPr>
        <w:id w:val="1492065352"/>
        <w:docPartObj>
          <w:docPartGallery w:val="Table of Contents"/>
          <w:docPartUnique/>
        </w:docPartObj>
      </w:sdtPr>
      <w:sdtEndPr>
        <w:rPr>
          <w:rFonts w:ascii="Arial" w:hAnsi="Arial" w:cs="Arial"/>
          <w:b/>
          <w:bCs/>
          <w:noProof/>
          <w:sz w:val="24"/>
          <w:szCs w:val="24"/>
        </w:rPr>
      </w:sdtEndPr>
      <w:sdtContent>
        <w:p w14:paraId="24FEC61E" w14:textId="57BDEE9D" w:rsidR="008E6B1A" w:rsidRDefault="008E6B1A" w:rsidP="008E6B1A">
          <w:pPr>
            <w:pStyle w:val="TOCHeading"/>
            <w:jc w:val="center"/>
          </w:pPr>
          <w:r>
            <w:t>Contents</w:t>
          </w:r>
        </w:p>
        <w:p w14:paraId="64C05A94" w14:textId="3E735667" w:rsidR="008E6B1A" w:rsidRPr="008E6B1A" w:rsidRDefault="008E6B1A">
          <w:pPr>
            <w:pStyle w:val="TOC1"/>
            <w:tabs>
              <w:tab w:val="right" w:leader="dot" w:pos="9350"/>
            </w:tabs>
            <w:rPr>
              <w:rFonts w:ascii="Arial" w:eastAsiaTheme="minorEastAsia" w:hAnsi="Arial" w:cs="Arial"/>
              <w:noProof/>
              <w:sz w:val="24"/>
              <w:szCs w:val="24"/>
            </w:rPr>
          </w:pPr>
          <w:r w:rsidRPr="008E6B1A">
            <w:rPr>
              <w:rFonts w:ascii="Arial" w:hAnsi="Arial" w:cs="Arial"/>
              <w:sz w:val="24"/>
              <w:szCs w:val="24"/>
            </w:rPr>
            <w:fldChar w:fldCharType="begin"/>
          </w:r>
          <w:r w:rsidRPr="008E6B1A">
            <w:rPr>
              <w:rFonts w:ascii="Arial" w:hAnsi="Arial" w:cs="Arial"/>
              <w:sz w:val="24"/>
              <w:szCs w:val="24"/>
            </w:rPr>
            <w:instrText xml:space="preserve"> TOC \o "1-3" \h \z \u </w:instrText>
          </w:r>
          <w:r w:rsidRPr="008E6B1A">
            <w:rPr>
              <w:rFonts w:ascii="Arial" w:hAnsi="Arial" w:cs="Arial"/>
              <w:sz w:val="24"/>
              <w:szCs w:val="24"/>
            </w:rPr>
            <w:fldChar w:fldCharType="separate"/>
          </w:r>
          <w:hyperlink w:anchor="_Toc150615788" w:history="1">
            <w:r w:rsidRPr="008E6B1A">
              <w:rPr>
                <w:rStyle w:val="Hyperlink"/>
                <w:rFonts w:ascii="Arial" w:hAnsi="Arial" w:cs="Arial"/>
                <w:noProof/>
                <w:sz w:val="24"/>
                <w:szCs w:val="24"/>
              </w:rPr>
              <w:t>Introduction</w:t>
            </w:r>
            <w:r w:rsidRPr="008E6B1A">
              <w:rPr>
                <w:rFonts w:ascii="Arial" w:hAnsi="Arial" w:cs="Arial"/>
                <w:noProof/>
                <w:webHidden/>
                <w:sz w:val="24"/>
                <w:szCs w:val="24"/>
              </w:rPr>
              <w:tab/>
            </w:r>
            <w:r w:rsidRPr="008E6B1A">
              <w:rPr>
                <w:rFonts w:ascii="Arial" w:hAnsi="Arial" w:cs="Arial"/>
                <w:noProof/>
                <w:webHidden/>
                <w:sz w:val="24"/>
                <w:szCs w:val="24"/>
              </w:rPr>
              <w:fldChar w:fldCharType="begin"/>
            </w:r>
            <w:r w:rsidRPr="008E6B1A">
              <w:rPr>
                <w:rFonts w:ascii="Arial" w:hAnsi="Arial" w:cs="Arial"/>
                <w:noProof/>
                <w:webHidden/>
                <w:sz w:val="24"/>
                <w:szCs w:val="24"/>
              </w:rPr>
              <w:instrText xml:space="preserve"> PAGEREF _Toc150615788 \h </w:instrText>
            </w:r>
            <w:r w:rsidRPr="008E6B1A">
              <w:rPr>
                <w:rFonts w:ascii="Arial" w:hAnsi="Arial" w:cs="Arial"/>
                <w:noProof/>
                <w:webHidden/>
                <w:sz w:val="24"/>
                <w:szCs w:val="24"/>
              </w:rPr>
            </w:r>
            <w:r w:rsidRPr="008E6B1A">
              <w:rPr>
                <w:rFonts w:ascii="Arial" w:hAnsi="Arial" w:cs="Arial"/>
                <w:noProof/>
                <w:webHidden/>
                <w:sz w:val="24"/>
                <w:szCs w:val="24"/>
              </w:rPr>
              <w:fldChar w:fldCharType="separate"/>
            </w:r>
            <w:r w:rsidRPr="008E6B1A">
              <w:rPr>
                <w:rFonts w:ascii="Arial" w:hAnsi="Arial" w:cs="Arial"/>
                <w:noProof/>
                <w:webHidden/>
                <w:sz w:val="24"/>
                <w:szCs w:val="24"/>
              </w:rPr>
              <w:t>3</w:t>
            </w:r>
            <w:r w:rsidRPr="008E6B1A">
              <w:rPr>
                <w:rFonts w:ascii="Arial" w:hAnsi="Arial" w:cs="Arial"/>
                <w:noProof/>
                <w:webHidden/>
                <w:sz w:val="24"/>
                <w:szCs w:val="24"/>
              </w:rPr>
              <w:fldChar w:fldCharType="end"/>
            </w:r>
          </w:hyperlink>
        </w:p>
        <w:p w14:paraId="425FC0DD" w14:textId="5A0E56C9" w:rsidR="008E6B1A" w:rsidRPr="008E6B1A" w:rsidRDefault="00000000">
          <w:pPr>
            <w:pStyle w:val="TOC1"/>
            <w:tabs>
              <w:tab w:val="right" w:leader="dot" w:pos="9350"/>
            </w:tabs>
            <w:rPr>
              <w:rFonts w:ascii="Arial" w:eastAsiaTheme="minorEastAsia" w:hAnsi="Arial" w:cs="Arial"/>
              <w:noProof/>
              <w:sz w:val="24"/>
              <w:szCs w:val="24"/>
            </w:rPr>
          </w:pPr>
          <w:hyperlink w:anchor="_Toc150615789" w:history="1">
            <w:r w:rsidR="008E6B1A" w:rsidRPr="008E6B1A">
              <w:rPr>
                <w:rStyle w:val="Hyperlink"/>
                <w:rFonts w:ascii="Arial" w:hAnsi="Arial" w:cs="Arial"/>
                <w:noProof/>
                <w:sz w:val="24"/>
                <w:szCs w:val="24"/>
              </w:rPr>
              <w:t>Defining Terms:</w:t>
            </w:r>
            <w:r w:rsidR="008E6B1A" w:rsidRPr="008E6B1A">
              <w:rPr>
                <w:rFonts w:ascii="Arial" w:hAnsi="Arial" w:cs="Arial"/>
                <w:noProof/>
                <w:webHidden/>
                <w:sz w:val="24"/>
                <w:szCs w:val="24"/>
              </w:rPr>
              <w:tab/>
            </w:r>
            <w:r w:rsidR="008E6B1A" w:rsidRPr="008E6B1A">
              <w:rPr>
                <w:rFonts w:ascii="Arial" w:hAnsi="Arial" w:cs="Arial"/>
                <w:noProof/>
                <w:webHidden/>
                <w:sz w:val="24"/>
                <w:szCs w:val="24"/>
              </w:rPr>
              <w:fldChar w:fldCharType="begin"/>
            </w:r>
            <w:r w:rsidR="008E6B1A" w:rsidRPr="008E6B1A">
              <w:rPr>
                <w:rFonts w:ascii="Arial" w:hAnsi="Arial" w:cs="Arial"/>
                <w:noProof/>
                <w:webHidden/>
                <w:sz w:val="24"/>
                <w:szCs w:val="24"/>
              </w:rPr>
              <w:instrText xml:space="preserve"> PAGEREF _Toc150615789 \h </w:instrText>
            </w:r>
            <w:r w:rsidR="008E6B1A" w:rsidRPr="008E6B1A">
              <w:rPr>
                <w:rFonts w:ascii="Arial" w:hAnsi="Arial" w:cs="Arial"/>
                <w:noProof/>
                <w:webHidden/>
                <w:sz w:val="24"/>
                <w:szCs w:val="24"/>
              </w:rPr>
            </w:r>
            <w:r w:rsidR="008E6B1A" w:rsidRPr="008E6B1A">
              <w:rPr>
                <w:rFonts w:ascii="Arial" w:hAnsi="Arial" w:cs="Arial"/>
                <w:noProof/>
                <w:webHidden/>
                <w:sz w:val="24"/>
                <w:szCs w:val="24"/>
              </w:rPr>
              <w:fldChar w:fldCharType="separate"/>
            </w:r>
            <w:r w:rsidR="008E6B1A" w:rsidRPr="008E6B1A">
              <w:rPr>
                <w:rFonts w:ascii="Arial" w:hAnsi="Arial" w:cs="Arial"/>
                <w:noProof/>
                <w:webHidden/>
                <w:sz w:val="24"/>
                <w:szCs w:val="24"/>
              </w:rPr>
              <w:t>3</w:t>
            </w:r>
            <w:r w:rsidR="008E6B1A" w:rsidRPr="008E6B1A">
              <w:rPr>
                <w:rFonts w:ascii="Arial" w:hAnsi="Arial" w:cs="Arial"/>
                <w:noProof/>
                <w:webHidden/>
                <w:sz w:val="24"/>
                <w:szCs w:val="24"/>
              </w:rPr>
              <w:fldChar w:fldCharType="end"/>
            </w:r>
          </w:hyperlink>
        </w:p>
        <w:p w14:paraId="6E76B86C" w14:textId="7480EF49" w:rsidR="008E6B1A" w:rsidRPr="008E6B1A" w:rsidRDefault="00000000">
          <w:pPr>
            <w:pStyle w:val="TOC1"/>
            <w:tabs>
              <w:tab w:val="right" w:leader="dot" w:pos="9350"/>
            </w:tabs>
            <w:rPr>
              <w:rFonts w:ascii="Arial" w:eastAsiaTheme="minorEastAsia" w:hAnsi="Arial" w:cs="Arial"/>
              <w:noProof/>
              <w:sz w:val="24"/>
              <w:szCs w:val="24"/>
            </w:rPr>
          </w:pPr>
          <w:hyperlink w:anchor="_Toc150615790" w:history="1">
            <w:r w:rsidR="008E6B1A" w:rsidRPr="008E6B1A">
              <w:rPr>
                <w:rStyle w:val="Hyperlink"/>
                <w:rFonts w:ascii="Arial" w:hAnsi="Arial" w:cs="Arial"/>
                <w:noProof/>
                <w:sz w:val="24"/>
                <w:szCs w:val="24"/>
              </w:rPr>
              <w:t>Conclusion</w:t>
            </w:r>
            <w:r w:rsidR="008E6B1A" w:rsidRPr="008E6B1A">
              <w:rPr>
                <w:rFonts w:ascii="Arial" w:hAnsi="Arial" w:cs="Arial"/>
                <w:noProof/>
                <w:webHidden/>
                <w:sz w:val="24"/>
                <w:szCs w:val="24"/>
              </w:rPr>
              <w:tab/>
            </w:r>
            <w:r w:rsidR="008E6B1A" w:rsidRPr="008E6B1A">
              <w:rPr>
                <w:rFonts w:ascii="Arial" w:hAnsi="Arial" w:cs="Arial"/>
                <w:noProof/>
                <w:webHidden/>
                <w:sz w:val="24"/>
                <w:szCs w:val="24"/>
              </w:rPr>
              <w:fldChar w:fldCharType="begin"/>
            </w:r>
            <w:r w:rsidR="008E6B1A" w:rsidRPr="008E6B1A">
              <w:rPr>
                <w:rFonts w:ascii="Arial" w:hAnsi="Arial" w:cs="Arial"/>
                <w:noProof/>
                <w:webHidden/>
                <w:sz w:val="24"/>
                <w:szCs w:val="24"/>
              </w:rPr>
              <w:instrText xml:space="preserve"> PAGEREF _Toc150615790 \h </w:instrText>
            </w:r>
            <w:r w:rsidR="008E6B1A" w:rsidRPr="008E6B1A">
              <w:rPr>
                <w:rFonts w:ascii="Arial" w:hAnsi="Arial" w:cs="Arial"/>
                <w:noProof/>
                <w:webHidden/>
                <w:sz w:val="24"/>
                <w:szCs w:val="24"/>
              </w:rPr>
            </w:r>
            <w:r w:rsidR="008E6B1A" w:rsidRPr="008E6B1A">
              <w:rPr>
                <w:rFonts w:ascii="Arial" w:hAnsi="Arial" w:cs="Arial"/>
                <w:noProof/>
                <w:webHidden/>
                <w:sz w:val="24"/>
                <w:szCs w:val="24"/>
              </w:rPr>
              <w:fldChar w:fldCharType="separate"/>
            </w:r>
            <w:r w:rsidR="008E6B1A" w:rsidRPr="008E6B1A">
              <w:rPr>
                <w:rFonts w:ascii="Arial" w:hAnsi="Arial" w:cs="Arial"/>
                <w:noProof/>
                <w:webHidden/>
                <w:sz w:val="24"/>
                <w:szCs w:val="24"/>
              </w:rPr>
              <w:t>9</w:t>
            </w:r>
            <w:r w:rsidR="008E6B1A" w:rsidRPr="008E6B1A">
              <w:rPr>
                <w:rFonts w:ascii="Arial" w:hAnsi="Arial" w:cs="Arial"/>
                <w:noProof/>
                <w:webHidden/>
                <w:sz w:val="24"/>
                <w:szCs w:val="24"/>
              </w:rPr>
              <w:fldChar w:fldCharType="end"/>
            </w:r>
          </w:hyperlink>
        </w:p>
        <w:p w14:paraId="5B8DF4C7" w14:textId="02446202" w:rsidR="008E6B1A" w:rsidRPr="008E6B1A" w:rsidRDefault="00000000">
          <w:pPr>
            <w:pStyle w:val="TOC1"/>
            <w:tabs>
              <w:tab w:val="right" w:leader="dot" w:pos="9350"/>
            </w:tabs>
            <w:rPr>
              <w:rFonts w:ascii="Arial" w:eastAsiaTheme="minorEastAsia" w:hAnsi="Arial" w:cs="Arial"/>
              <w:noProof/>
              <w:sz w:val="24"/>
              <w:szCs w:val="24"/>
            </w:rPr>
          </w:pPr>
          <w:hyperlink w:anchor="_Toc150615791" w:history="1">
            <w:r w:rsidR="008E6B1A" w:rsidRPr="008E6B1A">
              <w:rPr>
                <w:rStyle w:val="Hyperlink"/>
                <w:rFonts w:ascii="Arial" w:hAnsi="Arial" w:cs="Arial"/>
                <w:noProof/>
                <w:sz w:val="24"/>
                <w:szCs w:val="24"/>
              </w:rPr>
              <w:t>Reference</w:t>
            </w:r>
            <w:r w:rsidR="008E6B1A" w:rsidRPr="008E6B1A">
              <w:rPr>
                <w:rFonts w:ascii="Arial" w:hAnsi="Arial" w:cs="Arial"/>
                <w:noProof/>
                <w:webHidden/>
                <w:sz w:val="24"/>
                <w:szCs w:val="24"/>
              </w:rPr>
              <w:tab/>
            </w:r>
            <w:r w:rsidR="008E6B1A" w:rsidRPr="008E6B1A">
              <w:rPr>
                <w:rFonts w:ascii="Arial" w:hAnsi="Arial" w:cs="Arial"/>
                <w:noProof/>
                <w:webHidden/>
                <w:sz w:val="24"/>
                <w:szCs w:val="24"/>
              </w:rPr>
              <w:fldChar w:fldCharType="begin"/>
            </w:r>
            <w:r w:rsidR="008E6B1A" w:rsidRPr="008E6B1A">
              <w:rPr>
                <w:rFonts w:ascii="Arial" w:hAnsi="Arial" w:cs="Arial"/>
                <w:noProof/>
                <w:webHidden/>
                <w:sz w:val="24"/>
                <w:szCs w:val="24"/>
              </w:rPr>
              <w:instrText xml:space="preserve"> PAGEREF _Toc150615791 \h </w:instrText>
            </w:r>
            <w:r w:rsidR="008E6B1A" w:rsidRPr="008E6B1A">
              <w:rPr>
                <w:rFonts w:ascii="Arial" w:hAnsi="Arial" w:cs="Arial"/>
                <w:noProof/>
                <w:webHidden/>
                <w:sz w:val="24"/>
                <w:szCs w:val="24"/>
              </w:rPr>
            </w:r>
            <w:r w:rsidR="008E6B1A" w:rsidRPr="008E6B1A">
              <w:rPr>
                <w:rFonts w:ascii="Arial" w:hAnsi="Arial" w:cs="Arial"/>
                <w:noProof/>
                <w:webHidden/>
                <w:sz w:val="24"/>
                <w:szCs w:val="24"/>
              </w:rPr>
              <w:fldChar w:fldCharType="separate"/>
            </w:r>
            <w:r w:rsidR="008E6B1A" w:rsidRPr="008E6B1A">
              <w:rPr>
                <w:rFonts w:ascii="Arial" w:hAnsi="Arial" w:cs="Arial"/>
                <w:noProof/>
                <w:webHidden/>
                <w:sz w:val="24"/>
                <w:szCs w:val="24"/>
              </w:rPr>
              <w:t>10</w:t>
            </w:r>
            <w:r w:rsidR="008E6B1A" w:rsidRPr="008E6B1A">
              <w:rPr>
                <w:rFonts w:ascii="Arial" w:hAnsi="Arial" w:cs="Arial"/>
                <w:noProof/>
                <w:webHidden/>
                <w:sz w:val="24"/>
                <w:szCs w:val="24"/>
              </w:rPr>
              <w:fldChar w:fldCharType="end"/>
            </w:r>
          </w:hyperlink>
        </w:p>
        <w:p w14:paraId="5D032578" w14:textId="6FF465B5" w:rsidR="008E6B1A" w:rsidRPr="008E6B1A" w:rsidRDefault="008E6B1A">
          <w:pPr>
            <w:rPr>
              <w:rFonts w:ascii="Arial" w:hAnsi="Arial" w:cs="Arial"/>
              <w:sz w:val="24"/>
              <w:szCs w:val="24"/>
            </w:rPr>
          </w:pPr>
          <w:r w:rsidRPr="008E6B1A">
            <w:rPr>
              <w:rFonts w:ascii="Arial" w:hAnsi="Arial" w:cs="Arial"/>
              <w:b/>
              <w:bCs/>
              <w:noProof/>
              <w:sz w:val="24"/>
              <w:szCs w:val="24"/>
            </w:rPr>
            <w:fldChar w:fldCharType="end"/>
          </w:r>
        </w:p>
      </w:sdtContent>
    </w:sdt>
    <w:p w14:paraId="10E389C4" w14:textId="77777777" w:rsidR="00651AF5" w:rsidRDefault="00651AF5" w:rsidP="002F4FB9">
      <w:pPr>
        <w:spacing w:line="360" w:lineRule="auto"/>
        <w:jc w:val="both"/>
        <w:rPr>
          <w:rFonts w:ascii="Arial" w:hAnsi="Arial" w:cs="Arial"/>
          <w:b/>
          <w:bCs/>
          <w:color w:val="0D0D0D" w:themeColor="text1" w:themeTint="F2"/>
          <w:sz w:val="24"/>
          <w:szCs w:val="24"/>
        </w:rPr>
      </w:pPr>
    </w:p>
    <w:p w14:paraId="2E8AD883" w14:textId="77777777" w:rsidR="00651AF5" w:rsidRDefault="00651AF5" w:rsidP="002F4FB9">
      <w:pPr>
        <w:spacing w:line="360" w:lineRule="auto"/>
        <w:jc w:val="both"/>
        <w:rPr>
          <w:rFonts w:ascii="Arial" w:hAnsi="Arial" w:cs="Arial"/>
          <w:b/>
          <w:bCs/>
          <w:color w:val="0D0D0D" w:themeColor="text1" w:themeTint="F2"/>
          <w:sz w:val="24"/>
          <w:szCs w:val="24"/>
        </w:rPr>
      </w:pPr>
    </w:p>
    <w:p w14:paraId="7BE13D8E" w14:textId="77777777" w:rsidR="00651AF5" w:rsidRDefault="00651AF5" w:rsidP="002F4FB9">
      <w:pPr>
        <w:spacing w:line="360" w:lineRule="auto"/>
        <w:jc w:val="both"/>
        <w:rPr>
          <w:rFonts w:ascii="Arial" w:hAnsi="Arial" w:cs="Arial"/>
          <w:b/>
          <w:bCs/>
          <w:color w:val="0D0D0D" w:themeColor="text1" w:themeTint="F2"/>
          <w:sz w:val="24"/>
          <w:szCs w:val="24"/>
        </w:rPr>
      </w:pPr>
    </w:p>
    <w:p w14:paraId="1A984EC3" w14:textId="77777777" w:rsidR="00651AF5" w:rsidRDefault="00651AF5" w:rsidP="002F4FB9">
      <w:pPr>
        <w:spacing w:line="360" w:lineRule="auto"/>
        <w:jc w:val="both"/>
        <w:rPr>
          <w:rFonts w:ascii="Arial" w:hAnsi="Arial" w:cs="Arial"/>
          <w:b/>
          <w:bCs/>
          <w:color w:val="0D0D0D" w:themeColor="text1" w:themeTint="F2"/>
          <w:sz w:val="24"/>
          <w:szCs w:val="24"/>
        </w:rPr>
      </w:pPr>
    </w:p>
    <w:p w14:paraId="3756114C" w14:textId="77777777" w:rsidR="00651AF5" w:rsidRDefault="00651AF5" w:rsidP="002F4FB9">
      <w:pPr>
        <w:spacing w:line="360" w:lineRule="auto"/>
        <w:jc w:val="both"/>
        <w:rPr>
          <w:rFonts w:ascii="Arial" w:hAnsi="Arial" w:cs="Arial"/>
          <w:b/>
          <w:bCs/>
          <w:color w:val="0D0D0D" w:themeColor="text1" w:themeTint="F2"/>
          <w:sz w:val="24"/>
          <w:szCs w:val="24"/>
        </w:rPr>
      </w:pPr>
    </w:p>
    <w:p w14:paraId="37097BBC" w14:textId="77777777" w:rsidR="00651AF5" w:rsidRDefault="00651AF5" w:rsidP="002F4FB9">
      <w:pPr>
        <w:spacing w:line="360" w:lineRule="auto"/>
        <w:jc w:val="both"/>
        <w:rPr>
          <w:rFonts w:ascii="Arial" w:hAnsi="Arial" w:cs="Arial"/>
          <w:b/>
          <w:bCs/>
          <w:color w:val="0D0D0D" w:themeColor="text1" w:themeTint="F2"/>
          <w:sz w:val="24"/>
          <w:szCs w:val="24"/>
        </w:rPr>
      </w:pPr>
    </w:p>
    <w:p w14:paraId="0C3D4475" w14:textId="77777777" w:rsidR="00651AF5" w:rsidRDefault="00651AF5" w:rsidP="002F4FB9">
      <w:pPr>
        <w:spacing w:line="360" w:lineRule="auto"/>
        <w:jc w:val="both"/>
        <w:rPr>
          <w:rFonts w:ascii="Arial" w:hAnsi="Arial" w:cs="Arial"/>
          <w:b/>
          <w:bCs/>
          <w:color w:val="0D0D0D" w:themeColor="text1" w:themeTint="F2"/>
          <w:sz w:val="24"/>
          <w:szCs w:val="24"/>
        </w:rPr>
      </w:pPr>
    </w:p>
    <w:p w14:paraId="06A8888F" w14:textId="77777777" w:rsidR="00651AF5" w:rsidRDefault="00651AF5" w:rsidP="002F4FB9">
      <w:pPr>
        <w:spacing w:line="360" w:lineRule="auto"/>
        <w:jc w:val="both"/>
        <w:rPr>
          <w:rFonts w:ascii="Arial" w:hAnsi="Arial" w:cs="Arial"/>
          <w:b/>
          <w:bCs/>
          <w:color w:val="0D0D0D" w:themeColor="text1" w:themeTint="F2"/>
          <w:sz w:val="24"/>
          <w:szCs w:val="24"/>
        </w:rPr>
      </w:pPr>
    </w:p>
    <w:p w14:paraId="251A083C" w14:textId="77777777" w:rsidR="00651AF5" w:rsidRDefault="00651AF5" w:rsidP="002F4FB9">
      <w:pPr>
        <w:spacing w:line="360" w:lineRule="auto"/>
        <w:jc w:val="both"/>
        <w:rPr>
          <w:rFonts w:ascii="Arial" w:hAnsi="Arial" w:cs="Arial"/>
          <w:b/>
          <w:bCs/>
          <w:color w:val="0D0D0D" w:themeColor="text1" w:themeTint="F2"/>
          <w:sz w:val="24"/>
          <w:szCs w:val="24"/>
        </w:rPr>
      </w:pPr>
    </w:p>
    <w:p w14:paraId="7E0817F8" w14:textId="77777777" w:rsidR="00651AF5" w:rsidRDefault="00651AF5" w:rsidP="002F4FB9">
      <w:pPr>
        <w:spacing w:line="360" w:lineRule="auto"/>
        <w:jc w:val="both"/>
        <w:rPr>
          <w:rFonts w:ascii="Arial" w:hAnsi="Arial" w:cs="Arial"/>
          <w:b/>
          <w:bCs/>
          <w:color w:val="0D0D0D" w:themeColor="text1" w:themeTint="F2"/>
          <w:sz w:val="24"/>
          <w:szCs w:val="24"/>
        </w:rPr>
      </w:pPr>
    </w:p>
    <w:p w14:paraId="059A7E15" w14:textId="77777777" w:rsidR="00651AF5" w:rsidRDefault="00651AF5" w:rsidP="002F4FB9">
      <w:pPr>
        <w:spacing w:line="360" w:lineRule="auto"/>
        <w:jc w:val="both"/>
        <w:rPr>
          <w:rFonts w:ascii="Arial" w:hAnsi="Arial" w:cs="Arial"/>
          <w:b/>
          <w:bCs/>
          <w:color w:val="0D0D0D" w:themeColor="text1" w:themeTint="F2"/>
          <w:sz w:val="24"/>
          <w:szCs w:val="24"/>
        </w:rPr>
      </w:pPr>
    </w:p>
    <w:p w14:paraId="430DACF4" w14:textId="77777777" w:rsidR="00651AF5" w:rsidRDefault="00651AF5" w:rsidP="002F4FB9">
      <w:pPr>
        <w:spacing w:line="360" w:lineRule="auto"/>
        <w:jc w:val="both"/>
        <w:rPr>
          <w:rFonts w:ascii="Arial" w:hAnsi="Arial" w:cs="Arial"/>
          <w:b/>
          <w:bCs/>
          <w:color w:val="0D0D0D" w:themeColor="text1" w:themeTint="F2"/>
          <w:sz w:val="24"/>
          <w:szCs w:val="24"/>
        </w:rPr>
      </w:pPr>
    </w:p>
    <w:p w14:paraId="6230BDBE" w14:textId="77777777" w:rsidR="00651AF5" w:rsidRDefault="00651AF5" w:rsidP="002F4FB9">
      <w:pPr>
        <w:spacing w:line="360" w:lineRule="auto"/>
        <w:jc w:val="both"/>
        <w:rPr>
          <w:rFonts w:ascii="Arial" w:hAnsi="Arial" w:cs="Arial"/>
          <w:b/>
          <w:bCs/>
          <w:color w:val="0D0D0D" w:themeColor="text1" w:themeTint="F2"/>
          <w:sz w:val="24"/>
          <w:szCs w:val="24"/>
        </w:rPr>
      </w:pPr>
    </w:p>
    <w:p w14:paraId="369C6BBF" w14:textId="77777777" w:rsidR="00651AF5" w:rsidRDefault="00651AF5" w:rsidP="002F4FB9">
      <w:pPr>
        <w:spacing w:line="360" w:lineRule="auto"/>
        <w:jc w:val="both"/>
        <w:rPr>
          <w:rFonts w:ascii="Arial" w:hAnsi="Arial" w:cs="Arial"/>
          <w:b/>
          <w:bCs/>
          <w:color w:val="0D0D0D" w:themeColor="text1" w:themeTint="F2"/>
          <w:sz w:val="24"/>
          <w:szCs w:val="24"/>
        </w:rPr>
      </w:pPr>
    </w:p>
    <w:p w14:paraId="4EC0F637" w14:textId="77777777" w:rsidR="00651AF5" w:rsidRDefault="00651AF5" w:rsidP="002F4FB9">
      <w:pPr>
        <w:spacing w:line="360" w:lineRule="auto"/>
        <w:jc w:val="both"/>
        <w:rPr>
          <w:rFonts w:ascii="Arial" w:hAnsi="Arial" w:cs="Arial"/>
          <w:b/>
          <w:bCs/>
          <w:color w:val="0D0D0D" w:themeColor="text1" w:themeTint="F2"/>
          <w:sz w:val="24"/>
          <w:szCs w:val="24"/>
        </w:rPr>
      </w:pPr>
    </w:p>
    <w:p w14:paraId="68A0E7FC" w14:textId="77777777" w:rsidR="00651AF5" w:rsidRDefault="00651AF5" w:rsidP="002F4FB9">
      <w:pPr>
        <w:spacing w:line="360" w:lineRule="auto"/>
        <w:jc w:val="both"/>
        <w:rPr>
          <w:rFonts w:ascii="Arial" w:hAnsi="Arial" w:cs="Arial"/>
          <w:b/>
          <w:bCs/>
          <w:color w:val="0D0D0D" w:themeColor="text1" w:themeTint="F2"/>
          <w:sz w:val="24"/>
          <w:szCs w:val="24"/>
        </w:rPr>
      </w:pPr>
    </w:p>
    <w:p w14:paraId="4CA6CD5D" w14:textId="77777777" w:rsidR="00651AF5" w:rsidRDefault="00651AF5" w:rsidP="002F4FB9">
      <w:pPr>
        <w:spacing w:line="360" w:lineRule="auto"/>
        <w:jc w:val="both"/>
        <w:rPr>
          <w:rFonts w:ascii="Arial" w:hAnsi="Arial" w:cs="Arial"/>
          <w:b/>
          <w:bCs/>
          <w:color w:val="0D0D0D" w:themeColor="text1" w:themeTint="F2"/>
          <w:sz w:val="24"/>
          <w:szCs w:val="24"/>
        </w:rPr>
      </w:pPr>
    </w:p>
    <w:p w14:paraId="3440EB3D" w14:textId="1B46AC1C" w:rsidR="002F4FB9" w:rsidRPr="00903340" w:rsidRDefault="002F4FB9" w:rsidP="008E6B1A">
      <w:pPr>
        <w:pStyle w:val="Heading1"/>
      </w:pPr>
      <w:bookmarkStart w:id="0" w:name="_Toc150615788"/>
      <w:r w:rsidRPr="00903340">
        <w:lastRenderedPageBreak/>
        <w:t>Introduction</w:t>
      </w:r>
      <w:bookmarkEnd w:id="0"/>
    </w:p>
    <w:p w14:paraId="45297B42" w14:textId="67905A0C" w:rsidR="005B1013" w:rsidRPr="00903340" w:rsidRDefault="002F4FB9" w:rsidP="002F4FB9">
      <w:pPr>
        <w:spacing w:line="360" w:lineRule="auto"/>
        <w:jc w:val="both"/>
        <w:rPr>
          <w:rFonts w:ascii="Arial" w:hAnsi="Arial" w:cs="Arial"/>
          <w:color w:val="0D0D0D" w:themeColor="text1" w:themeTint="F2"/>
          <w:sz w:val="24"/>
          <w:szCs w:val="24"/>
        </w:rPr>
      </w:pPr>
      <w:r w:rsidRPr="00903340">
        <w:rPr>
          <w:rFonts w:ascii="Arial" w:hAnsi="Arial" w:cs="Arial"/>
          <w:color w:val="0D0D0D" w:themeColor="text1" w:themeTint="F2"/>
          <w:sz w:val="24"/>
          <w:szCs w:val="24"/>
        </w:rPr>
        <w:t xml:space="preserve">Amidst the ever-evolving </w:t>
      </w:r>
      <w:r w:rsidR="00651AF5" w:rsidRPr="00903340">
        <w:rPr>
          <w:rFonts w:ascii="Arial" w:hAnsi="Arial" w:cs="Arial"/>
          <w:color w:val="0D0D0D" w:themeColor="text1" w:themeTint="F2"/>
          <w:sz w:val="24"/>
          <w:szCs w:val="24"/>
        </w:rPr>
        <w:t>view</w:t>
      </w:r>
      <w:r w:rsidRPr="00903340">
        <w:rPr>
          <w:rFonts w:ascii="Arial" w:hAnsi="Arial" w:cs="Arial"/>
          <w:color w:val="0D0D0D" w:themeColor="text1" w:themeTint="F2"/>
          <w:sz w:val="24"/>
          <w:szCs w:val="24"/>
        </w:rPr>
        <w:t xml:space="preserve"> of the UK's hospitality industry, hotels contend with a plethora of challenges that </w:t>
      </w:r>
      <w:r w:rsidR="00651AF5" w:rsidRPr="00903340">
        <w:rPr>
          <w:rFonts w:ascii="Arial" w:hAnsi="Arial" w:cs="Arial"/>
          <w:color w:val="0D0D0D" w:themeColor="text1" w:themeTint="F2"/>
          <w:sz w:val="24"/>
          <w:szCs w:val="24"/>
        </w:rPr>
        <w:t>thornily</w:t>
      </w:r>
      <w:r w:rsidRPr="00903340">
        <w:rPr>
          <w:rFonts w:ascii="Arial" w:hAnsi="Arial" w:cs="Arial"/>
          <w:color w:val="0D0D0D" w:themeColor="text1" w:themeTint="F2"/>
          <w:sz w:val="24"/>
          <w:szCs w:val="24"/>
        </w:rPr>
        <w:t xml:space="preserve"> shape the employee lifecycle. The pivotal role of payroll, representing one of the most </w:t>
      </w:r>
      <w:r w:rsidR="00651AF5" w:rsidRPr="00903340">
        <w:rPr>
          <w:rFonts w:ascii="Arial" w:hAnsi="Arial" w:cs="Arial"/>
          <w:color w:val="0D0D0D" w:themeColor="text1" w:themeTint="F2"/>
          <w:sz w:val="24"/>
          <w:szCs w:val="24"/>
        </w:rPr>
        <w:t>considerable</w:t>
      </w:r>
      <w:r w:rsidRPr="00903340">
        <w:rPr>
          <w:rFonts w:ascii="Arial" w:hAnsi="Arial" w:cs="Arial"/>
          <w:color w:val="0D0D0D" w:themeColor="text1" w:themeTint="F2"/>
          <w:sz w:val="24"/>
          <w:szCs w:val="24"/>
        </w:rPr>
        <w:t xml:space="preserve"> costs for businesses, demands strategic decision-making to foster workforce </w:t>
      </w:r>
      <w:r w:rsidR="00651AF5" w:rsidRPr="00903340">
        <w:rPr>
          <w:rFonts w:ascii="Arial" w:hAnsi="Arial" w:cs="Arial"/>
          <w:color w:val="0D0D0D" w:themeColor="text1" w:themeTint="F2"/>
          <w:sz w:val="24"/>
          <w:szCs w:val="24"/>
        </w:rPr>
        <w:t>expansion</w:t>
      </w:r>
      <w:r w:rsidRPr="00903340">
        <w:rPr>
          <w:rFonts w:ascii="Arial" w:hAnsi="Arial" w:cs="Arial"/>
          <w:color w:val="0D0D0D" w:themeColor="text1" w:themeTint="F2"/>
          <w:sz w:val="24"/>
          <w:szCs w:val="24"/>
        </w:rPr>
        <w:t xml:space="preserve"> and retention. This essay delves into a critical evaluation of the impactful </w:t>
      </w:r>
      <w:r w:rsidR="00651AF5" w:rsidRPr="00903340">
        <w:rPr>
          <w:rFonts w:ascii="Arial" w:hAnsi="Arial" w:cs="Arial"/>
          <w:color w:val="0D0D0D" w:themeColor="text1" w:themeTint="F2"/>
          <w:sz w:val="24"/>
          <w:szCs w:val="24"/>
        </w:rPr>
        <w:t>subtleties</w:t>
      </w:r>
      <w:r w:rsidRPr="00903340">
        <w:rPr>
          <w:rFonts w:ascii="Arial" w:hAnsi="Arial" w:cs="Arial"/>
          <w:color w:val="0D0D0D" w:themeColor="text1" w:themeTint="F2"/>
          <w:sz w:val="24"/>
          <w:szCs w:val="24"/>
        </w:rPr>
        <w:t xml:space="preserve"> of current challenges on the employee lifecycle within the hotel industry. In pursuit of </w:t>
      </w:r>
      <w:r w:rsidR="00651AF5" w:rsidRPr="00903340">
        <w:rPr>
          <w:rFonts w:ascii="Arial" w:hAnsi="Arial" w:cs="Arial"/>
          <w:color w:val="0D0D0D" w:themeColor="text1" w:themeTint="F2"/>
          <w:sz w:val="24"/>
          <w:szCs w:val="24"/>
        </w:rPr>
        <w:t>an</w:t>
      </w:r>
      <w:r w:rsidRPr="00903340">
        <w:rPr>
          <w:rFonts w:ascii="Arial" w:hAnsi="Arial" w:cs="Arial"/>
          <w:color w:val="0D0D0D" w:themeColor="text1" w:themeTint="F2"/>
          <w:sz w:val="24"/>
          <w:szCs w:val="24"/>
        </w:rPr>
        <w:t xml:space="preserve"> </w:t>
      </w:r>
      <w:r w:rsidR="00651AF5" w:rsidRPr="00903340">
        <w:rPr>
          <w:rFonts w:ascii="Arial" w:hAnsi="Arial" w:cs="Arial"/>
          <w:color w:val="0D0D0D" w:themeColor="text1" w:themeTint="F2"/>
          <w:sz w:val="24"/>
          <w:szCs w:val="24"/>
        </w:rPr>
        <w:t>inclusive</w:t>
      </w:r>
      <w:r w:rsidRPr="00903340">
        <w:rPr>
          <w:rFonts w:ascii="Arial" w:hAnsi="Arial" w:cs="Arial"/>
          <w:color w:val="0D0D0D" w:themeColor="text1" w:themeTint="F2"/>
          <w:sz w:val="24"/>
          <w:szCs w:val="24"/>
        </w:rPr>
        <w:t xml:space="preserve"> understanding, key terms integral to the discussion will be meticulously </w:t>
      </w:r>
      <w:r w:rsidR="00651AF5" w:rsidRPr="00903340">
        <w:rPr>
          <w:rFonts w:ascii="Arial" w:hAnsi="Arial" w:cs="Arial"/>
          <w:color w:val="0D0D0D" w:themeColor="text1" w:themeTint="F2"/>
          <w:sz w:val="24"/>
          <w:szCs w:val="24"/>
        </w:rPr>
        <w:t>clear</w:t>
      </w:r>
      <w:r w:rsidRPr="00903340">
        <w:rPr>
          <w:rFonts w:ascii="Arial" w:hAnsi="Arial" w:cs="Arial"/>
          <w:color w:val="0D0D0D" w:themeColor="text1" w:themeTint="F2"/>
          <w:sz w:val="24"/>
          <w:szCs w:val="24"/>
        </w:rPr>
        <w:t xml:space="preserve">, establishing a foundational framework for a nuanced and in-depth analysis. As we </w:t>
      </w:r>
      <w:r w:rsidR="00651AF5" w:rsidRPr="00903340">
        <w:rPr>
          <w:rFonts w:ascii="Arial" w:hAnsi="Arial" w:cs="Arial"/>
          <w:color w:val="0D0D0D" w:themeColor="text1" w:themeTint="F2"/>
          <w:sz w:val="24"/>
          <w:szCs w:val="24"/>
        </w:rPr>
        <w:t>circumnavigate</w:t>
      </w:r>
      <w:r w:rsidRPr="00903340">
        <w:rPr>
          <w:rFonts w:ascii="Arial" w:hAnsi="Arial" w:cs="Arial"/>
          <w:color w:val="0D0D0D" w:themeColor="text1" w:themeTint="F2"/>
          <w:sz w:val="24"/>
          <w:szCs w:val="24"/>
        </w:rPr>
        <w:t xml:space="preserve"> through the complex terrain of economic shifts, technological </w:t>
      </w:r>
      <w:r w:rsidR="00651AF5" w:rsidRPr="00903340">
        <w:rPr>
          <w:rFonts w:ascii="Arial" w:hAnsi="Arial" w:cs="Arial"/>
          <w:color w:val="0D0D0D" w:themeColor="text1" w:themeTint="F2"/>
          <w:sz w:val="24"/>
          <w:szCs w:val="24"/>
        </w:rPr>
        <w:t>progressions</w:t>
      </w:r>
      <w:r w:rsidRPr="00903340">
        <w:rPr>
          <w:rFonts w:ascii="Arial" w:hAnsi="Arial" w:cs="Arial"/>
          <w:color w:val="0D0D0D" w:themeColor="text1" w:themeTint="F2"/>
          <w:sz w:val="24"/>
          <w:szCs w:val="24"/>
        </w:rPr>
        <w:t xml:space="preserve">, and societal changes, the lens of this exploration focuses on the profound </w:t>
      </w:r>
      <w:r w:rsidR="00651AF5" w:rsidRPr="00903340">
        <w:rPr>
          <w:rFonts w:ascii="Arial" w:hAnsi="Arial" w:cs="Arial"/>
          <w:color w:val="0D0D0D" w:themeColor="text1" w:themeTint="F2"/>
          <w:sz w:val="24"/>
          <w:szCs w:val="24"/>
        </w:rPr>
        <w:t>interchange</w:t>
      </w:r>
      <w:r w:rsidRPr="00903340">
        <w:rPr>
          <w:rFonts w:ascii="Arial" w:hAnsi="Arial" w:cs="Arial"/>
          <w:color w:val="0D0D0D" w:themeColor="text1" w:themeTint="F2"/>
          <w:sz w:val="24"/>
          <w:szCs w:val="24"/>
        </w:rPr>
        <w:t xml:space="preserve"> between challenges, strategic decisions, and the </w:t>
      </w:r>
      <w:r w:rsidR="00651AF5" w:rsidRPr="00903340">
        <w:rPr>
          <w:rFonts w:ascii="Arial" w:hAnsi="Arial" w:cs="Arial"/>
          <w:color w:val="0D0D0D" w:themeColor="text1" w:themeTint="F2"/>
          <w:sz w:val="24"/>
          <w:szCs w:val="24"/>
        </w:rPr>
        <w:t>involved</w:t>
      </w:r>
      <w:r w:rsidRPr="00903340">
        <w:rPr>
          <w:rFonts w:ascii="Arial" w:hAnsi="Arial" w:cs="Arial"/>
          <w:color w:val="0D0D0D" w:themeColor="text1" w:themeTint="F2"/>
          <w:sz w:val="24"/>
          <w:szCs w:val="24"/>
        </w:rPr>
        <w:t xml:space="preserve"> journey of employees within hotels. this essay seeks to unravel the intricate dance between challenges, workforce dynamics, and organizational responses within the context of the UK hospitality sector. It is an exploration that transcends the immediate financial considerations of payroll, venturing into the realms of strategic workforce management. As we navigate the contours of the employee lifecycle, we illuminate the path towards organizational resilience, advocating for a future where the challenges of today become the stepping stones to the industry's enduring success</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Santhanam,</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Dyaram</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and Ziegler</w:t>
      </w:r>
      <w:r w:rsidR="00DF3009">
        <w:rPr>
          <w:rFonts w:ascii="Arial" w:hAnsi="Arial" w:cs="Arial"/>
          <w:color w:val="0D0D0D" w:themeColor="text1" w:themeTint="F2"/>
          <w:sz w:val="24"/>
          <w:szCs w:val="24"/>
        </w:rPr>
        <w:t>, 2017)</w:t>
      </w:r>
      <w:r w:rsidRPr="00903340">
        <w:rPr>
          <w:rFonts w:ascii="Arial" w:hAnsi="Arial" w:cs="Arial"/>
          <w:color w:val="0D0D0D" w:themeColor="text1" w:themeTint="F2"/>
          <w:sz w:val="24"/>
          <w:szCs w:val="24"/>
        </w:rPr>
        <w:t>.</w:t>
      </w:r>
    </w:p>
    <w:p w14:paraId="13AA2F6E" w14:textId="6C5ADACA" w:rsidR="002F4FB9" w:rsidRPr="00651AF5" w:rsidRDefault="002F4FB9" w:rsidP="008E6B1A">
      <w:pPr>
        <w:pStyle w:val="Heading1"/>
      </w:pPr>
      <w:bookmarkStart w:id="1" w:name="_Toc150615789"/>
      <w:r w:rsidRPr="002F4FB9">
        <w:t>Defining Terms</w:t>
      </w:r>
      <w:r w:rsidR="0043038B">
        <w:t>:</w:t>
      </w:r>
      <w:bookmarkEnd w:id="1"/>
    </w:p>
    <w:p w14:paraId="2A5E6C13" w14:textId="3A4C3ABB" w:rsidR="002F4FB9" w:rsidRDefault="002F4FB9" w:rsidP="002F4FB9">
      <w:pPr>
        <w:spacing w:line="360" w:lineRule="auto"/>
        <w:jc w:val="both"/>
        <w:rPr>
          <w:rFonts w:ascii="Arial" w:hAnsi="Arial" w:cs="Arial"/>
          <w:color w:val="0D0D0D" w:themeColor="text1" w:themeTint="F2"/>
          <w:sz w:val="24"/>
          <w:szCs w:val="24"/>
        </w:rPr>
      </w:pPr>
      <w:r w:rsidRPr="002F4FB9">
        <w:rPr>
          <w:rFonts w:ascii="Arial" w:hAnsi="Arial" w:cs="Arial"/>
          <w:color w:val="0D0D0D" w:themeColor="text1" w:themeTint="F2"/>
          <w:sz w:val="24"/>
          <w:szCs w:val="24"/>
        </w:rPr>
        <w:t>Commencing our exploration, it is pivotal to establish clarity by defining key terms foundational to our discourse. Employee turnover, a metric often measured as the rate at which employees leave an organization, serves as a benchmark for understanding workforce dynamics. Workforce development encapsulates initiatives aimed at enhancing the skills and capabilities of employees, ensuring their continual growth and adaptability. Retention strategies encompass the deliberate measures an organization undertakes to retain its valuable human capital, acknowledging the intrinsic link between employee satisfaction and organizational success.</w:t>
      </w:r>
      <w:r w:rsidR="0043038B">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Impact of Current Challenges on the Employee Lifecycle:</w:t>
      </w:r>
      <w:r w:rsidR="0043038B">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Delving into the challenges faced by hotels, a meticulous scrutiny of their repercussions on the employee lifecycle is paramount. Economic shifts, characterized by </w:t>
      </w:r>
      <w:r w:rsidRPr="002F4FB9">
        <w:rPr>
          <w:rFonts w:ascii="Arial" w:hAnsi="Arial" w:cs="Arial"/>
          <w:color w:val="0D0D0D" w:themeColor="text1" w:themeTint="F2"/>
          <w:sz w:val="24"/>
          <w:szCs w:val="24"/>
        </w:rPr>
        <w:lastRenderedPageBreak/>
        <w:t>fluctuations in market conditions, wage trends, and consumer spending, exert profound influences on recruitment, selection, and socialization</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Stamolampros</w:t>
      </w:r>
      <w:r w:rsidR="00DF3009">
        <w:rPr>
          <w:rFonts w:ascii="Arial" w:hAnsi="Arial" w:cs="Arial"/>
          <w:color w:val="0D0D0D" w:themeColor="text1" w:themeTint="F2"/>
          <w:sz w:val="24"/>
          <w:szCs w:val="24"/>
        </w:rPr>
        <w:t xml:space="preserve"> et al, 2019)</w:t>
      </w:r>
      <w:r w:rsidRPr="002F4FB9">
        <w:rPr>
          <w:rFonts w:ascii="Arial" w:hAnsi="Arial" w:cs="Arial"/>
          <w:color w:val="0D0D0D" w:themeColor="text1" w:themeTint="F2"/>
          <w:sz w:val="24"/>
          <w:szCs w:val="24"/>
        </w:rPr>
        <w:t>. Global events, such as pandemics or geopolitical changes, introduce unprecedented disruptions, demanding agile responses in performance management and mobilization. Simultaneously, technological advancements necessitate the infusion of digital competencies, influencing recruitment strategies and reshaping the dynamics of employee training.</w:t>
      </w:r>
      <w:r w:rsidR="0043038B">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Recruitment and Selection: </w:t>
      </w:r>
      <w:r w:rsidR="00903340" w:rsidRPr="00903340">
        <w:rPr>
          <w:rFonts w:ascii="Arial" w:hAnsi="Arial" w:cs="Arial"/>
          <w:color w:val="0D0D0D" w:themeColor="text1" w:themeTint="F2"/>
          <w:sz w:val="24"/>
          <w:szCs w:val="24"/>
        </w:rPr>
        <w:t>Economic shifts wield considerable influence over the hospitality industry, invariably affecting recruitment and selection processes within hotels. Fluctuations in demand for hotel services, triggered by economic dynamics, necessitate a responsive approach to workforce management</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Ashton</w:t>
      </w:r>
      <w:r w:rsidR="00DF3009">
        <w:rPr>
          <w:rFonts w:ascii="Arial" w:hAnsi="Arial" w:cs="Arial"/>
          <w:color w:val="0D0D0D" w:themeColor="text1" w:themeTint="F2"/>
          <w:sz w:val="24"/>
          <w:szCs w:val="24"/>
        </w:rPr>
        <w:t>, 2018)</w:t>
      </w:r>
      <w:r w:rsidR="00903340" w:rsidRPr="00903340">
        <w:rPr>
          <w:rFonts w:ascii="Arial" w:hAnsi="Arial" w:cs="Arial"/>
          <w:color w:val="0D0D0D" w:themeColor="text1" w:themeTint="F2"/>
          <w:sz w:val="24"/>
          <w:szCs w:val="24"/>
        </w:rPr>
        <w:t>. In times of heightened economic uncertainty, there is an amplified emphasis on cost-effectiveness, prompting a reconsideration of selection criteria. This imperative to optimize costs often compels hotels to reevaluate their hiring practices, seeking greater alignment with the evolving economic landscape.</w:t>
      </w:r>
      <w:r w:rsidR="0043038B">
        <w:rPr>
          <w:rFonts w:ascii="Arial" w:hAnsi="Arial" w:cs="Arial"/>
          <w:color w:val="0D0D0D" w:themeColor="text1" w:themeTint="F2"/>
          <w:sz w:val="24"/>
          <w:szCs w:val="24"/>
        </w:rPr>
        <w:t xml:space="preserve"> </w:t>
      </w:r>
      <w:r w:rsidR="00903340" w:rsidRPr="00903340">
        <w:rPr>
          <w:rFonts w:ascii="Arial" w:hAnsi="Arial" w:cs="Arial"/>
          <w:color w:val="0D0D0D" w:themeColor="text1" w:themeTint="F2"/>
          <w:sz w:val="24"/>
          <w:szCs w:val="24"/>
        </w:rPr>
        <w:t>In such scenarios, organizations may adopt innovative approaches such as optimizing staffing levels, leveraging technology for efficient recruitment processes, or revisiting the skill sets prioritized in the selection process. This adaptive response to economic shifts in recruitment and selection strategies becomes imperative for hotels aiming to balance operational efficiency with the imperative to remain agile in the face of dynamic economic conditions.</w:t>
      </w:r>
      <w:r w:rsidR="0043038B">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Socialization: </w:t>
      </w:r>
      <w:r w:rsidR="00903340" w:rsidRPr="00903340">
        <w:rPr>
          <w:rFonts w:ascii="Arial" w:hAnsi="Arial" w:cs="Arial"/>
          <w:color w:val="0D0D0D" w:themeColor="text1" w:themeTint="F2"/>
          <w:sz w:val="24"/>
          <w:szCs w:val="24"/>
        </w:rPr>
        <w:t>Global events, exemplified by the seismic impact of the COVID-19 pandemic, have dramatically reshaped the landscape of workplace socialization</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Das</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and Baruah</w:t>
      </w:r>
      <w:r w:rsidR="00DF3009">
        <w:rPr>
          <w:rFonts w:ascii="Arial" w:hAnsi="Arial" w:cs="Arial"/>
          <w:color w:val="0D0D0D" w:themeColor="text1" w:themeTint="F2"/>
          <w:sz w:val="24"/>
          <w:szCs w:val="24"/>
        </w:rPr>
        <w:t>, 2013)</w:t>
      </w:r>
      <w:r w:rsidR="00903340" w:rsidRPr="00903340">
        <w:rPr>
          <w:rFonts w:ascii="Arial" w:hAnsi="Arial" w:cs="Arial"/>
          <w:color w:val="0D0D0D" w:themeColor="text1" w:themeTint="F2"/>
          <w:sz w:val="24"/>
          <w:szCs w:val="24"/>
        </w:rPr>
        <w:t>. The advent of remote work, stringent health protocols, and evolving organizational cultures demand innovative approaches to integrate new hires and foster cohesion within the workforce. Traditional avenues for socialization, such as in-person onboarding and communal workspaces, have undergone profound transformations.</w:t>
      </w:r>
      <w:r w:rsidR="0043038B">
        <w:rPr>
          <w:rFonts w:ascii="Arial" w:hAnsi="Arial" w:cs="Arial"/>
          <w:color w:val="0D0D0D" w:themeColor="text1" w:themeTint="F2"/>
          <w:sz w:val="24"/>
          <w:szCs w:val="24"/>
        </w:rPr>
        <w:t xml:space="preserve"> </w:t>
      </w:r>
      <w:r w:rsidR="00903340" w:rsidRPr="00903340">
        <w:rPr>
          <w:rFonts w:ascii="Arial" w:hAnsi="Arial" w:cs="Arial"/>
          <w:color w:val="0D0D0D" w:themeColor="text1" w:themeTint="F2"/>
          <w:sz w:val="24"/>
          <w:szCs w:val="24"/>
        </w:rPr>
        <w:t xml:space="preserve">Organizations now grapple with the challenge of cultivating a sense of belonging and shared purpose among dispersed teams. Remote work, while providing flexibility, necessitates inventive solutions to replicate the organic camaraderie that often develops in physical workplaces. Health protocols introduce constraints on traditional social gatherings, prompting a reimagining of team-building initiatives. Adapting to these changes, organizations explore virtual onboarding, digital collaboration tools, and creative means of fostering interpersonal </w:t>
      </w:r>
      <w:r w:rsidR="00903340" w:rsidRPr="00903340">
        <w:rPr>
          <w:rFonts w:ascii="Arial" w:hAnsi="Arial" w:cs="Arial"/>
          <w:color w:val="0D0D0D" w:themeColor="text1" w:themeTint="F2"/>
          <w:sz w:val="24"/>
          <w:szCs w:val="24"/>
        </w:rPr>
        <w:lastRenderedPageBreak/>
        <w:t>connections to ensure that despite the physical distance, the workforce remains interconnected and aligned with the organization's values and objectives.</w:t>
      </w:r>
      <w:r w:rsidR="0043038B">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Performance Management: </w:t>
      </w:r>
      <w:r w:rsidR="00903340" w:rsidRPr="00903340">
        <w:rPr>
          <w:rFonts w:ascii="Arial" w:hAnsi="Arial" w:cs="Arial"/>
          <w:color w:val="0D0D0D" w:themeColor="text1" w:themeTint="F2"/>
          <w:sz w:val="24"/>
          <w:szCs w:val="24"/>
        </w:rPr>
        <w:t>In the era of rapid technological evolution, the dynamic nature of advancements places an unparalleled premium on employee adaptability. Nowhere is this more evident than in the realm of performance management. As industries transition into increasingly tech-driven landscapes, the traditional paradigms of evaluating employee performance must undergo a transformative shift.</w:t>
      </w:r>
      <w:r w:rsidR="0043038B">
        <w:rPr>
          <w:rFonts w:ascii="Arial" w:hAnsi="Arial" w:cs="Arial"/>
          <w:color w:val="0D0D0D" w:themeColor="text1" w:themeTint="F2"/>
          <w:sz w:val="24"/>
          <w:szCs w:val="24"/>
        </w:rPr>
        <w:t xml:space="preserve"> </w:t>
      </w:r>
      <w:r w:rsidR="00903340" w:rsidRPr="00903340">
        <w:rPr>
          <w:rFonts w:ascii="Arial" w:hAnsi="Arial" w:cs="Arial"/>
          <w:color w:val="0D0D0D" w:themeColor="text1" w:themeTint="F2"/>
          <w:sz w:val="24"/>
          <w:szCs w:val="24"/>
        </w:rPr>
        <w:t>Performance management, once focused on conventional metrics, must now evolve to encompass the assessment of digital competencies</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Qiu</w:t>
      </w:r>
      <w:r w:rsidR="00DF3009">
        <w:rPr>
          <w:rFonts w:ascii="Arial" w:hAnsi="Arial" w:cs="Arial"/>
          <w:color w:val="0D0D0D" w:themeColor="text1" w:themeTint="F2"/>
          <w:sz w:val="24"/>
          <w:szCs w:val="24"/>
        </w:rPr>
        <w:t xml:space="preserve"> et al 2015)</w:t>
      </w:r>
      <w:r w:rsidR="00903340" w:rsidRPr="00903340">
        <w:rPr>
          <w:rFonts w:ascii="Arial" w:hAnsi="Arial" w:cs="Arial"/>
          <w:color w:val="0D0D0D" w:themeColor="text1" w:themeTint="F2"/>
          <w:sz w:val="24"/>
          <w:szCs w:val="24"/>
        </w:rPr>
        <w:t>. Employees are expected to navigate and leverage evolving technologies seamlessly, making it imperative for performance evaluations to reflect these demands. Evaluating proficiency in data analysis, digital collaboration, and technological problem-solving becomes pivotal. Organizations embracing this shift in performance management not only ensure their workforce remains aligned with industry trends but also cultivate a culture of continuous learning, where employees are empowered to thrive in an era where adaptability to technological change is a cornerstone of professional success.</w:t>
      </w:r>
      <w:r w:rsidR="00651AF5">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Mobilization: </w:t>
      </w:r>
      <w:r w:rsidR="00903340" w:rsidRPr="00903340">
        <w:rPr>
          <w:rFonts w:ascii="Arial" w:hAnsi="Arial" w:cs="Arial"/>
          <w:color w:val="0D0D0D" w:themeColor="text1" w:themeTint="F2"/>
          <w:sz w:val="24"/>
          <w:szCs w:val="24"/>
        </w:rPr>
        <w:t>The global nature of the hospitality sector demands a workforce that is inherently mobile. The challenges arising from geopolitical events introduce complexities that necessitate strategic considerations in the realm of employee mobilization. Shifts in political landscapes, travel restrictions, and international tensions significantly impact the logistics of staffing across borders. Strategic planning becomes imperative to address the intricate interplay between geopolitical events and the deployment of a mobile workforce.</w:t>
      </w:r>
      <w:r w:rsidR="00651AF5">
        <w:rPr>
          <w:rFonts w:ascii="Arial" w:hAnsi="Arial" w:cs="Arial"/>
          <w:color w:val="0D0D0D" w:themeColor="text1" w:themeTint="F2"/>
          <w:sz w:val="24"/>
          <w:szCs w:val="24"/>
        </w:rPr>
        <w:t xml:space="preserve"> </w:t>
      </w:r>
      <w:r w:rsidR="00903340" w:rsidRPr="00903340">
        <w:rPr>
          <w:rFonts w:ascii="Arial" w:hAnsi="Arial" w:cs="Arial"/>
          <w:color w:val="0D0D0D" w:themeColor="text1" w:themeTint="F2"/>
          <w:sz w:val="24"/>
          <w:szCs w:val="24"/>
        </w:rPr>
        <w:t xml:space="preserve">This necessitates a nuanced approach to international staffing, </w:t>
      </w:r>
      <w:r w:rsidR="00651AF5" w:rsidRPr="00903340">
        <w:rPr>
          <w:rFonts w:ascii="Arial" w:hAnsi="Arial" w:cs="Arial"/>
          <w:color w:val="0D0D0D" w:themeColor="text1" w:themeTint="F2"/>
          <w:sz w:val="24"/>
          <w:szCs w:val="24"/>
        </w:rPr>
        <w:t>considering</w:t>
      </w:r>
      <w:r w:rsidR="00903340" w:rsidRPr="00903340">
        <w:rPr>
          <w:rFonts w:ascii="Arial" w:hAnsi="Arial" w:cs="Arial"/>
          <w:color w:val="0D0D0D" w:themeColor="text1" w:themeTint="F2"/>
          <w:sz w:val="24"/>
          <w:szCs w:val="24"/>
        </w:rPr>
        <w:t xml:space="preserve"> not only the logistical considerations of employee relocation but also the preservation of cross-cultural dynamics within the organization. Adapting to diverse cultural contexts, legal frameworks, and geopolitical realities becomes an integral part of the mobilization strategy. Organizations adept at navigating these challenges not only ensure operational continuity but also foster a resilient and culturally agile workforce capable of thriving amidst the dynamic and often unpredictable global landscape of the hospitality sector.</w:t>
      </w:r>
      <w:r w:rsidR="00651AF5">
        <w:rPr>
          <w:rFonts w:ascii="Arial" w:hAnsi="Arial" w:cs="Arial"/>
          <w:color w:val="0D0D0D" w:themeColor="text1" w:themeTint="F2"/>
          <w:sz w:val="24"/>
          <w:szCs w:val="24"/>
        </w:rPr>
        <w:t xml:space="preserve"> </w:t>
      </w:r>
      <w:r w:rsidRPr="00651AF5">
        <w:rPr>
          <w:rFonts w:ascii="Arial" w:hAnsi="Arial" w:cs="Arial"/>
          <w:color w:val="0D0D0D" w:themeColor="text1" w:themeTint="F2"/>
          <w:sz w:val="24"/>
          <w:szCs w:val="24"/>
        </w:rPr>
        <w:t>Benefits of Retaining a Workforce:</w:t>
      </w:r>
      <w:r w:rsidR="00651AF5">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Transitioning to the advantages of retaining a workforce, the essay will illuminate the profound impact of investing in employee development on organizational resilience</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Boella</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and Goss-Turner</w:t>
      </w:r>
      <w:r w:rsidR="00DF3009">
        <w:rPr>
          <w:rFonts w:ascii="Arial" w:hAnsi="Arial" w:cs="Arial"/>
          <w:color w:val="0D0D0D" w:themeColor="text1" w:themeTint="F2"/>
          <w:sz w:val="24"/>
          <w:szCs w:val="24"/>
        </w:rPr>
        <w:t>, 2019)</w:t>
      </w:r>
      <w:r w:rsidRPr="002F4FB9">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lastRenderedPageBreak/>
        <w:t>Beyond mere financial considerations, a committed and skilled workforce serves as the bedrock for operational efficiency, customer satisfaction, and innovation.</w:t>
      </w:r>
      <w:r w:rsidR="00651AF5">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Operational Efficiency: </w:t>
      </w:r>
      <w:r w:rsidR="00903340" w:rsidRPr="00903340">
        <w:rPr>
          <w:rFonts w:ascii="Arial" w:hAnsi="Arial" w:cs="Arial"/>
          <w:color w:val="0D0D0D" w:themeColor="text1" w:themeTint="F2"/>
          <w:sz w:val="24"/>
          <w:szCs w:val="24"/>
        </w:rPr>
        <w:t>The retention of experienced employees is instrumental in fostering operational efficiency within organizations</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Yang</w:t>
      </w:r>
      <w:r w:rsidR="00DF3009">
        <w:rPr>
          <w:rFonts w:ascii="Arial" w:hAnsi="Arial" w:cs="Arial"/>
          <w:color w:val="0D0D0D" w:themeColor="text1" w:themeTint="F2"/>
          <w:sz w:val="24"/>
          <w:szCs w:val="24"/>
        </w:rPr>
        <w:t xml:space="preserve"> et al, 2012)</w:t>
      </w:r>
      <w:r w:rsidR="00903340" w:rsidRPr="00903340">
        <w:rPr>
          <w:rFonts w:ascii="Arial" w:hAnsi="Arial" w:cs="Arial"/>
          <w:color w:val="0D0D0D" w:themeColor="text1" w:themeTint="F2"/>
          <w:sz w:val="24"/>
          <w:szCs w:val="24"/>
        </w:rPr>
        <w:t xml:space="preserve">. The accumulated institutional knowledge held by long-tenured staff members becomes a cornerstone for streamlined processes. With lower turnover, there is a reduction in the time and resources traditionally allocated to training new staff. This not only enhances the overall proficiency of the workforce but also contributes to operational fluidity. The retained expertise of seasoned employees ensures a depth of understanding in executing tasks, minimizing disruptions, and ultimately promoting a more efficient and effective operational environment. </w:t>
      </w:r>
      <w:r w:rsidR="00651AF5">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Customer Satisfaction: </w:t>
      </w:r>
      <w:r w:rsidR="00903340" w:rsidRPr="00903340">
        <w:rPr>
          <w:rFonts w:ascii="Arial" w:hAnsi="Arial" w:cs="Arial"/>
          <w:color w:val="0D0D0D" w:themeColor="text1" w:themeTint="F2"/>
          <w:sz w:val="24"/>
          <w:szCs w:val="24"/>
        </w:rPr>
        <w:t xml:space="preserve">A stable and knowledgeable workforce plays a pivotal role in fostering customer satisfaction within the hospitality industry. Consistent service from familiar and experienced staff enhances the overall guest experience, creating a positive and lasting impression. The familiarity instills a sense of reliability and trust, contributing to a positive brand image. Beyond merely meeting expectations, a steadfast workforce understands the nuanced needs of clientele, ensuring personalized and attentive service. This, in turn, cultivates customer loyalty, as guests appreciate and value the continuity of service provided by a dedicated and familiar team, ultimately enhancing the overall satisfaction and reputation of the establishment. </w:t>
      </w:r>
      <w:r w:rsidR="00651AF5">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Innovation: </w:t>
      </w:r>
      <w:r w:rsidR="00903340" w:rsidRPr="00903340">
        <w:rPr>
          <w:rFonts w:ascii="Arial" w:hAnsi="Arial" w:cs="Arial"/>
          <w:color w:val="0D0D0D" w:themeColor="text1" w:themeTint="F2"/>
          <w:sz w:val="24"/>
          <w:szCs w:val="24"/>
        </w:rPr>
        <w:t>Employee retention and innovation share an intrinsic connection. A stable workforce, intimately familiar with the organization's values and goals, becomes a wellspring of creative ideas. Familiarity with the company's ethos cultivates a sense of ownership, encouraging employees to actively contribute to a culture of creativity and continuous improvement. Engaged and committed staff are more inclined to share insights and propose innovative solutions, bolstering the organization's capacity for adaptation and growth. In essence, the symbiotic relationship between employee retention and innovation underscores the importance of a cohesive and loyal workforce in propelling organizations toward sustained inventive excellence</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Guilding,</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Lamminmaki</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and McManus</w:t>
      </w:r>
      <w:r w:rsidR="00DF3009">
        <w:rPr>
          <w:rFonts w:ascii="Arial" w:hAnsi="Arial" w:cs="Arial"/>
          <w:color w:val="0D0D0D" w:themeColor="text1" w:themeTint="F2"/>
          <w:sz w:val="24"/>
          <w:szCs w:val="24"/>
        </w:rPr>
        <w:t>, 2014)</w:t>
      </w:r>
      <w:r w:rsidR="00903340" w:rsidRPr="00903340">
        <w:rPr>
          <w:rFonts w:ascii="Arial" w:hAnsi="Arial" w:cs="Arial"/>
          <w:color w:val="0D0D0D" w:themeColor="text1" w:themeTint="F2"/>
          <w:sz w:val="24"/>
          <w:szCs w:val="24"/>
        </w:rPr>
        <w:t xml:space="preserve">. </w:t>
      </w:r>
      <w:r w:rsidR="00651AF5">
        <w:rPr>
          <w:rFonts w:ascii="Arial" w:hAnsi="Arial" w:cs="Arial"/>
          <w:color w:val="0D0D0D" w:themeColor="text1" w:themeTint="F2"/>
          <w:sz w:val="24"/>
          <w:szCs w:val="24"/>
        </w:rPr>
        <w:t xml:space="preserve"> </w:t>
      </w:r>
      <w:r w:rsidRPr="00651AF5">
        <w:rPr>
          <w:rFonts w:ascii="Arial" w:hAnsi="Arial" w:cs="Arial"/>
          <w:color w:val="0D0D0D" w:themeColor="text1" w:themeTint="F2"/>
          <w:sz w:val="24"/>
          <w:szCs w:val="24"/>
        </w:rPr>
        <w:t>Consideration of Future Resiliency:</w:t>
      </w:r>
      <w:r w:rsidR="00651AF5">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Anticipating the future, our discussion extends to the paramount importance of resiliency within the business. This includes strategies for retaining top talent and fostering continuous team development, </w:t>
      </w:r>
      <w:r w:rsidRPr="002F4FB9">
        <w:rPr>
          <w:rFonts w:ascii="Arial" w:hAnsi="Arial" w:cs="Arial"/>
          <w:color w:val="0D0D0D" w:themeColor="text1" w:themeTint="F2"/>
          <w:sz w:val="24"/>
          <w:szCs w:val="24"/>
        </w:rPr>
        <w:lastRenderedPageBreak/>
        <w:t>with insights into adaptive leadership, comprehensive training programs, and adept talent management practices.</w:t>
      </w:r>
      <w:r w:rsidR="00651AF5">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Retaining Top Talent: In a competitive industry, retaining top talent is a strategic imperative. This involves recognizing and rewarding high-performing individuals, providing growth opportunities, and cultivating a positive organizational culture that aligns with employee values.</w:t>
      </w:r>
      <w:r w:rsidR="00651AF5">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Continuous Team Development: </w:t>
      </w:r>
      <w:r w:rsidR="00903340" w:rsidRPr="00903340">
        <w:rPr>
          <w:rFonts w:ascii="Arial" w:hAnsi="Arial" w:cs="Arial"/>
          <w:color w:val="0D0D0D" w:themeColor="text1" w:themeTint="F2"/>
          <w:sz w:val="24"/>
          <w:szCs w:val="24"/>
        </w:rPr>
        <w:t xml:space="preserve">Safeguarding future resilience necessitates a commitment to continuous team development. This proactive strategy involves strategic investments in comprehensive training programs, mentorship initiatives, and leadership development. By fostering a culture of continual learning, organizations empower their workforce to adapt and proactively tackle emerging challenges. Through these developmental initiatives, teams not only enhance their current skill sets but also cultivate the agility and preparedness required to navigate the dynamic landscapes of their respective industries. In essence, continuous team development emerges as a linchpin for organizational readiness in the face of evolving and unforeseen challenges. </w:t>
      </w:r>
      <w:r w:rsidR="00651AF5">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Adaptive Leadership: </w:t>
      </w:r>
      <w:r w:rsidR="00903340" w:rsidRPr="00903340">
        <w:rPr>
          <w:rFonts w:ascii="Arial" w:hAnsi="Arial" w:cs="Arial"/>
          <w:color w:val="0D0D0D" w:themeColor="text1" w:themeTint="F2"/>
          <w:sz w:val="24"/>
          <w:szCs w:val="24"/>
        </w:rPr>
        <w:t>In the realm of organizational resiliency, the significance of adaptive leadership cannot be overstated. Leaders, as the architects of a company's trajectory, play a pivotal role in steering through uncertainties inherent in the dynamic business environment. Adaptive leaders possess the ability to navigate uncharted territories, embracing change as an opportunity rather than a threat. In doing so, they inspire their teams to confront challenges with resilience and creativity.</w:t>
      </w:r>
      <w:r w:rsidR="00651AF5">
        <w:rPr>
          <w:rFonts w:ascii="Arial" w:hAnsi="Arial" w:cs="Arial"/>
          <w:color w:val="0D0D0D" w:themeColor="text1" w:themeTint="F2"/>
          <w:sz w:val="24"/>
          <w:szCs w:val="24"/>
        </w:rPr>
        <w:t xml:space="preserve"> </w:t>
      </w:r>
      <w:r w:rsidR="00903340" w:rsidRPr="00903340">
        <w:rPr>
          <w:rFonts w:ascii="Arial" w:hAnsi="Arial" w:cs="Arial"/>
          <w:color w:val="0D0D0D" w:themeColor="text1" w:themeTint="F2"/>
          <w:sz w:val="24"/>
          <w:szCs w:val="24"/>
        </w:rPr>
        <w:t xml:space="preserve">Central to adaptive leadership is the cultivation of a culture of continuous learning and innovation. Leaders who foster an environment where experimentation is encouraged, mistakes are viewed as learning opportunities, and ideas are welcomed, contribute substantially to the organization's capacity to </w:t>
      </w:r>
      <w:r w:rsidR="00651AF5" w:rsidRPr="00903340">
        <w:rPr>
          <w:rFonts w:ascii="Arial" w:hAnsi="Arial" w:cs="Arial"/>
          <w:color w:val="0D0D0D" w:themeColor="text1" w:themeTint="F2"/>
          <w:sz w:val="24"/>
          <w:szCs w:val="24"/>
        </w:rPr>
        <w:t>adapt,</w:t>
      </w:r>
      <w:r w:rsidR="00903340" w:rsidRPr="00903340">
        <w:rPr>
          <w:rFonts w:ascii="Arial" w:hAnsi="Arial" w:cs="Arial"/>
          <w:color w:val="0D0D0D" w:themeColor="text1" w:themeTint="F2"/>
          <w:sz w:val="24"/>
          <w:szCs w:val="24"/>
        </w:rPr>
        <w:t xml:space="preserve"> and thrive in ever-changing landscapes</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Hwang</w:t>
      </w:r>
      <w:r w:rsidR="00DF3009">
        <w:rPr>
          <w:rFonts w:ascii="Arial" w:hAnsi="Arial" w:cs="Arial"/>
          <w:color w:val="0D0D0D" w:themeColor="text1" w:themeTint="F2"/>
          <w:sz w:val="24"/>
          <w:szCs w:val="24"/>
        </w:rPr>
        <w:t xml:space="preserve"> et al, 2014)</w:t>
      </w:r>
      <w:r w:rsidR="00903340" w:rsidRPr="00903340">
        <w:rPr>
          <w:rFonts w:ascii="Arial" w:hAnsi="Arial" w:cs="Arial"/>
          <w:color w:val="0D0D0D" w:themeColor="text1" w:themeTint="F2"/>
          <w:sz w:val="24"/>
          <w:szCs w:val="24"/>
        </w:rPr>
        <w:t>.</w:t>
      </w:r>
      <w:r w:rsidR="00651AF5">
        <w:rPr>
          <w:rFonts w:ascii="Arial" w:hAnsi="Arial" w:cs="Arial"/>
          <w:color w:val="0D0D0D" w:themeColor="text1" w:themeTint="F2"/>
          <w:sz w:val="24"/>
          <w:szCs w:val="24"/>
        </w:rPr>
        <w:t xml:space="preserve"> </w:t>
      </w:r>
      <w:r w:rsidR="00903340" w:rsidRPr="00903340">
        <w:rPr>
          <w:rFonts w:ascii="Arial" w:hAnsi="Arial" w:cs="Arial"/>
          <w:color w:val="0D0D0D" w:themeColor="text1" w:themeTint="F2"/>
          <w:sz w:val="24"/>
          <w:szCs w:val="24"/>
        </w:rPr>
        <w:t>Recognizing the paramount importance of adaptive leadership, organizations invest in leadership development programs. These initiatives are instrumental in honing the skills necessary for navigating complexities, fostering agility, and instilling a forward-thinking mindset. By nurturing adaptive leaders, organizations not only weather current challenges but also position themselves strategically for future success, reinforcing the symbiotic relationship between leadership excellence and organizational resilience in the face of an ever-evolving business landscape.</w:t>
      </w:r>
      <w:r w:rsidR="0043038B">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Talent Management Practices: Strategic talent management practices, </w:t>
      </w:r>
      <w:r w:rsidRPr="002F4FB9">
        <w:rPr>
          <w:rFonts w:ascii="Arial" w:hAnsi="Arial" w:cs="Arial"/>
          <w:color w:val="0D0D0D" w:themeColor="text1" w:themeTint="F2"/>
          <w:sz w:val="24"/>
          <w:szCs w:val="24"/>
        </w:rPr>
        <w:lastRenderedPageBreak/>
        <w:t>encompassing recruitment, development, and retention strategies, form the cornerstone of future resiliency. This includes data-driven decision-making, succession planning, and a proactive approach to addressing emerging talent needs.</w:t>
      </w:r>
      <w:r w:rsidR="0043038B">
        <w:rPr>
          <w:rFonts w:ascii="Arial" w:hAnsi="Arial" w:cs="Arial"/>
          <w:color w:val="0D0D0D" w:themeColor="text1" w:themeTint="F2"/>
          <w:sz w:val="24"/>
          <w:szCs w:val="24"/>
        </w:rPr>
        <w:t xml:space="preserve"> </w:t>
      </w:r>
      <w:r w:rsidRPr="002F4FB9">
        <w:rPr>
          <w:rFonts w:ascii="Arial" w:hAnsi="Arial" w:cs="Arial"/>
          <w:color w:val="0D0D0D" w:themeColor="text1" w:themeTint="F2"/>
          <w:sz w:val="24"/>
          <w:szCs w:val="24"/>
        </w:rPr>
        <w:t xml:space="preserve">In </w:t>
      </w:r>
      <w:r w:rsidR="0043038B" w:rsidRPr="002F4FB9">
        <w:rPr>
          <w:rFonts w:ascii="Arial" w:hAnsi="Arial" w:cs="Arial"/>
          <w:color w:val="0D0D0D" w:themeColor="text1" w:themeTint="F2"/>
          <w:sz w:val="24"/>
          <w:szCs w:val="24"/>
        </w:rPr>
        <w:t>decision</w:t>
      </w:r>
      <w:r w:rsidRPr="002F4FB9">
        <w:rPr>
          <w:rFonts w:ascii="Arial" w:hAnsi="Arial" w:cs="Arial"/>
          <w:color w:val="0D0D0D" w:themeColor="text1" w:themeTint="F2"/>
          <w:sz w:val="24"/>
          <w:szCs w:val="24"/>
        </w:rPr>
        <w:t>, this comprehensive analysis underscores the intricate interplay between challenges, workforce dynamics, and organizational responses within the unique context of the UK hospitality sector. By defining key terms, exploring the impact of current challenges on the employee lifecycle, highlighting the benefits of retaining a workforce, and considering future resiliency, we illuminate a path forward for hotels to not only navigate existing complexities but also thrive in the face of future uncertainties. The strategic imperatives identified underscore the transformative potential of effective workforce management in shaping the future landscape of the hospitality industry</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AlBattat</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and Som</w:t>
      </w:r>
      <w:r w:rsidR="00DF3009">
        <w:rPr>
          <w:rFonts w:ascii="Arial" w:hAnsi="Arial" w:cs="Arial"/>
          <w:color w:val="0D0D0D" w:themeColor="text1" w:themeTint="F2"/>
          <w:sz w:val="24"/>
          <w:szCs w:val="24"/>
        </w:rPr>
        <w:t>, 2013)</w:t>
      </w:r>
      <w:r w:rsidRPr="002F4FB9">
        <w:rPr>
          <w:rFonts w:ascii="Arial" w:hAnsi="Arial" w:cs="Arial"/>
          <w:color w:val="0D0D0D" w:themeColor="text1" w:themeTint="F2"/>
          <w:sz w:val="24"/>
          <w:szCs w:val="24"/>
        </w:rPr>
        <w:t>.</w:t>
      </w:r>
    </w:p>
    <w:p w14:paraId="4E23633C" w14:textId="77777777" w:rsidR="00651AF5" w:rsidRDefault="00651AF5" w:rsidP="002F4FB9">
      <w:pPr>
        <w:spacing w:line="360" w:lineRule="auto"/>
        <w:jc w:val="both"/>
        <w:rPr>
          <w:rFonts w:ascii="Arial" w:hAnsi="Arial" w:cs="Arial"/>
          <w:b/>
          <w:bCs/>
          <w:color w:val="0D0D0D" w:themeColor="text1" w:themeTint="F2"/>
          <w:sz w:val="24"/>
          <w:szCs w:val="24"/>
        </w:rPr>
      </w:pPr>
    </w:p>
    <w:p w14:paraId="0A398E39" w14:textId="77777777" w:rsidR="00651AF5" w:rsidRDefault="00651AF5" w:rsidP="002F4FB9">
      <w:pPr>
        <w:spacing w:line="360" w:lineRule="auto"/>
        <w:jc w:val="both"/>
        <w:rPr>
          <w:rFonts w:ascii="Arial" w:hAnsi="Arial" w:cs="Arial"/>
          <w:b/>
          <w:bCs/>
          <w:color w:val="0D0D0D" w:themeColor="text1" w:themeTint="F2"/>
          <w:sz w:val="24"/>
          <w:szCs w:val="24"/>
        </w:rPr>
      </w:pPr>
    </w:p>
    <w:p w14:paraId="51791088" w14:textId="77777777" w:rsidR="008E6B1A" w:rsidRDefault="008E6B1A" w:rsidP="008E6B1A"/>
    <w:p w14:paraId="3023E667" w14:textId="77777777" w:rsidR="008E6B1A" w:rsidRDefault="008E6B1A" w:rsidP="008E6B1A"/>
    <w:p w14:paraId="0AE9766A" w14:textId="77777777" w:rsidR="008E6B1A" w:rsidRDefault="008E6B1A" w:rsidP="008E6B1A"/>
    <w:p w14:paraId="2C2F446D" w14:textId="77777777" w:rsidR="008E6B1A" w:rsidRDefault="008E6B1A" w:rsidP="008E6B1A"/>
    <w:p w14:paraId="178A04D5" w14:textId="77777777" w:rsidR="008E6B1A" w:rsidRDefault="008E6B1A" w:rsidP="008E6B1A"/>
    <w:p w14:paraId="7A6C7C15" w14:textId="77777777" w:rsidR="008E6B1A" w:rsidRDefault="008E6B1A" w:rsidP="008E6B1A"/>
    <w:p w14:paraId="1138BF02" w14:textId="77777777" w:rsidR="008E6B1A" w:rsidRDefault="008E6B1A" w:rsidP="008E6B1A"/>
    <w:p w14:paraId="47F9F817" w14:textId="77777777" w:rsidR="008E6B1A" w:rsidRDefault="008E6B1A" w:rsidP="008E6B1A"/>
    <w:p w14:paraId="7130D484" w14:textId="77777777" w:rsidR="008E6B1A" w:rsidRDefault="008E6B1A" w:rsidP="008E6B1A"/>
    <w:p w14:paraId="6AA2D66B" w14:textId="77777777" w:rsidR="008E6B1A" w:rsidRDefault="008E6B1A" w:rsidP="008E6B1A"/>
    <w:p w14:paraId="5CC7983B" w14:textId="77777777" w:rsidR="008E6B1A" w:rsidRDefault="008E6B1A" w:rsidP="008E6B1A"/>
    <w:p w14:paraId="4AA500A1" w14:textId="77777777" w:rsidR="008E6B1A" w:rsidRDefault="008E6B1A" w:rsidP="008E6B1A"/>
    <w:p w14:paraId="628A2AAB" w14:textId="77777777" w:rsidR="008E6B1A" w:rsidRDefault="008E6B1A" w:rsidP="008E6B1A"/>
    <w:p w14:paraId="642E5792" w14:textId="77777777" w:rsidR="008E6B1A" w:rsidRDefault="008E6B1A" w:rsidP="008E6B1A"/>
    <w:p w14:paraId="6991C18A" w14:textId="77777777" w:rsidR="008E6B1A" w:rsidRDefault="008E6B1A" w:rsidP="008E6B1A"/>
    <w:p w14:paraId="7456B111" w14:textId="77777777" w:rsidR="008E6B1A" w:rsidRDefault="008E6B1A" w:rsidP="008E6B1A"/>
    <w:p w14:paraId="6DCD1D59" w14:textId="3CD3CAFE" w:rsidR="00903340" w:rsidRPr="00F41572" w:rsidRDefault="00F41572" w:rsidP="008E6B1A">
      <w:pPr>
        <w:pStyle w:val="Heading1"/>
      </w:pPr>
      <w:bookmarkStart w:id="2" w:name="_Toc150615790"/>
      <w:r w:rsidRPr="00F41572">
        <w:lastRenderedPageBreak/>
        <w:t>Conclusion</w:t>
      </w:r>
      <w:bookmarkEnd w:id="2"/>
      <w:r w:rsidRPr="00F41572">
        <w:t xml:space="preserve"> </w:t>
      </w:r>
    </w:p>
    <w:p w14:paraId="053EE2C8" w14:textId="5E6A7E12" w:rsidR="00F41572" w:rsidRDefault="00F41572" w:rsidP="002F4FB9">
      <w:pPr>
        <w:spacing w:line="360" w:lineRule="auto"/>
        <w:jc w:val="both"/>
        <w:rPr>
          <w:rFonts w:ascii="Arial" w:hAnsi="Arial" w:cs="Arial"/>
          <w:color w:val="0D0D0D" w:themeColor="text1" w:themeTint="F2"/>
          <w:sz w:val="24"/>
          <w:szCs w:val="24"/>
        </w:rPr>
      </w:pPr>
      <w:r w:rsidRPr="00F41572">
        <w:rPr>
          <w:rFonts w:ascii="Arial" w:hAnsi="Arial" w:cs="Arial"/>
          <w:color w:val="0D0D0D" w:themeColor="text1" w:themeTint="F2"/>
          <w:sz w:val="24"/>
          <w:szCs w:val="24"/>
        </w:rPr>
        <w:t>In conclusion, this comprehensive exploration has delved into the intricate challenges faced by hotels in managing employee turnover within the dynamic context of the UK's hospitality sector. By critically evaluating the far-reaching effects on the employee lifecycle, it becomes evident that strategic workforce management is not just a reactive measure but a proactive imperative for success</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Sheehan, Grant</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and Garavan</w:t>
      </w:r>
      <w:r w:rsidR="00DF3009">
        <w:rPr>
          <w:rFonts w:ascii="Arial" w:hAnsi="Arial" w:cs="Arial"/>
          <w:color w:val="0D0D0D" w:themeColor="text1" w:themeTint="F2"/>
          <w:sz w:val="24"/>
          <w:szCs w:val="24"/>
        </w:rPr>
        <w:t>, 2018)</w:t>
      </w:r>
      <w:r w:rsidRPr="00F41572">
        <w:rPr>
          <w:rFonts w:ascii="Arial" w:hAnsi="Arial" w:cs="Arial"/>
          <w:color w:val="0D0D0D" w:themeColor="text1" w:themeTint="F2"/>
          <w:sz w:val="24"/>
          <w:szCs w:val="24"/>
        </w:rPr>
        <w:t>. The multifaceted nature of challenges, ranging from economic shifts to global events, underscores the necessity for adaptive strategies throughout the employee journey.</w:t>
      </w:r>
      <w:r w:rsidR="00651AF5">
        <w:rPr>
          <w:rFonts w:ascii="Arial" w:hAnsi="Arial" w:cs="Arial"/>
          <w:color w:val="0D0D0D" w:themeColor="text1" w:themeTint="F2"/>
          <w:sz w:val="24"/>
          <w:szCs w:val="24"/>
        </w:rPr>
        <w:t xml:space="preserve"> </w:t>
      </w:r>
      <w:r w:rsidRPr="00F41572">
        <w:rPr>
          <w:rFonts w:ascii="Arial" w:hAnsi="Arial" w:cs="Arial"/>
          <w:color w:val="0D0D0D" w:themeColor="text1" w:themeTint="F2"/>
          <w:sz w:val="24"/>
          <w:szCs w:val="24"/>
        </w:rPr>
        <w:t>Moreover, the elucidation of the benefits tied to retaining a skilled workforce reinforces the strategic value of investments in talent development and retention. Beyond mere financial considerations, the advantages include heightened operational efficiency, elevated customer satisfaction, and a fertile ground for innovation. These elements collectively contribute to the industry's ability to not only weather existing challenges but to proactively shape its trajectory amid future uncertainties.</w:t>
      </w:r>
      <w:r w:rsidR="00651AF5">
        <w:rPr>
          <w:rFonts w:ascii="Arial" w:hAnsi="Arial" w:cs="Arial"/>
          <w:color w:val="0D0D0D" w:themeColor="text1" w:themeTint="F2"/>
          <w:sz w:val="24"/>
          <w:szCs w:val="24"/>
        </w:rPr>
        <w:t xml:space="preserve"> </w:t>
      </w:r>
      <w:r w:rsidRPr="00F41572">
        <w:rPr>
          <w:rFonts w:ascii="Arial" w:hAnsi="Arial" w:cs="Arial"/>
          <w:color w:val="0D0D0D" w:themeColor="text1" w:themeTint="F2"/>
          <w:sz w:val="24"/>
          <w:szCs w:val="24"/>
        </w:rPr>
        <w:t>As the hospitality landscape evolves, resilience emerges as a linchpin for long-term success. The cultivation of resilience through talent retention and ongoing development is posited as a crucial determinant, allowing hotels not merely to endure current complexities but to flourish amidst the perpetual transformation defining the trajectory of the hospitality sector</w:t>
      </w:r>
      <w:r w:rsidR="00DF3009">
        <w:rPr>
          <w:rFonts w:ascii="Arial" w:hAnsi="Arial" w:cs="Arial"/>
          <w:color w:val="0D0D0D" w:themeColor="text1" w:themeTint="F2"/>
          <w:sz w:val="24"/>
          <w:szCs w:val="24"/>
        </w:rPr>
        <w:t xml:space="preserve"> (</w:t>
      </w:r>
      <w:r w:rsidR="00DF3009" w:rsidRPr="00DF3009">
        <w:rPr>
          <w:rFonts w:ascii="Arial" w:hAnsi="Arial" w:cs="Arial"/>
          <w:color w:val="0D0D0D" w:themeColor="text1" w:themeTint="F2"/>
          <w:sz w:val="24"/>
          <w:szCs w:val="24"/>
        </w:rPr>
        <w:t>Hoque</w:t>
      </w:r>
      <w:r w:rsidR="00DF3009">
        <w:rPr>
          <w:rFonts w:ascii="Arial" w:hAnsi="Arial" w:cs="Arial"/>
          <w:color w:val="0D0D0D" w:themeColor="text1" w:themeTint="F2"/>
          <w:sz w:val="24"/>
          <w:szCs w:val="24"/>
        </w:rPr>
        <w:t>, 2013)</w:t>
      </w:r>
      <w:r w:rsidRPr="00F41572">
        <w:rPr>
          <w:rFonts w:ascii="Arial" w:hAnsi="Arial" w:cs="Arial"/>
          <w:color w:val="0D0D0D" w:themeColor="text1" w:themeTint="F2"/>
          <w:sz w:val="24"/>
          <w:szCs w:val="24"/>
        </w:rPr>
        <w:t>. Thus, the essay underscores the paramount importance of proactive responses to challenges, ensuring that hotels navigate the present intricacies while charting a course toward sustained excellence in the ever-evolving realm of hospitality.</w:t>
      </w:r>
    </w:p>
    <w:p w14:paraId="34218575" w14:textId="77777777" w:rsidR="008E6B1A" w:rsidRDefault="008E6B1A" w:rsidP="008E6B1A"/>
    <w:p w14:paraId="5BFC1923" w14:textId="77777777" w:rsidR="008E6B1A" w:rsidRDefault="008E6B1A" w:rsidP="008E6B1A"/>
    <w:p w14:paraId="20390049" w14:textId="77777777" w:rsidR="008E6B1A" w:rsidRDefault="008E6B1A" w:rsidP="008E6B1A"/>
    <w:p w14:paraId="57127B6D" w14:textId="77777777" w:rsidR="008E6B1A" w:rsidRDefault="008E6B1A" w:rsidP="008E6B1A"/>
    <w:p w14:paraId="156A0DAB" w14:textId="77777777" w:rsidR="008E6B1A" w:rsidRDefault="008E6B1A" w:rsidP="008E6B1A"/>
    <w:p w14:paraId="7692A303" w14:textId="77777777" w:rsidR="008E6B1A" w:rsidRDefault="008E6B1A" w:rsidP="008E6B1A"/>
    <w:p w14:paraId="6344367F" w14:textId="77777777" w:rsidR="008E6B1A" w:rsidRDefault="008E6B1A" w:rsidP="008E6B1A"/>
    <w:p w14:paraId="49769606" w14:textId="77777777" w:rsidR="008E6B1A" w:rsidRDefault="008E6B1A" w:rsidP="008E6B1A"/>
    <w:p w14:paraId="1F4C0D25" w14:textId="77777777" w:rsidR="008E6B1A" w:rsidRDefault="008E6B1A" w:rsidP="008E6B1A"/>
    <w:p w14:paraId="057E1BC9" w14:textId="43A1070E" w:rsidR="00F41572" w:rsidRPr="0043038B" w:rsidRDefault="0043038B" w:rsidP="008E6B1A">
      <w:pPr>
        <w:pStyle w:val="Heading1"/>
      </w:pPr>
      <w:bookmarkStart w:id="3" w:name="_Toc150615791"/>
      <w:r w:rsidRPr="0043038B">
        <w:lastRenderedPageBreak/>
        <w:t>Reference</w:t>
      </w:r>
      <w:bookmarkEnd w:id="3"/>
    </w:p>
    <w:p w14:paraId="0B863646" w14:textId="77777777" w:rsidR="008E6B1A" w:rsidRDefault="008E6B1A" w:rsidP="002F4FB9">
      <w:pPr>
        <w:spacing w:line="360" w:lineRule="auto"/>
        <w:jc w:val="both"/>
        <w:rPr>
          <w:rFonts w:ascii="Arial" w:hAnsi="Arial" w:cs="Arial"/>
          <w:color w:val="0D0D0D" w:themeColor="text1" w:themeTint="F2"/>
          <w:sz w:val="24"/>
          <w:szCs w:val="24"/>
        </w:rPr>
      </w:pPr>
      <w:bookmarkStart w:id="4" w:name="_Hlk150615155"/>
    </w:p>
    <w:bookmarkEnd w:id="4"/>
    <w:p w14:paraId="543304F2"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AlBattat, A.R.S. and Som, A.P.M.,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2013</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Employee dissatisfaction and turnover crises in the Malaysian hospitality industry. </w:t>
      </w:r>
      <w:r w:rsidRPr="0043038B">
        <w:rPr>
          <w:rFonts w:ascii="Arial" w:hAnsi="Arial" w:cs="Arial"/>
          <w:i/>
          <w:iCs/>
          <w:color w:val="0D0D0D" w:themeColor="text1" w:themeTint="F2"/>
          <w:sz w:val="24"/>
          <w:szCs w:val="24"/>
        </w:rPr>
        <w:t>International Journal of Business and Management</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8</w:t>
      </w:r>
      <w:r w:rsidRPr="0043038B">
        <w:rPr>
          <w:rFonts w:ascii="Arial" w:hAnsi="Arial" w:cs="Arial"/>
          <w:color w:val="0D0D0D" w:themeColor="text1" w:themeTint="F2"/>
          <w:sz w:val="24"/>
          <w:szCs w:val="24"/>
        </w:rPr>
        <w:t>(5), p.62.</w:t>
      </w:r>
    </w:p>
    <w:p w14:paraId="4451A7DB" w14:textId="77777777" w:rsidR="008E6B1A" w:rsidRPr="0043038B" w:rsidRDefault="008E6B1A" w:rsidP="0043038B">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Armstrong, M. and Taylor, S. (2020) Armstrong’s handbook of</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human resource management practice. 15th edition. London,</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United Kingdom ;: Kogan Page.</w:t>
      </w:r>
    </w:p>
    <w:p w14:paraId="0BA164A3"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Ashton, A.S.,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2018</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What a human resources management best practice influence employee satisfaction and job retention in the Thai hotel industry. </w:t>
      </w:r>
      <w:r w:rsidRPr="0043038B">
        <w:rPr>
          <w:rFonts w:ascii="Arial" w:hAnsi="Arial" w:cs="Arial"/>
          <w:i/>
          <w:iCs/>
          <w:color w:val="0D0D0D" w:themeColor="text1" w:themeTint="F2"/>
          <w:sz w:val="24"/>
          <w:szCs w:val="24"/>
        </w:rPr>
        <w:t>Journal of Human Resources in Hospitality &amp; Tourism</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17</w:t>
      </w:r>
      <w:r w:rsidRPr="0043038B">
        <w:rPr>
          <w:rFonts w:ascii="Arial" w:hAnsi="Arial" w:cs="Arial"/>
          <w:color w:val="0D0D0D" w:themeColor="text1" w:themeTint="F2"/>
          <w:sz w:val="24"/>
          <w:szCs w:val="24"/>
        </w:rPr>
        <w:t>(2), pp.175-199.</w:t>
      </w:r>
    </w:p>
    <w:p w14:paraId="499E8028"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Boella, M.J. and Goss-Turner, S.,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2019</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Human resource management in the hospitality industry: A guide to best practice</w:t>
      </w:r>
      <w:r w:rsidRPr="0043038B">
        <w:rPr>
          <w:rFonts w:ascii="Arial" w:hAnsi="Arial" w:cs="Arial"/>
          <w:color w:val="0D0D0D" w:themeColor="text1" w:themeTint="F2"/>
          <w:sz w:val="24"/>
          <w:szCs w:val="24"/>
        </w:rPr>
        <w:t>. Routledge.</w:t>
      </w:r>
    </w:p>
    <w:p w14:paraId="60A7482F"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Das, B.L. and Baruah, M.,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2013</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Employee retention: A review of literature. </w:t>
      </w:r>
      <w:r w:rsidRPr="0043038B">
        <w:rPr>
          <w:rFonts w:ascii="Arial" w:hAnsi="Arial" w:cs="Arial"/>
          <w:i/>
          <w:iCs/>
          <w:color w:val="0D0D0D" w:themeColor="text1" w:themeTint="F2"/>
          <w:sz w:val="24"/>
          <w:szCs w:val="24"/>
        </w:rPr>
        <w:t>Journal of business and management</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14</w:t>
      </w:r>
      <w:r w:rsidRPr="0043038B">
        <w:rPr>
          <w:rFonts w:ascii="Arial" w:hAnsi="Arial" w:cs="Arial"/>
          <w:color w:val="0D0D0D" w:themeColor="text1" w:themeTint="F2"/>
          <w:sz w:val="24"/>
          <w:szCs w:val="24"/>
        </w:rPr>
        <w:t>(2), pp.8-16.</w:t>
      </w:r>
    </w:p>
    <w:p w14:paraId="0C89221F" w14:textId="77777777" w:rsidR="008E6B1A" w:rsidRPr="0043038B" w:rsidRDefault="008E6B1A" w:rsidP="0043038B">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Friedman, A. (2012) Continuing professional development:</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lifelong learning of millions. London: Routledge.</w:t>
      </w:r>
    </w:p>
    <w:p w14:paraId="03EEBA16" w14:textId="77777777" w:rsidR="008E6B1A" w:rsidRPr="0043038B" w:rsidRDefault="008E6B1A" w:rsidP="0043038B">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Gallagher, K. (2016) Essential study and employment skills for</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business and management students. Oxford: Oxford University</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Press.</w:t>
      </w:r>
    </w:p>
    <w:p w14:paraId="786581A8"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Guilding, C., Lamminmaki, D. and McManus, L.,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2014</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Staff turnover costs: In search of accountability. </w:t>
      </w:r>
      <w:r w:rsidRPr="0043038B">
        <w:rPr>
          <w:rFonts w:ascii="Arial" w:hAnsi="Arial" w:cs="Arial"/>
          <w:i/>
          <w:iCs/>
          <w:color w:val="0D0D0D" w:themeColor="text1" w:themeTint="F2"/>
          <w:sz w:val="24"/>
          <w:szCs w:val="24"/>
        </w:rPr>
        <w:t>International Journal of Hospitality Management</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36</w:t>
      </w:r>
      <w:r w:rsidRPr="0043038B">
        <w:rPr>
          <w:rFonts w:ascii="Arial" w:hAnsi="Arial" w:cs="Arial"/>
          <w:color w:val="0D0D0D" w:themeColor="text1" w:themeTint="F2"/>
          <w:sz w:val="24"/>
          <w:szCs w:val="24"/>
        </w:rPr>
        <w:t>, pp.231-243.</w:t>
      </w:r>
    </w:p>
    <w:p w14:paraId="692BF58D"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Hoque, K.,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2013</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Human resource management in the hotel industry: Strategy, innovation, and performance</w:t>
      </w:r>
      <w:r w:rsidRPr="0043038B">
        <w:rPr>
          <w:rFonts w:ascii="Arial" w:hAnsi="Arial" w:cs="Arial"/>
          <w:color w:val="0D0D0D" w:themeColor="text1" w:themeTint="F2"/>
          <w:sz w:val="24"/>
          <w:szCs w:val="24"/>
        </w:rPr>
        <w:t>. Routledge.</w:t>
      </w:r>
    </w:p>
    <w:p w14:paraId="5678153D" w14:textId="77777777" w:rsidR="008E6B1A" w:rsidRPr="0043038B" w:rsidRDefault="008E6B1A" w:rsidP="0043038B">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Horn, R. (2009) The business skills handbook. London:</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Chartered Institute of Personnel and Development.</w:t>
      </w:r>
    </w:p>
    <w:p w14:paraId="57D39808" w14:textId="77777777" w:rsidR="008E6B1A" w:rsidRDefault="008E6B1A" w:rsidP="002F4FB9">
      <w:pPr>
        <w:spacing w:line="360" w:lineRule="auto"/>
        <w:jc w:val="both"/>
        <w:rPr>
          <w:rFonts w:ascii="Arial" w:hAnsi="Arial" w:cs="Arial"/>
          <w:color w:val="0D0D0D" w:themeColor="text1" w:themeTint="F2"/>
          <w:sz w:val="24"/>
          <w:szCs w:val="24"/>
        </w:rPr>
      </w:pPr>
      <w:bookmarkStart w:id="5" w:name="_Hlk150615198"/>
      <w:r w:rsidRPr="0043038B">
        <w:rPr>
          <w:rFonts w:ascii="Arial" w:hAnsi="Arial" w:cs="Arial"/>
          <w:color w:val="0D0D0D" w:themeColor="text1" w:themeTint="F2"/>
          <w:sz w:val="24"/>
          <w:szCs w:val="24"/>
        </w:rPr>
        <w:t>Hwang</w:t>
      </w:r>
      <w:bookmarkEnd w:id="5"/>
      <w:r w:rsidRPr="0043038B">
        <w:rPr>
          <w:rFonts w:ascii="Arial" w:hAnsi="Arial" w:cs="Arial"/>
          <w:color w:val="0D0D0D" w:themeColor="text1" w:themeTint="F2"/>
          <w:sz w:val="24"/>
          <w:szCs w:val="24"/>
        </w:rPr>
        <w:t xml:space="preserve">, J., Lee, J.J., Park, S., Chang, H. and Kim, S.S.,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2014</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The impact of occupational stress on employee's turnover intention in the luxury hotel segment. </w:t>
      </w:r>
      <w:r w:rsidRPr="0043038B">
        <w:rPr>
          <w:rFonts w:ascii="Arial" w:hAnsi="Arial" w:cs="Arial"/>
          <w:i/>
          <w:iCs/>
          <w:color w:val="0D0D0D" w:themeColor="text1" w:themeTint="F2"/>
          <w:sz w:val="24"/>
          <w:szCs w:val="24"/>
        </w:rPr>
        <w:t>International Journal of Hospitality &amp; Tourism Administration</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15</w:t>
      </w:r>
      <w:r w:rsidRPr="0043038B">
        <w:rPr>
          <w:rFonts w:ascii="Arial" w:hAnsi="Arial" w:cs="Arial"/>
          <w:color w:val="0D0D0D" w:themeColor="text1" w:themeTint="F2"/>
          <w:sz w:val="24"/>
          <w:szCs w:val="24"/>
        </w:rPr>
        <w:t>(1), pp.60-77.</w:t>
      </w:r>
    </w:p>
    <w:p w14:paraId="6B7C40B2" w14:textId="77777777" w:rsidR="008E6B1A" w:rsidRPr="008E6B1A" w:rsidRDefault="008E6B1A" w:rsidP="008E6B1A">
      <w:pPr>
        <w:spacing w:line="360" w:lineRule="auto"/>
        <w:jc w:val="both"/>
        <w:rPr>
          <w:rFonts w:ascii="Arial" w:hAnsi="Arial" w:cs="Arial"/>
          <w:color w:val="0D0D0D" w:themeColor="text1" w:themeTint="F2"/>
          <w:sz w:val="24"/>
          <w:szCs w:val="24"/>
        </w:rPr>
      </w:pPr>
      <w:r w:rsidRPr="008E6B1A">
        <w:rPr>
          <w:rFonts w:ascii="Arial" w:hAnsi="Arial" w:cs="Arial"/>
          <w:color w:val="0D0D0D" w:themeColor="text1" w:themeTint="F2"/>
          <w:sz w:val="24"/>
          <w:szCs w:val="24"/>
        </w:rPr>
        <w:lastRenderedPageBreak/>
        <w:t>International Journal of Human Resource Management:</w:t>
      </w:r>
      <w:r>
        <w:rPr>
          <w:rFonts w:ascii="Arial" w:hAnsi="Arial" w:cs="Arial"/>
          <w:color w:val="0D0D0D" w:themeColor="text1" w:themeTint="F2"/>
          <w:sz w:val="24"/>
          <w:szCs w:val="24"/>
        </w:rPr>
        <w:t xml:space="preserve"> </w:t>
      </w:r>
      <w:r w:rsidRPr="008E6B1A">
        <w:rPr>
          <w:rFonts w:ascii="Arial" w:hAnsi="Arial" w:cs="Arial"/>
          <w:color w:val="0D0D0D" w:themeColor="text1" w:themeTint="F2"/>
          <w:sz w:val="24"/>
          <w:szCs w:val="24"/>
        </w:rPr>
        <w:t>Available at: www.cipd.co.uk/journals</w:t>
      </w:r>
      <w:r>
        <w:rPr>
          <w:rFonts w:ascii="Arial" w:hAnsi="Arial" w:cs="Arial"/>
          <w:color w:val="0D0D0D" w:themeColor="text1" w:themeTint="F2"/>
          <w:sz w:val="24"/>
          <w:szCs w:val="24"/>
        </w:rPr>
        <w:t>.</w:t>
      </w:r>
    </w:p>
    <w:p w14:paraId="18CAEC0B" w14:textId="77777777" w:rsidR="008E6B1A" w:rsidRPr="0043038B" w:rsidRDefault="008E6B1A" w:rsidP="0043038B">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Johnston, R. Clark, G. Shulver, M (2012). Service Operations</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Management ,Pearson, London</w:t>
      </w:r>
      <w:r>
        <w:rPr>
          <w:rFonts w:ascii="Arial" w:hAnsi="Arial" w:cs="Arial"/>
          <w:color w:val="0D0D0D" w:themeColor="text1" w:themeTint="F2"/>
          <w:sz w:val="24"/>
          <w:szCs w:val="24"/>
        </w:rPr>
        <w:t>.</w:t>
      </w:r>
    </w:p>
    <w:p w14:paraId="3BCE33BE" w14:textId="77777777" w:rsidR="008E6B1A" w:rsidRPr="0043038B" w:rsidRDefault="008E6B1A" w:rsidP="0043038B">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Marchington, M. and Wilkinson, A. (2016) Human resource</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management at work. 6th ed. London: Chartered Institute of</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Personnel and Development.</w:t>
      </w:r>
    </w:p>
    <w:p w14:paraId="70A3E061" w14:textId="77777777" w:rsidR="008E6B1A" w:rsidRPr="00903340" w:rsidRDefault="008E6B1A" w:rsidP="0043038B">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Murton, A,. Inman, M., O’Sullivan, N. (2010) Unlocking Human</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Resource Management, Hodder Education</w:t>
      </w:r>
      <w:r>
        <w:rPr>
          <w:rFonts w:ascii="Arial" w:hAnsi="Arial" w:cs="Arial"/>
          <w:color w:val="0D0D0D" w:themeColor="text1" w:themeTint="F2"/>
          <w:sz w:val="24"/>
          <w:szCs w:val="24"/>
        </w:rPr>
        <w:t>.</w:t>
      </w:r>
    </w:p>
    <w:p w14:paraId="59E3D9B4"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Qiu, H., Haobin Ye, B., Hung, K., and York, Q.Y.,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2015</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Exploring antecedents of employee turnover intention–Evidence of China’s hotel industry. </w:t>
      </w:r>
      <w:r w:rsidRPr="0043038B">
        <w:rPr>
          <w:rFonts w:ascii="Arial" w:hAnsi="Arial" w:cs="Arial"/>
          <w:i/>
          <w:iCs/>
          <w:color w:val="0D0D0D" w:themeColor="text1" w:themeTint="F2"/>
          <w:sz w:val="24"/>
          <w:szCs w:val="24"/>
        </w:rPr>
        <w:t>Journal of China Tourism Research</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11</w:t>
      </w:r>
      <w:r w:rsidRPr="0043038B">
        <w:rPr>
          <w:rFonts w:ascii="Arial" w:hAnsi="Arial" w:cs="Arial"/>
          <w:color w:val="0D0D0D" w:themeColor="text1" w:themeTint="F2"/>
          <w:sz w:val="24"/>
          <w:szCs w:val="24"/>
        </w:rPr>
        <w:t>(1), pp.53-66.</w:t>
      </w:r>
    </w:p>
    <w:p w14:paraId="1523C0F5"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Robinson, R.N., Kralj, A., Solnet, D.J., Goh, E. and Callan, V.,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2014</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Thinking job embeddedness not turnover: Towards a better understanding of frontline hotel worker retention. </w:t>
      </w:r>
      <w:r w:rsidRPr="0043038B">
        <w:rPr>
          <w:rFonts w:ascii="Arial" w:hAnsi="Arial" w:cs="Arial"/>
          <w:i/>
          <w:iCs/>
          <w:color w:val="0D0D0D" w:themeColor="text1" w:themeTint="F2"/>
          <w:sz w:val="24"/>
          <w:szCs w:val="24"/>
        </w:rPr>
        <w:t>International journal of hospitality management</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36</w:t>
      </w:r>
      <w:r w:rsidRPr="0043038B">
        <w:rPr>
          <w:rFonts w:ascii="Arial" w:hAnsi="Arial" w:cs="Arial"/>
          <w:color w:val="0D0D0D" w:themeColor="text1" w:themeTint="F2"/>
          <w:sz w:val="24"/>
          <w:szCs w:val="24"/>
        </w:rPr>
        <w:t>, pp.101-109.</w:t>
      </w:r>
    </w:p>
    <w:p w14:paraId="17AE466E"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Santhanam, N., TJ, K., Dyaram, L. and Ziegler, H.,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2017</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Impact of human resource management practices on employee turnover intentions: Moderating role of psychological contract breach. </w:t>
      </w:r>
      <w:r w:rsidRPr="0043038B">
        <w:rPr>
          <w:rFonts w:ascii="Arial" w:hAnsi="Arial" w:cs="Arial"/>
          <w:i/>
          <w:iCs/>
          <w:color w:val="0D0D0D" w:themeColor="text1" w:themeTint="F2"/>
          <w:sz w:val="24"/>
          <w:szCs w:val="24"/>
        </w:rPr>
        <w:t>Journal of Indian Business Research</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9</w:t>
      </w:r>
      <w:r w:rsidRPr="0043038B">
        <w:rPr>
          <w:rFonts w:ascii="Arial" w:hAnsi="Arial" w:cs="Arial"/>
          <w:color w:val="0D0D0D" w:themeColor="text1" w:themeTint="F2"/>
          <w:sz w:val="24"/>
          <w:szCs w:val="24"/>
        </w:rPr>
        <w:t>(3), pp.212-228.</w:t>
      </w:r>
    </w:p>
    <w:p w14:paraId="13D0B21F"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Sheehan, M., Grant, K. and Garavan, T.,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2018</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Strategic talent management: A macro and micro analysis of current issues in hospitality and tourism. </w:t>
      </w:r>
      <w:r w:rsidRPr="0043038B">
        <w:rPr>
          <w:rFonts w:ascii="Arial" w:hAnsi="Arial" w:cs="Arial"/>
          <w:i/>
          <w:iCs/>
          <w:color w:val="0D0D0D" w:themeColor="text1" w:themeTint="F2"/>
          <w:sz w:val="24"/>
          <w:szCs w:val="24"/>
        </w:rPr>
        <w:t>Worldwide Hospitality and Tourism Themes</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10</w:t>
      </w:r>
      <w:r w:rsidRPr="0043038B">
        <w:rPr>
          <w:rFonts w:ascii="Arial" w:hAnsi="Arial" w:cs="Arial"/>
          <w:color w:val="0D0D0D" w:themeColor="text1" w:themeTint="F2"/>
          <w:sz w:val="24"/>
          <w:szCs w:val="24"/>
        </w:rPr>
        <w:t>(1), pp.28-41.</w:t>
      </w:r>
    </w:p>
    <w:p w14:paraId="484DFFAA"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Stamolampros, P., Korfiatis, N., Chalvatzis, K. and Buhalis, D.,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2019</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Job satisfaction and employee turnover determinants in high contact services: Insights from Employees’ Online reviews. </w:t>
      </w:r>
      <w:r w:rsidRPr="0043038B">
        <w:rPr>
          <w:rFonts w:ascii="Arial" w:hAnsi="Arial" w:cs="Arial"/>
          <w:i/>
          <w:iCs/>
          <w:color w:val="0D0D0D" w:themeColor="text1" w:themeTint="F2"/>
          <w:sz w:val="24"/>
          <w:szCs w:val="24"/>
        </w:rPr>
        <w:t>Tourism Management</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75</w:t>
      </w:r>
      <w:r w:rsidRPr="0043038B">
        <w:rPr>
          <w:rFonts w:ascii="Arial" w:hAnsi="Arial" w:cs="Arial"/>
          <w:color w:val="0D0D0D" w:themeColor="text1" w:themeTint="F2"/>
          <w:sz w:val="24"/>
          <w:szCs w:val="24"/>
        </w:rPr>
        <w:t>, pp.130-147.</w:t>
      </w:r>
    </w:p>
    <w:p w14:paraId="735603A2" w14:textId="77777777" w:rsidR="008E6B1A" w:rsidRPr="0043038B" w:rsidRDefault="008E6B1A" w:rsidP="0043038B">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Torrington, D, Hall, L, Atkinson, C, &amp;amp; Taylor, S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2020</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Human</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Resource Management PDF EBook, Pearson Education,</w:t>
      </w:r>
      <w:r>
        <w:rPr>
          <w:rFonts w:ascii="Arial" w:hAnsi="Arial" w:cs="Arial"/>
          <w:color w:val="0D0D0D" w:themeColor="text1" w:themeTint="F2"/>
          <w:sz w:val="24"/>
          <w:szCs w:val="24"/>
        </w:rPr>
        <w:t xml:space="preserve"> </w:t>
      </w:r>
      <w:r w:rsidRPr="0043038B">
        <w:rPr>
          <w:rFonts w:ascii="Arial" w:hAnsi="Arial" w:cs="Arial"/>
          <w:color w:val="0D0D0D" w:themeColor="text1" w:themeTint="F2"/>
          <w:sz w:val="24"/>
          <w:szCs w:val="24"/>
        </w:rPr>
        <w:t>Limited, Harlow. Available from: ProQuest Ebook Central.</w:t>
      </w:r>
    </w:p>
    <w:p w14:paraId="45D646C0" w14:textId="77777777" w:rsidR="008E6B1A" w:rsidRDefault="008E6B1A" w:rsidP="008E6B1A">
      <w:pPr>
        <w:spacing w:line="360" w:lineRule="auto"/>
        <w:jc w:val="both"/>
        <w:rPr>
          <w:rFonts w:ascii="Arial" w:hAnsi="Arial" w:cs="Arial"/>
          <w:color w:val="0D0D0D" w:themeColor="text1" w:themeTint="F2"/>
          <w:sz w:val="24"/>
          <w:szCs w:val="24"/>
        </w:rPr>
      </w:pPr>
      <w:r w:rsidRPr="008E6B1A">
        <w:rPr>
          <w:rFonts w:ascii="Arial" w:hAnsi="Arial" w:cs="Arial"/>
          <w:color w:val="0D0D0D" w:themeColor="text1" w:themeTint="F2"/>
          <w:sz w:val="24"/>
          <w:szCs w:val="24"/>
        </w:rPr>
        <w:lastRenderedPageBreak/>
        <w:t>Websites www.cipd.co.uk/cpd - Continuing professional development</w:t>
      </w:r>
      <w:r>
        <w:rPr>
          <w:rFonts w:ascii="Arial" w:hAnsi="Arial" w:cs="Arial"/>
          <w:color w:val="0D0D0D" w:themeColor="text1" w:themeTint="F2"/>
          <w:sz w:val="24"/>
          <w:szCs w:val="24"/>
        </w:rPr>
        <w:t xml:space="preserve"> </w:t>
      </w:r>
      <w:r w:rsidRPr="008E6B1A">
        <w:rPr>
          <w:rFonts w:ascii="Arial" w:hAnsi="Arial" w:cs="Arial"/>
          <w:color w:val="0D0D0D" w:themeColor="text1" w:themeTint="F2"/>
          <w:sz w:val="24"/>
          <w:szCs w:val="24"/>
        </w:rPr>
        <w:t>(CPD) information on the website of the Chartered Institute of</w:t>
      </w:r>
      <w:r>
        <w:rPr>
          <w:rFonts w:ascii="Arial" w:hAnsi="Arial" w:cs="Arial"/>
          <w:color w:val="0D0D0D" w:themeColor="text1" w:themeTint="F2"/>
          <w:sz w:val="24"/>
          <w:szCs w:val="24"/>
        </w:rPr>
        <w:t xml:space="preserve"> </w:t>
      </w:r>
      <w:r w:rsidRPr="008E6B1A">
        <w:rPr>
          <w:rFonts w:ascii="Arial" w:hAnsi="Arial" w:cs="Arial"/>
          <w:color w:val="0D0D0D" w:themeColor="text1" w:themeTint="F2"/>
          <w:sz w:val="24"/>
          <w:szCs w:val="24"/>
        </w:rPr>
        <w:t>Personnel and Development (CIPD).</w:t>
      </w:r>
    </w:p>
    <w:p w14:paraId="486518FA" w14:textId="77777777" w:rsidR="008E6B1A" w:rsidRDefault="008E6B1A" w:rsidP="002F4FB9">
      <w:pPr>
        <w:spacing w:line="360" w:lineRule="auto"/>
        <w:jc w:val="both"/>
        <w:rPr>
          <w:rFonts w:ascii="Arial" w:hAnsi="Arial" w:cs="Arial"/>
          <w:color w:val="0D0D0D" w:themeColor="text1" w:themeTint="F2"/>
          <w:sz w:val="24"/>
          <w:szCs w:val="24"/>
        </w:rPr>
      </w:pPr>
      <w:r w:rsidRPr="0043038B">
        <w:rPr>
          <w:rFonts w:ascii="Arial" w:hAnsi="Arial" w:cs="Arial"/>
          <w:color w:val="0D0D0D" w:themeColor="text1" w:themeTint="F2"/>
          <w:sz w:val="24"/>
          <w:szCs w:val="24"/>
        </w:rPr>
        <w:t xml:space="preserve">Yang, J.T., Wan, C.S. and Fu, Y.J., </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2012</w:t>
      </w:r>
      <w:r>
        <w:rPr>
          <w:rFonts w:ascii="Arial" w:hAnsi="Arial" w:cs="Arial"/>
          <w:color w:val="0D0D0D" w:themeColor="text1" w:themeTint="F2"/>
          <w:sz w:val="24"/>
          <w:szCs w:val="24"/>
        </w:rPr>
        <w:t>)</w:t>
      </w:r>
      <w:r w:rsidRPr="0043038B">
        <w:rPr>
          <w:rFonts w:ascii="Arial" w:hAnsi="Arial" w:cs="Arial"/>
          <w:color w:val="0D0D0D" w:themeColor="text1" w:themeTint="F2"/>
          <w:sz w:val="24"/>
          <w:szCs w:val="24"/>
        </w:rPr>
        <w:t>. Qualitative examination of employee turnover and retention strategies in international tourist hotels in Taiwan. </w:t>
      </w:r>
      <w:r w:rsidRPr="0043038B">
        <w:rPr>
          <w:rFonts w:ascii="Arial" w:hAnsi="Arial" w:cs="Arial"/>
          <w:i/>
          <w:iCs/>
          <w:color w:val="0D0D0D" w:themeColor="text1" w:themeTint="F2"/>
          <w:sz w:val="24"/>
          <w:szCs w:val="24"/>
        </w:rPr>
        <w:t>International journal of hospitality management</w:t>
      </w:r>
      <w:r w:rsidRPr="0043038B">
        <w:rPr>
          <w:rFonts w:ascii="Arial" w:hAnsi="Arial" w:cs="Arial"/>
          <w:color w:val="0D0D0D" w:themeColor="text1" w:themeTint="F2"/>
          <w:sz w:val="24"/>
          <w:szCs w:val="24"/>
        </w:rPr>
        <w:t>, </w:t>
      </w:r>
      <w:r w:rsidRPr="0043038B">
        <w:rPr>
          <w:rFonts w:ascii="Arial" w:hAnsi="Arial" w:cs="Arial"/>
          <w:i/>
          <w:iCs/>
          <w:color w:val="0D0D0D" w:themeColor="text1" w:themeTint="F2"/>
          <w:sz w:val="24"/>
          <w:szCs w:val="24"/>
        </w:rPr>
        <w:t>31</w:t>
      </w:r>
      <w:r w:rsidRPr="0043038B">
        <w:rPr>
          <w:rFonts w:ascii="Arial" w:hAnsi="Arial" w:cs="Arial"/>
          <w:color w:val="0D0D0D" w:themeColor="text1" w:themeTint="F2"/>
          <w:sz w:val="24"/>
          <w:szCs w:val="24"/>
        </w:rPr>
        <w:t>(3), pp.837-848.</w:t>
      </w:r>
    </w:p>
    <w:sectPr w:rsidR="008E6B1A">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31DC5" w14:textId="77777777" w:rsidR="007A02A7" w:rsidRDefault="007A02A7" w:rsidP="00651AF5">
      <w:pPr>
        <w:spacing w:after="0" w:line="240" w:lineRule="auto"/>
      </w:pPr>
      <w:r>
        <w:separator/>
      </w:r>
    </w:p>
  </w:endnote>
  <w:endnote w:type="continuationSeparator" w:id="0">
    <w:p w14:paraId="5934CB93" w14:textId="77777777" w:rsidR="007A02A7" w:rsidRDefault="007A02A7" w:rsidP="00651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EE5C7" w14:textId="77777777" w:rsidR="007A02A7" w:rsidRDefault="007A02A7" w:rsidP="00651AF5">
      <w:pPr>
        <w:spacing w:after="0" w:line="240" w:lineRule="auto"/>
      </w:pPr>
      <w:r>
        <w:separator/>
      </w:r>
    </w:p>
  </w:footnote>
  <w:footnote w:type="continuationSeparator" w:id="0">
    <w:p w14:paraId="36D9DD39" w14:textId="77777777" w:rsidR="007A02A7" w:rsidRDefault="007A02A7" w:rsidP="00651A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617480"/>
      <w:docPartObj>
        <w:docPartGallery w:val="Page Numbers (Top of Page)"/>
        <w:docPartUnique/>
      </w:docPartObj>
    </w:sdtPr>
    <w:sdtEndPr>
      <w:rPr>
        <w:noProof/>
      </w:rPr>
    </w:sdtEndPr>
    <w:sdtContent>
      <w:p w14:paraId="7E5DCB94" w14:textId="1B24F81A" w:rsidR="00651AF5" w:rsidRDefault="00651AF5">
        <w:pPr>
          <w:pStyle w:val="Header"/>
        </w:pPr>
        <w:r>
          <w:fldChar w:fldCharType="begin"/>
        </w:r>
        <w:r>
          <w:instrText xml:space="preserve"> PAGE   \* MERGEFORMAT </w:instrText>
        </w:r>
        <w:r>
          <w:fldChar w:fldCharType="separate"/>
        </w:r>
        <w:r>
          <w:rPr>
            <w:noProof/>
          </w:rPr>
          <w:t>2</w:t>
        </w:r>
        <w:r>
          <w:rPr>
            <w:noProof/>
          </w:rPr>
          <w:fldChar w:fldCharType="end"/>
        </w:r>
      </w:p>
    </w:sdtContent>
  </w:sdt>
  <w:p w14:paraId="2E82A42F" w14:textId="77777777" w:rsidR="00651AF5" w:rsidRDefault="00651A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FB9"/>
    <w:rsid w:val="002F4FB9"/>
    <w:rsid w:val="003D17E4"/>
    <w:rsid w:val="0043038B"/>
    <w:rsid w:val="005B1013"/>
    <w:rsid w:val="00651AF5"/>
    <w:rsid w:val="0069396D"/>
    <w:rsid w:val="007A02A7"/>
    <w:rsid w:val="008E6B1A"/>
    <w:rsid w:val="00903340"/>
    <w:rsid w:val="009A4712"/>
    <w:rsid w:val="00AD763D"/>
    <w:rsid w:val="00D217EE"/>
    <w:rsid w:val="00DA30F1"/>
    <w:rsid w:val="00DF3009"/>
    <w:rsid w:val="00F415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01C96"/>
  <w15:chartTrackingRefBased/>
  <w15:docId w15:val="{EE1A1E67-D4F6-4123-8715-C8243E3C9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B1A"/>
    <w:pPr>
      <w:keepNext/>
      <w:keepLines/>
      <w:spacing w:before="360" w:after="120"/>
      <w:jc w:val="both"/>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03340"/>
    <w:rPr>
      <w:rFonts w:ascii="Times New Roman" w:hAnsi="Times New Roman" w:cs="Times New Roman"/>
      <w:sz w:val="24"/>
      <w:szCs w:val="24"/>
    </w:rPr>
  </w:style>
  <w:style w:type="paragraph" w:styleId="Header">
    <w:name w:val="header"/>
    <w:basedOn w:val="Normal"/>
    <w:link w:val="HeaderChar"/>
    <w:uiPriority w:val="99"/>
    <w:unhideWhenUsed/>
    <w:rsid w:val="00651A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1AF5"/>
  </w:style>
  <w:style w:type="paragraph" w:styleId="Footer">
    <w:name w:val="footer"/>
    <w:basedOn w:val="Normal"/>
    <w:link w:val="FooterChar"/>
    <w:uiPriority w:val="99"/>
    <w:unhideWhenUsed/>
    <w:rsid w:val="00651A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1AF5"/>
  </w:style>
  <w:style w:type="character" w:customStyle="1" w:styleId="Heading1Char">
    <w:name w:val="Heading 1 Char"/>
    <w:basedOn w:val="DefaultParagraphFont"/>
    <w:link w:val="Heading1"/>
    <w:uiPriority w:val="9"/>
    <w:rsid w:val="008E6B1A"/>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8E6B1A"/>
    <w:pPr>
      <w:spacing w:before="240" w:after="0"/>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8E6B1A"/>
    <w:pPr>
      <w:spacing w:after="100"/>
    </w:pPr>
  </w:style>
  <w:style w:type="character" w:styleId="Hyperlink">
    <w:name w:val="Hyperlink"/>
    <w:basedOn w:val="DefaultParagraphFont"/>
    <w:uiPriority w:val="99"/>
    <w:unhideWhenUsed/>
    <w:rsid w:val="008E6B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741616">
      <w:bodyDiv w:val="1"/>
      <w:marLeft w:val="0"/>
      <w:marRight w:val="0"/>
      <w:marTop w:val="0"/>
      <w:marBottom w:val="0"/>
      <w:divBdr>
        <w:top w:val="none" w:sz="0" w:space="0" w:color="auto"/>
        <w:left w:val="none" w:sz="0" w:space="0" w:color="auto"/>
        <w:bottom w:val="none" w:sz="0" w:space="0" w:color="auto"/>
        <w:right w:val="none" w:sz="0" w:space="0" w:color="auto"/>
      </w:divBdr>
    </w:div>
    <w:div w:id="492643071">
      <w:bodyDiv w:val="1"/>
      <w:marLeft w:val="0"/>
      <w:marRight w:val="0"/>
      <w:marTop w:val="0"/>
      <w:marBottom w:val="0"/>
      <w:divBdr>
        <w:top w:val="none" w:sz="0" w:space="0" w:color="auto"/>
        <w:left w:val="none" w:sz="0" w:space="0" w:color="auto"/>
        <w:bottom w:val="none" w:sz="0" w:space="0" w:color="auto"/>
        <w:right w:val="none" w:sz="0" w:space="0" w:color="auto"/>
      </w:divBdr>
    </w:div>
    <w:div w:id="598373019">
      <w:bodyDiv w:val="1"/>
      <w:marLeft w:val="0"/>
      <w:marRight w:val="0"/>
      <w:marTop w:val="0"/>
      <w:marBottom w:val="0"/>
      <w:divBdr>
        <w:top w:val="none" w:sz="0" w:space="0" w:color="auto"/>
        <w:left w:val="none" w:sz="0" w:space="0" w:color="auto"/>
        <w:bottom w:val="none" w:sz="0" w:space="0" w:color="auto"/>
        <w:right w:val="none" w:sz="0" w:space="0" w:color="auto"/>
      </w:divBdr>
    </w:div>
    <w:div w:id="1034424655">
      <w:bodyDiv w:val="1"/>
      <w:marLeft w:val="0"/>
      <w:marRight w:val="0"/>
      <w:marTop w:val="0"/>
      <w:marBottom w:val="0"/>
      <w:divBdr>
        <w:top w:val="none" w:sz="0" w:space="0" w:color="auto"/>
        <w:left w:val="none" w:sz="0" w:space="0" w:color="auto"/>
        <w:bottom w:val="none" w:sz="0" w:space="0" w:color="auto"/>
        <w:right w:val="none" w:sz="0" w:space="0" w:color="auto"/>
      </w:divBdr>
      <w:divsChild>
        <w:div w:id="1240137853">
          <w:marLeft w:val="0"/>
          <w:marRight w:val="0"/>
          <w:marTop w:val="0"/>
          <w:marBottom w:val="0"/>
          <w:divBdr>
            <w:top w:val="single" w:sz="2" w:space="0" w:color="auto"/>
            <w:left w:val="single" w:sz="2" w:space="0" w:color="auto"/>
            <w:bottom w:val="single" w:sz="6" w:space="0" w:color="auto"/>
            <w:right w:val="single" w:sz="2" w:space="0" w:color="auto"/>
          </w:divBdr>
          <w:divsChild>
            <w:div w:id="146881698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012845">
                  <w:marLeft w:val="0"/>
                  <w:marRight w:val="0"/>
                  <w:marTop w:val="0"/>
                  <w:marBottom w:val="0"/>
                  <w:divBdr>
                    <w:top w:val="single" w:sz="2" w:space="0" w:color="D9D9E3"/>
                    <w:left w:val="single" w:sz="2" w:space="0" w:color="D9D9E3"/>
                    <w:bottom w:val="single" w:sz="2" w:space="0" w:color="D9D9E3"/>
                    <w:right w:val="single" w:sz="2" w:space="0" w:color="D9D9E3"/>
                  </w:divBdr>
                  <w:divsChild>
                    <w:div w:id="294533012">
                      <w:marLeft w:val="0"/>
                      <w:marRight w:val="0"/>
                      <w:marTop w:val="0"/>
                      <w:marBottom w:val="0"/>
                      <w:divBdr>
                        <w:top w:val="single" w:sz="2" w:space="0" w:color="D9D9E3"/>
                        <w:left w:val="single" w:sz="2" w:space="0" w:color="D9D9E3"/>
                        <w:bottom w:val="single" w:sz="2" w:space="0" w:color="D9D9E3"/>
                        <w:right w:val="single" w:sz="2" w:space="0" w:color="D9D9E3"/>
                      </w:divBdr>
                      <w:divsChild>
                        <w:div w:id="674645911">
                          <w:marLeft w:val="0"/>
                          <w:marRight w:val="0"/>
                          <w:marTop w:val="0"/>
                          <w:marBottom w:val="0"/>
                          <w:divBdr>
                            <w:top w:val="single" w:sz="2" w:space="0" w:color="D9D9E3"/>
                            <w:left w:val="single" w:sz="2" w:space="0" w:color="D9D9E3"/>
                            <w:bottom w:val="single" w:sz="2" w:space="0" w:color="D9D9E3"/>
                            <w:right w:val="single" w:sz="2" w:space="0" w:color="D9D9E3"/>
                          </w:divBdr>
                          <w:divsChild>
                            <w:div w:id="1989245615">
                              <w:marLeft w:val="0"/>
                              <w:marRight w:val="0"/>
                              <w:marTop w:val="0"/>
                              <w:marBottom w:val="0"/>
                              <w:divBdr>
                                <w:top w:val="single" w:sz="2" w:space="0" w:color="D9D9E3"/>
                                <w:left w:val="single" w:sz="2" w:space="0" w:color="D9D9E3"/>
                                <w:bottom w:val="single" w:sz="2" w:space="0" w:color="D9D9E3"/>
                                <w:right w:val="single" w:sz="2" w:space="0" w:color="D9D9E3"/>
                              </w:divBdr>
                              <w:divsChild>
                                <w:div w:id="1610429260">
                                  <w:marLeft w:val="0"/>
                                  <w:marRight w:val="0"/>
                                  <w:marTop w:val="0"/>
                                  <w:marBottom w:val="0"/>
                                  <w:divBdr>
                                    <w:top w:val="single" w:sz="2" w:space="0" w:color="D9D9E3"/>
                                    <w:left w:val="single" w:sz="2" w:space="0" w:color="D9D9E3"/>
                                    <w:bottom w:val="single" w:sz="2" w:space="0" w:color="D9D9E3"/>
                                    <w:right w:val="single" w:sz="2" w:space="0" w:color="D9D9E3"/>
                                  </w:divBdr>
                                  <w:divsChild>
                                    <w:div w:id="1503690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38090945">
      <w:bodyDiv w:val="1"/>
      <w:marLeft w:val="0"/>
      <w:marRight w:val="0"/>
      <w:marTop w:val="0"/>
      <w:marBottom w:val="0"/>
      <w:divBdr>
        <w:top w:val="none" w:sz="0" w:space="0" w:color="auto"/>
        <w:left w:val="none" w:sz="0" w:space="0" w:color="auto"/>
        <w:bottom w:val="none" w:sz="0" w:space="0" w:color="auto"/>
        <w:right w:val="none" w:sz="0" w:space="0" w:color="auto"/>
      </w:divBdr>
    </w:div>
    <w:div w:id="1817069919">
      <w:bodyDiv w:val="1"/>
      <w:marLeft w:val="0"/>
      <w:marRight w:val="0"/>
      <w:marTop w:val="0"/>
      <w:marBottom w:val="0"/>
      <w:divBdr>
        <w:top w:val="none" w:sz="0" w:space="0" w:color="auto"/>
        <w:left w:val="none" w:sz="0" w:space="0" w:color="auto"/>
        <w:bottom w:val="none" w:sz="0" w:space="0" w:color="auto"/>
        <w:right w:val="none" w:sz="0" w:space="0" w:color="auto"/>
      </w:divBdr>
    </w:div>
    <w:div w:id="1956477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8BB5A7-1796-414B-A34E-998DB64BF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3005</Words>
  <Characters>17134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Roussebelle Dimundu Mihesi (2022878)</cp:lastModifiedBy>
  <cp:revision>2</cp:revision>
  <dcterms:created xsi:type="dcterms:W3CDTF">2023-11-12T15:13:00Z</dcterms:created>
  <dcterms:modified xsi:type="dcterms:W3CDTF">2023-11-12T15:13:00Z</dcterms:modified>
</cp:coreProperties>
</file>