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9DFAD8F" w:rsidR="000264A1" w:rsidRDefault="000264A1"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77777777"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b w:val="0"/>
          <w:bCs w:val="0"/>
          <w:color w:val="1D2125"/>
          <w:sz w:val="32"/>
          <w:szCs w:val="32"/>
        </w:rPr>
        <w:t xml:space="preserve"> </w:t>
      </w:r>
    </w:p>
    <w:p w14:paraId="3DB89340" w14:textId="6A16D1E9"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name</w:t>
      </w:r>
      <w:r w:rsidR="00FE3CE0">
        <w:rPr>
          <w:rStyle w:val="Strong"/>
          <w:rFonts w:ascii="Arial" w:hAnsi="Arial" w:cs="Arial"/>
          <w:color w:val="1D2125"/>
          <w:sz w:val="32"/>
          <w:szCs w:val="32"/>
        </w:rPr>
        <w:t>: Carla Silva</w:t>
      </w:r>
      <w:r w:rsidRPr="000264A1">
        <w:rPr>
          <w:rStyle w:val="Strong"/>
          <w:rFonts w:ascii="Arial" w:hAnsi="Arial" w:cs="Arial"/>
          <w:color w:val="1D2125"/>
          <w:sz w:val="32"/>
          <w:szCs w:val="32"/>
        </w:rPr>
        <w:t xml:space="preserve"> </w:t>
      </w:r>
    </w:p>
    <w:p w14:paraId="3F25C99D" w14:textId="62C9C321"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number</w:t>
      </w:r>
      <w:r w:rsidR="00FE3CE0">
        <w:rPr>
          <w:rStyle w:val="Strong"/>
          <w:rFonts w:ascii="Arial" w:hAnsi="Arial" w:cs="Arial"/>
          <w:color w:val="1D2125"/>
          <w:sz w:val="32"/>
          <w:szCs w:val="32"/>
        </w:rPr>
        <w:t>: 2333077</w:t>
      </w:r>
    </w:p>
    <w:p w14:paraId="7DD82387" w14:textId="77777777" w:rsidR="000264A1" w:rsidRDefault="000264A1" w:rsidP="000264A1">
      <w:pPr>
        <w:rPr>
          <w:rFonts w:ascii="Arial" w:hAnsi="Arial" w:cs="Arial"/>
          <w:sz w:val="36"/>
          <w:szCs w:val="36"/>
        </w:rPr>
      </w:pP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DEC40D5" w14:textId="77777777" w:rsidR="000264A1" w:rsidRDefault="000264A1" w:rsidP="000264A1">
      <w:pPr>
        <w:rPr>
          <w:rFonts w:ascii="Arial" w:hAnsi="Arial" w:cs="Arial"/>
          <w:sz w:val="36"/>
          <w:szCs w:val="36"/>
        </w:rPr>
      </w:pPr>
    </w:p>
    <w:p w14:paraId="432AEE04" w14:textId="77777777" w:rsidR="000264A1" w:rsidRDefault="000264A1" w:rsidP="000264A1">
      <w:pPr>
        <w:rPr>
          <w:rFonts w:ascii="Arial" w:hAnsi="Arial" w:cs="Arial"/>
          <w:sz w:val="36"/>
          <w:szCs w:val="36"/>
        </w:rPr>
      </w:pPr>
    </w:p>
    <w:p w14:paraId="0B16E762" w14:textId="47B63E4C" w:rsidR="00D555CE" w:rsidRPr="00903EBF" w:rsidRDefault="00903EBF" w:rsidP="00591A06">
      <w:pPr>
        <w:pStyle w:val="NormalWeb"/>
        <w:spacing w:line="360" w:lineRule="auto"/>
        <w:rPr>
          <w:rFonts w:ascii="Arial" w:hAnsi="Arial" w:cs="Arial"/>
          <w:b/>
          <w:bCs/>
          <w:color w:val="000000"/>
        </w:rPr>
      </w:pPr>
      <w:r w:rsidRPr="00903EBF">
        <w:rPr>
          <w:rFonts w:ascii="Arial" w:hAnsi="Arial" w:cs="Arial"/>
          <w:b/>
          <w:bCs/>
          <w:color w:val="000000"/>
        </w:rPr>
        <w:lastRenderedPageBreak/>
        <w:t>Tablet of content</w:t>
      </w:r>
    </w:p>
    <w:p w14:paraId="08B75F2A" w14:textId="4068AB53" w:rsidR="00D555CE" w:rsidRPr="00D555CE" w:rsidRDefault="00F2212D" w:rsidP="00591A06">
      <w:pPr>
        <w:pStyle w:val="NormalWeb"/>
        <w:spacing w:line="360" w:lineRule="auto"/>
        <w:rPr>
          <w:rFonts w:ascii="Arial" w:hAnsi="Arial" w:cs="Arial"/>
          <w:color w:val="000000"/>
        </w:rPr>
      </w:pPr>
      <w:r>
        <w:rPr>
          <w:rFonts w:ascii="Arial" w:hAnsi="Arial" w:cs="Arial"/>
          <w:color w:val="000000"/>
        </w:rPr>
        <w:t xml:space="preserve"> </w:t>
      </w:r>
      <w:r w:rsidR="00D555CE" w:rsidRPr="00D555CE">
        <w:rPr>
          <w:rFonts w:ascii="Arial" w:hAnsi="Arial" w:cs="Arial"/>
          <w:color w:val="000000"/>
        </w:rPr>
        <w:t xml:space="preserve"> Introduction</w:t>
      </w:r>
      <w:r w:rsidR="00D555CE" w:rsidRPr="00D555CE">
        <w:rPr>
          <w:rFonts w:ascii="Arial" w:hAnsi="Arial" w:cs="Arial"/>
          <w:color w:val="000000"/>
        </w:rPr>
        <w:tab/>
      </w:r>
      <w:r>
        <w:rPr>
          <w:rFonts w:ascii="Arial" w:hAnsi="Arial" w:cs="Arial"/>
          <w:color w:val="000000"/>
        </w:rPr>
        <w:t xml:space="preserve">                      </w:t>
      </w:r>
      <w:r w:rsidR="00051F1E">
        <w:rPr>
          <w:rFonts w:ascii="Arial" w:hAnsi="Arial" w:cs="Arial"/>
          <w:color w:val="000000"/>
        </w:rPr>
        <w:t xml:space="preserve">          </w:t>
      </w:r>
      <w:r>
        <w:rPr>
          <w:rFonts w:ascii="Arial" w:hAnsi="Arial" w:cs="Arial"/>
          <w:color w:val="000000"/>
        </w:rPr>
        <w:t xml:space="preserve"> </w:t>
      </w:r>
      <w:r w:rsidR="005B6285">
        <w:rPr>
          <w:rFonts w:ascii="Arial" w:hAnsi="Arial" w:cs="Arial"/>
          <w:color w:val="000000"/>
        </w:rPr>
        <w:t>1</w:t>
      </w:r>
    </w:p>
    <w:p w14:paraId="7DCA8973" w14:textId="13838F60" w:rsidR="00D555CE" w:rsidRPr="00D555CE" w:rsidRDefault="00903EBF" w:rsidP="00591A06">
      <w:pPr>
        <w:pStyle w:val="NormalWeb"/>
        <w:spacing w:line="360" w:lineRule="auto"/>
        <w:rPr>
          <w:rFonts w:ascii="Arial" w:hAnsi="Arial" w:cs="Arial"/>
          <w:color w:val="000000"/>
        </w:rPr>
      </w:pPr>
      <w:r>
        <w:rPr>
          <w:rFonts w:ascii="Arial" w:hAnsi="Arial" w:cs="Arial"/>
          <w:color w:val="000000"/>
        </w:rPr>
        <w:t xml:space="preserve"> </w:t>
      </w:r>
      <w:r w:rsidR="0027593E">
        <w:rPr>
          <w:rFonts w:ascii="Arial" w:hAnsi="Arial" w:cs="Arial"/>
          <w:color w:val="000000"/>
        </w:rPr>
        <w:t xml:space="preserve"> </w:t>
      </w:r>
      <w:r w:rsidR="00D555CE" w:rsidRPr="00D555CE">
        <w:rPr>
          <w:rFonts w:ascii="Arial" w:hAnsi="Arial" w:cs="Arial"/>
          <w:color w:val="000000"/>
        </w:rPr>
        <w:t>Classification and Diagnosis</w:t>
      </w:r>
      <w:r w:rsidR="00D555CE" w:rsidRPr="00D555CE">
        <w:rPr>
          <w:rFonts w:ascii="Arial" w:hAnsi="Arial" w:cs="Arial"/>
          <w:color w:val="000000"/>
        </w:rPr>
        <w:tab/>
      </w:r>
      <w:r w:rsidR="00F2212D">
        <w:rPr>
          <w:rFonts w:ascii="Arial" w:hAnsi="Arial" w:cs="Arial"/>
          <w:color w:val="000000"/>
        </w:rPr>
        <w:t xml:space="preserve"> </w:t>
      </w:r>
      <w:r w:rsidR="00D555CE" w:rsidRPr="00D555CE">
        <w:rPr>
          <w:rFonts w:ascii="Arial" w:hAnsi="Arial" w:cs="Arial"/>
          <w:color w:val="000000"/>
        </w:rPr>
        <w:t>2</w:t>
      </w:r>
    </w:p>
    <w:p w14:paraId="5E07EDA6" w14:textId="169AB687" w:rsidR="00D555CE" w:rsidRPr="00D555CE" w:rsidRDefault="00903EBF" w:rsidP="00591A06">
      <w:pPr>
        <w:pStyle w:val="NormalWeb"/>
        <w:spacing w:line="360" w:lineRule="auto"/>
        <w:rPr>
          <w:rFonts w:ascii="Arial" w:hAnsi="Arial" w:cs="Arial"/>
          <w:color w:val="000000"/>
        </w:rPr>
      </w:pPr>
      <w:r>
        <w:rPr>
          <w:rFonts w:ascii="Arial" w:hAnsi="Arial" w:cs="Arial"/>
          <w:color w:val="000000"/>
        </w:rPr>
        <w:t xml:space="preserve"> </w:t>
      </w:r>
      <w:r w:rsidR="0027593E">
        <w:rPr>
          <w:rFonts w:ascii="Arial" w:hAnsi="Arial" w:cs="Arial"/>
          <w:color w:val="000000"/>
        </w:rPr>
        <w:t xml:space="preserve"> </w:t>
      </w:r>
      <w:r w:rsidR="00D555CE" w:rsidRPr="00D555CE">
        <w:rPr>
          <w:rFonts w:ascii="Arial" w:hAnsi="Arial" w:cs="Arial"/>
          <w:color w:val="000000"/>
        </w:rPr>
        <w:t>Treatment and Rehabilitation</w:t>
      </w:r>
      <w:r w:rsidR="00D555CE" w:rsidRPr="00D555CE">
        <w:rPr>
          <w:rFonts w:ascii="Arial" w:hAnsi="Arial" w:cs="Arial"/>
          <w:color w:val="000000"/>
        </w:rPr>
        <w:tab/>
      </w:r>
      <w:r w:rsidR="00027541">
        <w:rPr>
          <w:rFonts w:ascii="Arial" w:hAnsi="Arial" w:cs="Arial"/>
          <w:color w:val="000000"/>
        </w:rPr>
        <w:t xml:space="preserve"> 3</w:t>
      </w:r>
    </w:p>
    <w:p w14:paraId="7134D04B" w14:textId="5D2B487C" w:rsidR="00D555CE" w:rsidRPr="00D555CE" w:rsidRDefault="00903EBF" w:rsidP="00591A06">
      <w:pPr>
        <w:pStyle w:val="NormalWeb"/>
        <w:spacing w:line="360" w:lineRule="auto"/>
        <w:rPr>
          <w:rFonts w:ascii="Arial" w:hAnsi="Arial" w:cs="Arial"/>
          <w:color w:val="000000"/>
        </w:rPr>
      </w:pPr>
      <w:r>
        <w:rPr>
          <w:rFonts w:ascii="Arial" w:hAnsi="Arial" w:cs="Arial"/>
          <w:color w:val="000000"/>
        </w:rPr>
        <w:t xml:space="preserve">  </w:t>
      </w:r>
      <w:r w:rsidR="00D555CE" w:rsidRPr="00D555CE">
        <w:rPr>
          <w:rFonts w:ascii="Arial" w:hAnsi="Arial" w:cs="Arial"/>
          <w:color w:val="000000"/>
        </w:rPr>
        <w:t>Recommendations</w:t>
      </w:r>
      <w:r w:rsidR="00D555CE" w:rsidRPr="00D555CE">
        <w:rPr>
          <w:rFonts w:ascii="Arial" w:hAnsi="Arial" w:cs="Arial"/>
          <w:color w:val="000000"/>
        </w:rPr>
        <w:tab/>
      </w:r>
      <w:r w:rsidR="0027593E">
        <w:rPr>
          <w:rFonts w:ascii="Arial" w:hAnsi="Arial" w:cs="Arial"/>
          <w:color w:val="000000"/>
        </w:rPr>
        <w:t xml:space="preserve">                      </w:t>
      </w:r>
      <w:r w:rsidR="00027541">
        <w:rPr>
          <w:rFonts w:ascii="Arial" w:hAnsi="Arial" w:cs="Arial"/>
          <w:color w:val="000000"/>
        </w:rPr>
        <w:t xml:space="preserve"> 4</w:t>
      </w:r>
    </w:p>
    <w:p w14:paraId="1227C908" w14:textId="4326642E" w:rsidR="00D555CE" w:rsidRPr="00D555CE" w:rsidRDefault="00903EBF" w:rsidP="00591A06">
      <w:pPr>
        <w:pStyle w:val="NormalWeb"/>
        <w:spacing w:line="360" w:lineRule="auto"/>
        <w:rPr>
          <w:rFonts w:ascii="Arial" w:hAnsi="Arial" w:cs="Arial"/>
          <w:color w:val="000000"/>
        </w:rPr>
      </w:pPr>
      <w:r>
        <w:rPr>
          <w:rFonts w:ascii="Arial" w:hAnsi="Arial" w:cs="Arial"/>
          <w:color w:val="000000"/>
        </w:rPr>
        <w:t xml:space="preserve">  </w:t>
      </w:r>
      <w:r w:rsidR="00D555CE" w:rsidRPr="00D555CE">
        <w:rPr>
          <w:rFonts w:ascii="Arial" w:hAnsi="Arial" w:cs="Arial"/>
          <w:color w:val="000000"/>
        </w:rPr>
        <w:t>Conclusion</w:t>
      </w:r>
      <w:r w:rsidR="00D555CE" w:rsidRPr="00D555CE">
        <w:rPr>
          <w:rFonts w:ascii="Arial" w:hAnsi="Arial" w:cs="Arial"/>
          <w:color w:val="000000"/>
        </w:rPr>
        <w:tab/>
      </w:r>
      <w:r w:rsidR="0027593E">
        <w:rPr>
          <w:rFonts w:ascii="Arial" w:hAnsi="Arial" w:cs="Arial"/>
          <w:color w:val="000000"/>
        </w:rPr>
        <w:t xml:space="preserve">                                 </w:t>
      </w:r>
      <w:r w:rsidR="00027541">
        <w:rPr>
          <w:rFonts w:ascii="Arial" w:hAnsi="Arial" w:cs="Arial"/>
          <w:color w:val="000000"/>
        </w:rPr>
        <w:t xml:space="preserve"> 5</w:t>
      </w:r>
    </w:p>
    <w:p w14:paraId="71398099" w14:textId="3ED313BB" w:rsidR="00AE2803" w:rsidRPr="00D555CE" w:rsidRDefault="00903EBF" w:rsidP="00591A06">
      <w:pPr>
        <w:pStyle w:val="NormalWeb"/>
        <w:spacing w:line="360" w:lineRule="auto"/>
        <w:rPr>
          <w:rFonts w:ascii="Arial" w:hAnsi="Arial" w:cs="Arial"/>
          <w:color w:val="000000"/>
        </w:rPr>
      </w:pPr>
      <w:r>
        <w:rPr>
          <w:rFonts w:ascii="Arial" w:hAnsi="Arial" w:cs="Arial"/>
          <w:color w:val="000000"/>
        </w:rPr>
        <w:t xml:space="preserve">  </w:t>
      </w:r>
      <w:r w:rsidR="00D555CE" w:rsidRPr="00D555CE">
        <w:rPr>
          <w:rFonts w:ascii="Arial" w:hAnsi="Arial" w:cs="Arial"/>
          <w:color w:val="000000"/>
        </w:rPr>
        <w:t>References</w:t>
      </w:r>
      <w:r w:rsidR="00D555CE" w:rsidRPr="00D555CE">
        <w:rPr>
          <w:rFonts w:ascii="Arial" w:hAnsi="Arial" w:cs="Arial"/>
          <w:color w:val="000000"/>
        </w:rPr>
        <w:tab/>
      </w:r>
      <w:r w:rsidR="0027593E">
        <w:rPr>
          <w:rFonts w:ascii="Arial" w:hAnsi="Arial" w:cs="Arial"/>
          <w:color w:val="000000"/>
        </w:rPr>
        <w:t xml:space="preserve">                                 </w:t>
      </w:r>
      <w:r w:rsidR="00027541">
        <w:rPr>
          <w:rFonts w:ascii="Arial" w:hAnsi="Arial" w:cs="Arial"/>
          <w:color w:val="000000"/>
        </w:rPr>
        <w:t xml:space="preserve"> 6</w:t>
      </w:r>
    </w:p>
    <w:p w14:paraId="2228F684" w14:textId="77777777" w:rsidR="00AE2803" w:rsidRDefault="00AE2803" w:rsidP="00591A06">
      <w:pPr>
        <w:pStyle w:val="NormalWeb"/>
        <w:spacing w:line="360" w:lineRule="auto"/>
        <w:rPr>
          <w:rFonts w:ascii="Arial" w:hAnsi="Arial" w:cs="Arial"/>
          <w:b/>
          <w:bCs/>
          <w:color w:val="000000"/>
        </w:rPr>
      </w:pPr>
    </w:p>
    <w:p w14:paraId="63E46C42" w14:textId="77777777" w:rsidR="00AE2803" w:rsidRDefault="00AE2803" w:rsidP="00591A06">
      <w:pPr>
        <w:pStyle w:val="NormalWeb"/>
        <w:spacing w:line="360" w:lineRule="auto"/>
        <w:rPr>
          <w:rFonts w:ascii="Arial" w:hAnsi="Arial" w:cs="Arial"/>
          <w:b/>
          <w:bCs/>
          <w:color w:val="000000"/>
        </w:rPr>
      </w:pPr>
    </w:p>
    <w:p w14:paraId="7AE49DD3" w14:textId="77777777" w:rsidR="00AE2803" w:rsidRDefault="00AE2803" w:rsidP="00591A06">
      <w:pPr>
        <w:pStyle w:val="NormalWeb"/>
        <w:spacing w:line="360" w:lineRule="auto"/>
        <w:rPr>
          <w:rFonts w:ascii="Arial" w:hAnsi="Arial" w:cs="Arial"/>
          <w:b/>
          <w:bCs/>
          <w:color w:val="000000"/>
        </w:rPr>
      </w:pPr>
    </w:p>
    <w:p w14:paraId="00D23EA9" w14:textId="77777777" w:rsidR="00AE2803" w:rsidRDefault="00AE2803" w:rsidP="00591A06">
      <w:pPr>
        <w:pStyle w:val="NormalWeb"/>
        <w:spacing w:line="360" w:lineRule="auto"/>
        <w:rPr>
          <w:rFonts w:ascii="Arial" w:hAnsi="Arial" w:cs="Arial"/>
          <w:b/>
          <w:bCs/>
          <w:color w:val="000000"/>
        </w:rPr>
      </w:pPr>
    </w:p>
    <w:p w14:paraId="399BD121" w14:textId="77777777" w:rsidR="00AE2803" w:rsidRDefault="00AE2803" w:rsidP="00591A06">
      <w:pPr>
        <w:pStyle w:val="NormalWeb"/>
        <w:spacing w:line="360" w:lineRule="auto"/>
        <w:rPr>
          <w:rFonts w:ascii="Arial" w:hAnsi="Arial" w:cs="Arial"/>
          <w:b/>
          <w:bCs/>
          <w:color w:val="000000"/>
        </w:rPr>
      </w:pPr>
    </w:p>
    <w:p w14:paraId="460F39BE" w14:textId="77777777" w:rsidR="00AE2803" w:rsidRDefault="00AE2803" w:rsidP="00591A06">
      <w:pPr>
        <w:pStyle w:val="NormalWeb"/>
        <w:spacing w:line="360" w:lineRule="auto"/>
        <w:rPr>
          <w:rFonts w:ascii="Arial" w:hAnsi="Arial" w:cs="Arial"/>
          <w:b/>
          <w:bCs/>
          <w:color w:val="000000"/>
        </w:rPr>
      </w:pPr>
    </w:p>
    <w:p w14:paraId="63B5A050" w14:textId="77777777" w:rsidR="00AE2803" w:rsidRDefault="00AE2803" w:rsidP="00591A06">
      <w:pPr>
        <w:pStyle w:val="NormalWeb"/>
        <w:spacing w:line="360" w:lineRule="auto"/>
        <w:rPr>
          <w:rFonts w:ascii="Arial" w:hAnsi="Arial" w:cs="Arial"/>
          <w:b/>
          <w:bCs/>
          <w:color w:val="000000"/>
        </w:rPr>
      </w:pPr>
    </w:p>
    <w:p w14:paraId="68A494AF" w14:textId="77777777" w:rsidR="00AE2803" w:rsidRDefault="00AE2803" w:rsidP="00591A06">
      <w:pPr>
        <w:pStyle w:val="NormalWeb"/>
        <w:spacing w:line="360" w:lineRule="auto"/>
        <w:rPr>
          <w:rFonts w:ascii="Arial" w:hAnsi="Arial" w:cs="Arial"/>
          <w:b/>
          <w:bCs/>
          <w:color w:val="000000"/>
        </w:rPr>
      </w:pPr>
    </w:p>
    <w:p w14:paraId="5FC45F54" w14:textId="77777777" w:rsidR="00AE2803" w:rsidRDefault="00AE2803" w:rsidP="00591A06">
      <w:pPr>
        <w:pStyle w:val="NormalWeb"/>
        <w:spacing w:line="360" w:lineRule="auto"/>
        <w:rPr>
          <w:rFonts w:ascii="Arial" w:hAnsi="Arial" w:cs="Arial"/>
          <w:b/>
          <w:bCs/>
          <w:color w:val="000000"/>
        </w:rPr>
      </w:pPr>
    </w:p>
    <w:p w14:paraId="47AE2BB2" w14:textId="77777777" w:rsidR="00AE2803" w:rsidRDefault="00AE2803" w:rsidP="00591A06">
      <w:pPr>
        <w:pStyle w:val="NormalWeb"/>
        <w:spacing w:line="360" w:lineRule="auto"/>
        <w:rPr>
          <w:rFonts w:ascii="Arial" w:hAnsi="Arial" w:cs="Arial"/>
          <w:b/>
          <w:bCs/>
          <w:color w:val="000000"/>
        </w:rPr>
      </w:pPr>
    </w:p>
    <w:p w14:paraId="3A33EEE8" w14:textId="77777777" w:rsidR="00AE2803" w:rsidRDefault="00AE2803" w:rsidP="00591A06">
      <w:pPr>
        <w:pStyle w:val="NormalWeb"/>
        <w:spacing w:line="360" w:lineRule="auto"/>
        <w:rPr>
          <w:rFonts w:ascii="Arial" w:hAnsi="Arial" w:cs="Arial"/>
          <w:b/>
          <w:bCs/>
          <w:color w:val="000000"/>
        </w:rPr>
      </w:pPr>
    </w:p>
    <w:p w14:paraId="0FC4B226" w14:textId="77777777" w:rsidR="00173E93" w:rsidRDefault="00173E93" w:rsidP="00591A06">
      <w:pPr>
        <w:pStyle w:val="NormalWeb"/>
        <w:spacing w:line="360" w:lineRule="auto"/>
        <w:rPr>
          <w:rFonts w:ascii="Arial" w:hAnsi="Arial" w:cs="Arial"/>
          <w:b/>
          <w:bCs/>
          <w:color w:val="000000"/>
        </w:rPr>
      </w:pPr>
    </w:p>
    <w:p w14:paraId="1C0B6743" w14:textId="77777777" w:rsidR="00AE2803" w:rsidRPr="003374AA" w:rsidRDefault="00AE2803" w:rsidP="00591A06">
      <w:pPr>
        <w:pStyle w:val="NormalWeb"/>
        <w:spacing w:line="360" w:lineRule="auto"/>
        <w:rPr>
          <w:rFonts w:ascii="Arial" w:hAnsi="Arial" w:cs="Arial"/>
          <w:b/>
          <w:bCs/>
          <w:color w:val="000000"/>
          <w:sz w:val="22"/>
          <w:szCs w:val="22"/>
        </w:rPr>
      </w:pPr>
    </w:p>
    <w:p w14:paraId="4A81C6CC" w14:textId="073D5DB3" w:rsidR="00BB2138" w:rsidRPr="003374AA" w:rsidRDefault="00AE2803" w:rsidP="00676B2A">
      <w:pPr>
        <w:pStyle w:val="NormalWeb"/>
        <w:spacing w:line="360" w:lineRule="auto"/>
        <w:rPr>
          <w:rFonts w:ascii="Arial" w:hAnsi="Arial" w:cs="Arial"/>
          <w:b/>
          <w:bCs/>
          <w:color w:val="000000"/>
          <w:sz w:val="22"/>
          <w:szCs w:val="22"/>
        </w:rPr>
      </w:pPr>
      <w:r w:rsidRPr="003374AA">
        <w:rPr>
          <w:rFonts w:ascii="Arial" w:hAnsi="Arial" w:cs="Arial"/>
          <w:b/>
          <w:bCs/>
          <w:color w:val="000000"/>
          <w:sz w:val="22"/>
          <w:szCs w:val="22"/>
        </w:rPr>
        <w:lastRenderedPageBreak/>
        <w:t>Introduction</w:t>
      </w:r>
    </w:p>
    <w:p w14:paraId="4AF5FD00" w14:textId="4AFC4802" w:rsidR="00CB10FE" w:rsidRPr="00CB10FE" w:rsidRDefault="00CB10FE" w:rsidP="008810AC">
      <w:pPr>
        <w:pStyle w:val="NormalWeb"/>
        <w:spacing w:line="360" w:lineRule="auto"/>
        <w:ind w:firstLine="720"/>
        <w:rPr>
          <w:rFonts w:ascii="Arial" w:hAnsi="Arial" w:cs="Arial"/>
          <w:color w:val="000000"/>
          <w:sz w:val="22"/>
          <w:szCs w:val="22"/>
        </w:rPr>
      </w:pPr>
      <w:r w:rsidRPr="00CB10FE">
        <w:rPr>
          <w:rFonts w:ascii="Arial" w:hAnsi="Arial" w:cs="Arial"/>
          <w:color w:val="000000"/>
          <w:sz w:val="22"/>
          <w:szCs w:val="22"/>
        </w:rPr>
        <w:t>Anorexia nervosa (AN) is a serious mental health disorder characterised by persistent restriction of energy intake, significantly low body weight, and an intense fear of gaining weight. It is classified in the International Classification of Diseases, 11th Revision (ICD-11) under Feeding or </w:t>
      </w:r>
      <w:r w:rsidR="005B6285" w:rsidRPr="00CB10FE">
        <w:rPr>
          <w:rFonts w:ascii="Arial" w:hAnsi="Arial" w:cs="Arial"/>
          <w:color w:val="000000"/>
          <w:sz w:val="22"/>
          <w:szCs w:val="22"/>
        </w:rPr>
        <w:t>eating disorders</w:t>
      </w:r>
      <w:r w:rsidRPr="00CB10FE">
        <w:rPr>
          <w:rFonts w:ascii="Arial" w:hAnsi="Arial" w:cs="Arial"/>
          <w:color w:val="000000"/>
          <w:sz w:val="22"/>
          <w:szCs w:val="22"/>
        </w:rPr>
        <w:t xml:space="preserve"> and is recognised as a condition with severe physical, psychological and social consequences (World Health Organization (WHO), 2024). If left untreated, anorexia nervosa can lead to life-threatening medical complications, including cardiovascular disease, osteoporosis and electrolyte imbalance, and is associated with one of the highest mortality rates among psychiatric disorders (National Institute for Health and Care Excellence (NICE), 2020).</w:t>
      </w:r>
    </w:p>
    <w:p w14:paraId="59F7D665" w14:textId="3DE3FD78" w:rsidR="00CB10FE" w:rsidRPr="00CB10FE" w:rsidRDefault="00CB10FE" w:rsidP="00CF5444">
      <w:pPr>
        <w:pStyle w:val="NormalWeb"/>
        <w:spacing w:line="360" w:lineRule="auto"/>
        <w:ind w:firstLine="720"/>
        <w:rPr>
          <w:rFonts w:ascii="Arial" w:hAnsi="Arial" w:cs="Arial"/>
          <w:color w:val="000000"/>
          <w:sz w:val="22"/>
          <w:szCs w:val="22"/>
        </w:rPr>
      </w:pPr>
      <w:r w:rsidRPr="00CB10FE">
        <w:rPr>
          <w:rFonts w:ascii="Arial" w:hAnsi="Arial" w:cs="Arial"/>
          <w:color w:val="000000"/>
          <w:sz w:val="22"/>
          <w:szCs w:val="22"/>
        </w:rPr>
        <w:t>In the United Kingdom, NICE recommends that individuals with suspected eating disorders should receive assessment and treatment as early as possible because prompt intervention improves recovery rates, reduces the risk of relapse and may decrease the need for hospital admission. Treatment should be delivered by specialist multidisciplinary teams and include coordinated medical, nutritional and psychological care tailored to individual needs (NICE, 2020). </w:t>
      </w:r>
    </w:p>
    <w:p w14:paraId="13E8C207" w14:textId="022B3F14" w:rsidR="00CB10FE" w:rsidRPr="00CB10FE" w:rsidRDefault="00CB10FE" w:rsidP="00CF5444">
      <w:pPr>
        <w:pStyle w:val="NormalWeb"/>
        <w:spacing w:line="360" w:lineRule="auto"/>
        <w:ind w:firstLine="720"/>
        <w:rPr>
          <w:rFonts w:ascii="Arial" w:hAnsi="Arial" w:cs="Arial"/>
          <w:color w:val="000000"/>
          <w:sz w:val="22"/>
          <w:szCs w:val="22"/>
        </w:rPr>
      </w:pPr>
      <w:r w:rsidRPr="00CB10FE">
        <w:rPr>
          <w:rFonts w:ascii="Arial" w:hAnsi="Arial" w:cs="Arial"/>
          <w:color w:val="000000"/>
          <w:sz w:val="22"/>
          <w:szCs w:val="22"/>
        </w:rPr>
        <w:t>The causes of anorexia nervosa are complex and involve a combination of biological, psychological and environmental factors. Although advances have been made in diagnosis and treatment, debates continue regarding the use of diagnostic criteria, the influence of neurodivergence, and the need for more individualised approaches to care (Treasure, Duarte and Schmidt, 2020). Recent NHS England data also highlight that eating disorders affect people of all ages and genders, although they remain under-recognised in males and non-binary individuals, reinforcing the importance of inclusive assessment and early diagnosis (NHS England, 2025).</w:t>
      </w:r>
    </w:p>
    <w:p w14:paraId="63683825" w14:textId="77777777" w:rsidR="00CB10FE" w:rsidRPr="00CB10FE" w:rsidRDefault="00CB10FE" w:rsidP="00CF5444">
      <w:pPr>
        <w:pStyle w:val="NormalWeb"/>
        <w:spacing w:line="360" w:lineRule="auto"/>
        <w:ind w:firstLine="720"/>
        <w:rPr>
          <w:rFonts w:ascii="Arial" w:hAnsi="Arial" w:cs="Arial"/>
          <w:color w:val="000000"/>
          <w:sz w:val="22"/>
          <w:szCs w:val="22"/>
        </w:rPr>
      </w:pPr>
      <w:r w:rsidRPr="00CB10FE">
        <w:rPr>
          <w:rFonts w:ascii="Arial" w:hAnsi="Arial" w:cs="Arial"/>
          <w:color w:val="000000"/>
          <w:sz w:val="22"/>
          <w:szCs w:val="22"/>
        </w:rPr>
        <w:t>This report critically examines anorexia nervosa within the ICD-11 framework. It discusses its classification and diagnosis, evaluates current treatment and rehabilitation approaches, explores contemporary debates surrounding the disorder, and provides recommendations for improving clinical practice and future policy.</w:t>
      </w:r>
    </w:p>
    <w:p w14:paraId="25179FEC" w14:textId="77777777" w:rsidR="00AE2803" w:rsidRPr="003374AA" w:rsidRDefault="00AE2803" w:rsidP="00676B2A">
      <w:pPr>
        <w:pStyle w:val="NormalWeb"/>
        <w:spacing w:line="360" w:lineRule="auto"/>
        <w:rPr>
          <w:rFonts w:ascii="Arial" w:hAnsi="Arial" w:cs="Arial"/>
          <w:b/>
          <w:bCs/>
          <w:color w:val="000000"/>
          <w:sz w:val="22"/>
          <w:szCs w:val="22"/>
        </w:rPr>
      </w:pPr>
    </w:p>
    <w:p w14:paraId="1B193505" w14:textId="77777777" w:rsidR="00AE2803" w:rsidRPr="003374AA" w:rsidRDefault="00AE2803" w:rsidP="00676B2A">
      <w:pPr>
        <w:pStyle w:val="NormalWeb"/>
        <w:spacing w:line="360" w:lineRule="auto"/>
        <w:rPr>
          <w:rFonts w:ascii="Arial" w:hAnsi="Arial" w:cs="Arial"/>
          <w:b/>
          <w:bCs/>
          <w:color w:val="000000"/>
          <w:sz w:val="22"/>
          <w:szCs w:val="22"/>
        </w:rPr>
      </w:pPr>
    </w:p>
    <w:p w14:paraId="5CC489BC" w14:textId="77777777" w:rsidR="00AE2803" w:rsidRPr="003374AA" w:rsidRDefault="00AE2803" w:rsidP="00676B2A">
      <w:pPr>
        <w:pStyle w:val="NormalWeb"/>
        <w:spacing w:line="360" w:lineRule="auto"/>
        <w:rPr>
          <w:rFonts w:ascii="Arial" w:hAnsi="Arial" w:cs="Arial"/>
          <w:b/>
          <w:bCs/>
          <w:color w:val="000000"/>
          <w:sz w:val="22"/>
          <w:szCs w:val="22"/>
        </w:rPr>
      </w:pPr>
    </w:p>
    <w:p w14:paraId="0D0529DA" w14:textId="77777777" w:rsidR="00DF2995" w:rsidRPr="003374AA" w:rsidRDefault="00DF2995" w:rsidP="00676B2A">
      <w:pPr>
        <w:pStyle w:val="NormalWeb"/>
        <w:spacing w:line="360" w:lineRule="auto"/>
        <w:rPr>
          <w:rFonts w:ascii="Arial" w:hAnsi="Arial" w:cs="Arial"/>
          <w:b/>
          <w:bCs/>
          <w:color w:val="000000"/>
          <w:sz w:val="22"/>
          <w:szCs w:val="22"/>
        </w:rPr>
      </w:pPr>
      <w:r w:rsidRPr="003374AA">
        <w:rPr>
          <w:rFonts w:ascii="Arial" w:hAnsi="Arial" w:cs="Arial"/>
          <w:b/>
          <w:bCs/>
          <w:color w:val="000000"/>
          <w:sz w:val="22"/>
          <w:szCs w:val="22"/>
        </w:rPr>
        <w:lastRenderedPageBreak/>
        <w:t> Classification and Diagnosis</w:t>
      </w:r>
    </w:p>
    <w:p w14:paraId="1A235030" w14:textId="3A937051" w:rsidR="00DF2995" w:rsidRPr="003374AA" w:rsidRDefault="00DF2995" w:rsidP="00CF5444">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According to the </w:t>
      </w:r>
      <w:r w:rsidRPr="003374AA">
        <w:rPr>
          <w:rFonts w:ascii="Arial" w:hAnsi="Arial" w:cs="Arial"/>
          <w:i/>
          <w:iCs/>
          <w:color w:val="000000"/>
          <w:sz w:val="22"/>
          <w:szCs w:val="22"/>
        </w:rPr>
        <w:t>International Classification of Diseases, 11th Revision</w:t>
      </w:r>
      <w:r w:rsidRPr="003374AA">
        <w:rPr>
          <w:rFonts w:ascii="Arial" w:hAnsi="Arial" w:cs="Arial"/>
          <w:color w:val="000000"/>
          <w:sz w:val="22"/>
          <w:szCs w:val="22"/>
        </w:rPr>
        <w:t> (ICD-11), anorexia nervosa is classified under </w:t>
      </w:r>
      <w:r w:rsidRPr="003374AA">
        <w:rPr>
          <w:rFonts w:ascii="Arial" w:hAnsi="Arial" w:cs="Arial"/>
          <w:b/>
          <w:bCs/>
          <w:color w:val="000000"/>
          <w:sz w:val="22"/>
          <w:szCs w:val="22"/>
        </w:rPr>
        <w:t xml:space="preserve">Feeding or </w:t>
      </w:r>
      <w:r w:rsidR="005B6285" w:rsidRPr="003374AA">
        <w:rPr>
          <w:rFonts w:ascii="Arial" w:hAnsi="Arial" w:cs="Arial"/>
          <w:b/>
          <w:bCs/>
          <w:color w:val="000000"/>
          <w:sz w:val="22"/>
          <w:szCs w:val="22"/>
        </w:rPr>
        <w:t>eating disorders</w:t>
      </w:r>
      <w:r w:rsidRPr="003374AA">
        <w:rPr>
          <w:rFonts w:ascii="Arial" w:hAnsi="Arial" w:cs="Arial"/>
          <w:color w:val="000000"/>
          <w:sz w:val="22"/>
          <w:szCs w:val="22"/>
        </w:rPr>
        <w:t>. The ICD-11 uses the term </w:t>
      </w:r>
      <w:r w:rsidRPr="003374AA">
        <w:rPr>
          <w:rFonts w:ascii="Arial" w:hAnsi="Arial" w:cs="Arial"/>
          <w:b/>
          <w:bCs/>
          <w:color w:val="000000"/>
          <w:sz w:val="22"/>
          <w:szCs w:val="22"/>
        </w:rPr>
        <w:t>"disorder"</w:t>
      </w:r>
      <w:r w:rsidRPr="003374AA">
        <w:rPr>
          <w:rFonts w:ascii="Arial" w:hAnsi="Arial" w:cs="Arial"/>
          <w:color w:val="000000"/>
          <w:sz w:val="22"/>
          <w:szCs w:val="22"/>
        </w:rPr>
        <w:t>, reflecting the significant psychological and physical impairment associated with the condition (World Health Organization (WHO), 2024).</w:t>
      </w:r>
    </w:p>
    <w:p w14:paraId="57C7F98F" w14:textId="77777777" w:rsidR="00DF2995" w:rsidRPr="003374AA" w:rsidRDefault="00DF2995" w:rsidP="00CF5444">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The diagnosis of anorexia nervosa is based on persistent restriction of food intake that results in a significantly low body weight, an intense fear of gaining weight or persistent behaviours that prevent weight gain, and a distorted perception of body weight or shape. Unlike previous classifications, ICD-11 allows clinicians greater flexibility by considering an individual's developmental stage and clinical presentation rather than relying solely on strict body mass index (BMI) thresholds (WHO, 2024).</w:t>
      </w:r>
    </w:p>
    <w:p w14:paraId="2DBDBEAA" w14:textId="77777777" w:rsidR="00DF2995" w:rsidRPr="003374AA" w:rsidRDefault="00DF2995" w:rsidP="00CF5444">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Diagnosis should involve a comprehensive assessment, including physical examination, psychological evaluation and an individual's eating behaviours. Healthcare professionals also assess the presence of co-existing mental health conditions, such as anxiety, depression or obsessive-compulsive disorder, which commonly occur alongside anorexia nervosa and may affect treatment outcomes (National Institute for Health and Care Excellence (NICE), 2020).</w:t>
      </w:r>
    </w:p>
    <w:p w14:paraId="1AF446DA" w14:textId="4BF80C81" w:rsidR="0033068E" w:rsidRDefault="0033068E" w:rsidP="00CF5444">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Anorexia nervosa (AN) is diagnosed using DSM-5 criteria, which include significantly low body weight, intense fear of gaining weight, and body image disturbance. However, the criteria for atypical anorexia nervosa (AAN), particularly terms such as “significant weight loss” and “normal or above normal weight,” remain unclear, leading to proposals for more precise definitions and alternative terminology, such as anorexia nervosa-like eating disorder (ANLED)</w:t>
      </w:r>
      <w:r w:rsidR="00423410" w:rsidRPr="003374AA">
        <w:rPr>
          <w:rFonts w:ascii="Arial" w:hAnsi="Arial" w:cs="Arial"/>
          <w:color w:val="000000"/>
          <w:sz w:val="22"/>
          <w:szCs w:val="22"/>
        </w:rPr>
        <w:t xml:space="preserve"> (Timothy Walsh, B. </w:t>
      </w:r>
      <w:r w:rsidR="00423410" w:rsidRPr="003374AA">
        <w:rPr>
          <w:rFonts w:ascii="Arial" w:hAnsi="Arial" w:cs="Arial"/>
          <w:i/>
          <w:iCs/>
          <w:color w:val="000000"/>
          <w:sz w:val="22"/>
          <w:szCs w:val="22"/>
        </w:rPr>
        <w:t xml:space="preserve">et al, </w:t>
      </w:r>
      <w:r w:rsidR="00423410" w:rsidRPr="003374AA">
        <w:rPr>
          <w:rFonts w:ascii="Arial" w:hAnsi="Arial" w:cs="Arial"/>
          <w:color w:val="000000"/>
          <w:sz w:val="22"/>
          <w:szCs w:val="22"/>
        </w:rPr>
        <w:t>2026).</w:t>
      </w:r>
    </w:p>
    <w:p w14:paraId="00D111B6" w14:textId="0F3B0B06" w:rsidR="00920B58" w:rsidRPr="003374AA" w:rsidRDefault="00920B58" w:rsidP="00F653A2">
      <w:pPr>
        <w:pStyle w:val="NormalWeb"/>
        <w:spacing w:line="360" w:lineRule="auto"/>
        <w:ind w:firstLine="720"/>
        <w:rPr>
          <w:rFonts w:ascii="Arial" w:hAnsi="Arial" w:cs="Arial"/>
          <w:color w:val="000000"/>
          <w:sz w:val="22"/>
          <w:szCs w:val="22"/>
        </w:rPr>
      </w:pPr>
      <w:r w:rsidRPr="00920B58">
        <w:rPr>
          <w:rFonts w:ascii="Arial" w:hAnsi="Arial" w:cs="Arial"/>
          <w:color w:val="000000"/>
          <w:sz w:val="22"/>
          <w:szCs w:val="22"/>
        </w:rPr>
        <w:t>Early identification is considered a key factor in improving outcomes for anorexia nervosa. NICE recommends that diagnosis should not rely solely on body weight or BMI, as individuals may experience severe psychological and physical complications despite appearing to be within a healthy weight range. Instead, clinicians should assess eating behaviours, cognitive symptoms, physical health, nutritional status, and the impact of the disorder on daily functioning. A comprehensive assessment also enables earlier intervention and referral to specialist eating disorder services, which has been associated with better recovery rates and a lower risk of long-term complications (National Institute for Health and Care Excellence (NICE</w:t>
      </w:r>
      <w:r w:rsidR="00FF3B43">
        <w:rPr>
          <w:rFonts w:ascii="Arial" w:hAnsi="Arial" w:cs="Arial"/>
          <w:color w:val="000000"/>
          <w:sz w:val="22"/>
          <w:szCs w:val="22"/>
        </w:rPr>
        <w:t xml:space="preserve">, </w:t>
      </w:r>
      <w:r w:rsidRPr="00920B58">
        <w:rPr>
          <w:rFonts w:ascii="Arial" w:hAnsi="Arial" w:cs="Arial"/>
          <w:color w:val="000000"/>
          <w:sz w:val="22"/>
          <w:szCs w:val="22"/>
        </w:rPr>
        <w:t>2020).</w:t>
      </w:r>
    </w:p>
    <w:p w14:paraId="63483FD2" w14:textId="21F05E14" w:rsidR="00DF2995" w:rsidRPr="003374AA" w:rsidRDefault="00DF2995" w:rsidP="001603C4">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lastRenderedPageBreak/>
        <w:t>Although ICD-11 has improved the flexibility of diagnosis, some researchers argue that the criteria may still fail to identify individuals in the early stages of the disorder or those who do not present with significantly low body weight but experience severe psychological symptoms. This highlights the importance of clinical judgement alongside diagnostic guidelines (Treasure, Duarte and Schmidt, 2020).</w:t>
      </w:r>
    </w:p>
    <w:p w14:paraId="12CBA632" w14:textId="77777777" w:rsidR="008A6D32" w:rsidRDefault="008A6D32" w:rsidP="00676B2A">
      <w:pPr>
        <w:pStyle w:val="NormalWeb"/>
        <w:spacing w:line="360" w:lineRule="auto"/>
        <w:rPr>
          <w:rFonts w:ascii="Arial" w:hAnsi="Arial" w:cs="Arial"/>
          <w:color w:val="000000"/>
          <w:sz w:val="22"/>
          <w:szCs w:val="22"/>
        </w:rPr>
      </w:pPr>
    </w:p>
    <w:p w14:paraId="0379AAE7" w14:textId="77777777" w:rsidR="00A73B75" w:rsidRDefault="00A73B75" w:rsidP="00676B2A">
      <w:pPr>
        <w:pStyle w:val="NormalWeb"/>
        <w:spacing w:line="360" w:lineRule="auto"/>
        <w:rPr>
          <w:rFonts w:ascii="Arial" w:hAnsi="Arial" w:cs="Arial"/>
          <w:color w:val="000000"/>
          <w:sz w:val="22"/>
          <w:szCs w:val="22"/>
        </w:rPr>
      </w:pPr>
    </w:p>
    <w:p w14:paraId="65A28C9E" w14:textId="77777777" w:rsidR="00A73B75" w:rsidRDefault="00A73B75" w:rsidP="00676B2A">
      <w:pPr>
        <w:pStyle w:val="NormalWeb"/>
        <w:spacing w:line="360" w:lineRule="auto"/>
        <w:rPr>
          <w:rFonts w:ascii="Arial" w:hAnsi="Arial" w:cs="Arial"/>
          <w:color w:val="000000"/>
          <w:sz w:val="22"/>
          <w:szCs w:val="22"/>
        </w:rPr>
      </w:pPr>
    </w:p>
    <w:p w14:paraId="29A53BB1" w14:textId="77777777" w:rsidR="00A73B75" w:rsidRDefault="00A73B75" w:rsidP="00676B2A">
      <w:pPr>
        <w:pStyle w:val="NormalWeb"/>
        <w:spacing w:line="360" w:lineRule="auto"/>
        <w:rPr>
          <w:rFonts w:ascii="Arial" w:hAnsi="Arial" w:cs="Arial"/>
          <w:color w:val="000000"/>
          <w:sz w:val="22"/>
          <w:szCs w:val="22"/>
        </w:rPr>
      </w:pPr>
    </w:p>
    <w:p w14:paraId="0021E0D9" w14:textId="77777777" w:rsidR="00A73B75" w:rsidRDefault="00A73B75" w:rsidP="00676B2A">
      <w:pPr>
        <w:pStyle w:val="NormalWeb"/>
        <w:spacing w:line="360" w:lineRule="auto"/>
        <w:rPr>
          <w:rFonts w:ascii="Arial" w:hAnsi="Arial" w:cs="Arial"/>
          <w:color w:val="000000"/>
          <w:sz w:val="22"/>
          <w:szCs w:val="22"/>
        </w:rPr>
      </w:pPr>
    </w:p>
    <w:p w14:paraId="6C5EF0ED" w14:textId="77777777" w:rsidR="00A73B75" w:rsidRDefault="00A73B75" w:rsidP="00676B2A">
      <w:pPr>
        <w:pStyle w:val="NormalWeb"/>
        <w:spacing w:line="360" w:lineRule="auto"/>
        <w:rPr>
          <w:rFonts w:ascii="Arial" w:hAnsi="Arial" w:cs="Arial"/>
          <w:color w:val="000000"/>
          <w:sz w:val="22"/>
          <w:szCs w:val="22"/>
        </w:rPr>
      </w:pPr>
    </w:p>
    <w:p w14:paraId="67F1BA6E" w14:textId="77777777" w:rsidR="00A73B75" w:rsidRDefault="00A73B75" w:rsidP="00676B2A">
      <w:pPr>
        <w:pStyle w:val="NormalWeb"/>
        <w:spacing w:line="360" w:lineRule="auto"/>
        <w:rPr>
          <w:rFonts w:ascii="Arial" w:hAnsi="Arial" w:cs="Arial"/>
          <w:color w:val="000000"/>
          <w:sz w:val="22"/>
          <w:szCs w:val="22"/>
        </w:rPr>
      </w:pPr>
    </w:p>
    <w:p w14:paraId="2DF516F1" w14:textId="77777777" w:rsidR="00A73B75" w:rsidRDefault="00A73B75" w:rsidP="00676B2A">
      <w:pPr>
        <w:pStyle w:val="NormalWeb"/>
        <w:spacing w:line="360" w:lineRule="auto"/>
        <w:rPr>
          <w:rFonts w:ascii="Arial" w:hAnsi="Arial" w:cs="Arial"/>
          <w:color w:val="000000"/>
          <w:sz w:val="22"/>
          <w:szCs w:val="22"/>
        </w:rPr>
      </w:pPr>
    </w:p>
    <w:p w14:paraId="2D509C23" w14:textId="77777777" w:rsidR="00A73B75" w:rsidRDefault="00A73B75" w:rsidP="00676B2A">
      <w:pPr>
        <w:pStyle w:val="NormalWeb"/>
        <w:spacing w:line="360" w:lineRule="auto"/>
        <w:rPr>
          <w:rFonts w:ascii="Arial" w:hAnsi="Arial" w:cs="Arial"/>
          <w:color w:val="000000"/>
          <w:sz w:val="22"/>
          <w:szCs w:val="22"/>
        </w:rPr>
      </w:pPr>
    </w:p>
    <w:p w14:paraId="18BBCFCA" w14:textId="77777777" w:rsidR="00A73B75" w:rsidRDefault="00A73B75" w:rsidP="00676B2A">
      <w:pPr>
        <w:pStyle w:val="NormalWeb"/>
        <w:spacing w:line="360" w:lineRule="auto"/>
        <w:rPr>
          <w:rFonts w:ascii="Arial" w:hAnsi="Arial" w:cs="Arial"/>
          <w:color w:val="000000"/>
          <w:sz w:val="22"/>
          <w:szCs w:val="22"/>
        </w:rPr>
      </w:pPr>
    </w:p>
    <w:p w14:paraId="62BC5C3C" w14:textId="77777777" w:rsidR="00A73B75" w:rsidRDefault="00A73B75" w:rsidP="00676B2A">
      <w:pPr>
        <w:pStyle w:val="NormalWeb"/>
        <w:spacing w:line="360" w:lineRule="auto"/>
        <w:rPr>
          <w:rFonts w:ascii="Arial" w:hAnsi="Arial" w:cs="Arial"/>
          <w:color w:val="000000"/>
          <w:sz w:val="22"/>
          <w:szCs w:val="22"/>
        </w:rPr>
      </w:pPr>
    </w:p>
    <w:p w14:paraId="6AA34C50" w14:textId="77777777" w:rsidR="00A73B75" w:rsidRDefault="00A73B75" w:rsidP="00676B2A">
      <w:pPr>
        <w:pStyle w:val="NormalWeb"/>
        <w:spacing w:line="360" w:lineRule="auto"/>
        <w:rPr>
          <w:rFonts w:ascii="Arial" w:hAnsi="Arial" w:cs="Arial"/>
          <w:color w:val="000000"/>
          <w:sz w:val="22"/>
          <w:szCs w:val="22"/>
        </w:rPr>
      </w:pPr>
    </w:p>
    <w:p w14:paraId="264514CA" w14:textId="77777777" w:rsidR="00A73B75" w:rsidRDefault="00A73B75" w:rsidP="00676B2A">
      <w:pPr>
        <w:pStyle w:val="NormalWeb"/>
        <w:spacing w:line="360" w:lineRule="auto"/>
        <w:rPr>
          <w:rFonts w:ascii="Arial" w:hAnsi="Arial" w:cs="Arial"/>
          <w:color w:val="000000"/>
          <w:sz w:val="22"/>
          <w:szCs w:val="22"/>
        </w:rPr>
      </w:pPr>
    </w:p>
    <w:p w14:paraId="576E9DFC" w14:textId="77777777" w:rsidR="00A73B75" w:rsidRDefault="00A73B75" w:rsidP="00676B2A">
      <w:pPr>
        <w:pStyle w:val="NormalWeb"/>
        <w:spacing w:line="360" w:lineRule="auto"/>
        <w:rPr>
          <w:rFonts w:ascii="Arial" w:hAnsi="Arial" w:cs="Arial"/>
          <w:color w:val="000000"/>
          <w:sz w:val="22"/>
          <w:szCs w:val="22"/>
        </w:rPr>
      </w:pPr>
    </w:p>
    <w:p w14:paraId="71640315" w14:textId="77777777" w:rsidR="00A73B75" w:rsidRDefault="00A73B75" w:rsidP="00676B2A">
      <w:pPr>
        <w:pStyle w:val="NormalWeb"/>
        <w:spacing w:line="360" w:lineRule="auto"/>
        <w:rPr>
          <w:rFonts w:ascii="Arial" w:hAnsi="Arial" w:cs="Arial"/>
          <w:color w:val="000000"/>
          <w:sz w:val="22"/>
          <w:szCs w:val="22"/>
        </w:rPr>
      </w:pPr>
    </w:p>
    <w:p w14:paraId="71313E85" w14:textId="77777777" w:rsidR="00A73B75" w:rsidRDefault="00A73B75" w:rsidP="00676B2A">
      <w:pPr>
        <w:pStyle w:val="NormalWeb"/>
        <w:spacing w:line="360" w:lineRule="auto"/>
        <w:rPr>
          <w:rFonts w:ascii="Arial" w:hAnsi="Arial" w:cs="Arial"/>
          <w:color w:val="000000"/>
          <w:sz w:val="22"/>
          <w:szCs w:val="22"/>
        </w:rPr>
      </w:pPr>
    </w:p>
    <w:p w14:paraId="58FAE999" w14:textId="77777777" w:rsidR="00A73B75" w:rsidRDefault="00A73B75" w:rsidP="00676B2A">
      <w:pPr>
        <w:pStyle w:val="NormalWeb"/>
        <w:spacing w:line="360" w:lineRule="auto"/>
        <w:rPr>
          <w:rFonts w:ascii="Arial" w:hAnsi="Arial" w:cs="Arial"/>
          <w:color w:val="000000"/>
          <w:sz w:val="22"/>
          <w:szCs w:val="22"/>
        </w:rPr>
      </w:pPr>
    </w:p>
    <w:p w14:paraId="2C8647C0" w14:textId="77777777" w:rsidR="00A73B75" w:rsidRPr="003374AA" w:rsidRDefault="00A73B75" w:rsidP="00676B2A">
      <w:pPr>
        <w:pStyle w:val="NormalWeb"/>
        <w:spacing w:line="360" w:lineRule="auto"/>
        <w:rPr>
          <w:rFonts w:ascii="Arial" w:hAnsi="Arial" w:cs="Arial"/>
          <w:color w:val="000000"/>
          <w:sz w:val="22"/>
          <w:szCs w:val="22"/>
        </w:rPr>
      </w:pPr>
    </w:p>
    <w:p w14:paraId="23CCEF70" w14:textId="651042ED" w:rsidR="008A6D32" w:rsidRPr="003374AA" w:rsidRDefault="008A6D32" w:rsidP="00676B2A">
      <w:pPr>
        <w:pStyle w:val="NormalWeb"/>
        <w:spacing w:line="360" w:lineRule="auto"/>
        <w:rPr>
          <w:rFonts w:ascii="Arial" w:hAnsi="Arial" w:cs="Arial"/>
          <w:b/>
          <w:bCs/>
          <w:color w:val="000000"/>
          <w:sz w:val="22"/>
          <w:szCs w:val="22"/>
        </w:rPr>
      </w:pPr>
      <w:r w:rsidRPr="003374AA">
        <w:rPr>
          <w:rFonts w:ascii="Arial" w:hAnsi="Arial" w:cs="Arial"/>
          <w:b/>
          <w:bCs/>
          <w:color w:val="000000"/>
          <w:sz w:val="22"/>
          <w:szCs w:val="22"/>
        </w:rPr>
        <w:lastRenderedPageBreak/>
        <w:t>Treatment and Rehabilitation</w:t>
      </w:r>
    </w:p>
    <w:p w14:paraId="497EF27E" w14:textId="77777777" w:rsidR="00DF2995" w:rsidRPr="003374AA" w:rsidRDefault="00DF2995" w:rsidP="001603C4">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The treatment of anorexia nervosa requires a multidisciplinary approach involving medical professionals, dietitians and mental health specialists. The primary aims are to restore physical health, improve nutritional status and address the psychological factors that contribute to the disorder (National Institute for Health and Care Excellence (NICE), 2020).</w:t>
      </w:r>
    </w:p>
    <w:p w14:paraId="2629A551" w14:textId="77777777" w:rsidR="00DF2995" w:rsidRDefault="00DF2995" w:rsidP="001603C4">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Psychological therapies are considered the first-line treatment for most individuals with anorexia nervosa. Cognitive Behavioural Therapy for Eating Disorders (CBT-E) is widely used to challenge distorted beliefs about food, body image and weight. Family-based treatment is also recommended for children and adolescents, as involving family members can improve treatment adherence and long-term recovery (NICE, 2020). In severe cases, hospital admission may be necessary to manage medical complications and provide supervised nutritional rehabilitation.</w:t>
      </w:r>
    </w:p>
    <w:p w14:paraId="22D4F8EA" w14:textId="12061A7D" w:rsidR="00DC3742" w:rsidRPr="003374AA" w:rsidRDefault="00DC3742" w:rsidP="001603C4">
      <w:pPr>
        <w:pStyle w:val="NormalWeb"/>
        <w:spacing w:line="360" w:lineRule="auto"/>
        <w:ind w:firstLine="720"/>
        <w:rPr>
          <w:rFonts w:ascii="Arial" w:hAnsi="Arial" w:cs="Arial"/>
          <w:color w:val="000000"/>
          <w:sz w:val="22"/>
          <w:szCs w:val="22"/>
        </w:rPr>
      </w:pPr>
      <w:r w:rsidRPr="00DC3742">
        <w:rPr>
          <w:rFonts w:ascii="Arial" w:hAnsi="Arial" w:cs="Arial"/>
          <w:color w:val="000000"/>
          <w:sz w:val="22"/>
          <w:szCs w:val="22"/>
        </w:rPr>
        <w:t>Nutritional rehabilitation is a fundamental component of treatment and should be carefully monitored to achieve safe weight restoration while reducing the risk of complications such as refeeding syndrome. NICE recommends that treatment plans are tailored to the individual's physical and psychological needs, with regular monitoring of weight, vital signs and biochemical markers. Ongoing collaboration between psychiatrists, psychologists, dietitians and primary care professionals is essential to ensure continuity of care and to support recovery following discharge from specialist services (National Institute for Health and Care Excellence (NICE, 2</w:t>
      </w:r>
      <w:r>
        <w:rPr>
          <w:rFonts w:ascii="Arial" w:hAnsi="Arial" w:cs="Arial"/>
          <w:color w:val="000000"/>
          <w:sz w:val="22"/>
          <w:szCs w:val="22"/>
        </w:rPr>
        <w:t>020)</w:t>
      </w:r>
      <w:r w:rsidRPr="00DC3742">
        <w:rPr>
          <w:rFonts w:ascii="Arial" w:hAnsi="Arial" w:cs="Arial"/>
          <w:color w:val="000000"/>
          <w:sz w:val="22"/>
          <w:szCs w:val="22"/>
        </w:rPr>
        <w:t>.</w:t>
      </w:r>
    </w:p>
    <w:p w14:paraId="056AE3A8" w14:textId="474E49EF" w:rsidR="00FF38D8" w:rsidRPr="003374AA" w:rsidRDefault="00FF38D8" w:rsidP="001603C4">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ICD-11 integrates rehabilitation with the ICF, supporting individualized, function-focused interventions and standardized documentation. Its applications include physical activity, traditional medicine, and multidisciplinary pain management, although effective implementation depends on accurate coding and adequate training</w:t>
      </w:r>
      <w:r w:rsidR="00C57F48" w:rsidRPr="003374AA">
        <w:rPr>
          <w:rFonts w:ascii="Arial" w:hAnsi="Arial" w:cs="Arial"/>
          <w:color w:val="000000"/>
          <w:sz w:val="22"/>
          <w:szCs w:val="22"/>
        </w:rPr>
        <w:t xml:space="preserve"> </w:t>
      </w:r>
      <w:r w:rsidR="00146BFD" w:rsidRPr="003374AA">
        <w:rPr>
          <w:rFonts w:ascii="Arial" w:hAnsi="Arial" w:cs="Arial"/>
          <w:color w:val="000000"/>
          <w:sz w:val="22"/>
          <w:szCs w:val="22"/>
        </w:rPr>
        <w:t>(</w:t>
      </w:r>
      <w:r w:rsidR="00C57F48" w:rsidRPr="003374AA">
        <w:rPr>
          <w:rFonts w:ascii="Arial" w:hAnsi="Arial" w:cs="Arial"/>
          <w:color w:val="000000"/>
          <w:sz w:val="22"/>
          <w:szCs w:val="22"/>
        </w:rPr>
        <w:t>Stolz, I. </w:t>
      </w:r>
      <w:r w:rsidR="00C57F48" w:rsidRPr="003374AA">
        <w:rPr>
          <w:rFonts w:ascii="Arial" w:hAnsi="Arial" w:cs="Arial"/>
          <w:i/>
          <w:iCs/>
          <w:color w:val="000000"/>
          <w:sz w:val="22"/>
          <w:szCs w:val="22"/>
        </w:rPr>
        <w:t>et al</w:t>
      </w:r>
      <w:r w:rsidR="00146BFD" w:rsidRPr="003374AA">
        <w:rPr>
          <w:rFonts w:ascii="Arial" w:hAnsi="Arial" w:cs="Arial"/>
          <w:i/>
          <w:iCs/>
          <w:color w:val="000000"/>
          <w:sz w:val="22"/>
          <w:szCs w:val="22"/>
        </w:rPr>
        <w:t xml:space="preserve">, </w:t>
      </w:r>
      <w:r w:rsidR="00C57F48" w:rsidRPr="003374AA">
        <w:rPr>
          <w:rFonts w:ascii="Arial" w:hAnsi="Arial" w:cs="Arial"/>
          <w:color w:val="000000"/>
          <w:sz w:val="22"/>
          <w:szCs w:val="22"/>
        </w:rPr>
        <w:t>2022)</w:t>
      </w:r>
      <w:r w:rsidR="00146BFD" w:rsidRPr="003374AA">
        <w:rPr>
          <w:rFonts w:ascii="Arial" w:hAnsi="Arial" w:cs="Arial"/>
          <w:color w:val="000000"/>
          <w:sz w:val="22"/>
          <w:szCs w:val="22"/>
        </w:rPr>
        <w:t>.</w:t>
      </w:r>
    </w:p>
    <w:p w14:paraId="73D5D694" w14:textId="77777777" w:rsidR="00DF2995" w:rsidRPr="003374AA" w:rsidRDefault="00DF2995" w:rsidP="001603C4">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Although current treatments have been shown to improve outcomes, they also have limitations. Recovery is often slow, relapse rates remain high, and some individuals do not respond to existing psychological interventions. In addition, access to specialist eating disorder services varies across the UK, leading to delays in diagnosis and treatment. These challenges highlight the need for earlier intervention, personalised care and greater investment in specialist services to improve long-term outcomes (NICE, 2020; Royal College of Psychiatrists, 2022).</w:t>
      </w:r>
    </w:p>
    <w:p w14:paraId="668504A0" w14:textId="77777777" w:rsidR="008A6D32" w:rsidRPr="003374AA" w:rsidRDefault="008A6D32" w:rsidP="00676B2A">
      <w:pPr>
        <w:pStyle w:val="NormalWeb"/>
        <w:spacing w:line="360" w:lineRule="auto"/>
        <w:rPr>
          <w:rFonts w:ascii="Arial" w:hAnsi="Arial" w:cs="Arial"/>
          <w:b/>
          <w:bCs/>
          <w:color w:val="000000"/>
          <w:sz w:val="22"/>
          <w:szCs w:val="22"/>
        </w:rPr>
      </w:pPr>
    </w:p>
    <w:p w14:paraId="0D06B3CB" w14:textId="31DE9B15" w:rsidR="008A6D32" w:rsidRPr="003374AA" w:rsidRDefault="008A6D32" w:rsidP="00676B2A">
      <w:pPr>
        <w:pStyle w:val="NormalWeb"/>
        <w:spacing w:line="360" w:lineRule="auto"/>
        <w:rPr>
          <w:rStyle w:val="apple-converted-space"/>
          <w:rFonts w:ascii="Arial" w:eastAsiaTheme="majorEastAsia" w:hAnsi="Arial" w:cs="Arial"/>
          <w:b/>
          <w:bCs/>
          <w:color w:val="000000"/>
          <w:sz w:val="22"/>
          <w:szCs w:val="22"/>
        </w:rPr>
      </w:pPr>
      <w:r w:rsidRPr="003374AA">
        <w:rPr>
          <w:rFonts w:ascii="Arial" w:hAnsi="Arial" w:cs="Arial"/>
          <w:b/>
          <w:bCs/>
          <w:color w:val="000000"/>
          <w:sz w:val="22"/>
          <w:szCs w:val="22"/>
        </w:rPr>
        <w:lastRenderedPageBreak/>
        <w:t>Current Debates and Emerging Issues</w:t>
      </w:r>
    </w:p>
    <w:p w14:paraId="63847127" w14:textId="0DD03689" w:rsidR="00DF2995" w:rsidRPr="003374AA" w:rsidRDefault="00DF2995" w:rsidP="001603C4">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 xml:space="preserve">The classification and treatment of anorexia nervosa continue to generate debate within mental health research and clinical practice. One major discussion </w:t>
      </w:r>
      <w:r w:rsidR="005B6285" w:rsidRPr="003374AA">
        <w:rPr>
          <w:rFonts w:ascii="Arial" w:hAnsi="Arial" w:cs="Arial"/>
          <w:color w:val="000000"/>
          <w:sz w:val="22"/>
          <w:szCs w:val="22"/>
        </w:rPr>
        <w:t>concern</w:t>
      </w:r>
      <w:r w:rsidRPr="003374AA">
        <w:rPr>
          <w:rFonts w:ascii="Arial" w:hAnsi="Arial" w:cs="Arial"/>
          <w:color w:val="000000"/>
          <w:sz w:val="22"/>
          <w:szCs w:val="22"/>
        </w:rPr>
        <w:t xml:space="preserve"> whether current diagnostic systems, including ICD-11, capture the full complexity of the disorder. Although ICD-11 has introduced greater flexibility compared with previous classifications, concerns remain that diagnostic criteria may overlook individuals who experience significant psychological distress but do not meet traditional weight-related criteria (World Health Organization (WHO), 2024).</w:t>
      </w:r>
    </w:p>
    <w:p w14:paraId="6AF5C73F" w14:textId="77777777" w:rsidR="00DF2995" w:rsidRPr="003374AA" w:rsidRDefault="00DF2995" w:rsidP="001603C4">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Another emerging area of debate is the relationship between anorexia nervosa and neurodivergence, particularly autism spectrum disorder. Research suggests that autistic individuals may experience higher rates of eating difficulties and may require adapted approaches to assessment and treatment. Standard interventions may not always address differences in sensory processing, communication styles and cognitive patterns associated with neurodivergence, highlighting the importance of personalised care (Brede et al., 2023).</w:t>
      </w:r>
    </w:p>
    <w:p w14:paraId="4B9F42DF" w14:textId="6B79005B" w:rsidR="0066636B" w:rsidRDefault="00DF2995" w:rsidP="001603C4">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There is also increasing discussion regarding the influence of sociocultural factors and the need to move away from narrow stereotypes of anorexia nervosa. Historically, the disorder has often been associated with young, white females; however, this perception can contribute to underdiagnosis among males, older adults and individuals from diverse cultural backgrounds (Royal College of Psychiatrists, 2022).</w:t>
      </w:r>
    </w:p>
    <w:p w14:paraId="1AC73421" w14:textId="511E41BF" w:rsidR="00234A7B" w:rsidRPr="003374AA" w:rsidRDefault="00234A7B" w:rsidP="00B53610">
      <w:pPr>
        <w:pStyle w:val="NormalWeb"/>
        <w:spacing w:line="360" w:lineRule="auto"/>
        <w:ind w:firstLine="720"/>
        <w:rPr>
          <w:rFonts w:ascii="Arial" w:hAnsi="Arial" w:cs="Arial"/>
          <w:color w:val="000000"/>
          <w:sz w:val="22"/>
          <w:szCs w:val="22"/>
        </w:rPr>
      </w:pPr>
      <w:r w:rsidRPr="00234A7B">
        <w:rPr>
          <w:rFonts w:ascii="Arial" w:hAnsi="Arial" w:cs="Arial"/>
          <w:color w:val="000000"/>
          <w:sz w:val="22"/>
          <w:szCs w:val="22"/>
        </w:rPr>
        <w:t>Another important debate concerns inequalities in access to eating disorder services across the UK. Although national guidelines promote early intervention and equitable care, waiting times and the availability of specialist services vary between regions, potentially delaying diagnosis and treatment. Researchers and policymakers have also highlighted the growing role of digital interventions, including online cognitive behavioural therapy and remote monitoring, which may improve access for some patients but are not suitable for everyone. These developments emphasise the need for flexible, person-centred services that combine technological innovation with specialist clinical support (National Institute for Health and Care Excellence (NHS England, 2024).</w:t>
      </w:r>
    </w:p>
    <w:p w14:paraId="4698CF86" w14:textId="5D8DC193" w:rsidR="00DF2995" w:rsidRPr="003374AA" w:rsidRDefault="0066636B" w:rsidP="00B53610">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The integration of policy, evidence, and practice is essential for improving healthcare implementation. Current implementation science has been criticized for overlooking the influence of policy and political factors, highlighting the need for frameworks that better incorporate policy roles, stakeholder involvement, and contextual adaptation to strengthen practice and policy outcomes</w:t>
      </w:r>
      <w:r w:rsidR="009D6B55" w:rsidRPr="003374AA">
        <w:rPr>
          <w:rFonts w:ascii="Arial" w:hAnsi="Arial" w:cs="Arial"/>
          <w:color w:val="000000"/>
          <w:sz w:val="22"/>
          <w:szCs w:val="22"/>
        </w:rPr>
        <w:t xml:space="preserve"> (Crable E.L. </w:t>
      </w:r>
      <w:r w:rsidR="009D6B55" w:rsidRPr="003374AA">
        <w:rPr>
          <w:rFonts w:ascii="Arial" w:hAnsi="Arial" w:cs="Arial"/>
          <w:i/>
          <w:iCs/>
          <w:color w:val="000000"/>
          <w:sz w:val="22"/>
          <w:szCs w:val="22"/>
        </w:rPr>
        <w:t xml:space="preserve">et al, </w:t>
      </w:r>
      <w:r w:rsidR="009D6B55" w:rsidRPr="003374AA">
        <w:rPr>
          <w:rFonts w:ascii="Arial" w:hAnsi="Arial" w:cs="Arial"/>
          <w:color w:val="000000"/>
          <w:sz w:val="22"/>
          <w:szCs w:val="22"/>
        </w:rPr>
        <w:t>2022).</w:t>
      </w:r>
    </w:p>
    <w:p w14:paraId="22EB9F7C" w14:textId="77777777" w:rsidR="008A6D32" w:rsidRPr="003374AA" w:rsidRDefault="008A6D32" w:rsidP="00676B2A">
      <w:pPr>
        <w:pStyle w:val="NormalWeb"/>
        <w:spacing w:line="360" w:lineRule="auto"/>
        <w:rPr>
          <w:rFonts w:ascii="Arial" w:hAnsi="Arial" w:cs="Arial"/>
          <w:b/>
          <w:bCs/>
          <w:color w:val="000000"/>
          <w:sz w:val="22"/>
          <w:szCs w:val="22"/>
        </w:rPr>
      </w:pPr>
    </w:p>
    <w:p w14:paraId="663F265C" w14:textId="012A9913" w:rsidR="008A6D32" w:rsidRPr="003374AA" w:rsidRDefault="008A6D32" w:rsidP="00676B2A">
      <w:pPr>
        <w:pStyle w:val="NormalWeb"/>
        <w:spacing w:line="360" w:lineRule="auto"/>
        <w:rPr>
          <w:rFonts w:ascii="Arial" w:hAnsi="Arial" w:cs="Arial"/>
          <w:b/>
          <w:bCs/>
          <w:color w:val="000000"/>
          <w:sz w:val="22"/>
          <w:szCs w:val="22"/>
        </w:rPr>
      </w:pPr>
      <w:r w:rsidRPr="003374AA">
        <w:rPr>
          <w:rFonts w:ascii="Arial" w:hAnsi="Arial" w:cs="Arial"/>
          <w:b/>
          <w:bCs/>
          <w:color w:val="000000"/>
          <w:sz w:val="22"/>
          <w:szCs w:val="22"/>
        </w:rPr>
        <w:t>Recommendations</w:t>
      </w:r>
    </w:p>
    <w:p w14:paraId="69581E77" w14:textId="77777777" w:rsidR="004D4F5D" w:rsidRPr="003374AA" w:rsidRDefault="004D4F5D" w:rsidP="00B53610">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Improving outcomes for individuals with anorexia nervosa requires changes in diagnosis, treatment provision and healthcare policy. Firstly, diagnostic approaches should continue to develop towards more inclusive frameworks that recognise different presentations of the disorder. Although ICD-11 provides greater flexibility, further research is needed to ensure that individuals who experience significant psychological distress but do not meet traditional criteria are identified and supported at an earlier stage (World Health Organization (WHO), 2024).</w:t>
      </w:r>
    </w:p>
    <w:p w14:paraId="7495BADE" w14:textId="77777777" w:rsidR="004D4F5D" w:rsidRPr="003374AA" w:rsidRDefault="004D4F5D" w:rsidP="00B53610">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Secondly, treatment services should adopt more personalised and multidisciplinary approaches. While evidence-based therapies such as CBT-E and family-based treatment remain important, care should be adapted to individual needs, including consideration of neurodivergence, cultural background and personal circumstances. Greater awareness of the relationship between autism spectrum disorder and eating disorders may improve assessment and reduce barriers to effective treatment (Brede et al., 2023).</w:t>
      </w:r>
    </w:p>
    <w:p w14:paraId="2F2ED3EE" w14:textId="4EA0CDBA" w:rsidR="004D4F5D" w:rsidRDefault="004D4F5D" w:rsidP="00B53610">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Finally, investment in specialist eating disorder services is essential to reduce waiting times and improve access to early intervention. Training healthcare professionals to recognise a wider range of presentations could help address current inequalities in diagnosis and treatment. Future research should continue to investigate biological, psychological and social factors involved in anorexia nervosa to support the development of more effective and personalised interventions (National Institute for Health and Care Excellence (NICE, 2020).</w:t>
      </w:r>
    </w:p>
    <w:p w14:paraId="6D02F748" w14:textId="79ED3EEC" w:rsidR="00840253" w:rsidRPr="003374AA" w:rsidRDefault="00840253" w:rsidP="00B53610">
      <w:pPr>
        <w:pStyle w:val="NormalWeb"/>
        <w:spacing w:line="360" w:lineRule="auto"/>
        <w:ind w:firstLine="720"/>
        <w:rPr>
          <w:rFonts w:ascii="Arial" w:hAnsi="Arial" w:cs="Arial"/>
          <w:color w:val="000000"/>
          <w:sz w:val="22"/>
          <w:szCs w:val="22"/>
        </w:rPr>
      </w:pPr>
      <w:r w:rsidRPr="00840253">
        <w:rPr>
          <w:rFonts w:ascii="Arial" w:hAnsi="Arial" w:cs="Arial"/>
          <w:color w:val="000000"/>
          <w:sz w:val="22"/>
          <w:szCs w:val="22"/>
        </w:rPr>
        <w:t>In addition, healthcare policy should prioritise the expansion of specialist eating disorder services and improve collaboration between primary care, mental health services and community support organisations. Routine screening for eating disorders in high-risk groups, together with ongoing professional training, could facilitate earlier recognition and referral. The use of evidence-based clinical guidelines, regular outcome monitoring and patient involvement in care planning may also improve the quality and consistency of treatment. Strengthening these areas would help reduce regional inequalities and ensure that individuals receive timely, person-centred care throughout their recovery journey (National Institute for Health and Care Excellence (NICE, 2020</w:t>
      </w:r>
      <w:r>
        <w:rPr>
          <w:rFonts w:ascii="Arial" w:hAnsi="Arial" w:cs="Arial"/>
          <w:color w:val="000000"/>
          <w:sz w:val="22"/>
          <w:szCs w:val="22"/>
        </w:rPr>
        <w:t>)</w:t>
      </w:r>
      <w:r w:rsidR="00BD4324">
        <w:rPr>
          <w:rFonts w:ascii="Arial" w:hAnsi="Arial" w:cs="Arial"/>
          <w:color w:val="000000"/>
          <w:sz w:val="22"/>
          <w:szCs w:val="22"/>
        </w:rPr>
        <w:t>.</w:t>
      </w:r>
    </w:p>
    <w:p w14:paraId="095B98D5" w14:textId="77777777" w:rsidR="00293F5F" w:rsidRDefault="00EA4F39" w:rsidP="00B53610">
      <w:pPr>
        <w:pStyle w:val="NormalWeb"/>
        <w:spacing w:line="360" w:lineRule="auto"/>
        <w:ind w:firstLine="720"/>
        <w:rPr>
          <w:rFonts w:ascii="Arial" w:hAnsi="Arial" w:cs="Arial"/>
          <w:color w:val="000000"/>
          <w:sz w:val="22"/>
          <w:szCs w:val="22"/>
        </w:rPr>
      </w:pPr>
      <w:r w:rsidRPr="003374AA">
        <w:rPr>
          <w:rFonts w:ascii="Arial" w:hAnsi="Arial" w:cs="Arial"/>
          <w:color w:val="000000"/>
          <w:sz w:val="22"/>
          <w:szCs w:val="22"/>
        </w:rPr>
        <w:t xml:space="preserve">Implementing these recommendations could improve clinical outcomes by promoting earlier diagnosis, more individualized treatment plans, and consistent follow-up, which may </w:t>
      </w:r>
      <w:r w:rsidRPr="003374AA">
        <w:rPr>
          <w:rFonts w:ascii="Arial" w:hAnsi="Arial" w:cs="Arial"/>
          <w:color w:val="000000"/>
          <w:sz w:val="22"/>
          <w:szCs w:val="22"/>
        </w:rPr>
        <w:lastRenderedPageBreak/>
        <w:t>reduce relapse rates and support long-term recovery. A more inclusive approach to the classification and management of anorexia nervosa, particularly through the recognition of atypical presentations, can ensure that individuals receive appropriate care regardless of body weight. Furthermore, integrating multidisciplinary interventions, including medical, nutritional, and psychological support, may enhance treatment effectiveness and improve patients' overall quality of life (Datta </w:t>
      </w:r>
      <w:r w:rsidRPr="003374AA">
        <w:rPr>
          <w:rFonts w:ascii="Arial" w:hAnsi="Arial" w:cs="Arial"/>
          <w:i/>
          <w:iCs/>
          <w:color w:val="000000"/>
          <w:sz w:val="22"/>
          <w:szCs w:val="22"/>
        </w:rPr>
        <w:t>et al</w:t>
      </w:r>
      <w:r w:rsidRPr="003374AA">
        <w:rPr>
          <w:rFonts w:ascii="Arial" w:hAnsi="Arial" w:cs="Arial"/>
          <w:color w:val="000000"/>
          <w:sz w:val="22"/>
          <w:szCs w:val="22"/>
        </w:rPr>
        <w:t>, 2024).</w:t>
      </w:r>
    </w:p>
    <w:p w14:paraId="1A9E59C1" w14:textId="77777777" w:rsidR="00676B2A" w:rsidRDefault="00676B2A" w:rsidP="00676B2A">
      <w:pPr>
        <w:pStyle w:val="NormalWeb"/>
        <w:spacing w:line="360" w:lineRule="auto"/>
        <w:rPr>
          <w:rFonts w:ascii="Arial" w:hAnsi="Arial" w:cs="Arial"/>
          <w:b/>
          <w:bCs/>
          <w:color w:val="000000"/>
          <w:sz w:val="22"/>
          <w:szCs w:val="22"/>
        </w:rPr>
      </w:pPr>
    </w:p>
    <w:p w14:paraId="5BA5D95F" w14:textId="77777777" w:rsidR="00676B2A" w:rsidRDefault="00676B2A" w:rsidP="00676B2A">
      <w:pPr>
        <w:pStyle w:val="NormalWeb"/>
        <w:spacing w:line="360" w:lineRule="auto"/>
        <w:rPr>
          <w:rFonts w:ascii="Arial" w:hAnsi="Arial" w:cs="Arial"/>
          <w:b/>
          <w:bCs/>
          <w:color w:val="000000"/>
          <w:sz w:val="22"/>
          <w:szCs w:val="22"/>
        </w:rPr>
      </w:pPr>
    </w:p>
    <w:p w14:paraId="48A71617" w14:textId="77777777" w:rsidR="00676B2A" w:rsidRDefault="00676B2A" w:rsidP="00676B2A">
      <w:pPr>
        <w:pStyle w:val="NormalWeb"/>
        <w:spacing w:line="360" w:lineRule="auto"/>
        <w:rPr>
          <w:rFonts w:ascii="Arial" w:hAnsi="Arial" w:cs="Arial"/>
          <w:b/>
          <w:bCs/>
          <w:color w:val="000000"/>
          <w:sz w:val="22"/>
          <w:szCs w:val="22"/>
        </w:rPr>
      </w:pPr>
    </w:p>
    <w:p w14:paraId="29B688DC" w14:textId="77777777" w:rsidR="00676B2A" w:rsidRDefault="00676B2A" w:rsidP="00676B2A">
      <w:pPr>
        <w:pStyle w:val="NormalWeb"/>
        <w:spacing w:line="360" w:lineRule="auto"/>
        <w:rPr>
          <w:rFonts w:ascii="Arial" w:hAnsi="Arial" w:cs="Arial"/>
          <w:b/>
          <w:bCs/>
          <w:color w:val="000000"/>
          <w:sz w:val="22"/>
          <w:szCs w:val="22"/>
        </w:rPr>
      </w:pPr>
    </w:p>
    <w:p w14:paraId="3D6EFA7C" w14:textId="77777777" w:rsidR="00676B2A" w:rsidRDefault="00676B2A" w:rsidP="00676B2A">
      <w:pPr>
        <w:pStyle w:val="NormalWeb"/>
        <w:spacing w:line="360" w:lineRule="auto"/>
        <w:rPr>
          <w:rFonts w:ascii="Arial" w:hAnsi="Arial" w:cs="Arial"/>
          <w:b/>
          <w:bCs/>
          <w:color w:val="000000"/>
          <w:sz w:val="22"/>
          <w:szCs w:val="22"/>
        </w:rPr>
      </w:pPr>
    </w:p>
    <w:p w14:paraId="5079D7F2" w14:textId="77777777" w:rsidR="00676B2A" w:rsidRDefault="00676B2A" w:rsidP="00676B2A">
      <w:pPr>
        <w:pStyle w:val="NormalWeb"/>
        <w:spacing w:line="360" w:lineRule="auto"/>
        <w:rPr>
          <w:rFonts w:ascii="Arial" w:hAnsi="Arial" w:cs="Arial"/>
          <w:b/>
          <w:bCs/>
          <w:color w:val="000000"/>
          <w:sz w:val="22"/>
          <w:szCs w:val="22"/>
        </w:rPr>
      </w:pPr>
    </w:p>
    <w:p w14:paraId="55887532" w14:textId="77777777" w:rsidR="00676B2A" w:rsidRDefault="00676B2A" w:rsidP="00676B2A">
      <w:pPr>
        <w:pStyle w:val="NormalWeb"/>
        <w:spacing w:line="360" w:lineRule="auto"/>
        <w:rPr>
          <w:rFonts w:ascii="Arial" w:hAnsi="Arial" w:cs="Arial"/>
          <w:b/>
          <w:bCs/>
          <w:color w:val="000000"/>
          <w:sz w:val="22"/>
          <w:szCs w:val="22"/>
        </w:rPr>
      </w:pPr>
    </w:p>
    <w:p w14:paraId="2792D236" w14:textId="77777777" w:rsidR="00676B2A" w:rsidRDefault="00676B2A" w:rsidP="00676B2A">
      <w:pPr>
        <w:pStyle w:val="NormalWeb"/>
        <w:spacing w:line="360" w:lineRule="auto"/>
        <w:rPr>
          <w:rFonts w:ascii="Arial" w:hAnsi="Arial" w:cs="Arial"/>
          <w:b/>
          <w:bCs/>
          <w:color w:val="000000"/>
          <w:sz w:val="22"/>
          <w:szCs w:val="22"/>
        </w:rPr>
      </w:pPr>
    </w:p>
    <w:p w14:paraId="2EBA7840" w14:textId="77777777" w:rsidR="00676B2A" w:rsidRDefault="00676B2A" w:rsidP="00676B2A">
      <w:pPr>
        <w:pStyle w:val="NormalWeb"/>
        <w:spacing w:line="360" w:lineRule="auto"/>
        <w:rPr>
          <w:rFonts w:ascii="Arial" w:hAnsi="Arial" w:cs="Arial"/>
          <w:b/>
          <w:bCs/>
          <w:color w:val="000000"/>
          <w:sz w:val="22"/>
          <w:szCs w:val="22"/>
        </w:rPr>
      </w:pPr>
    </w:p>
    <w:p w14:paraId="2A81C314" w14:textId="77777777" w:rsidR="00676B2A" w:rsidRDefault="00676B2A" w:rsidP="00676B2A">
      <w:pPr>
        <w:pStyle w:val="NormalWeb"/>
        <w:spacing w:line="360" w:lineRule="auto"/>
        <w:rPr>
          <w:rFonts w:ascii="Arial" w:hAnsi="Arial" w:cs="Arial"/>
          <w:b/>
          <w:bCs/>
          <w:color w:val="000000"/>
          <w:sz w:val="22"/>
          <w:szCs w:val="22"/>
        </w:rPr>
      </w:pPr>
    </w:p>
    <w:p w14:paraId="7426CA60" w14:textId="77777777" w:rsidR="00676B2A" w:rsidRDefault="00676B2A" w:rsidP="00676B2A">
      <w:pPr>
        <w:pStyle w:val="NormalWeb"/>
        <w:spacing w:line="360" w:lineRule="auto"/>
        <w:rPr>
          <w:rFonts w:ascii="Arial" w:hAnsi="Arial" w:cs="Arial"/>
          <w:b/>
          <w:bCs/>
          <w:color w:val="000000"/>
          <w:sz w:val="22"/>
          <w:szCs w:val="22"/>
        </w:rPr>
      </w:pPr>
    </w:p>
    <w:p w14:paraId="0CE74912" w14:textId="77777777" w:rsidR="00676B2A" w:rsidRDefault="00676B2A" w:rsidP="00676B2A">
      <w:pPr>
        <w:pStyle w:val="NormalWeb"/>
        <w:spacing w:line="360" w:lineRule="auto"/>
        <w:rPr>
          <w:rFonts w:ascii="Arial" w:hAnsi="Arial" w:cs="Arial"/>
          <w:b/>
          <w:bCs/>
          <w:color w:val="000000"/>
          <w:sz w:val="22"/>
          <w:szCs w:val="22"/>
        </w:rPr>
      </w:pPr>
    </w:p>
    <w:p w14:paraId="15CA81A6" w14:textId="77777777" w:rsidR="00676B2A" w:rsidRDefault="00676B2A" w:rsidP="00676B2A">
      <w:pPr>
        <w:pStyle w:val="NormalWeb"/>
        <w:spacing w:line="360" w:lineRule="auto"/>
        <w:rPr>
          <w:rFonts w:ascii="Arial" w:hAnsi="Arial" w:cs="Arial"/>
          <w:b/>
          <w:bCs/>
          <w:color w:val="000000"/>
          <w:sz w:val="22"/>
          <w:szCs w:val="22"/>
        </w:rPr>
      </w:pPr>
    </w:p>
    <w:p w14:paraId="69F90224" w14:textId="77777777" w:rsidR="00676B2A" w:rsidRDefault="00676B2A" w:rsidP="00676B2A">
      <w:pPr>
        <w:pStyle w:val="NormalWeb"/>
        <w:spacing w:line="360" w:lineRule="auto"/>
        <w:rPr>
          <w:rFonts w:ascii="Arial" w:hAnsi="Arial" w:cs="Arial"/>
          <w:b/>
          <w:bCs/>
          <w:color w:val="000000"/>
          <w:sz w:val="22"/>
          <w:szCs w:val="22"/>
        </w:rPr>
      </w:pPr>
    </w:p>
    <w:p w14:paraId="342E456D" w14:textId="77777777" w:rsidR="00676B2A" w:rsidRDefault="00676B2A" w:rsidP="00676B2A">
      <w:pPr>
        <w:pStyle w:val="NormalWeb"/>
        <w:spacing w:line="360" w:lineRule="auto"/>
        <w:rPr>
          <w:rFonts w:ascii="Arial" w:hAnsi="Arial" w:cs="Arial"/>
          <w:b/>
          <w:bCs/>
          <w:color w:val="000000"/>
          <w:sz w:val="22"/>
          <w:szCs w:val="22"/>
        </w:rPr>
      </w:pPr>
    </w:p>
    <w:p w14:paraId="62E61DAA" w14:textId="77777777" w:rsidR="00676B2A" w:rsidRDefault="00676B2A" w:rsidP="00676B2A">
      <w:pPr>
        <w:pStyle w:val="NormalWeb"/>
        <w:spacing w:line="360" w:lineRule="auto"/>
        <w:rPr>
          <w:rFonts w:ascii="Arial" w:hAnsi="Arial" w:cs="Arial"/>
          <w:b/>
          <w:bCs/>
          <w:color w:val="000000"/>
          <w:sz w:val="22"/>
          <w:szCs w:val="22"/>
        </w:rPr>
      </w:pPr>
    </w:p>
    <w:p w14:paraId="5749564D" w14:textId="77777777" w:rsidR="00676B2A" w:rsidRDefault="00676B2A" w:rsidP="00676B2A">
      <w:pPr>
        <w:pStyle w:val="NormalWeb"/>
        <w:spacing w:line="360" w:lineRule="auto"/>
        <w:rPr>
          <w:rFonts w:ascii="Arial" w:hAnsi="Arial" w:cs="Arial"/>
          <w:b/>
          <w:bCs/>
          <w:color w:val="000000"/>
          <w:sz w:val="22"/>
          <w:szCs w:val="22"/>
        </w:rPr>
      </w:pPr>
    </w:p>
    <w:p w14:paraId="602A3FF1" w14:textId="310CE8BD" w:rsidR="004D4F5D" w:rsidRPr="00293F5F" w:rsidRDefault="004D4F5D" w:rsidP="00676B2A">
      <w:pPr>
        <w:pStyle w:val="NormalWeb"/>
        <w:spacing w:line="360" w:lineRule="auto"/>
        <w:rPr>
          <w:rFonts w:ascii="Arial" w:hAnsi="Arial" w:cs="Arial"/>
          <w:color w:val="000000"/>
          <w:sz w:val="22"/>
          <w:szCs w:val="22"/>
        </w:rPr>
      </w:pPr>
      <w:r w:rsidRPr="003374AA">
        <w:rPr>
          <w:rFonts w:ascii="Arial" w:hAnsi="Arial" w:cs="Arial"/>
          <w:b/>
          <w:bCs/>
          <w:color w:val="000000"/>
          <w:sz w:val="22"/>
          <w:szCs w:val="22"/>
        </w:rPr>
        <w:lastRenderedPageBreak/>
        <w:t xml:space="preserve"> Conclusion</w:t>
      </w:r>
    </w:p>
    <w:p w14:paraId="01033658" w14:textId="4267F359" w:rsidR="003C2FD9" w:rsidRPr="003C2FD9" w:rsidRDefault="003C2FD9" w:rsidP="00B53610">
      <w:pPr>
        <w:pStyle w:val="NormalWeb"/>
        <w:spacing w:line="360" w:lineRule="auto"/>
        <w:ind w:firstLine="720"/>
        <w:rPr>
          <w:rFonts w:ascii="Arial" w:hAnsi="Arial" w:cs="Arial"/>
          <w:color w:val="000000"/>
          <w:sz w:val="22"/>
          <w:szCs w:val="22"/>
        </w:rPr>
      </w:pPr>
      <w:r w:rsidRPr="003C2FD9">
        <w:rPr>
          <w:rFonts w:ascii="Arial" w:hAnsi="Arial" w:cs="Arial"/>
          <w:color w:val="000000"/>
          <w:sz w:val="22"/>
          <w:szCs w:val="22"/>
        </w:rPr>
        <w:t xml:space="preserve">Anorexia nervosa is a complex mental health disorder that has significant physical, psychological and social consequences. As classified in the ICD-11, it is recognised as a Feeding or </w:t>
      </w:r>
      <w:r w:rsidR="005B6285" w:rsidRPr="003C2FD9">
        <w:rPr>
          <w:rFonts w:ascii="Arial" w:hAnsi="Arial" w:cs="Arial"/>
          <w:color w:val="000000"/>
          <w:sz w:val="22"/>
          <w:szCs w:val="22"/>
        </w:rPr>
        <w:t>eating disorder</w:t>
      </w:r>
      <w:r w:rsidRPr="003C2FD9">
        <w:rPr>
          <w:rFonts w:ascii="Arial" w:hAnsi="Arial" w:cs="Arial"/>
          <w:color w:val="000000"/>
          <w:sz w:val="22"/>
          <w:szCs w:val="22"/>
        </w:rPr>
        <w:t>, with diagnosis based on persistent restriction of energy intake, significantly low body weight and an intense fear of gaining weight (World Health Organization (WHO), 2024). Although ICD-11 has improved the flexibility of diagnostic criteria, challenges remain in recognising diverse presentations of the disorder and ensuring timely diagnosis.</w:t>
      </w:r>
    </w:p>
    <w:p w14:paraId="73488F27" w14:textId="11F5B8B2" w:rsidR="003C2FD9" w:rsidRPr="003C2FD9" w:rsidRDefault="003C2FD9" w:rsidP="00B53610">
      <w:pPr>
        <w:pStyle w:val="NormalWeb"/>
        <w:spacing w:line="360" w:lineRule="auto"/>
        <w:ind w:firstLine="720"/>
        <w:rPr>
          <w:rFonts w:ascii="Arial" w:hAnsi="Arial" w:cs="Arial"/>
          <w:color w:val="000000"/>
          <w:sz w:val="22"/>
          <w:szCs w:val="22"/>
        </w:rPr>
      </w:pPr>
      <w:r w:rsidRPr="003C2FD9">
        <w:rPr>
          <w:rFonts w:ascii="Arial" w:hAnsi="Arial" w:cs="Arial"/>
          <w:color w:val="000000"/>
          <w:sz w:val="22"/>
          <w:szCs w:val="22"/>
        </w:rPr>
        <w:t>Current treatment approaches, including psychological therapies, nutritional rehabilitation and multidisciplinary care, can be effective; however, recovery is often prolonged and relapse remains common (National Institute for Health and Care Excellence (NICE</w:t>
      </w:r>
      <w:r w:rsidR="007612CF">
        <w:rPr>
          <w:rFonts w:ascii="Arial" w:hAnsi="Arial" w:cs="Arial"/>
          <w:color w:val="000000"/>
          <w:sz w:val="22"/>
          <w:szCs w:val="22"/>
        </w:rPr>
        <w:t>,</w:t>
      </w:r>
      <w:r w:rsidRPr="003C2FD9">
        <w:rPr>
          <w:rFonts w:ascii="Arial" w:hAnsi="Arial" w:cs="Arial"/>
          <w:color w:val="000000"/>
          <w:sz w:val="22"/>
          <w:szCs w:val="22"/>
        </w:rPr>
        <w:t xml:space="preserve"> 2020). Contemporary debates regarding neurodivergence, diagnostic criteria and access to specialist services demonstrate that further improvements are needed in both clinical practice and mental health policy.</w:t>
      </w:r>
    </w:p>
    <w:p w14:paraId="41A8CC6C" w14:textId="77777777" w:rsidR="003C2FD9" w:rsidRPr="003C2FD9" w:rsidRDefault="003C2FD9" w:rsidP="00B53610">
      <w:pPr>
        <w:pStyle w:val="NormalWeb"/>
        <w:spacing w:line="360" w:lineRule="auto"/>
        <w:ind w:firstLine="720"/>
        <w:rPr>
          <w:rFonts w:ascii="Arial" w:hAnsi="Arial" w:cs="Arial"/>
          <w:color w:val="000000"/>
          <w:sz w:val="22"/>
          <w:szCs w:val="22"/>
        </w:rPr>
      </w:pPr>
      <w:r w:rsidRPr="003C2FD9">
        <w:rPr>
          <w:rFonts w:ascii="Arial" w:hAnsi="Arial" w:cs="Arial"/>
          <w:color w:val="000000"/>
          <w:sz w:val="22"/>
          <w:szCs w:val="22"/>
        </w:rPr>
        <w:t>In addition, strengthening collaboration between healthcare professionals, improving public awareness, and ensuring equitable access to specialist services are essential for reducing delays in diagnosis and treatment. Ongoing investment in research and the implementation of evidence-based guidelines will support the development of more effective, person-centred interventions that address the diverse needs of individuals with anorexia nervosa (NHS England, 2024; Royal College of Psychiatrists, 2022).</w:t>
      </w:r>
    </w:p>
    <w:p w14:paraId="03B716FE" w14:textId="77777777" w:rsidR="003C2FD9" w:rsidRPr="003C2FD9" w:rsidRDefault="003C2FD9" w:rsidP="00B53610">
      <w:pPr>
        <w:pStyle w:val="NormalWeb"/>
        <w:spacing w:line="360" w:lineRule="auto"/>
        <w:ind w:firstLine="720"/>
        <w:rPr>
          <w:rFonts w:ascii="Arial" w:hAnsi="Arial" w:cs="Arial"/>
          <w:color w:val="000000"/>
          <w:sz w:val="22"/>
          <w:szCs w:val="22"/>
        </w:rPr>
      </w:pPr>
      <w:r w:rsidRPr="003C2FD9">
        <w:rPr>
          <w:rFonts w:ascii="Arial" w:hAnsi="Arial" w:cs="Arial"/>
          <w:color w:val="000000"/>
          <w:sz w:val="22"/>
          <w:szCs w:val="22"/>
        </w:rPr>
        <w:t>Overall, continued research, earlier identification, and more personalised, evidence-based treatment approaches are essential to improve outcomes for individuals with anorexia nervosa. Developing more inclusive diagnostic criteria, particularly for atypical presentations, alongside strengthening specialist multidisciplinary services, can facilitate earlier access to appropriate care, reduce the risk of relapse, and promote sustained recovery. These improvements have the potential to enhance both the quality of care and the long-term physical and psychological well-being of individuals affected by this disorder (de Rijk </w:t>
      </w:r>
      <w:r w:rsidRPr="003C2FD9">
        <w:rPr>
          <w:rFonts w:ascii="Arial" w:hAnsi="Arial" w:cs="Arial"/>
          <w:i/>
          <w:iCs/>
          <w:color w:val="000000"/>
          <w:sz w:val="22"/>
          <w:szCs w:val="22"/>
        </w:rPr>
        <w:t>et al</w:t>
      </w:r>
      <w:r w:rsidRPr="003C2FD9">
        <w:rPr>
          <w:rFonts w:ascii="Arial" w:hAnsi="Arial" w:cs="Arial"/>
          <w:color w:val="000000"/>
          <w:sz w:val="22"/>
          <w:szCs w:val="22"/>
        </w:rPr>
        <w:t>., 2024).</w:t>
      </w:r>
    </w:p>
    <w:p w14:paraId="4F7597D5" w14:textId="77777777" w:rsidR="008A6D32" w:rsidRDefault="008A6D32" w:rsidP="00676B2A">
      <w:pPr>
        <w:pStyle w:val="NormalWeb"/>
        <w:spacing w:line="360" w:lineRule="auto"/>
        <w:rPr>
          <w:rFonts w:ascii="Arial" w:hAnsi="Arial" w:cs="Arial"/>
          <w:color w:val="000000"/>
          <w:sz w:val="22"/>
          <w:szCs w:val="22"/>
        </w:rPr>
      </w:pPr>
    </w:p>
    <w:p w14:paraId="6C2AD36F" w14:textId="77777777" w:rsidR="00676B2A" w:rsidRPr="003374AA" w:rsidRDefault="00676B2A" w:rsidP="00676B2A">
      <w:pPr>
        <w:pStyle w:val="NormalWeb"/>
        <w:spacing w:line="360" w:lineRule="auto"/>
        <w:rPr>
          <w:rFonts w:ascii="Arial" w:hAnsi="Arial" w:cs="Arial"/>
          <w:color w:val="000000"/>
          <w:sz w:val="22"/>
          <w:szCs w:val="22"/>
        </w:rPr>
      </w:pPr>
    </w:p>
    <w:p w14:paraId="7AD2E81E" w14:textId="77777777" w:rsidR="008A6D32" w:rsidRPr="003374AA" w:rsidRDefault="008A6D32" w:rsidP="00676B2A">
      <w:pPr>
        <w:pStyle w:val="NormalWeb"/>
        <w:spacing w:line="360" w:lineRule="auto"/>
        <w:rPr>
          <w:rFonts w:ascii="Arial" w:hAnsi="Arial" w:cs="Arial"/>
          <w:color w:val="000000"/>
          <w:sz w:val="22"/>
          <w:szCs w:val="22"/>
        </w:rPr>
      </w:pPr>
    </w:p>
    <w:p w14:paraId="09CF3708" w14:textId="26E163F5" w:rsidR="00AE2803" w:rsidRPr="00591A06" w:rsidRDefault="008A6D32" w:rsidP="00676B2A">
      <w:pPr>
        <w:pStyle w:val="NormalWeb"/>
        <w:spacing w:line="360" w:lineRule="auto"/>
        <w:rPr>
          <w:rFonts w:ascii="Arial" w:hAnsi="Arial" w:cs="Arial"/>
          <w:b/>
          <w:bCs/>
          <w:color w:val="000000"/>
          <w:sz w:val="22"/>
          <w:szCs w:val="22"/>
        </w:rPr>
      </w:pPr>
      <w:r w:rsidRPr="003374AA">
        <w:rPr>
          <w:rFonts w:ascii="Arial" w:hAnsi="Arial" w:cs="Arial"/>
          <w:b/>
          <w:bCs/>
          <w:color w:val="000000"/>
          <w:sz w:val="22"/>
          <w:szCs w:val="22"/>
        </w:rPr>
        <w:lastRenderedPageBreak/>
        <w:t>References</w:t>
      </w:r>
    </w:p>
    <w:p w14:paraId="6D7EF071" w14:textId="78970EEB" w:rsidR="00AE2803" w:rsidRPr="003374AA" w:rsidRDefault="00DF2995" w:rsidP="00676B2A">
      <w:pPr>
        <w:pStyle w:val="ListParagraph"/>
        <w:numPr>
          <w:ilvl w:val="0"/>
          <w:numId w:val="1"/>
        </w:numPr>
        <w:spacing w:line="360" w:lineRule="auto"/>
        <w:rPr>
          <w:rFonts w:ascii="Arial" w:hAnsi="Arial" w:cs="Arial"/>
          <w:sz w:val="22"/>
          <w:szCs w:val="22"/>
        </w:rPr>
      </w:pPr>
      <w:r w:rsidRPr="003374AA">
        <w:rPr>
          <w:rFonts w:ascii="Arial" w:hAnsi="Arial" w:cs="Arial"/>
          <w:sz w:val="22"/>
          <w:szCs w:val="22"/>
        </w:rPr>
        <w:t>Brede, J., Babb, C., Jones, C. and Elliott, M. (2023) </w:t>
      </w:r>
      <w:r w:rsidRPr="003374AA">
        <w:rPr>
          <w:rFonts w:ascii="Arial" w:hAnsi="Arial" w:cs="Arial"/>
          <w:i/>
          <w:iCs/>
          <w:sz w:val="22"/>
          <w:szCs w:val="22"/>
        </w:rPr>
        <w:t>Autism and eating disorders: Current evidence and clinical implications</w:t>
      </w:r>
      <w:r w:rsidRPr="003374AA">
        <w:rPr>
          <w:rFonts w:ascii="Arial" w:hAnsi="Arial" w:cs="Arial"/>
          <w:sz w:val="22"/>
          <w:szCs w:val="22"/>
        </w:rPr>
        <w:t>. Cambridge: Cambridge University Press.</w:t>
      </w:r>
      <w:r w:rsidR="00AD2D60" w:rsidRPr="003374AA">
        <w:rPr>
          <w:rFonts w:ascii="Arial" w:hAnsi="Arial" w:cs="Arial"/>
          <w:sz w:val="22"/>
          <w:szCs w:val="22"/>
        </w:rPr>
        <w:t xml:space="preserve"> (Accessed 15 July 2026).</w:t>
      </w:r>
    </w:p>
    <w:p w14:paraId="6C57A4B0" w14:textId="05376A9C" w:rsidR="008E79B4" w:rsidRPr="003374AA" w:rsidRDefault="008E79B4" w:rsidP="00676B2A">
      <w:pPr>
        <w:pStyle w:val="ListParagraph"/>
        <w:numPr>
          <w:ilvl w:val="0"/>
          <w:numId w:val="1"/>
        </w:numPr>
        <w:spacing w:line="360" w:lineRule="auto"/>
        <w:rPr>
          <w:rFonts w:ascii="Arial" w:hAnsi="Arial" w:cs="Arial"/>
          <w:sz w:val="22"/>
          <w:szCs w:val="22"/>
        </w:rPr>
      </w:pPr>
      <w:r w:rsidRPr="003374AA">
        <w:rPr>
          <w:rFonts w:ascii="Arial" w:hAnsi="Arial" w:cs="Arial"/>
          <w:sz w:val="22"/>
          <w:szCs w:val="22"/>
        </w:rPr>
        <w:t>Crable, E.L. </w:t>
      </w:r>
      <w:r w:rsidRPr="003374AA">
        <w:rPr>
          <w:rFonts w:ascii="Arial" w:hAnsi="Arial" w:cs="Arial"/>
          <w:i/>
          <w:iCs/>
          <w:sz w:val="22"/>
          <w:szCs w:val="22"/>
        </w:rPr>
        <w:t>et al.</w:t>
      </w:r>
      <w:r w:rsidRPr="003374AA">
        <w:rPr>
          <w:rFonts w:ascii="Arial" w:hAnsi="Arial" w:cs="Arial"/>
          <w:sz w:val="22"/>
          <w:szCs w:val="22"/>
        </w:rPr>
        <w:t> (2022) “Where is ‘policy’ in dissemination and implementation science? Recommendations to advance theories, models, and frameworks: EPIS as a case example,” </w:t>
      </w:r>
      <w:r w:rsidRPr="003374AA">
        <w:rPr>
          <w:rFonts w:ascii="Arial" w:hAnsi="Arial" w:cs="Arial"/>
          <w:i/>
          <w:iCs/>
          <w:sz w:val="22"/>
          <w:szCs w:val="22"/>
        </w:rPr>
        <w:t xml:space="preserve">Implementation </w:t>
      </w:r>
      <w:r w:rsidR="005B6285" w:rsidRPr="003374AA">
        <w:rPr>
          <w:rFonts w:ascii="Arial" w:hAnsi="Arial" w:cs="Arial"/>
          <w:i/>
          <w:iCs/>
          <w:sz w:val="22"/>
          <w:szCs w:val="22"/>
        </w:rPr>
        <w:t>science:</w:t>
      </w:r>
      <w:r w:rsidRPr="003374AA">
        <w:rPr>
          <w:rFonts w:ascii="Arial" w:hAnsi="Arial" w:cs="Arial"/>
          <w:i/>
          <w:iCs/>
          <w:sz w:val="22"/>
          <w:szCs w:val="22"/>
        </w:rPr>
        <w:t xml:space="preserve"> IS</w:t>
      </w:r>
      <w:r w:rsidRPr="003374AA">
        <w:rPr>
          <w:rFonts w:ascii="Arial" w:hAnsi="Arial" w:cs="Arial"/>
          <w:sz w:val="22"/>
          <w:szCs w:val="22"/>
        </w:rPr>
        <w:t xml:space="preserve">, 17(1). Available at: </w:t>
      </w:r>
      <w:hyperlink r:id="rId8" w:history="1">
        <w:r w:rsidRPr="003374AA">
          <w:rPr>
            <w:rStyle w:val="Hyperlink"/>
            <w:rFonts w:ascii="Arial" w:hAnsi="Arial" w:cs="Arial"/>
            <w:sz w:val="22"/>
            <w:szCs w:val="22"/>
          </w:rPr>
          <w:t>https://doi.org/10.1186/s13012-022-01256-x</w:t>
        </w:r>
      </w:hyperlink>
      <w:r w:rsidRPr="003374AA">
        <w:rPr>
          <w:rFonts w:ascii="Arial" w:hAnsi="Arial" w:cs="Arial"/>
          <w:sz w:val="22"/>
          <w:szCs w:val="22"/>
        </w:rPr>
        <w:t>. (Accessed 27 July 2026).</w:t>
      </w:r>
    </w:p>
    <w:p w14:paraId="73248D9C" w14:textId="02534396" w:rsidR="008B5E4B" w:rsidRPr="003374AA" w:rsidRDefault="003B20DE" w:rsidP="00676B2A">
      <w:pPr>
        <w:pStyle w:val="ListParagraph"/>
        <w:numPr>
          <w:ilvl w:val="0"/>
          <w:numId w:val="1"/>
        </w:numPr>
        <w:spacing w:line="360" w:lineRule="auto"/>
        <w:rPr>
          <w:rFonts w:ascii="Arial" w:hAnsi="Arial" w:cs="Arial"/>
          <w:sz w:val="22"/>
          <w:szCs w:val="22"/>
        </w:rPr>
      </w:pPr>
      <w:r w:rsidRPr="003374AA">
        <w:rPr>
          <w:rFonts w:ascii="Arial" w:hAnsi="Arial" w:cs="Arial"/>
          <w:sz w:val="22"/>
          <w:szCs w:val="22"/>
        </w:rPr>
        <w:t>Datta, N., Hossepian, K., Xie, I., Gurcan, H.Y., Behr, S., Pouliadi, M. and Miranda, C. (2024) ‘Anorexia Nervosa Across the Lifespan: A Review of Recent Literature’, </w:t>
      </w:r>
      <w:r w:rsidRPr="003374AA">
        <w:rPr>
          <w:rFonts w:ascii="Arial" w:hAnsi="Arial" w:cs="Arial"/>
          <w:i/>
          <w:iCs/>
          <w:sz w:val="22"/>
          <w:szCs w:val="22"/>
        </w:rPr>
        <w:t>Focus</w:t>
      </w:r>
      <w:r w:rsidRPr="003374AA">
        <w:rPr>
          <w:rFonts w:ascii="Arial" w:hAnsi="Arial" w:cs="Arial"/>
          <w:sz w:val="22"/>
          <w:szCs w:val="22"/>
        </w:rPr>
        <w:t xml:space="preserve">, 22(3). Available at: </w:t>
      </w:r>
      <w:hyperlink r:id="rId9" w:history="1">
        <w:r w:rsidR="00E230CC" w:rsidRPr="003374AA">
          <w:rPr>
            <w:rStyle w:val="Hyperlink"/>
            <w:rFonts w:ascii="Arial" w:hAnsi="Arial" w:cs="Arial"/>
            <w:sz w:val="22"/>
            <w:szCs w:val="22"/>
          </w:rPr>
          <w:t>Anorexia Nervosa Across the Lifespan: A Review of Recent Literature | Focus</w:t>
        </w:r>
      </w:hyperlink>
      <w:r w:rsidR="00E230CC" w:rsidRPr="003374AA">
        <w:rPr>
          <w:rFonts w:ascii="Arial" w:hAnsi="Arial" w:cs="Arial"/>
          <w:sz w:val="22"/>
          <w:szCs w:val="22"/>
        </w:rPr>
        <w:t xml:space="preserve"> </w:t>
      </w:r>
      <w:r w:rsidRPr="003374AA">
        <w:rPr>
          <w:rFonts w:ascii="Arial" w:hAnsi="Arial" w:cs="Arial"/>
          <w:sz w:val="22"/>
          <w:szCs w:val="22"/>
        </w:rPr>
        <w:t>(Accessed: 27 July 2026).</w:t>
      </w:r>
    </w:p>
    <w:p w14:paraId="3B06C3B6" w14:textId="3DD0EA0D" w:rsidR="00A71CAF" w:rsidRPr="003374AA" w:rsidRDefault="00A71CAF" w:rsidP="00676B2A">
      <w:pPr>
        <w:pStyle w:val="ListParagraph"/>
        <w:numPr>
          <w:ilvl w:val="0"/>
          <w:numId w:val="1"/>
        </w:numPr>
        <w:spacing w:line="360" w:lineRule="auto"/>
        <w:rPr>
          <w:rFonts w:ascii="Arial" w:hAnsi="Arial" w:cs="Arial"/>
          <w:sz w:val="22"/>
          <w:szCs w:val="22"/>
        </w:rPr>
      </w:pPr>
      <w:r w:rsidRPr="003374AA">
        <w:rPr>
          <w:rFonts w:ascii="Arial" w:hAnsi="Arial" w:cs="Arial"/>
          <w:sz w:val="22"/>
          <w:szCs w:val="22"/>
        </w:rPr>
        <w:t>de Rijk, E.S.J., Almirabi, D., Robinson, L., Schmidt, U., van Furth, E.F. and Slof-Op ’t Landt, M.C.T. (2024) ‘An overview and investigation of relapse predictors in anorexia nervosa: A systematic review and meta-analysis’, </w:t>
      </w:r>
      <w:r w:rsidRPr="003374AA">
        <w:rPr>
          <w:rFonts w:ascii="Arial" w:hAnsi="Arial" w:cs="Arial"/>
          <w:i/>
          <w:iCs/>
          <w:sz w:val="22"/>
          <w:szCs w:val="22"/>
        </w:rPr>
        <w:t>International Journal of Eating Disorders</w:t>
      </w:r>
      <w:r w:rsidRPr="003374AA">
        <w:rPr>
          <w:rFonts w:ascii="Arial" w:hAnsi="Arial" w:cs="Arial"/>
          <w:sz w:val="22"/>
          <w:szCs w:val="22"/>
        </w:rPr>
        <w:t xml:space="preserve">, 57(1), pp. 3–26. Available at: </w:t>
      </w:r>
      <w:hyperlink r:id="rId10" w:history="1">
        <w:r w:rsidR="003374AA" w:rsidRPr="003374AA">
          <w:rPr>
            <w:rStyle w:val="Hyperlink"/>
            <w:rFonts w:ascii="Arial" w:hAnsi="Arial" w:cs="Arial"/>
            <w:sz w:val="22"/>
            <w:szCs w:val="22"/>
          </w:rPr>
          <w:t>An overview and investigation of relapse predictors in anorexia nervosa: A systematic review and meta</w:t>
        </w:r>
        <w:r w:rsidR="003374AA" w:rsidRPr="003374AA">
          <w:rPr>
            <w:rStyle w:val="Hyperlink"/>
            <w:rFonts w:ascii="Cambria Math" w:hAnsi="Cambria Math" w:cs="Cambria Math"/>
            <w:sz w:val="22"/>
            <w:szCs w:val="22"/>
          </w:rPr>
          <w:t>‐</w:t>
        </w:r>
        <w:r w:rsidR="003374AA" w:rsidRPr="003374AA">
          <w:rPr>
            <w:rStyle w:val="Hyperlink"/>
            <w:rFonts w:ascii="Arial" w:hAnsi="Arial" w:cs="Arial"/>
            <w:sz w:val="22"/>
            <w:szCs w:val="22"/>
          </w:rPr>
          <w:t>analysis - Rijk - 2024 - International Journal of Eating Disorders - Wiley Online Library</w:t>
        </w:r>
      </w:hyperlink>
      <w:r w:rsidR="003374AA" w:rsidRPr="003374AA">
        <w:rPr>
          <w:rFonts w:ascii="Arial" w:hAnsi="Arial" w:cs="Arial"/>
          <w:sz w:val="22"/>
          <w:szCs w:val="22"/>
        </w:rPr>
        <w:t xml:space="preserve"> </w:t>
      </w:r>
      <w:r w:rsidRPr="003374AA">
        <w:rPr>
          <w:rFonts w:ascii="Arial" w:hAnsi="Arial" w:cs="Arial"/>
          <w:sz w:val="22"/>
          <w:szCs w:val="22"/>
        </w:rPr>
        <w:t>(Accessed: 27 July 2026).</w:t>
      </w:r>
    </w:p>
    <w:p w14:paraId="39DB0448" w14:textId="7D7E28E4" w:rsidR="00AE2803" w:rsidRDefault="00AE2803" w:rsidP="00676B2A">
      <w:pPr>
        <w:pStyle w:val="ListParagraph"/>
        <w:numPr>
          <w:ilvl w:val="0"/>
          <w:numId w:val="1"/>
        </w:numPr>
        <w:spacing w:line="360" w:lineRule="auto"/>
        <w:rPr>
          <w:rFonts w:ascii="Arial" w:hAnsi="Arial" w:cs="Arial"/>
          <w:sz w:val="22"/>
          <w:szCs w:val="22"/>
        </w:rPr>
      </w:pPr>
      <w:r w:rsidRPr="003374AA">
        <w:rPr>
          <w:rFonts w:ascii="Arial" w:hAnsi="Arial" w:cs="Arial"/>
          <w:sz w:val="22"/>
          <w:szCs w:val="22"/>
        </w:rPr>
        <w:t xml:space="preserve">National Institute for Health and Care Excellence (NICE) (2020) </w:t>
      </w:r>
      <w:r w:rsidR="00317DAB" w:rsidRPr="003374AA">
        <w:rPr>
          <w:rFonts w:ascii="Arial" w:hAnsi="Arial" w:cs="Arial"/>
          <w:sz w:val="22"/>
          <w:szCs w:val="22"/>
        </w:rPr>
        <w:t>eating disorders</w:t>
      </w:r>
      <w:r w:rsidRPr="003374AA">
        <w:rPr>
          <w:rFonts w:ascii="Arial" w:hAnsi="Arial" w:cs="Arial"/>
          <w:sz w:val="22"/>
          <w:szCs w:val="22"/>
        </w:rPr>
        <w:t>: Recognition and treatment (NG69). London: NICE.</w:t>
      </w:r>
      <w:r w:rsidR="00AD2D60" w:rsidRPr="003374AA">
        <w:rPr>
          <w:rFonts w:ascii="Arial" w:hAnsi="Arial" w:cs="Arial"/>
          <w:sz w:val="22"/>
          <w:szCs w:val="22"/>
        </w:rPr>
        <w:t xml:space="preserve"> (Accessed 16 July 2026).</w:t>
      </w:r>
    </w:p>
    <w:p w14:paraId="67AC2117" w14:textId="7F19AC5F" w:rsidR="00981782" w:rsidRDefault="008875AC" w:rsidP="00676B2A">
      <w:pPr>
        <w:pStyle w:val="ListParagraph"/>
        <w:numPr>
          <w:ilvl w:val="0"/>
          <w:numId w:val="1"/>
        </w:numPr>
        <w:spacing w:line="360" w:lineRule="auto"/>
        <w:rPr>
          <w:rFonts w:ascii="Arial" w:hAnsi="Arial" w:cs="Arial"/>
          <w:sz w:val="22"/>
          <w:szCs w:val="22"/>
        </w:rPr>
      </w:pPr>
      <w:r w:rsidRPr="008875AC">
        <w:rPr>
          <w:rFonts w:ascii="Arial" w:hAnsi="Arial" w:cs="Arial"/>
          <w:sz w:val="22"/>
          <w:szCs w:val="22"/>
        </w:rPr>
        <w:t>NHS England (2025) </w:t>
      </w:r>
      <w:r w:rsidRPr="008875AC">
        <w:rPr>
          <w:rFonts w:ascii="Arial" w:hAnsi="Arial" w:cs="Arial"/>
          <w:i/>
          <w:iCs/>
          <w:sz w:val="22"/>
          <w:szCs w:val="22"/>
        </w:rPr>
        <w:t xml:space="preserve">Adult Psychiatric Morbidity Survey 2023–24: Chapter 13 – </w:t>
      </w:r>
      <w:r w:rsidR="00317DAB" w:rsidRPr="008875AC">
        <w:rPr>
          <w:rFonts w:ascii="Arial" w:hAnsi="Arial" w:cs="Arial"/>
          <w:i/>
          <w:iCs/>
          <w:sz w:val="22"/>
          <w:szCs w:val="22"/>
        </w:rPr>
        <w:t>eating disorders</w:t>
      </w:r>
      <w:r w:rsidRPr="008875AC">
        <w:rPr>
          <w:rFonts w:ascii="Arial" w:hAnsi="Arial" w:cs="Arial"/>
          <w:i/>
          <w:iCs/>
          <w:sz w:val="22"/>
          <w:szCs w:val="22"/>
        </w:rPr>
        <w:t>.</w:t>
      </w:r>
      <w:r w:rsidRPr="008875AC">
        <w:rPr>
          <w:rFonts w:ascii="Arial" w:hAnsi="Arial" w:cs="Arial"/>
          <w:sz w:val="22"/>
          <w:szCs w:val="22"/>
        </w:rPr>
        <w:t> Available at: https://digital.nhs.uk/data-and-information/publications/statistical/adult-psychiatric-morbidity-survey/survey-of-mental-health-and-wellbeing-england-2023-24/eating-disorders (Accessed: 27 July 2026).</w:t>
      </w:r>
    </w:p>
    <w:p w14:paraId="22BDB8FF" w14:textId="03791E13" w:rsidR="007E0D6B" w:rsidRPr="003374AA" w:rsidRDefault="007E0D6B" w:rsidP="00676B2A">
      <w:pPr>
        <w:pStyle w:val="ListParagraph"/>
        <w:numPr>
          <w:ilvl w:val="0"/>
          <w:numId w:val="1"/>
        </w:numPr>
        <w:spacing w:line="360" w:lineRule="auto"/>
        <w:rPr>
          <w:rFonts w:ascii="Arial" w:hAnsi="Arial" w:cs="Arial"/>
          <w:sz w:val="22"/>
          <w:szCs w:val="22"/>
        </w:rPr>
      </w:pPr>
      <w:r w:rsidRPr="007E0D6B">
        <w:rPr>
          <w:rFonts w:ascii="Arial" w:hAnsi="Arial" w:cs="Arial"/>
          <w:sz w:val="22"/>
          <w:szCs w:val="22"/>
        </w:rPr>
        <w:t>NHS England (2024) </w:t>
      </w:r>
      <w:r w:rsidRPr="007E0D6B">
        <w:rPr>
          <w:rFonts w:ascii="Arial" w:hAnsi="Arial" w:cs="Arial"/>
          <w:i/>
          <w:iCs/>
          <w:sz w:val="22"/>
          <w:szCs w:val="22"/>
        </w:rPr>
        <w:t>Priorities and operational planning guidance 2024/25.</w:t>
      </w:r>
      <w:r w:rsidRPr="007E0D6B">
        <w:rPr>
          <w:rFonts w:ascii="Arial" w:hAnsi="Arial" w:cs="Arial"/>
          <w:sz w:val="22"/>
          <w:szCs w:val="22"/>
        </w:rPr>
        <w:t> Available at:</w:t>
      </w:r>
      <w:r w:rsidR="00253652">
        <w:rPr>
          <w:rFonts w:ascii="Arial" w:hAnsi="Arial" w:cs="Arial"/>
          <w:sz w:val="22"/>
          <w:szCs w:val="22"/>
        </w:rPr>
        <w:t xml:space="preserve"> </w:t>
      </w:r>
      <w:hyperlink r:id="rId11" w:history="1">
        <w:r w:rsidR="00253652" w:rsidRPr="00253652">
          <w:rPr>
            <w:rStyle w:val="Hyperlink"/>
            <w:rFonts w:ascii="Arial" w:hAnsi="Arial" w:cs="Arial"/>
            <w:sz w:val="22"/>
            <w:szCs w:val="22"/>
          </w:rPr>
          <w:t>NHS England » Priorities and operational planning guidance 2024/25</w:t>
        </w:r>
      </w:hyperlink>
      <w:r w:rsidRPr="007E0D6B">
        <w:rPr>
          <w:rFonts w:ascii="Arial" w:hAnsi="Arial" w:cs="Arial"/>
          <w:sz w:val="22"/>
          <w:szCs w:val="22"/>
        </w:rPr>
        <w:t xml:space="preserve"> (Accessed: 27 July 2026).</w:t>
      </w:r>
    </w:p>
    <w:p w14:paraId="789CAD8B" w14:textId="11781D79" w:rsidR="00DF2995" w:rsidRPr="003374AA" w:rsidRDefault="00DF2995" w:rsidP="00676B2A">
      <w:pPr>
        <w:pStyle w:val="ListParagraph"/>
        <w:numPr>
          <w:ilvl w:val="0"/>
          <w:numId w:val="1"/>
        </w:numPr>
        <w:spacing w:line="360" w:lineRule="auto"/>
        <w:rPr>
          <w:rFonts w:ascii="Arial" w:hAnsi="Arial" w:cs="Arial"/>
          <w:sz w:val="22"/>
          <w:szCs w:val="22"/>
        </w:rPr>
      </w:pPr>
      <w:r w:rsidRPr="003374AA">
        <w:rPr>
          <w:rFonts w:ascii="Arial" w:hAnsi="Arial" w:cs="Arial"/>
          <w:sz w:val="22"/>
          <w:szCs w:val="22"/>
        </w:rPr>
        <w:t>Royal College of Psychiatrists (2022) </w:t>
      </w:r>
      <w:r w:rsidR="00317DAB" w:rsidRPr="003374AA">
        <w:rPr>
          <w:rFonts w:ascii="Arial" w:hAnsi="Arial" w:cs="Arial"/>
          <w:i/>
          <w:iCs/>
          <w:sz w:val="22"/>
          <w:szCs w:val="22"/>
        </w:rPr>
        <w:t>eating disorders</w:t>
      </w:r>
      <w:r w:rsidRPr="003374AA">
        <w:rPr>
          <w:rFonts w:ascii="Arial" w:hAnsi="Arial" w:cs="Arial"/>
          <w:i/>
          <w:iCs/>
          <w:sz w:val="22"/>
          <w:szCs w:val="22"/>
        </w:rPr>
        <w:t xml:space="preserve"> in adults: Position statement</w:t>
      </w:r>
      <w:r w:rsidRPr="003374AA">
        <w:rPr>
          <w:rFonts w:ascii="Arial" w:hAnsi="Arial" w:cs="Arial"/>
          <w:sz w:val="22"/>
          <w:szCs w:val="22"/>
        </w:rPr>
        <w:t>. London: Royal College of Psychiatrists.</w:t>
      </w:r>
      <w:r w:rsidR="00AD2D60" w:rsidRPr="003374AA">
        <w:rPr>
          <w:rFonts w:ascii="Arial" w:hAnsi="Arial" w:cs="Arial"/>
          <w:sz w:val="22"/>
          <w:szCs w:val="22"/>
        </w:rPr>
        <w:t xml:space="preserve"> (Accessed 10 July 2026).</w:t>
      </w:r>
    </w:p>
    <w:p w14:paraId="088E9844" w14:textId="7EA21141" w:rsidR="00AD2D60" w:rsidRPr="003374AA" w:rsidRDefault="00AD2D60" w:rsidP="00676B2A">
      <w:pPr>
        <w:pStyle w:val="ListParagraph"/>
        <w:numPr>
          <w:ilvl w:val="0"/>
          <w:numId w:val="1"/>
        </w:numPr>
        <w:spacing w:line="360" w:lineRule="auto"/>
        <w:rPr>
          <w:rFonts w:ascii="Arial" w:hAnsi="Arial" w:cs="Arial"/>
          <w:sz w:val="22"/>
          <w:szCs w:val="22"/>
        </w:rPr>
      </w:pPr>
      <w:r w:rsidRPr="003374AA">
        <w:rPr>
          <w:rFonts w:ascii="Arial" w:hAnsi="Arial" w:cs="Arial"/>
          <w:sz w:val="22"/>
          <w:szCs w:val="22"/>
        </w:rPr>
        <w:t>Timothy Walsh, B. </w:t>
      </w:r>
      <w:r w:rsidRPr="003374AA">
        <w:rPr>
          <w:rFonts w:ascii="Arial" w:hAnsi="Arial" w:cs="Arial"/>
          <w:i/>
          <w:iCs/>
          <w:sz w:val="22"/>
          <w:szCs w:val="22"/>
        </w:rPr>
        <w:t>et al.</w:t>
      </w:r>
      <w:r w:rsidRPr="003374AA">
        <w:rPr>
          <w:rFonts w:ascii="Arial" w:hAnsi="Arial" w:cs="Arial"/>
          <w:sz w:val="22"/>
          <w:szCs w:val="22"/>
        </w:rPr>
        <w:t> (2026) “Diagnostic Criteria for Atypical Anorexia Nervosa: A Proposal,” </w:t>
      </w:r>
      <w:r w:rsidRPr="003374AA">
        <w:rPr>
          <w:rFonts w:ascii="Arial" w:hAnsi="Arial" w:cs="Arial"/>
          <w:i/>
          <w:iCs/>
          <w:sz w:val="22"/>
          <w:szCs w:val="22"/>
        </w:rPr>
        <w:t>The International journal of eating disorders</w:t>
      </w:r>
      <w:r w:rsidRPr="003374AA">
        <w:rPr>
          <w:rFonts w:ascii="Arial" w:hAnsi="Arial" w:cs="Arial"/>
          <w:sz w:val="22"/>
          <w:szCs w:val="22"/>
        </w:rPr>
        <w:t xml:space="preserve">, 59(4), pp. 674–681. Available at: </w:t>
      </w:r>
      <w:hyperlink r:id="rId12" w:history="1">
        <w:r w:rsidRPr="003374AA">
          <w:rPr>
            <w:rStyle w:val="Hyperlink"/>
            <w:rFonts w:ascii="Arial" w:hAnsi="Arial" w:cs="Arial"/>
            <w:sz w:val="22"/>
            <w:szCs w:val="22"/>
          </w:rPr>
          <w:t>https://doi.org/10.1002/eat.70020</w:t>
        </w:r>
      </w:hyperlink>
      <w:r w:rsidRPr="003374AA">
        <w:rPr>
          <w:rFonts w:ascii="Arial" w:hAnsi="Arial" w:cs="Arial"/>
          <w:sz w:val="22"/>
          <w:szCs w:val="22"/>
        </w:rPr>
        <w:t>.( Accessed 27 July 2026).</w:t>
      </w:r>
    </w:p>
    <w:p w14:paraId="651D140F" w14:textId="11B7ADB7" w:rsidR="007C6ED7" w:rsidRPr="003374AA" w:rsidRDefault="007C6ED7" w:rsidP="00676B2A">
      <w:pPr>
        <w:pStyle w:val="ListParagraph"/>
        <w:numPr>
          <w:ilvl w:val="0"/>
          <w:numId w:val="1"/>
        </w:numPr>
        <w:spacing w:line="360" w:lineRule="auto"/>
        <w:rPr>
          <w:rFonts w:ascii="Arial" w:hAnsi="Arial" w:cs="Arial"/>
          <w:sz w:val="22"/>
          <w:szCs w:val="22"/>
        </w:rPr>
      </w:pPr>
      <w:r w:rsidRPr="003374AA">
        <w:rPr>
          <w:rFonts w:ascii="Arial" w:hAnsi="Arial" w:cs="Arial"/>
          <w:sz w:val="22"/>
          <w:szCs w:val="22"/>
        </w:rPr>
        <w:lastRenderedPageBreak/>
        <w:t>Stolz, I., </w:t>
      </w:r>
      <w:r w:rsidRPr="003374AA">
        <w:rPr>
          <w:rFonts w:ascii="Arial" w:hAnsi="Arial" w:cs="Arial"/>
          <w:b/>
          <w:bCs/>
          <w:sz w:val="22"/>
          <w:szCs w:val="22"/>
        </w:rPr>
        <w:t>et al.</w:t>
      </w:r>
      <w:r w:rsidRPr="003374AA">
        <w:rPr>
          <w:rFonts w:ascii="Arial" w:hAnsi="Arial" w:cs="Arial"/>
          <w:sz w:val="22"/>
          <w:szCs w:val="22"/>
        </w:rPr>
        <w:t xml:space="preserve"> (2022) ‘Rehabilitation Through Physical Activity and Sport </w:t>
      </w:r>
      <w:r w:rsidR="00317DAB" w:rsidRPr="003374AA">
        <w:rPr>
          <w:rFonts w:ascii="Arial" w:hAnsi="Arial" w:cs="Arial"/>
          <w:sz w:val="22"/>
          <w:szCs w:val="22"/>
        </w:rPr>
        <w:t>considering</w:t>
      </w:r>
      <w:r w:rsidRPr="003374AA">
        <w:rPr>
          <w:rFonts w:ascii="Arial" w:hAnsi="Arial" w:cs="Arial"/>
          <w:sz w:val="22"/>
          <w:szCs w:val="22"/>
        </w:rPr>
        <w:t xml:space="preserve"> the International Classification of Functioning, Disability, and Health–Current Research Perspectives’, </w:t>
      </w:r>
      <w:r w:rsidRPr="003374AA">
        <w:rPr>
          <w:rFonts w:ascii="Arial" w:hAnsi="Arial" w:cs="Arial"/>
          <w:i/>
          <w:iCs/>
          <w:sz w:val="22"/>
          <w:szCs w:val="22"/>
        </w:rPr>
        <w:t>Frontiers in Rehabilitation Sciences</w:t>
      </w:r>
      <w:r w:rsidRPr="003374AA">
        <w:rPr>
          <w:rFonts w:ascii="Arial" w:hAnsi="Arial" w:cs="Arial"/>
          <w:sz w:val="22"/>
          <w:szCs w:val="22"/>
        </w:rPr>
        <w:t>, </w:t>
      </w:r>
      <w:r w:rsidRPr="003374AA">
        <w:rPr>
          <w:rFonts w:ascii="Arial" w:hAnsi="Arial" w:cs="Arial"/>
          <w:b/>
          <w:bCs/>
          <w:sz w:val="22"/>
          <w:szCs w:val="22"/>
        </w:rPr>
        <w:t>3</w:t>
      </w:r>
      <w:r w:rsidRPr="003374AA">
        <w:rPr>
          <w:rFonts w:ascii="Arial" w:hAnsi="Arial" w:cs="Arial"/>
          <w:sz w:val="22"/>
          <w:szCs w:val="22"/>
        </w:rPr>
        <w:t>, p. 840850. Available at: https://doi.org/10.3389/fresc.2022.840850 (Accessed: 27 July 2026).</w:t>
      </w:r>
    </w:p>
    <w:p w14:paraId="1CFAC5FE" w14:textId="030F8F09" w:rsidR="004D4F5D" w:rsidRPr="003374AA" w:rsidRDefault="004D4F5D" w:rsidP="00676B2A">
      <w:pPr>
        <w:pStyle w:val="ListParagraph"/>
        <w:numPr>
          <w:ilvl w:val="0"/>
          <w:numId w:val="1"/>
        </w:numPr>
        <w:spacing w:line="360" w:lineRule="auto"/>
        <w:rPr>
          <w:rFonts w:ascii="Arial" w:hAnsi="Arial" w:cs="Arial"/>
          <w:sz w:val="22"/>
          <w:szCs w:val="22"/>
        </w:rPr>
      </w:pPr>
      <w:r w:rsidRPr="003374AA">
        <w:rPr>
          <w:rFonts w:ascii="Arial" w:hAnsi="Arial" w:cs="Arial"/>
          <w:sz w:val="22"/>
          <w:szCs w:val="22"/>
        </w:rPr>
        <w:t>Treasure, J., Duarte, T.A. and Schmidt, U. (2020) '</w:t>
      </w:r>
      <w:r w:rsidR="00317DAB" w:rsidRPr="003374AA">
        <w:rPr>
          <w:rFonts w:ascii="Arial" w:hAnsi="Arial" w:cs="Arial"/>
          <w:sz w:val="22"/>
          <w:szCs w:val="22"/>
        </w:rPr>
        <w:t>eating disorders</w:t>
      </w:r>
      <w:r w:rsidRPr="003374AA">
        <w:rPr>
          <w:rFonts w:ascii="Arial" w:hAnsi="Arial" w:cs="Arial"/>
          <w:sz w:val="22"/>
          <w:szCs w:val="22"/>
        </w:rPr>
        <w:t>', The Lancet, 395(10227), pp. 899–911.</w:t>
      </w:r>
      <w:r w:rsidR="00AD2D60" w:rsidRPr="003374AA">
        <w:rPr>
          <w:rFonts w:ascii="Arial" w:hAnsi="Arial" w:cs="Arial"/>
          <w:sz w:val="22"/>
          <w:szCs w:val="22"/>
        </w:rPr>
        <w:t xml:space="preserve"> (Accessed </w:t>
      </w:r>
      <w:r w:rsidR="00D57D07" w:rsidRPr="003374AA">
        <w:rPr>
          <w:rFonts w:ascii="Arial" w:hAnsi="Arial" w:cs="Arial"/>
          <w:sz w:val="22"/>
          <w:szCs w:val="22"/>
        </w:rPr>
        <w:t>15 July 2026</w:t>
      </w:r>
      <w:r w:rsidR="00AD2D60" w:rsidRPr="003374AA">
        <w:rPr>
          <w:rFonts w:ascii="Arial" w:hAnsi="Arial" w:cs="Arial"/>
          <w:sz w:val="22"/>
          <w:szCs w:val="22"/>
        </w:rPr>
        <w:t>)</w:t>
      </w:r>
      <w:r w:rsidR="00D57D07" w:rsidRPr="003374AA">
        <w:rPr>
          <w:rFonts w:ascii="Arial" w:hAnsi="Arial" w:cs="Arial"/>
          <w:sz w:val="22"/>
          <w:szCs w:val="22"/>
        </w:rPr>
        <w:t>.</w:t>
      </w:r>
    </w:p>
    <w:p w14:paraId="4A1252D1" w14:textId="5E83AB1F" w:rsidR="004D4F5D" w:rsidRPr="003374AA" w:rsidRDefault="004D4F5D" w:rsidP="00676B2A">
      <w:pPr>
        <w:pStyle w:val="ListParagraph"/>
        <w:numPr>
          <w:ilvl w:val="0"/>
          <w:numId w:val="1"/>
        </w:numPr>
        <w:spacing w:line="360" w:lineRule="auto"/>
        <w:rPr>
          <w:rFonts w:ascii="Arial" w:hAnsi="Arial" w:cs="Arial"/>
          <w:sz w:val="22"/>
          <w:szCs w:val="22"/>
        </w:rPr>
      </w:pPr>
      <w:r w:rsidRPr="003374AA">
        <w:rPr>
          <w:rFonts w:ascii="Arial" w:hAnsi="Arial" w:cs="Arial"/>
          <w:sz w:val="22"/>
          <w:szCs w:val="22"/>
        </w:rPr>
        <w:t>World Health Organization (WHO) (2024) </w:t>
      </w:r>
      <w:r w:rsidRPr="003374AA">
        <w:rPr>
          <w:rFonts w:ascii="Arial" w:hAnsi="Arial" w:cs="Arial"/>
          <w:i/>
          <w:iCs/>
          <w:sz w:val="22"/>
          <w:szCs w:val="22"/>
        </w:rPr>
        <w:t>International Classification of Diseases 11th Revision (ICD-11) for Mortality and Morbidity Statistics</w:t>
      </w:r>
      <w:r w:rsidRPr="003374AA">
        <w:rPr>
          <w:rFonts w:ascii="Arial" w:hAnsi="Arial" w:cs="Arial"/>
          <w:sz w:val="22"/>
          <w:szCs w:val="22"/>
        </w:rPr>
        <w:t>. Geneva: World Health Organization.</w:t>
      </w:r>
      <w:r w:rsidR="00D57D07" w:rsidRPr="003374AA">
        <w:rPr>
          <w:rFonts w:ascii="Arial" w:hAnsi="Arial" w:cs="Arial"/>
          <w:sz w:val="22"/>
          <w:szCs w:val="22"/>
        </w:rPr>
        <w:t xml:space="preserve"> (Accessed 27 July 2026).</w:t>
      </w:r>
    </w:p>
    <w:p w14:paraId="416840C4" w14:textId="77777777" w:rsidR="00AE2803" w:rsidRPr="00AE2803" w:rsidRDefault="00AE2803" w:rsidP="00877E12">
      <w:pPr>
        <w:pStyle w:val="NoSpacing"/>
      </w:pPr>
    </w:p>
    <w:p w14:paraId="07786E37" w14:textId="77777777" w:rsidR="000264A1" w:rsidRPr="000264A1" w:rsidRDefault="000264A1" w:rsidP="000264A1">
      <w:pPr>
        <w:rPr>
          <w:rFonts w:ascii="Arial" w:hAnsi="Arial" w:cs="Arial"/>
          <w:sz w:val="36"/>
          <w:szCs w:val="36"/>
        </w:rPr>
      </w:pPr>
    </w:p>
    <w:sectPr w:rsidR="000264A1" w:rsidRPr="000264A1">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4E355" w14:textId="77777777" w:rsidR="006E6E57" w:rsidRDefault="006E6E57" w:rsidP="000264A1">
      <w:pPr>
        <w:spacing w:after="0" w:line="240" w:lineRule="auto"/>
      </w:pPr>
      <w:r>
        <w:separator/>
      </w:r>
    </w:p>
  </w:endnote>
  <w:endnote w:type="continuationSeparator" w:id="0">
    <w:p w14:paraId="54AC0BED" w14:textId="77777777" w:rsidR="006E6E57" w:rsidRDefault="006E6E57"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EndPr>
      <w:rPr>
        <w:rStyle w:val="PageNumber"/>
      </w:rPr>
    </w:sdtEnd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EndPr>
      <w:rPr>
        <w:rStyle w:val="PageNumber"/>
      </w:rPr>
    </w:sdtEnd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C4969" w14:textId="77777777" w:rsidR="006E6E57" w:rsidRDefault="006E6E57" w:rsidP="000264A1">
      <w:pPr>
        <w:spacing w:after="0" w:line="240" w:lineRule="auto"/>
      </w:pPr>
      <w:r>
        <w:separator/>
      </w:r>
    </w:p>
  </w:footnote>
  <w:footnote w:type="continuationSeparator" w:id="0">
    <w:p w14:paraId="5B9886B3" w14:textId="77777777" w:rsidR="006E6E57" w:rsidRDefault="006E6E57"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E16A0"/>
    <w:multiLevelType w:val="multilevel"/>
    <w:tmpl w:val="534CE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9D66AA"/>
    <w:multiLevelType w:val="multilevel"/>
    <w:tmpl w:val="CB421D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535225"/>
    <w:multiLevelType w:val="multilevel"/>
    <w:tmpl w:val="172AE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FF43A72"/>
    <w:multiLevelType w:val="hybridMultilevel"/>
    <w:tmpl w:val="7CCC1B2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 w15:restartNumberingAfterBreak="0">
    <w:nsid w:val="67F323ED"/>
    <w:multiLevelType w:val="multilevel"/>
    <w:tmpl w:val="F82AE4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29676780">
    <w:abstractNumId w:val="3"/>
  </w:num>
  <w:num w:numId="2" w16cid:durableId="787704020">
    <w:abstractNumId w:val="2"/>
  </w:num>
  <w:num w:numId="3" w16cid:durableId="1616717516">
    <w:abstractNumId w:val="4"/>
  </w:num>
  <w:num w:numId="4" w16cid:durableId="617371797">
    <w:abstractNumId w:val="0"/>
  </w:num>
  <w:num w:numId="5" w16cid:durableId="5214051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64A1"/>
    <w:rsid w:val="00027541"/>
    <w:rsid w:val="00051F1E"/>
    <w:rsid w:val="00053DAF"/>
    <w:rsid w:val="00060FB4"/>
    <w:rsid w:val="00146BFD"/>
    <w:rsid w:val="001603C4"/>
    <w:rsid w:val="001664D3"/>
    <w:rsid w:val="00173E93"/>
    <w:rsid w:val="00234A7B"/>
    <w:rsid w:val="00253652"/>
    <w:rsid w:val="002758BA"/>
    <w:rsid w:val="0027593E"/>
    <w:rsid w:val="00283B9B"/>
    <w:rsid w:val="002840D9"/>
    <w:rsid w:val="00293F5F"/>
    <w:rsid w:val="00317DAB"/>
    <w:rsid w:val="00322836"/>
    <w:rsid w:val="0033068E"/>
    <w:rsid w:val="003374AA"/>
    <w:rsid w:val="00356E0F"/>
    <w:rsid w:val="00387441"/>
    <w:rsid w:val="003B20DE"/>
    <w:rsid w:val="003C2FD9"/>
    <w:rsid w:val="003D21DE"/>
    <w:rsid w:val="0041592D"/>
    <w:rsid w:val="00423410"/>
    <w:rsid w:val="004D4F5D"/>
    <w:rsid w:val="004F435F"/>
    <w:rsid w:val="00556503"/>
    <w:rsid w:val="00591A06"/>
    <w:rsid w:val="005B6285"/>
    <w:rsid w:val="0062759F"/>
    <w:rsid w:val="00637171"/>
    <w:rsid w:val="0066636B"/>
    <w:rsid w:val="00676B2A"/>
    <w:rsid w:val="006802FD"/>
    <w:rsid w:val="006E6E57"/>
    <w:rsid w:val="00722ABC"/>
    <w:rsid w:val="007612CF"/>
    <w:rsid w:val="007C1E6E"/>
    <w:rsid w:val="007C6ED7"/>
    <w:rsid w:val="007E0D6B"/>
    <w:rsid w:val="00840253"/>
    <w:rsid w:val="00843325"/>
    <w:rsid w:val="00877E12"/>
    <w:rsid w:val="008810AC"/>
    <w:rsid w:val="008875AC"/>
    <w:rsid w:val="008A6D32"/>
    <w:rsid w:val="008B5E4B"/>
    <w:rsid w:val="008C7D87"/>
    <w:rsid w:val="008E79B4"/>
    <w:rsid w:val="00903EBF"/>
    <w:rsid w:val="00920B58"/>
    <w:rsid w:val="009371F7"/>
    <w:rsid w:val="00981782"/>
    <w:rsid w:val="009D6B55"/>
    <w:rsid w:val="00A17BC5"/>
    <w:rsid w:val="00A71CAF"/>
    <w:rsid w:val="00A73B75"/>
    <w:rsid w:val="00A97231"/>
    <w:rsid w:val="00AD2D60"/>
    <w:rsid w:val="00AE2803"/>
    <w:rsid w:val="00B12F26"/>
    <w:rsid w:val="00B53610"/>
    <w:rsid w:val="00B63063"/>
    <w:rsid w:val="00BB2138"/>
    <w:rsid w:val="00BC7365"/>
    <w:rsid w:val="00BD4324"/>
    <w:rsid w:val="00C57F48"/>
    <w:rsid w:val="00CB10FE"/>
    <w:rsid w:val="00CD6B52"/>
    <w:rsid w:val="00CF5444"/>
    <w:rsid w:val="00D24D39"/>
    <w:rsid w:val="00D555CE"/>
    <w:rsid w:val="00D57D07"/>
    <w:rsid w:val="00DA6461"/>
    <w:rsid w:val="00DC3742"/>
    <w:rsid w:val="00DC72F3"/>
    <w:rsid w:val="00DE7141"/>
    <w:rsid w:val="00DF2995"/>
    <w:rsid w:val="00E230CC"/>
    <w:rsid w:val="00E8543F"/>
    <w:rsid w:val="00EA4F39"/>
    <w:rsid w:val="00F2212D"/>
    <w:rsid w:val="00F653A2"/>
    <w:rsid w:val="00FE3CE0"/>
    <w:rsid w:val="00FF38D8"/>
    <w:rsid w:val="00FF3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Header">
    <w:name w:val="header"/>
    <w:basedOn w:val="Normal"/>
    <w:link w:val="HeaderChar"/>
    <w:uiPriority w:val="99"/>
    <w:unhideWhenUsed/>
    <w:rsid w:val="00DF29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995"/>
  </w:style>
  <w:style w:type="paragraph" w:styleId="NoSpacing">
    <w:name w:val="No Spacing"/>
    <w:uiPriority w:val="1"/>
    <w:qFormat/>
    <w:rsid w:val="00877E12"/>
    <w:pPr>
      <w:spacing w:after="0" w:line="240" w:lineRule="auto"/>
    </w:pPr>
  </w:style>
  <w:style w:type="character" w:styleId="Hyperlink">
    <w:name w:val="Hyperlink"/>
    <w:basedOn w:val="DefaultParagraphFont"/>
    <w:uiPriority w:val="99"/>
    <w:unhideWhenUsed/>
    <w:rsid w:val="00AD2D60"/>
    <w:rPr>
      <w:color w:val="467886" w:themeColor="hyperlink"/>
      <w:u w:val="single"/>
    </w:rPr>
  </w:style>
  <w:style w:type="character" w:styleId="UnresolvedMention">
    <w:name w:val="Unresolved Mention"/>
    <w:basedOn w:val="DefaultParagraphFont"/>
    <w:uiPriority w:val="99"/>
    <w:semiHidden/>
    <w:unhideWhenUsed/>
    <w:rsid w:val="00AD2D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3012-022-01256-x"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1002/eat.7002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publication/priorities-and-operational-planning-guidance-2024-2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onlinelibrary.wiley.com/doi/10.1002/eat.24059" TargetMode="External"/><Relationship Id="rId4" Type="http://schemas.openxmlformats.org/officeDocument/2006/relationships/webSettings" Target="webSettings.xml"/><Relationship Id="rId9" Type="http://schemas.openxmlformats.org/officeDocument/2006/relationships/hyperlink" Target="https://psychiatryonline.org/doi/full/10.1176/appi.focus.20230037"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3067</Words>
  <Characters>16565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Carla De Jesus Azevedo Da Silva (2333077)</cp:lastModifiedBy>
  <cp:revision>2</cp:revision>
  <dcterms:created xsi:type="dcterms:W3CDTF">2026-08-10T09:41:00Z</dcterms:created>
  <dcterms:modified xsi:type="dcterms:W3CDTF">2026-08-10T09:41:00Z</dcterms:modified>
</cp:coreProperties>
</file>