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D9D72" w14:textId="77777777" w:rsidR="0017467D" w:rsidRPr="004C7FB3" w:rsidRDefault="0017467D" w:rsidP="00080638">
      <w:pPr>
        <w:spacing w:line="360" w:lineRule="auto"/>
        <w:jc w:val="center"/>
        <w:rPr>
          <w:rFonts w:ascii="Times New Roman" w:hAnsi="Times New Roman" w:cs="Times New Roman"/>
          <w:b/>
          <w:bCs/>
          <w:sz w:val="32"/>
          <w:szCs w:val="32"/>
        </w:rPr>
      </w:pPr>
    </w:p>
    <w:p w14:paraId="6527E147" w14:textId="77777777" w:rsidR="0017467D" w:rsidRPr="004C7FB3" w:rsidRDefault="0017467D" w:rsidP="00080638">
      <w:pPr>
        <w:spacing w:line="360" w:lineRule="auto"/>
        <w:jc w:val="center"/>
        <w:rPr>
          <w:rFonts w:ascii="Times New Roman" w:hAnsi="Times New Roman" w:cs="Times New Roman"/>
          <w:b/>
          <w:bCs/>
          <w:sz w:val="32"/>
          <w:szCs w:val="32"/>
        </w:rPr>
      </w:pPr>
    </w:p>
    <w:p w14:paraId="2EFDE41D" w14:textId="77777777" w:rsidR="0017467D" w:rsidRPr="004C7FB3" w:rsidRDefault="0017467D" w:rsidP="00080638">
      <w:pPr>
        <w:spacing w:line="360" w:lineRule="auto"/>
        <w:jc w:val="center"/>
        <w:rPr>
          <w:rFonts w:ascii="Times New Roman" w:hAnsi="Times New Roman" w:cs="Times New Roman"/>
          <w:b/>
          <w:bCs/>
          <w:sz w:val="32"/>
          <w:szCs w:val="32"/>
        </w:rPr>
      </w:pPr>
    </w:p>
    <w:p w14:paraId="70EDFCFC" w14:textId="77777777" w:rsidR="0017467D" w:rsidRPr="004C7FB3" w:rsidRDefault="0017467D" w:rsidP="00080638">
      <w:pPr>
        <w:spacing w:line="360" w:lineRule="auto"/>
        <w:jc w:val="center"/>
        <w:rPr>
          <w:rFonts w:ascii="Arial" w:hAnsi="Arial" w:cs="Arial"/>
          <w:b/>
          <w:bCs/>
          <w:sz w:val="22"/>
          <w:szCs w:val="22"/>
        </w:rPr>
      </w:pPr>
    </w:p>
    <w:p w14:paraId="0C9C2ED4" w14:textId="077044E3" w:rsidR="0017467D" w:rsidRPr="004C7FB3" w:rsidRDefault="00080638" w:rsidP="00080638">
      <w:pPr>
        <w:spacing w:line="360" w:lineRule="auto"/>
        <w:jc w:val="center"/>
        <w:rPr>
          <w:rFonts w:ascii="Arial" w:hAnsi="Arial" w:cs="Arial"/>
          <w:b/>
          <w:bCs/>
          <w:sz w:val="22"/>
          <w:szCs w:val="22"/>
        </w:rPr>
      </w:pPr>
      <w:r w:rsidRPr="004C7FB3">
        <w:rPr>
          <w:rFonts w:ascii="Arial" w:hAnsi="Arial" w:cs="Arial"/>
          <w:b/>
          <w:bCs/>
          <w:sz w:val="22"/>
          <w:szCs w:val="22"/>
        </w:rPr>
        <w:t>SERVICE IMPROVEMENT REPORT: MID STAFFORDSHIRE NHS FOUNDATION TRUST SCANDAL</w:t>
      </w:r>
    </w:p>
    <w:p w14:paraId="63D2D431" w14:textId="1EA483E3" w:rsidR="0017467D" w:rsidRPr="004C7FB3" w:rsidRDefault="0017467D" w:rsidP="00080638">
      <w:pPr>
        <w:spacing w:line="360" w:lineRule="auto"/>
        <w:jc w:val="center"/>
        <w:rPr>
          <w:rFonts w:ascii="Arial" w:hAnsi="Arial" w:cs="Arial"/>
          <w:b/>
          <w:bCs/>
          <w:sz w:val="22"/>
          <w:szCs w:val="22"/>
        </w:rPr>
      </w:pPr>
      <w:r w:rsidRPr="004C7FB3">
        <w:rPr>
          <w:rFonts w:ascii="Arial" w:hAnsi="Arial" w:cs="Arial"/>
          <w:b/>
          <w:bCs/>
          <w:sz w:val="22"/>
          <w:szCs w:val="22"/>
        </w:rPr>
        <w:t>Student Name:</w:t>
      </w:r>
      <w:r w:rsidR="00E65765">
        <w:rPr>
          <w:rFonts w:ascii="Arial" w:hAnsi="Arial" w:cs="Arial"/>
          <w:b/>
          <w:bCs/>
          <w:sz w:val="22"/>
          <w:szCs w:val="22"/>
        </w:rPr>
        <w:t xml:space="preserve"> </w:t>
      </w:r>
      <w:proofErr w:type="spellStart"/>
      <w:r w:rsidR="00E65765">
        <w:rPr>
          <w:rFonts w:ascii="Arial" w:hAnsi="Arial" w:cs="Arial"/>
          <w:b/>
          <w:bCs/>
          <w:sz w:val="22"/>
          <w:szCs w:val="22"/>
        </w:rPr>
        <w:t>Kruti</w:t>
      </w:r>
      <w:r w:rsidR="00384ECB">
        <w:rPr>
          <w:rFonts w:ascii="Arial" w:hAnsi="Arial" w:cs="Arial"/>
          <w:b/>
          <w:bCs/>
          <w:sz w:val="22"/>
          <w:szCs w:val="22"/>
        </w:rPr>
        <w:t>ben</w:t>
      </w:r>
      <w:proofErr w:type="spellEnd"/>
      <w:r w:rsidR="00384ECB">
        <w:rPr>
          <w:rFonts w:ascii="Arial" w:hAnsi="Arial" w:cs="Arial"/>
          <w:b/>
          <w:bCs/>
          <w:sz w:val="22"/>
          <w:szCs w:val="22"/>
        </w:rPr>
        <w:t xml:space="preserve"> </w:t>
      </w:r>
      <w:proofErr w:type="spellStart"/>
      <w:r w:rsidR="00384ECB">
        <w:rPr>
          <w:rFonts w:ascii="Arial" w:hAnsi="Arial" w:cs="Arial"/>
          <w:b/>
          <w:bCs/>
          <w:sz w:val="22"/>
          <w:szCs w:val="22"/>
        </w:rPr>
        <w:t>Rajeshbhai</w:t>
      </w:r>
      <w:proofErr w:type="spellEnd"/>
      <w:r w:rsidR="00384ECB">
        <w:rPr>
          <w:rFonts w:ascii="Arial" w:hAnsi="Arial" w:cs="Arial"/>
          <w:b/>
          <w:bCs/>
          <w:sz w:val="22"/>
          <w:szCs w:val="22"/>
        </w:rPr>
        <w:t xml:space="preserve"> </w:t>
      </w:r>
      <w:r w:rsidR="00E65765">
        <w:rPr>
          <w:rFonts w:ascii="Arial" w:hAnsi="Arial" w:cs="Arial"/>
          <w:b/>
          <w:bCs/>
          <w:sz w:val="22"/>
          <w:szCs w:val="22"/>
        </w:rPr>
        <w:t xml:space="preserve"> Patel </w:t>
      </w:r>
    </w:p>
    <w:p w14:paraId="2D4ED970" w14:textId="7B00CB11" w:rsidR="0017467D" w:rsidRPr="004C7FB3" w:rsidRDefault="0017467D" w:rsidP="00080638">
      <w:pPr>
        <w:spacing w:line="360" w:lineRule="auto"/>
        <w:jc w:val="center"/>
        <w:rPr>
          <w:rFonts w:ascii="Arial" w:hAnsi="Arial" w:cs="Arial"/>
          <w:b/>
          <w:bCs/>
          <w:sz w:val="22"/>
          <w:szCs w:val="22"/>
        </w:rPr>
      </w:pPr>
      <w:r w:rsidRPr="004C7FB3">
        <w:rPr>
          <w:rFonts w:ascii="Arial" w:hAnsi="Arial" w:cs="Arial"/>
          <w:b/>
          <w:bCs/>
          <w:sz w:val="22"/>
          <w:szCs w:val="22"/>
        </w:rPr>
        <w:t xml:space="preserve">Student ID: </w:t>
      </w:r>
      <w:r w:rsidR="00384ECB">
        <w:rPr>
          <w:rFonts w:ascii="Arial" w:hAnsi="Arial" w:cs="Arial"/>
          <w:b/>
          <w:bCs/>
          <w:sz w:val="22"/>
          <w:szCs w:val="22"/>
        </w:rPr>
        <w:t>2506595</w:t>
      </w:r>
    </w:p>
    <w:p w14:paraId="582F4544" w14:textId="046E01D9" w:rsidR="0017467D" w:rsidRPr="004C7FB3" w:rsidRDefault="0017467D" w:rsidP="00080638">
      <w:pPr>
        <w:spacing w:line="360" w:lineRule="auto"/>
        <w:jc w:val="center"/>
        <w:rPr>
          <w:rFonts w:ascii="Arial" w:hAnsi="Arial" w:cs="Arial"/>
          <w:b/>
          <w:bCs/>
          <w:sz w:val="22"/>
          <w:szCs w:val="22"/>
        </w:rPr>
      </w:pPr>
      <w:r w:rsidRPr="004C7FB3">
        <w:rPr>
          <w:rFonts w:ascii="Arial" w:hAnsi="Arial" w:cs="Arial"/>
          <w:b/>
          <w:bCs/>
          <w:sz w:val="22"/>
          <w:szCs w:val="22"/>
        </w:rPr>
        <w:t>Lecturer’s Name:</w:t>
      </w:r>
      <w:r w:rsidR="00384ECB">
        <w:rPr>
          <w:rFonts w:ascii="Arial" w:hAnsi="Arial" w:cs="Arial"/>
          <w:b/>
          <w:bCs/>
          <w:sz w:val="22"/>
          <w:szCs w:val="22"/>
        </w:rPr>
        <w:t xml:space="preserve"> Arif Ahmed</w:t>
      </w:r>
    </w:p>
    <w:p w14:paraId="48ACB07B" w14:textId="56036B5A" w:rsidR="0017467D" w:rsidRPr="004C7FB3" w:rsidRDefault="0017467D" w:rsidP="00080638">
      <w:pPr>
        <w:spacing w:line="360" w:lineRule="auto"/>
        <w:jc w:val="center"/>
        <w:rPr>
          <w:rFonts w:ascii="Arial" w:hAnsi="Arial" w:cs="Arial"/>
          <w:b/>
          <w:bCs/>
          <w:sz w:val="22"/>
          <w:szCs w:val="22"/>
        </w:rPr>
      </w:pPr>
      <w:r w:rsidRPr="004C7FB3">
        <w:rPr>
          <w:rFonts w:ascii="Arial" w:hAnsi="Arial" w:cs="Arial"/>
          <w:b/>
          <w:bCs/>
          <w:sz w:val="22"/>
          <w:szCs w:val="22"/>
        </w:rPr>
        <w:t>Word Count: 304</w:t>
      </w:r>
      <w:r w:rsidR="00E11D91" w:rsidRPr="004C7FB3">
        <w:rPr>
          <w:rFonts w:ascii="Arial" w:hAnsi="Arial" w:cs="Arial"/>
          <w:b/>
          <w:bCs/>
          <w:sz w:val="22"/>
          <w:szCs w:val="22"/>
        </w:rPr>
        <w:t>5</w:t>
      </w:r>
    </w:p>
    <w:p w14:paraId="06157496" w14:textId="0B2767DE" w:rsidR="004C69DC" w:rsidRPr="004C7FB3" w:rsidRDefault="0017467D" w:rsidP="00080638">
      <w:pPr>
        <w:spacing w:line="360" w:lineRule="auto"/>
        <w:jc w:val="center"/>
        <w:rPr>
          <w:rFonts w:ascii="Arial" w:hAnsi="Arial" w:cs="Arial"/>
          <w:b/>
          <w:bCs/>
          <w:sz w:val="22"/>
          <w:szCs w:val="22"/>
        </w:rPr>
      </w:pPr>
      <w:r w:rsidRPr="004C7FB3">
        <w:rPr>
          <w:rFonts w:ascii="Arial" w:hAnsi="Arial" w:cs="Arial"/>
          <w:b/>
          <w:bCs/>
          <w:sz w:val="22"/>
          <w:szCs w:val="22"/>
        </w:rPr>
        <w:t>Reference Style: Harvard</w:t>
      </w:r>
    </w:p>
    <w:p w14:paraId="01C878DC" w14:textId="77777777" w:rsidR="004C69DC" w:rsidRPr="004C7FB3" w:rsidRDefault="004C69DC">
      <w:pPr>
        <w:rPr>
          <w:rFonts w:ascii="Times New Roman" w:hAnsi="Times New Roman" w:cs="Times New Roman"/>
          <w:b/>
          <w:bCs/>
        </w:rPr>
      </w:pPr>
      <w:r w:rsidRPr="004C7FB3">
        <w:rPr>
          <w:rFonts w:ascii="Times New Roman" w:hAnsi="Times New Roman" w:cs="Times New Roman"/>
          <w:b/>
          <w:bCs/>
        </w:rPr>
        <w:br w:type="page"/>
      </w:r>
    </w:p>
    <w:sdt>
      <w:sdtPr>
        <w:rPr>
          <w:rFonts w:ascii="Arial" w:eastAsiaTheme="minorHAnsi" w:hAnsi="Arial" w:cs="Arial"/>
          <w:color w:val="auto"/>
          <w:kern w:val="2"/>
          <w:sz w:val="22"/>
          <w:szCs w:val="22"/>
          <w:lang w:val="en-IN"/>
          <w14:ligatures w14:val="standardContextual"/>
        </w:rPr>
        <w:id w:val="1384599013"/>
        <w:docPartObj>
          <w:docPartGallery w:val="Table of Contents"/>
          <w:docPartUnique/>
        </w:docPartObj>
      </w:sdtPr>
      <w:sdtEndPr>
        <w:rPr>
          <w:b/>
          <w:bCs/>
          <w:noProof/>
        </w:rPr>
      </w:sdtEndPr>
      <w:sdtContent>
        <w:p w14:paraId="7A33085E" w14:textId="4B938D69" w:rsidR="004C69DC" w:rsidRPr="004C7FB3" w:rsidRDefault="004C69DC" w:rsidP="004C69DC">
          <w:pPr>
            <w:pStyle w:val="TOCHeading"/>
            <w:spacing w:line="360" w:lineRule="auto"/>
            <w:jc w:val="center"/>
            <w:rPr>
              <w:rFonts w:ascii="Arial" w:hAnsi="Arial" w:cs="Arial"/>
              <w:b/>
              <w:bCs/>
              <w:color w:val="auto"/>
              <w:sz w:val="22"/>
              <w:szCs w:val="22"/>
            </w:rPr>
          </w:pPr>
          <w:r w:rsidRPr="004C7FB3">
            <w:rPr>
              <w:rFonts w:ascii="Arial" w:hAnsi="Arial" w:cs="Arial"/>
              <w:b/>
              <w:bCs/>
              <w:color w:val="auto"/>
              <w:sz w:val="22"/>
              <w:szCs w:val="22"/>
            </w:rPr>
            <w:t>Table of Contents</w:t>
          </w:r>
        </w:p>
        <w:p w14:paraId="64A9941D" w14:textId="127F874C" w:rsidR="004C69DC" w:rsidRPr="004C7FB3" w:rsidRDefault="004C69DC" w:rsidP="004C69DC">
          <w:pPr>
            <w:pStyle w:val="TOC1"/>
            <w:tabs>
              <w:tab w:val="right" w:leader="dot" w:pos="9016"/>
            </w:tabs>
            <w:spacing w:line="360" w:lineRule="auto"/>
            <w:jc w:val="both"/>
            <w:rPr>
              <w:rFonts w:ascii="Arial" w:hAnsi="Arial" w:cs="Arial"/>
              <w:noProof/>
              <w:sz w:val="22"/>
              <w:szCs w:val="22"/>
            </w:rPr>
          </w:pPr>
          <w:r w:rsidRPr="004C7FB3">
            <w:rPr>
              <w:rFonts w:ascii="Arial" w:hAnsi="Arial" w:cs="Arial"/>
              <w:sz w:val="22"/>
              <w:szCs w:val="22"/>
            </w:rPr>
            <w:fldChar w:fldCharType="begin"/>
          </w:r>
          <w:r w:rsidRPr="004C7FB3">
            <w:rPr>
              <w:rFonts w:ascii="Arial" w:hAnsi="Arial" w:cs="Arial"/>
              <w:sz w:val="22"/>
              <w:szCs w:val="22"/>
            </w:rPr>
            <w:instrText xml:space="preserve"> TOC \o "1-3" \h \z \u </w:instrText>
          </w:r>
          <w:r w:rsidRPr="004C7FB3">
            <w:rPr>
              <w:rFonts w:ascii="Arial" w:hAnsi="Arial" w:cs="Arial"/>
              <w:sz w:val="22"/>
              <w:szCs w:val="22"/>
            </w:rPr>
            <w:fldChar w:fldCharType="separate"/>
          </w:r>
          <w:hyperlink w:anchor="_Toc226631965" w:history="1">
            <w:r w:rsidRPr="004C7FB3">
              <w:rPr>
                <w:rStyle w:val="Hyperlink"/>
                <w:rFonts w:ascii="Arial" w:hAnsi="Arial" w:cs="Arial"/>
                <w:noProof/>
                <w:color w:val="auto"/>
                <w:sz w:val="22"/>
                <w:szCs w:val="22"/>
              </w:rPr>
              <w:t>Introduction</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_Toc226631965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3</w:t>
            </w:r>
            <w:r w:rsidRPr="004C7FB3">
              <w:rPr>
                <w:rFonts w:ascii="Arial" w:hAnsi="Arial" w:cs="Arial"/>
                <w:noProof/>
                <w:webHidden/>
                <w:sz w:val="22"/>
                <w:szCs w:val="22"/>
              </w:rPr>
              <w:fldChar w:fldCharType="end"/>
            </w:r>
          </w:hyperlink>
        </w:p>
        <w:p w14:paraId="58A40F67" w14:textId="70323B73" w:rsidR="004C69DC" w:rsidRPr="004C7FB3" w:rsidRDefault="004C69DC" w:rsidP="004C69DC">
          <w:pPr>
            <w:pStyle w:val="TOC1"/>
            <w:tabs>
              <w:tab w:val="right" w:leader="dot" w:pos="9016"/>
            </w:tabs>
            <w:spacing w:line="360" w:lineRule="auto"/>
            <w:jc w:val="both"/>
            <w:rPr>
              <w:rFonts w:ascii="Arial" w:hAnsi="Arial" w:cs="Arial"/>
              <w:noProof/>
              <w:sz w:val="22"/>
              <w:szCs w:val="22"/>
            </w:rPr>
          </w:pPr>
          <w:hyperlink w:anchor="_Toc226631966" w:history="1">
            <w:r w:rsidRPr="004C7FB3">
              <w:rPr>
                <w:rStyle w:val="Hyperlink"/>
                <w:rFonts w:ascii="Arial" w:hAnsi="Arial" w:cs="Arial"/>
                <w:noProof/>
                <w:color w:val="auto"/>
                <w:sz w:val="22"/>
                <w:szCs w:val="22"/>
              </w:rPr>
              <w:t>Main Body</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_Toc226631966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4</w:t>
            </w:r>
            <w:r w:rsidRPr="004C7FB3">
              <w:rPr>
                <w:rFonts w:ascii="Arial" w:hAnsi="Arial" w:cs="Arial"/>
                <w:noProof/>
                <w:webHidden/>
                <w:sz w:val="22"/>
                <w:szCs w:val="22"/>
              </w:rPr>
              <w:fldChar w:fldCharType="end"/>
            </w:r>
          </w:hyperlink>
        </w:p>
        <w:p w14:paraId="28EFBE5B" w14:textId="6844720F"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67" w:history="1">
            <w:r w:rsidRPr="004C7FB3">
              <w:rPr>
                <w:rStyle w:val="Hyperlink"/>
                <w:rFonts w:ascii="Arial" w:hAnsi="Arial" w:cs="Arial"/>
                <w:noProof/>
                <w:color w:val="auto"/>
                <w:sz w:val="22"/>
                <w:szCs w:val="22"/>
              </w:rPr>
              <w:t>Root Cause Analysis Using the Swiss Cheese Model</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_Toc226631967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4</w:t>
            </w:r>
            <w:r w:rsidRPr="004C7FB3">
              <w:rPr>
                <w:rFonts w:ascii="Arial" w:hAnsi="Arial" w:cs="Arial"/>
                <w:noProof/>
                <w:webHidden/>
                <w:sz w:val="22"/>
                <w:szCs w:val="22"/>
              </w:rPr>
              <w:fldChar w:fldCharType="end"/>
            </w:r>
          </w:hyperlink>
        </w:p>
        <w:p w14:paraId="10667E08" w14:textId="6DC68B24"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68" w:history="1">
            <w:r w:rsidRPr="004C7FB3">
              <w:rPr>
                <w:rStyle w:val="Hyperlink"/>
                <w:rFonts w:ascii="Arial" w:hAnsi="Arial" w:cs="Arial"/>
                <w:noProof/>
                <w:color w:val="auto"/>
                <w:sz w:val="22"/>
                <w:szCs w:val="22"/>
              </w:rPr>
              <w:t>Fishbone Diagram Analysis</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_Toc226631968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4</w:t>
            </w:r>
            <w:r w:rsidRPr="004C7FB3">
              <w:rPr>
                <w:rFonts w:ascii="Arial" w:hAnsi="Arial" w:cs="Arial"/>
                <w:noProof/>
                <w:webHidden/>
                <w:sz w:val="22"/>
                <w:szCs w:val="22"/>
              </w:rPr>
              <w:fldChar w:fldCharType="end"/>
            </w:r>
          </w:hyperlink>
        </w:p>
        <w:p w14:paraId="46FDABA2" w14:textId="32F17549"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69" w:history="1">
            <w:r w:rsidRPr="004C7FB3">
              <w:rPr>
                <w:rStyle w:val="Hyperlink"/>
                <w:rFonts w:ascii="Arial" w:hAnsi="Arial" w:cs="Arial"/>
                <w:noProof/>
                <w:color w:val="auto"/>
                <w:sz w:val="22"/>
                <w:szCs w:val="22"/>
              </w:rPr>
              <w:t>Application of Donabedian’s Structure-Process-Outcome Model</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_Toc226631969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5</w:t>
            </w:r>
            <w:r w:rsidRPr="004C7FB3">
              <w:rPr>
                <w:rFonts w:ascii="Arial" w:hAnsi="Arial" w:cs="Arial"/>
                <w:noProof/>
                <w:webHidden/>
                <w:sz w:val="22"/>
                <w:szCs w:val="22"/>
              </w:rPr>
              <w:fldChar w:fldCharType="end"/>
            </w:r>
          </w:hyperlink>
        </w:p>
        <w:p w14:paraId="0CAE3E92" w14:textId="0C1527C1"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0" w:history="1">
            <w:r w:rsidRPr="004C7FB3">
              <w:rPr>
                <w:rStyle w:val="Hyperlink"/>
                <w:rFonts w:ascii="Arial" w:hAnsi="Arial" w:cs="Arial"/>
                <w:noProof/>
                <w:color w:val="auto"/>
                <w:sz w:val="22"/>
                <w:szCs w:val="22"/>
              </w:rPr>
              <w:t>Policy and Regulatory Analysis, and Impact on Quality, Efficiency, and Equity</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_Toc226631970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7</w:t>
            </w:r>
            <w:r w:rsidRPr="004C7FB3">
              <w:rPr>
                <w:rFonts w:ascii="Arial" w:hAnsi="Arial" w:cs="Arial"/>
                <w:noProof/>
                <w:webHidden/>
                <w:sz w:val="22"/>
                <w:szCs w:val="22"/>
              </w:rPr>
              <w:fldChar w:fldCharType="end"/>
            </w:r>
          </w:hyperlink>
        </w:p>
        <w:p w14:paraId="13A31CEA" w14:textId="70C36B04"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1" w:history="1">
            <w:r w:rsidRPr="004C7FB3">
              <w:rPr>
                <w:rStyle w:val="Hyperlink"/>
                <w:rFonts w:ascii="Arial" w:hAnsi="Arial" w:cs="Arial"/>
                <w:noProof/>
                <w:color w:val="auto"/>
                <w:sz w:val="22"/>
                <w:szCs w:val="22"/>
              </w:rPr>
              <w:t>Strategic Analysis Using SWOT Framework</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_Toc226631971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7</w:t>
            </w:r>
            <w:r w:rsidRPr="004C7FB3">
              <w:rPr>
                <w:rFonts w:ascii="Arial" w:hAnsi="Arial" w:cs="Arial"/>
                <w:noProof/>
                <w:webHidden/>
                <w:sz w:val="22"/>
                <w:szCs w:val="22"/>
              </w:rPr>
              <w:fldChar w:fldCharType="end"/>
            </w:r>
          </w:hyperlink>
        </w:p>
        <w:p w14:paraId="7399077C" w14:textId="2EFEA39D"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2" w:history="1">
            <w:r w:rsidRPr="004C7FB3">
              <w:rPr>
                <w:rStyle w:val="Hyperlink"/>
                <w:rFonts w:ascii="Arial" w:hAnsi="Arial" w:cs="Arial"/>
                <w:noProof/>
                <w:color w:val="auto"/>
                <w:sz w:val="22"/>
                <w:szCs w:val="22"/>
              </w:rPr>
              <w:t>Critical Evaluation of Theoretical Approaches</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_Toc226631972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8</w:t>
            </w:r>
            <w:r w:rsidRPr="004C7FB3">
              <w:rPr>
                <w:rFonts w:ascii="Arial" w:hAnsi="Arial" w:cs="Arial"/>
                <w:noProof/>
                <w:webHidden/>
                <w:sz w:val="22"/>
                <w:szCs w:val="22"/>
              </w:rPr>
              <w:fldChar w:fldCharType="end"/>
            </w:r>
          </w:hyperlink>
        </w:p>
        <w:p w14:paraId="50C10F04" w14:textId="169A0023" w:rsidR="004C69DC" w:rsidRPr="004C7FB3" w:rsidRDefault="004C69DC" w:rsidP="004C69DC">
          <w:pPr>
            <w:pStyle w:val="TOC1"/>
            <w:tabs>
              <w:tab w:val="right" w:leader="dot" w:pos="9016"/>
            </w:tabs>
            <w:spacing w:line="360" w:lineRule="auto"/>
            <w:jc w:val="both"/>
            <w:rPr>
              <w:rFonts w:ascii="Arial" w:hAnsi="Arial" w:cs="Arial"/>
              <w:noProof/>
              <w:sz w:val="22"/>
              <w:szCs w:val="22"/>
            </w:rPr>
          </w:pPr>
          <w:hyperlink w:anchor="_Toc226631973" w:history="1">
            <w:r w:rsidRPr="004C7FB3">
              <w:rPr>
                <w:rStyle w:val="Hyperlink"/>
                <w:rFonts w:ascii="Arial" w:hAnsi="Arial" w:cs="Arial"/>
                <w:noProof/>
                <w:color w:val="auto"/>
                <w:sz w:val="22"/>
                <w:szCs w:val="22"/>
              </w:rPr>
              <w:t>Recommendations</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_Toc226631973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9</w:t>
            </w:r>
            <w:r w:rsidRPr="004C7FB3">
              <w:rPr>
                <w:rFonts w:ascii="Arial" w:hAnsi="Arial" w:cs="Arial"/>
                <w:noProof/>
                <w:webHidden/>
                <w:sz w:val="22"/>
                <w:szCs w:val="22"/>
              </w:rPr>
              <w:fldChar w:fldCharType="end"/>
            </w:r>
          </w:hyperlink>
        </w:p>
        <w:p w14:paraId="1969E6BF" w14:textId="01BEC9FE"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4" w:history="1">
            <w:r w:rsidRPr="004C7FB3">
              <w:rPr>
                <w:rStyle w:val="Hyperlink"/>
                <w:rFonts w:ascii="Arial" w:hAnsi="Arial" w:cs="Arial"/>
                <w:noProof/>
                <w:color w:val="auto"/>
                <w:sz w:val="22"/>
                <w:szCs w:val="22"/>
              </w:rPr>
              <w:t>Application of Quality Improvement Tools</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_Toc226631974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9</w:t>
            </w:r>
            <w:r w:rsidRPr="004C7FB3">
              <w:rPr>
                <w:rFonts w:ascii="Arial" w:hAnsi="Arial" w:cs="Arial"/>
                <w:noProof/>
                <w:webHidden/>
                <w:sz w:val="22"/>
                <w:szCs w:val="22"/>
              </w:rPr>
              <w:fldChar w:fldCharType="end"/>
            </w:r>
          </w:hyperlink>
        </w:p>
        <w:p w14:paraId="0EC5DC25" w14:textId="4AB9EA1E"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5" w:history="1">
            <w:r w:rsidRPr="004C7FB3">
              <w:rPr>
                <w:rStyle w:val="Hyperlink"/>
                <w:rFonts w:ascii="Arial" w:hAnsi="Arial" w:cs="Arial"/>
                <w:noProof/>
                <w:color w:val="auto"/>
                <w:sz w:val="22"/>
                <w:szCs w:val="22"/>
              </w:rPr>
              <w:t>Lean Methodology Application</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_Toc226631975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10</w:t>
            </w:r>
            <w:r w:rsidRPr="004C7FB3">
              <w:rPr>
                <w:rFonts w:ascii="Arial" w:hAnsi="Arial" w:cs="Arial"/>
                <w:noProof/>
                <w:webHidden/>
                <w:sz w:val="22"/>
                <w:szCs w:val="22"/>
              </w:rPr>
              <w:fldChar w:fldCharType="end"/>
            </w:r>
          </w:hyperlink>
        </w:p>
        <w:p w14:paraId="579B381A" w14:textId="40DB1DF0" w:rsidR="004C69DC" w:rsidRPr="004C7FB3" w:rsidRDefault="004C69DC" w:rsidP="004C69DC">
          <w:pPr>
            <w:pStyle w:val="TOC2"/>
            <w:tabs>
              <w:tab w:val="right" w:leader="dot" w:pos="9016"/>
            </w:tabs>
            <w:spacing w:line="360" w:lineRule="auto"/>
            <w:jc w:val="both"/>
            <w:rPr>
              <w:rFonts w:ascii="Arial" w:hAnsi="Arial" w:cs="Arial"/>
              <w:noProof/>
              <w:sz w:val="22"/>
              <w:szCs w:val="22"/>
            </w:rPr>
          </w:pPr>
          <w:hyperlink w:anchor="_Toc226631976" w:history="1">
            <w:r w:rsidRPr="004C7FB3">
              <w:rPr>
                <w:rStyle w:val="Hyperlink"/>
                <w:rFonts w:ascii="Arial" w:hAnsi="Arial" w:cs="Arial"/>
                <w:noProof/>
                <w:color w:val="auto"/>
                <w:sz w:val="22"/>
                <w:szCs w:val="22"/>
              </w:rPr>
              <w:t>Six Sigma Application</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_Toc226631976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11</w:t>
            </w:r>
            <w:r w:rsidRPr="004C7FB3">
              <w:rPr>
                <w:rFonts w:ascii="Arial" w:hAnsi="Arial" w:cs="Arial"/>
                <w:noProof/>
                <w:webHidden/>
                <w:sz w:val="22"/>
                <w:szCs w:val="22"/>
              </w:rPr>
              <w:fldChar w:fldCharType="end"/>
            </w:r>
          </w:hyperlink>
        </w:p>
        <w:p w14:paraId="78C43447" w14:textId="5B2D1E37" w:rsidR="004C69DC" w:rsidRPr="004C7FB3" w:rsidRDefault="004C69DC" w:rsidP="004C69DC">
          <w:pPr>
            <w:pStyle w:val="TOC1"/>
            <w:tabs>
              <w:tab w:val="right" w:leader="dot" w:pos="9016"/>
            </w:tabs>
            <w:spacing w:line="360" w:lineRule="auto"/>
            <w:jc w:val="both"/>
            <w:rPr>
              <w:rFonts w:ascii="Arial" w:hAnsi="Arial" w:cs="Arial"/>
              <w:noProof/>
              <w:sz w:val="22"/>
              <w:szCs w:val="22"/>
            </w:rPr>
          </w:pPr>
          <w:hyperlink w:anchor="_Toc226631977" w:history="1">
            <w:r w:rsidRPr="004C7FB3">
              <w:rPr>
                <w:rStyle w:val="Hyperlink"/>
                <w:rFonts w:ascii="Arial" w:hAnsi="Arial" w:cs="Arial"/>
                <w:noProof/>
                <w:color w:val="auto"/>
                <w:sz w:val="22"/>
                <w:szCs w:val="22"/>
              </w:rPr>
              <w:t>Conclusion</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_Toc226631977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12</w:t>
            </w:r>
            <w:r w:rsidRPr="004C7FB3">
              <w:rPr>
                <w:rFonts w:ascii="Arial" w:hAnsi="Arial" w:cs="Arial"/>
                <w:noProof/>
                <w:webHidden/>
                <w:sz w:val="22"/>
                <w:szCs w:val="22"/>
              </w:rPr>
              <w:fldChar w:fldCharType="end"/>
            </w:r>
          </w:hyperlink>
        </w:p>
        <w:p w14:paraId="1A168B25" w14:textId="04231DA5" w:rsidR="004C69DC" w:rsidRPr="004C7FB3" w:rsidRDefault="004C69DC" w:rsidP="004C69DC">
          <w:pPr>
            <w:pStyle w:val="TOC1"/>
            <w:tabs>
              <w:tab w:val="right" w:leader="dot" w:pos="9016"/>
            </w:tabs>
            <w:spacing w:line="360" w:lineRule="auto"/>
            <w:jc w:val="both"/>
            <w:rPr>
              <w:rFonts w:ascii="Arial" w:hAnsi="Arial" w:cs="Arial"/>
              <w:noProof/>
              <w:sz w:val="22"/>
              <w:szCs w:val="22"/>
            </w:rPr>
          </w:pPr>
          <w:hyperlink w:anchor="_Toc226631978" w:history="1">
            <w:r w:rsidRPr="004C7FB3">
              <w:rPr>
                <w:rStyle w:val="Hyperlink"/>
                <w:rFonts w:ascii="Arial" w:hAnsi="Arial" w:cs="Arial"/>
                <w:noProof/>
                <w:color w:val="auto"/>
                <w:sz w:val="22"/>
                <w:szCs w:val="22"/>
              </w:rPr>
              <w:t>Reference list</w:t>
            </w:r>
            <w:r w:rsidRPr="004C7FB3">
              <w:rPr>
                <w:rFonts w:ascii="Arial" w:hAnsi="Arial" w:cs="Arial"/>
                <w:noProof/>
                <w:webHidden/>
                <w:sz w:val="22"/>
                <w:szCs w:val="22"/>
              </w:rPr>
              <w:tab/>
            </w:r>
            <w:r w:rsidRPr="004C7FB3">
              <w:rPr>
                <w:rFonts w:ascii="Arial" w:hAnsi="Arial" w:cs="Arial"/>
                <w:noProof/>
                <w:webHidden/>
                <w:sz w:val="22"/>
                <w:szCs w:val="22"/>
              </w:rPr>
              <w:fldChar w:fldCharType="begin"/>
            </w:r>
            <w:r w:rsidRPr="004C7FB3">
              <w:rPr>
                <w:rFonts w:ascii="Arial" w:hAnsi="Arial" w:cs="Arial"/>
                <w:noProof/>
                <w:webHidden/>
                <w:sz w:val="22"/>
                <w:szCs w:val="22"/>
              </w:rPr>
              <w:instrText xml:space="preserve"> PAGEREF _Toc226631978 \h </w:instrText>
            </w:r>
            <w:r w:rsidRPr="004C7FB3">
              <w:rPr>
                <w:rFonts w:ascii="Arial" w:hAnsi="Arial" w:cs="Arial"/>
                <w:noProof/>
                <w:webHidden/>
                <w:sz w:val="22"/>
                <w:szCs w:val="22"/>
              </w:rPr>
            </w:r>
            <w:r w:rsidRPr="004C7FB3">
              <w:rPr>
                <w:rFonts w:ascii="Arial" w:hAnsi="Arial" w:cs="Arial"/>
                <w:noProof/>
                <w:webHidden/>
                <w:sz w:val="22"/>
                <w:szCs w:val="22"/>
              </w:rPr>
              <w:fldChar w:fldCharType="separate"/>
            </w:r>
            <w:r w:rsidR="00E11D91" w:rsidRPr="004C7FB3">
              <w:rPr>
                <w:rFonts w:ascii="Arial" w:hAnsi="Arial" w:cs="Arial"/>
                <w:noProof/>
                <w:webHidden/>
                <w:sz w:val="22"/>
                <w:szCs w:val="22"/>
              </w:rPr>
              <w:t>14</w:t>
            </w:r>
            <w:r w:rsidRPr="004C7FB3">
              <w:rPr>
                <w:rFonts w:ascii="Arial" w:hAnsi="Arial" w:cs="Arial"/>
                <w:noProof/>
                <w:webHidden/>
                <w:sz w:val="22"/>
                <w:szCs w:val="22"/>
              </w:rPr>
              <w:fldChar w:fldCharType="end"/>
            </w:r>
          </w:hyperlink>
        </w:p>
        <w:p w14:paraId="12D4EB66" w14:textId="212CB7CA" w:rsidR="004C69DC" w:rsidRPr="004C7FB3" w:rsidRDefault="004C69DC" w:rsidP="004C69DC">
          <w:pPr>
            <w:spacing w:line="360" w:lineRule="auto"/>
            <w:jc w:val="both"/>
            <w:rPr>
              <w:rFonts w:ascii="Arial" w:hAnsi="Arial" w:cs="Arial"/>
              <w:sz w:val="22"/>
              <w:szCs w:val="22"/>
            </w:rPr>
          </w:pPr>
          <w:r w:rsidRPr="004C7FB3">
            <w:rPr>
              <w:rFonts w:ascii="Arial" w:hAnsi="Arial" w:cs="Arial"/>
              <w:b/>
              <w:bCs/>
              <w:noProof/>
              <w:sz w:val="22"/>
              <w:szCs w:val="22"/>
            </w:rPr>
            <w:fldChar w:fldCharType="end"/>
          </w:r>
        </w:p>
      </w:sdtContent>
    </w:sdt>
    <w:p w14:paraId="49A99E36" w14:textId="77777777" w:rsidR="0017467D" w:rsidRPr="004C7FB3" w:rsidRDefault="0017467D" w:rsidP="00080638">
      <w:pPr>
        <w:spacing w:line="360" w:lineRule="auto"/>
        <w:jc w:val="center"/>
        <w:rPr>
          <w:rFonts w:ascii="Arial" w:hAnsi="Arial" w:cs="Arial"/>
          <w:b/>
          <w:bCs/>
          <w:sz w:val="22"/>
          <w:szCs w:val="22"/>
        </w:rPr>
      </w:pPr>
    </w:p>
    <w:p w14:paraId="4EA8C498" w14:textId="7DF13451" w:rsidR="00B14613" w:rsidRPr="004C7FB3" w:rsidRDefault="0017467D" w:rsidP="0017467D">
      <w:pPr>
        <w:rPr>
          <w:rFonts w:ascii="Arial" w:hAnsi="Arial" w:cs="Arial"/>
          <w:b/>
          <w:bCs/>
          <w:sz w:val="22"/>
          <w:szCs w:val="22"/>
        </w:rPr>
      </w:pPr>
      <w:r w:rsidRPr="004C7FB3">
        <w:rPr>
          <w:rFonts w:ascii="Arial" w:hAnsi="Arial" w:cs="Arial"/>
          <w:b/>
          <w:bCs/>
          <w:sz w:val="22"/>
          <w:szCs w:val="22"/>
        </w:rPr>
        <w:br w:type="page"/>
      </w:r>
    </w:p>
    <w:p w14:paraId="34FE6958" w14:textId="4C0689D3" w:rsidR="00080638" w:rsidRPr="004C7FB3" w:rsidRDefault="00080638" w:rsidP="0017467D">
      <w:pPr>
        <w:pStyle w:val="Heading1"/>
        <w:rPr>
          <w:rFonts w:ascii="Arial" w:hAnsi="Arial" w:cs="Arial"/>
          <w:sz w:val="22"/>
          <w:szCs w:val="22"/>
        </w:rPr>
      </w:pPr>
      <w:bookmarkStart w:id="0" w:name="_Toc226631965"/>
      <w:r w:rsidRPr="004C7FB3">
        <w:rPr>
          <w:rFonts w:ascii="Arial" w:hAnsi="Arial" w:cs="Arial"/>
          <w:sz w:val="22"/>
          <w:szCs w:val="22"/>
        </w:rPr>
        <w:t>Introduction</w:t>
      </w:r>
      <w:bookmarkEnd w:id="0"/>
      <w:r w:rsidRPr="004C7FB3">
        <w:rPr>
          <w:rFonts w:ascii="Arial" w:hAnsi="Arial" w:cs="Arial"/>
          <w:sz w:val="22"/>
          <w:szCs w:val="22"/>
        </w:rPr>
        <w:t xml:space="preserve"> </w:t>
      </w:r>
    </w:p>
    <w:p w14:paraId="27386340" w14:textId="750C7AE4" w:rsidR="00C928B0" w:rsidRPr="004C7FB3" w:rsidRDefault="00C928B0" w:rsidP="00C928B0">
      <w:pPr>
        <w:spacing w:line="360" w:lineRule="auto"/>
        <w:jc w:val="both"/>
        <w:rPr>
          <w:rFonts w:ascii="Arial" w:hAnsi="Arial" w:cs="Arial"/>
          <w:sz w:val="22"/>
          <w:szCs w:val="22"/>
        </w:rPr>
      </w:pPr>
      <w:r w:rsidRPr="004C7FB3">
        <w:rPr>
          <w:rFonts w:ascii="Arial" w:hAnsi="Arial" w:cs="Arial"/>
          <w:sz w:val="22"/>
          <w:szCs w:val="22"/>
        </w:rPr>
        <w:t xml:space="preserve">The case of the </w:t>
      </w:r>
      <w:r w:rsidRPr="004C7FB3">
        <w:rPr>
          <w:rFonts w:ascii="Arial" w:hAnsi="Arial" w:cs="Arial"/>
          <w:b/>
          <w:bCs/>
          <w:i/>
          <w:iCs/>
          <w:sz w:val="22"/>
          <w:szCs w:val="22"/>
        </w:rPr>
        <w:t>Mid Staffordshire NHS Foundation Trust scandal (2005–2009)</w:t>
      </w:r>
      <w:r w:rsidRPr="004C7FB3">
        <w:rPr>
          <w:rFonts w:ascii="Arial" w:hAnsi="Arial" w:cs="Arial"/>
          <w:sz w:val="22"/>
          <w:szCs w:val="22"/>
        </w:rPr>
        <w:t xml:space="preserve"> can be viewed as a severe breakdown of quality and patient safety in healthcare in the United Kingdom, as it illustrated the inherent vulnerabilities of the systems in the areas of governance, leadership, and service provision. The case was nationalised after the release of the Francis Report (2013), which disclosed that there were </w:t>
      </w:r>
      <w:r w:rsidRPr="004C7FB3">
        <w:rPr>
          <w:rFonts w:ascii="Arial" w:hAnsi="Arial" w:cs="Arial"/>
          <w:b/>
          <w:bCs/>
          <w:i/>
          <w:iCs/>
          <w:sz w:val="22"/>
          <w:szCs w:val="22"/>
        </w:rPr>
        <w:t>400 and 1200 unnecessary deaths</w:t>
      </w:r>
      <w:r w:rsidRPr="004C7FB3">
        <w:rPr>
          <w:rFonts w:ascii="Arial" w:hAnsi="Arial" w:cs="Arial"/>
          <w:sz w:val="22"/>
          <w:szCs w:val="22"/>
        </w:rPr>
        <w:t xml:space="preserve"> in the period because of avoidable failures in the care. Such a disturbing statistic highlights the gravity of the problem and makes it one of the key issues in societal health.</w:t>
      </w:r>
    </w:p>
    <w:p w14:paraId="394465B1" w14:textId="4D6112BB" w:rsidR="00C928B0" w:rsidRPr="004C7FB3" w:rsidRDefault="00C928B0" w:rsidP="00C928B0">
      <w:pPr>
        <w:spacing w:line="360" w:lineRule="auto"/>
        <w:jc w:val="both"/>
        <w:rPr>
          <w:rFonts w:ascii="Arial" w:hAnsi="Arial" w:cs="Arial"/>
          <w:sz w:val="22"/>
          <w:szCs w:val="22"/>
        </w:rPr>
      </w:pPr>
      <w:r w:rsidRPr="004C7FB3">
        <w:rPr>
          <w:rFonts w:ascii="Arial" w:hAnsi="Arial" w:cs="Arial"/>
          <w:sz w:val="22"/>
          <w:szCs w:val="22"/>
        </w:rPr>
        <w:t xml:space="preserve">The quality of healthcare is usually measured using such indicators as mortality rates, satisfaction among patients and compliance with clinical standards. At Mid Staffordshire, there was a markedly elevated </w:t>
      </w:r>
      <w:r w:rsidRPr="004C7FB3">
        <w:rPr>
          <w:rFonts w:ascii="Arial" w:hAnsi="Arial" w:cs="Arial"/>
          <w:b/>
          <w:bCs/>
          <w:i/>
          <w:iCs/>
          <w:sz w:val="22"/>
          <w:szCs w:val="22"/>
        </w:rPr>
        <w:t>Hospital Standardised Mortality Ratio (HSMR)</w:t>
      </w:r>
      <w:r w:rsidRPr="004C7FB3">
        <w:rPr>
          <w:rFonts w:ascii="Arial" w:hAnsi="Arial" w:cs="Arial"/>
          <w:sz w:val="22"/>
          <w:szCs w:val="22"/>
        </w:rPr>
        <w:t xml:space="preserve"> compared with the national one, which showed that there was a systemic problem and not a few clinical errors as in the case</w:t>
      </w:r>
      <w:r w:rsidR="004956E2" w:rsidRPr="004C7FB3">
        <w:rPr>
          <w:rFonts w:ascii="Arial" w:hAnsi="Arial" w:cs="Arial"/>
          <w:sz w:val="22"/>
          <w:szCs w:val="22"/>
        </w:rPr>
        <w:t xml:space="preserve"> (Kang </w:t>
      </w:r>
      <w:r w:rsidR="004956E2" w:rsidRPr="004C7FB3">
        <w:rPr>
          <w:rFonts w:ascii="Arial" w:hAnsi="Arial" w:cs="Arial"/>
          <w:i/>
          <w:iCs/>
          <w:sz w:val="22"/>
          <w:szCs w:val="22"/>
        </w:rPr>
        <w:t>et al.,</w:t>
      </w:r>
      <w:r w:rsidR="004956E2" w:rsidRPr="004C7FB3">
        <w:rPr>
          <w:rFonts w:ascii="Arial" w:hAnsi="Arial" w:cs="Arial"/>
          <w:sz w:val="22"/>
          <w:szCs w:val="22"/>
        </w:rPr>
        <w:t xml:space="preserve"> 2023)</w:t>
      </w:r>
      <w:r w:rsidRPr="004C7FB3">
        <w:rPr>
          <w:rFonts w:ascii="Arial" w:hAnsi="Arial" w:cs="Arial"/>
          <w:sz w:val="22"/>
          <w:szCs w:val="22"/>
        </w:rPr>
        <w:t xml:space="preserve">. Also, it has been proven that the number of nursing staff decreased by an average of </w:t>
      </w:r>
      <w:r w:rsidRPr="004C7FB3">
        <w:rPr>
          <w:rFonts w:ascii="Arial" w:hAnsi="Arial" w:cs="Arial"/>
          <w:b/>
          <w:bCs/>
          <w:i/>
          <w:iCs/>
          <w:sz w:val="22"/>
          <w:szCs w:val="22"/>
        </w:rPr>
        <w:t>12.7%</w:t>
      </w:r>
      <w:r w:rsidRPr="004C7FB3">
        <w:rPr>
          <w:rFonts w:ascii="Arial" w:hAnsi="Arial" w:cs="Arial"/>
          <w:sz w:val="22"/>
          <w:szCs w:val="22"/>
        </w:rPr>
        <w:t xml:space="preserve"> to cut costs, being the direct consequence of the staffing changes on patient care delivery and safety (NHS, 2016). </w:t>
      </w:r>
    </w:p>
    <w:p w14:paraId="0FFE102B" w14:textId="2211122F" w:rsidR="00C928B0" w:rsidRPr="004C7FB3" w:rsidRDefault="00C928B0" w:rsidP="00C928B0">
      <w:pPr>
        <w:spacing w:line="360" w:lineRule="auto"/>
        <w:jc w:val="both"/>
        <w:rPr>
          <w:rFonts w:ascii="Arial" w:hAnsi="Arial" w:cs="Arial"/>
          <w:sz w:val="22"/>
          <w:szCs w:val="22"/>
        </w:rPr>
      </w:pPr>
      <w:r w:rsidRPr="004C7FB3">
        <w:rPr>
          <w:rFonts w:ascii="Arial" w:hAnsi="Arial" w:cs="Arial"/>
          <w:sz w:val="22"/>
          <w:szCs w:val="22"/>
        </w:rPr>
        <w:t xml:space="preserve">The scandal setting corresponds to the failure of the larger organisation in which the focus on patient-centred care was overlooked in the name of financial targets and the Foundational </w:t>
      </w:r>
      <w:r w:rsidR="00E80CEF" w:rsidRPr="004C7FB3">
        <w:rPr>
          <w:rFonts w:ascii="Arial" w:hAnsi="Arial" w:cs="Arial"/>
          <w:sz w:val="22"/>
          <w:szCs w:val="22"/>
        </w:rPr>
        <w:t>Trust's</w:t>
      </w:r>
      <w:r w:rsidRPr="004C7FB3">
        <w:rPr>
          <w:rFonts w:ascii="Arial" w:hAnsi="Arial" w:cs="Arial"/>
          <w:sz w:val="22"/>
          <w:szCs w:val="22"/>
        </w:rPr>
        <w:t xml:space="preserve"> status. Cases of neglect were documented (such as a deficit in basic hygiene, nutrition, and clinical care) among patients (</w:t>
      </w:r>
      <w:proofErr w:type="spellStart"/>
      <w:r w:rsidRPr="004C7FB3">
        <w:rPr>
          <w:rFonts w:ascii="Arial" w:hAnsi="Arial" w:cs="Arial"/>
          <w:sz w:val="22"/>
          <w:szCs w:val="22"/>
        </w:rPr>
        <w:t>Dall’Ora</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xml:space="preserve"> 2022). Patient complaints and complaints by </w:t>
      </w:r>
      <w:r w:rsidR="00E80CEF" w:rsidRPr="004C7FB3">
        <w:rPr>
          <w:rFonts w:ascii="Arial" w:hAnsi="Arial" w:cs="Arial"/>
          <w:sz w:val="22"/>
          <w:szCs w:val="22"/>
        </w:rPr>
        <w:t>staff</w:t>
      </w:r>
      <w:r w:rsidRPr="004C7FB3">
        <w:rPr>
          <w:rFonts w:ascii="Arial" w:hAnsi="Arial" w:cs="Arial"/>
          <w:sz w:val="22"/>
          <w:szCs w:val="22"/>
        </w:rPr>
        <w:t xml:space="preserve"> were often ignored</w:t>
      </w:r>
      <w:r w:rsidR="00E80CEF" w:rsidRPr="004C7FB3">
        <w:rPr>
          <w:rFonts w:ascii="Arial" w:hAnsi="Arial" w:cs="Arial"/>
          <w:sz w:val="22"/>
          <w:szCs w:val="22"/>
        </w:rPr>
        <w:t>,</w:t>
      </w:r>
      <w:r w:rsidRPr="004C7FB3">
        <w:rPr>
          <w:rFonts w:ascii="Arial" w:hAnsi="Arial" w:cs="Arial"/>
          <w:sz w:val="22"/>
          <w:szCs w:val="22"/>
        </w:rPr>
        <w:t xml:space="preserve"> which meant the communication system and organisational accountability </w:t>
      </w:r>
      <w:r w:rsidR="00E80CEF" w:rsidRPr="004C7FB3">
        <w:rPr>
          <w:rFonts w:ascii="Arial" w:hAnsi="Arial" w:cs="Arial"/>
          <w:sz w:val="22"/>
          <w:szCs w:val="22"/>
        </w:rPr>
        <w:t>were</w:t>
      </w:r>
      <w:r w:rsidRPr="004C7FB3">
        <w:rPr>
          <w:rFonts w:ascii="Arial" w:hAnsi="Arial" w:cs="Arial"/>
          <w:sz w:val="22"/>
          <w:szCs w:val="22"/>
        </w:rPr>
        <w:t xml:space="preserve"> not achieved. This demonstrates a culture in which concerns were not encouraged</w:t>
      </w:r>
      <w:r w:rsidR="00E80CEF" w:rsidRPr="004C7FB3">
        <w:rPr>
          <w:rFonts w:ascii="Arial" w:hAnsi="Arial" w:cs="Arial"/>
          <w:sz w:val="22"/>
          <w:szCs w:val="22"/>
        </w:rPr>
        <w:t>,</w:t>
      </w:r>
      <w:r w:rsidRPr="004C7FB3">
        <w:rPr>
          <w:rFonts w:ascii="Arial" w:hAnsi="Arial" w:cs="Arial"/>
          <w:sz w:val="22"/>
          <w:szCs w:val="22"/>
        </w:rPr>
        <w:t xml:space="preserve"> and this increased patient safety risks.</w:t>
      </w:r>
    </w:p>
    <w:p w14:paraId="20BF056F" w14:textId="6174668C" w:rsidR="00C928B0" w:rsidRPr="004C7FB3" w:rsidRDefault="00C928B0" w:rsidP="00C928B0">
      <w:pPr>
        <w:spacing w:line="360" w:lineRule="auto"/>
        <w:jc w:val="both"/>
        <w:rPr>
          <w:rFonts w:ascii="Arial" w:hAnsi="Arial" w:cs="Arial"/>
          <w:sz w:val="22"/>
          <w:szCs w:val="22"/>
        </w:rPr>
      </w:pPr>
      <w:r w:rsidRPr="004C7FB3">
        <w:rPr>
          <w:rFonts w:ascii="Arial" w:hAnsi="Arial" w:cs="Arial"/>
          <w:sz w:val="22"/>
          <w:szCs w:val="22"/>
        </w:rPr>
        <w:t xml:space="preserve">On the policy front, neglect of the basic guidelines of the Care Quality Commission (CQC), such as safety, dignity, responsiveness, were also a major contributor towards the decline in service quality. Moreover, regulators did not adequately </w:t>
      </w:r>
      <w:r w:rsidR="00E80CEF" w:rsidRPr="004C7FB3">
        <w:rPr>
          <w:rFonts w:ascii="Arial" w:hAnsi="Arial" w:cs="Arial"/>
          <w:sz w:val="22"/>
          <w:szCs w:val="22"/>
        </w:rPr>
        <w:t>act</w:t>
      </w:r>
      <w:r w:rsidRPr="004C7FB3">
        <w:rPr>
          <w:rFonts w:ascii="Arial" w:hAnsi="Arial" w:cs="Arial"/>
          <w:sz w:val="22"/>
          <w:szCs w:val="22"/>
        </w:rPr>
        <w:t xml:space="preserve"> when there were signs which showed the vulnerability of monitoring and enforcement measures. Moreover, the scandal also brought broader repercussions to the esteem of the masses of the NHS, with national surveys post-inquiry revealing a drop in patient confidence </w:t>
      </w:r>
      <w:r w:rsidR="00E80CEF" w:rsidRPr="004C7FB3">
        <w:rPr>
          <w:rFonts w:ascii="Arial" w:hAnsi="Arial" w:cs="Arial"/>
          <w:sz w:val="22"/>
          <w:szCs w:val="22"/>
        </w:rPr>
        <w:t>in</w:t>
      </w:r>
      <w:r w:rsidRPr="004C7FB3">
        <w:rPr>
          <w:rFonts w:ascii="Arial" w:hAnsi="Arial" w:cs="Arial"/>
          <w:sz w:val="22"/>
          <w:szCs w:val="22"/>
        </w:rPr>
        <w:t xml:space="preserve"> the quality of care in the hospital (Francis Report, 2013). This shows the reputational harm that would be experienced in the </w:t>
      </w:r>
      <w:r w:rsidR="00E80CEF" w:rsidRPr="004C7FB3">
        <w:rPr>
          <w:rFonts w:ascii="Arial" w:hAnsi="Arial" w:cs="Arial"/>
          <w:sz w:val="22"/>
          <w:szCs w:val="22"/>
        </w:rPr>
        <w:t>long run</w:t>
      </w:r>
      <w:r w:rsidRPr="004C7FB3">
        <w:rPr>
          <w:rFonts w:ascii="Arial" w:hAnsi="Arial" w:cs="Arial"/>
          <w:sz w:val="22"/>
          <w:szCs w:val="22"/>
        </w:rPr>
        <w:t xml:space="preserve"> due to systemic failures, </w:t>
      </w:r>
      <w:r w:rsidR="00E80CEF" w:rsidRPr="004C7FB3">
        <w:rPr>
          <w:rFonts w:ascii="Arial" w:hAnsi="Arial" w:cs="Arial"/>
          <w:sz w:val="22"/>
          <w:szCs w:val="22"/>
        </w:rPr>
        <w:t>and</w:t>
      </w:r>
      <w:r w:rsidRPr="004C7FB3">
        <w:rPr>
          <w:rFonts w:ascii="Arial" w:hAnsi="Arial" w:cs="Arial"/>
          <w:sz w:val="22"/>
          <w:szCs w:val="22"/>
        </w:rPr>
        <w:t xml:space="preserve"> the urgency of providing effective quality assurance and ongoing service </w:t>
      </w:r>
      <w:r w:rsidR="00E80CEF" w:rsidRPr="004C7FB3">
        <w:rPr>
          <w:rFonts w:ascii="Arial" w:hAnsi="Arial" w:cs="Arial"/>
          <w:sz w:val="22"/>
          <w:szCs w:val="22"/>
        </w:rPr>
        <w:t>optimisation</w:t>
      </w:r>
      <w:r w:rsidRPr="004C7FB3">
        <w:rPr>
          <w:rFonts w:ascii="Arial" w:hAnsi="Arial" w:cs="Arial"/>
          <w:sz w:val="22"/>
          <w:szCs w:val="22"/>
        </w:rPr>
        <w:t xml:space="preserve"> frameworks.</w:t>
      </w:r>
    </w:p>
    <w:p w14:paraId="058C5C54" w14:textId="78F15B93" w:rsidR="00080638" w:rsidRPr="004C7FB3" w:rsidRDefault="00C928B0" w:rsidP="00C928B0">
      <w:pPr>
        <w:spacing w:line="360" w:lineRule="auto"/>
        <w:jc w:val="both"/>
        <w:rPr>
          <w:rFonts w:ascii="Arial" w:hAnsi="Arial" w:cs="Arial"/>
          <w:sz w:val="22"/>
          <w:szCs w:val="22"/>
        </w:rPr>
      </w:pPr>
      <w:r w:rsidRPr="004C7FB3">
        <w:rPr>
          <w:rFonts w:ascii="Arial" w:hAnsi="Arial" w:cs="Arial"/>
          <w:sz w:val="22"/>
          <w:szCs w:val="22"/>
        </w:rPr>
        <w:t xml:space="preserve">This matter is not limited to one </w:t>
      </w:r>
      <w:r w:rsidR="00E80CEF" w:rsidRPr="004C7FB3">
        <w:rPr>
          <w:rFonts w:ascii="Arial" w:hAnsi="Arial" w:cs="Arial"/>
          <w:sz w:val="22"/>
          <w:szCs w:val="22"/>
        </w:rPr>
        <w:t>organisation</w:t>
      </w:r>
      <w:r w:rsidRPr="004C7FB3">
        <w:rPr>
          <w:rFonts w:ascii="Arial" w:hAnsi="Arial" w:cs="Arial"/>
          <w:sz w:val="22"/>
          <w:szCs w:val="22"/>
        </w:rPr>
        <w:t xml:space="preserve">, as it reveals critical flaws in the framework of the health services. It illustrates the way a lack of proper leadership, poor staffing, and governance may all contribute to the disastrous results. Consequently, to study the quality assurance mechanisms that may be ineffective, and to formulate the strategies to improve the service to avoid </w:t>
      </w:r>
      <w:r w:rsidR="00E80CEF" w:rsidRPr="004C7FB3">
        <w:rPr>
          <w:rFonts w:ascii="Arial" w:hAnsi="Arial" w:cs="Arial"/>
          <w:sz w:val="22"/>
          <w:szCs w:val="22"/>
        </w:rPr>
        <w:t>their</w:t>
      </w:r>
      <w:r w:rsidRPr="004C7FB3">
        <w:rPr>
          <w:rFonts w:ascii="Arial" w:hAnsi="Arial" w:cs="Arial"/>
          <w:sz w:val="22"/>
          <w:szCs w:val="22"/>
        </w:rPr>
        <w:t xml:space="preserve"> occurrence in the future, this case needs to be analysed.</w:t>
      </w:r>
    </w:p>
    <w:p w14:paraId="3B90999B" w14:textId="799E4D16" w:rsidR="00080638" w:rsidRPr="004C7FB3" w:rsidRDefault="00080638" w:rsidP="0017467D">
      <w:pPr>
        <w:pStyle w:val="Heading1"/>
        <w:rPr>
          <w:rFonts w:ascii="Arial" w:hAnsi="Arial" w:cs="Arial"/>
          <w:sz w:val="22"/>
          <w:szCs w:val="22"/>
        </w:rPr>
      </w:pPr>
      <w:bookmarkStart w:id="1" w:name="_Toc226631966"/>
      <w:r w:rsidRPr="004C7FB3">
        <w:rPr>
          <w:rFonts w:ascii="Arial" w:hAnsi="Arial" w:cs="Arial"/>
          <w:sz w:val="22"/>
          <w:szCs w:val="22"/>
        </w:rPr>
        <w:t>Main Body</w:t>
      </w:r>
      <w:bookmarkEnd w:id="1"/>
      <w:r w:rsidRPr="004C7FB3">
        <w:rPr>
          <w:rFonts w:ascii="Arial" w:hAnsi="Arial" w:cs="Arial"/>
          <w:sz w:val="22"/>
          <w:szCs w:val="22"/>
        </w:rPr>
        <w:t xml:space="preserve"> </w:t>
      </w:r>
    </w:p>
    <w:p w14:paraId="50F2A849" w14:textId="5BFCD573" w:rsidR="00884E6A" w:rsidRPr="004C7FB3" w:rsidRDefault="00884E6A" w:rsidP="0017467D">
      <w:pPr>
        <w:pStyle w:val="Heading2"/>
        <w:rPr>
          <w:rFonts w:ascii="Arial" w:hAnsi="Arial" w:cs="Arial"/>
          <w:sz w:val="22"/>
          <w:szCs w:val="22"/>
        </w:rPr>
      </w:pPr>
      <w:bookmarkStart w:id="2" w:name="_Toc226631967"/>
      <w:r w:rsidRPr="004C7FB3">
        <w:rPr>
          <w:rFonts w:ascii="Arial" w:hAnsi="Arial" w:cs="Arial"/>
          <w:sz w:val="22"/>
          <w:szCs w:val="22"/>
        </w:rPr>
        <w:t>Root Cause Analysis Using the Swiss Cheese Model</w:t>
      </w:r>
      <w:bookmarkEnd w:id="2"/>
    </w:p>
    <w:p w14:paraId="114B9127" w14:textId="690FC16D" w:rsidR="00F77D99" w:rsidRPr="004C7FB3" w:rsidRDefault="00AD3823" w:rsidP="00F77D99">
      <w:pPr>
        <w:spacing w:line="360" w:lineRule="auto"/>
        <w:jc w:val="both"/>
        <w:rPr>
          <w:rFonts w:ascii="Arial" w:hAnsi="Arial" w:cs="Arial"/>
          <w:sz w:val="22"/>
          <w:szCs w:val="22"/>
        </w:rPr>
      </w:pPr>
      <w:r w:rsidRPr="004C7FB3">
        <w:rPr>
          <w:rFonts w:ascii="Arial" w:hAnsi="Arial" w:cs="Arial"/>
          <w:sz w:val="22"/>
          <w:szCs w:val="22"/>
        </w:rPr>
        <w:t xml:space="preserve">The </w:t>
      </w:r>
      <w:r w:rsidR="00F77D99" w:rsidRPr="004C7FB3">
        <w:rPr>
          <w:rFonts w:ascii="Arial" w:hAnsi="Arial" w:cs="Arial"/>
          <w:sz w:val="22"/>
          <w:szCs w:val="22"/>
        </w:rPr>
        <w:t xml:space="preserve">Swiss Cheese Model </w:t>
      </w:r>
      <w:r w:rsidR="003457EE" w:rsidRPr="004C7FB3">
        <w:rPr>
          <w:rFonts w:ascii="Arial" w:hAnsi="Arial" w:cs="Arial"/>
          <w:sz w:val="22"/>
          <w:szCs w:val="22"/>
        </w:rPr>
        <w:t>is</w:t>
      </w:r>
      <w:r w:rsidR="00F77D99" w:rsidRPr="004C7FB3">
        <w:rPr>
          <w:rFonts w:ascii="Arial" w:hAnsi="Arial" w:cs="Arial"/>
          <w:sz w:val="22"/>
          <w:szCs w:val="22"/>
        </w:rPr>
        <w:t xml:space="preserve"> a model developed by Reason that </w:t>
      </w:r>
      <w:r w:rsidRPr="004C7FB3">
        <w:rPr>
          <w:rFonts w:ascii="Arial" w:hAnsi="Arial" w:cs="Arial"/>
          <w:sz w:val="22"/>
          <w:szCs w:val="22"/>
        </w:rPr>
        <w:t>accounts</w:t>
      </w:r>
      <w:r w:rsidR="00F77D99" w:rsidRPr="004C7FB3">
        <w:rPr>
          <w:rFonts w:ascii="Arial" w:hAnsi="Arial" w:cs="Arial"/>
          <w:sz w:val="22"/>
          <w:szCs w:val="22"/>
        </w:rPr>
        <w:t xml:space="preserve"> for the way healthcare failures happen when several layers of defence fail at the same time. The attendance of each of these layers reflects protection measures, including leadership, governance, staffing, and control of regulations</w:t>
      </w:r>
      <w:r w:rsidR="003457EE" w:rsidRPr="004C7FB3">
        <w:rPr>
          <w:rFonts w:ascii="Arial" w:hAnsi="Arial" w:cs="Arial"/>
          <w:sz w:val="22"/>
          <w:szCs w:val="22"/>
        </w:rPr>
        <w:t xml:space="preserve"> (Wiegmann et al., 2022)</w:t>
      </w:r>
      <w:r w:rsidR="00F77D99" w:rsidRPr="004C7FB3">
        <w:rPr>
          <w:rFonts w:ascii="Arial" w:hAnsi="Arial" w:cs="Arial"/>
          <w:sz w:val="22"/>
          <w:szCs w:val="22"/>
        </w:rPr>
        <w:t xml:space="preserve">. These layers were critical areas of weakness that aligned together in the case of the Mid Staffordshire NHS Foundation Trust, thus causing serious failures in patient safety.  Being understaffed was also a significant issue. </w:t>
      </w:r>
    </w:p>
    <w:p w14:paraId="44AF5C7E" w14:textId="13D2FCA6" w:rsidR="00AD3823" w:rsidRPr="004C7FB3" w:rsidRDefault="00AD3823" w:rsidP="00F77D99">
      <w:pPr>
        <w:spacing w:line="360" w:lineRule="auto"/>
        <w:jc w:val="both"/>
        <w:rPr>
          <w:rFonts w:ascii="Arial" w:hAnsi="Arial" w:cs="Arial"/>
          <w:sz w:val="22"/>
          <w:szCs w:val="22"/>
        </w:rPr>
      </w:pPr>
      <w:r w:rsidRPr="004C7FB3">
        <w:rPr>
          <w:rFonts w:ascii="Arial" w:hAnsi="Arial" w:cs="Arial"/>
          <w:sz w:val="22"/>
          <w:szCs w:val="22"/>
        </w:rPr>
        <w:t xml:space="preserve">The </w:t>
      </w:r>
      <w:r w:rsidRPr="004C7FB3">
        <w:rPr>
          <w:rFonts w:ascii="Arial" w:hAnsi="Arial" w:cs="Arial"/>
          <w:b/>
          <w:bCs/>
          <w:i/>
          <w:iCs/>
          <w:sz w:val="22"/>
          <w:szCs w:val="22"/>
        </w:rPr>
        <w:t>first layer</w:t>
      </w:r>
      <w:r w:rsidRPr="004C7FB3">
        <w:rPr>
          <w:rFonts w:ascii="Arial" w:hAnsi="Arial" w:cs="Arial"/>
          <w:sz w:val="22"/>
          <w:szCs w:val="22"/>
        </w:rPr>
        <w:t xml:space="preserve"> was staffing, which had holes thanks to decreased nurse staff, unsafe staffing-patient ratios, and undermined frontline care (</w:t>
      </w:r>
      <w:proofErr w:type="spellStart"/>
      <w:r w:rsidRPr="004C7FB3">
        <w:rPr>
          <w:rFonts w:ascii="Arial" w:hAnsi="Arial" w:cs="Arial"/>
          <w:sz w:val="22"/>
          <w:szCs w:val="22"/>
        </w:rPr>
        <w:t>Dall’Ora</w:t>
      </w:r>
      <w:proofErr w:type="spellEnd"/>
      <w:r w:rsidRPr="004C7FB3">
        <w:rPr>
          <w:rFonts w:ascii="Arial" w:hAnsi="Arial" w:cs="Arial"/>
          <w:sz w:val="22"/>
          <w:szCs w:val="22"/>
        </w:rPr>
        <w:t xml:space="preserve"> et al., 2022; NHS England, 2024). The </w:t>
      </w:r>
      <w:r w:rsidRPr="004C7FB3">
        <w:rPr>
          <w:rFonts w:ascii="Arial" w:hAnsi="Arial" w:cs="Arial"/>
          <w:b/>
          <w:bCs/>
          <w:i/>
          <w:iCs/>
          <w:sz w:val="22"/>
          <w:szCs w:val="22"/>
        </w:rPr>
        <w:t>second layer</w:t>
      </w:r>
      <w:r w:rsidRPr="004C7FB3">
        <w:rPr>
          <w:rFonts w:ascii="Arial" w:hAnsi="Arial" w:cs="Arial"/>
          <w:sz w:val="22"/>
          <w:szCs w:val="22"/>
        </w:rPr>
        <w:t xml:space="preserve">, leadership and governance, collapsed because the management did not focus on patient safety but instead on financial goals, which led to unsuccessful decisions (Francis Report, 2013). The </w:t>
      </w:r>
      <w:r w:rsidRPr="004C7FB3">
        <w:rPr>
          <w:rFonts w:ascii="Arial" w:hAnsi="Arial" w:cs="Arial"/>
          <w:b/>
          <w:bCs/>
          <w:i/>
          <w:iCs/>
          <w:sz w:val="22"/>
          <w:szCs w:val="22"/>
        </w:rPr>
        <w:t>third layer</w:t>
      </w:r>
      <w:r w:rsidRPr="004C7FB3">
        <w:rPr>
          <w:rFonts w:ascii="Arial" w:hAnsi="Arial" w:cs="Arial"/>
          <w:sz w:val="22"/>
          <w:szCs w:val="22"/>
        </w:rPr>
        <w:t xml:space="preserve"> was internal monitoring systems, which were not properly followed with increasing mortality rates, like a higher Hospital Standardised Mortality Ratio (HSMR) not being properly responded to (Kang et al., 2023; Francis Report, 2013). </w:t>
      </w:r>
    </w:p>
    <w:p w14:paraId="1B0C3726" w14:textId="287E2DDC" w:rsidR="00F77D99" w:rsidRPr="004C7FB3" w:rsidRDefault="00F77D99" w:rsidP="00F77D99">
      <w:pPr>
        <w:spacing w:line="360" w:lineRule="auto"/>
        <w:jc w:val="both"/>
        <w:rPr>
          <w:rFonts w:ascii="Arial" w:hAnsi="Arial" w:cs="Arial"/>
          <w:sz w:val="22"/>
          <w:szCs w:val="22"/>
        </w:rPr>
      </w:pPr>
      <w:r w:rsidRPr="004C7FB3">
        <w:rPr>
          <w:rFonts w:ascii="Arial" w:hAnsi="Arial" w:cs="Arial"/>
          <w:sz w:val="22"/>
          <w:szCs w:val="22"/>
        </w:rPr>
        <w:t>The studies show that an increase in the number of patients per nurse raises the risk of mortality by about 7, which demonstrates the close connection between staffing and patient outcomes (NYSNA, 2023). Issues on leadership and governance failures were also very important. The management put a strain on financial goals and Foundation Trust status at the expense of patient care, which did not result in the appropriate decision-making. The rising mortality was not observed by weak internal monitoring systems, as the Hospital Standardised Mortality Ratio (HSMR) of the Trust was above the expected levels.</w:t>
      </w:r>
    </w:p>
    <w:p w14:paraId="49A9D4C3" w14:textId="1C7C50B6" w:rsidR="00884E6A" w:rsidRPr="004C7FB3" w:rsidRDefault="00F77D99" w:rsidP="00F77D99">
      <w:pPr>
        <w:spacing w:line="360" w:lineRule="auto"/>
        <w:jc w:val="both"/>
        <w:rPr>
          <w:rFonts w:ascii="Arial" w:hAnsi="Arial" w:cs="Arial"/>
          <w:sz w:val="22"/>
          <w:szCs w:val="22"/>
        </w:rPr>
      </w:pPr>
      <w:r w:rsidRPr="004C7FB3">
        <w:rPr>
          <w:rFonts w:ascii="Arial" w:hAnsi="Arial" w:cs="Arial"/>
          <w:sz w:val="22"/>
          <w:szCs w:val="22"/>
        </w:rPr>
        <w:t xml:space="preserve">Another failed layer was regulatory oversight. Although the alarm bells raised by patient complaints and high mortality rates, the external regulatory agencies were not doing enough, including the CQC. Also, there was a poor organisational culture that discouraged whistleblowing, which meant that risks were not identified early enough. The issues raised by staff were not taken very seriously, and adverse practices prevailed (Kumah, 2025). </w:t>
      </w:r>
    </w:p>
    <w:p w14:paraId="03C1BD35" w14:textId="2FA610DA" w:rsidR="00884E6A" w:rsidRPr="004C7FB3" w:rsidRDefault="00884E6A" w:rsidP="0017467D">
      <w:pPr>
        <w:pStyle w:val="Heading2"/>
        <w:rPr>
          <w:rFonts w:ascii="Arial" w:hAnsi="Arial" w:cs="Arial"/>
          <w:sz w:val="22"/>
          <w:szCs w:val="22"/>
        </w:rPr>
      </w:pPr>
      <w:bookmarkStart w:id="3" w:name="_Toc226631968"/>
      <w:r w:rsidRPr="004C7FB3">
        <w:rPr>
          <w:rFonts w:ascii="Arial" w:hAnsi="Arial" w:cs="Arial"/>
          <w:sz w:val="22"/>
          <w:szCs w:val="22"/>
        </w:rPr>
        <w:t>Fishbone Diagram Analysis</w:t>
      </w:r>
      <w:bookmarkEnd w:id="3"/>
    </w:p>
    <w:p w14:paraId="40455C26" w14:textId="3120C50E" w:rsidR="00D8077C" w:rsidRPr="004C7FB3" w:rsidRDefault="00BB3545" w:rsidP="00D8077C">
      <w:pPr>
        <w:spacing w:line="360" w:lineRule="auto"/>
        <w:jc w:val="both"/>
        <w:rPr>
          <w:rFonts w:ascii="Arial" w:hAnsi="Arial" w:cs="Arial"/>
          <w:sz w:val="22"/>
          <w:szCs w:val="22"/>
        </w:rPr>
      </w:pPr>
      <w:r w:rsidRPr="004C7FB3">
        <w:rPr>
          <w:rFonts w:ascii="Arial" w:hAnsi="Arial" w:cs="Arial"/>
          <w:sz w:val="22"/>
          <w:szCs w:val="22"/>
        </w:rPr>
        <w:t xml:space="preserve">A systematic scheme that would be used to determine the root causes of the scandal that took place in Mid Staffordshire NHS Trust and </w:t>
      </w:r>
      <w:proofErr w:type="spellStart"/>
      <w:r w:rsidR="001D2589" w:rsidRPr="004C7FB3">
        <w:rPr>
          <w:rFonts w:ascii="Arial" w:hAnsi="Arial" w:cs="Arial"/>
          <w:sz w:val="22"/>
          <w:szCs w:val="22"/>
        </w:rPr>
        <w:t>classify</w:t>
      </w:r>
      <w:r w:rsidR="00522C99" w:rsidRPr="004C7FB3">
        <w:rPr>
          <w:rFonts w:ascii="Arial" w:hAnsi="Arial" w:cs="Arial"/>
          <w:sz w:val="22"/>
          <w:szCs w:val="22"/>
        </w:rPr>
        <w:t>cation</w:t>
      </w:r>
      <w:proofErr w:type="spellEnd"/>
      <w:r w:rsidR="00522C99" w:rsidRPr="004C7FB3">
        <w:rPr>
          <w:rFonts w:ascii="Arial" w:hAnsi="Arial" w:cs="Arial"/>
          <w:sz w:val="22"/>
          <w:szCs w:val="22"/>
        </w:rPr>
        <w:t xml:space="preserve"> of</w:t>
      </w:r>
      <w:r w:rsidRPr="004C7FB3">
        <w:rPr>
          <w:rFonts w:ascii="Arial" w:hAnsi="Arial" w:cs="Arial"/>
          <w:sz w:val="22"/>
          <w:szCs w:val="22"/>
        </w:rPr>
        <w:t xml:space="preserve"> them is offered through the Fishbone (Ishikawa) Diagram. It classifies contributing factors into key areas, including </w:t>
      </w:r>
      <w:r w:rsidRPr="004C7FB3">
        <w:rPr>
          <w:rFonts w:ascii="Arial" w:hAnsi="Arial" w:cs="Arial"/>
          <w:b/>
          <w:bCs/>
          <w:i/>
          <w:iCs/>
          <w:sz w:val="22"/>
          <w:szCs w:val="22"/>
        </w:rPr>
        <w:t>leadership, governance, management, policy, and organisational culture,</w:t>
      </w:r>
      <w:r w:rsidRPr="004C7FB3">
        <w:rPr>
          <w:rFonts w:ascii="Arial" w:hAnsi="Arial" w:cs="Arial"/>
          <w:sz w:val="22"/>
          <w:szCs w:val="22"/>
        </w:rPr>
        <w:t xml:space="preserve"> </w:t>
      </w:r>
      <w:r w:rsidR="001C3A85" w:rsidRPr="004C7FB3">
        <w:rPr>
          <w:rFonts w:ascii="Arial" w:hAnsi="Arial" w:cs="Arial"/>
          <w:sz w:val="22"/>
          <w:szCs w:val="22"/>
        </w:rPr>
        <w:t>thereby providing a structured understanding</w:t>
      </w:r>
      <w:r w:rsidRPr="004C7FB3">
        <w:rPr>
          <w:rFonts w:ascii="Arial" w:hAnsi="Arial" w:cs="Arial"/>
          <w:sz w:val="22"/>
          <w:szCs w:val="22"/>
        </w:rPr>
        <w:t xml:space="preserve"> of how failures occurred.</w:t>
      </w:r>
    </w:p>
    <w:p w14:paraId="24B3895E" w14:textId="7709711D" w:rsidR="00D8077C" w:rsidRPr="004C7FB3" w:rsidRDefault="00D8077C" w:rsidP="00D8077C">
      <w:pPr>
        <w:spacing w:line="360" w:lineRule="auto"/>
        <w:jc w:val="both"/>
        <w:rPr>
          <w:rFonts w:ascii="Arial" w:hAnsi="Arial" w:cs="Arial"/>
          <w:b/>
          <w:bCs/>
          <w:sz w:val="22"/>
          <w:szCs w:val="22"/>
        </w:rPr>
      </w:pPr>
      <w:r w:rsidRPr="004C7FB3">
        <w:rPr>
          <w:rFonts w:ascii="Arial" w:hAnsi="Arial" w:cs="Arial"/>
          <w:b/>
          <w:bCs/>
          <w:noProof/>
          <w:sz w:val="22"/>
          <w:szCs w:val="22"/>
        </w:rPr>
        <w:drawing>
          <wp:inline distT="0" distB="0" distL="0" distR="0" wp14:anchorId="48EEB6C8" wp14:editId="0555E7BB">
            <wp:extent cx="5731510" cy="3242945"/>
            <wp:effectExtent l="19050" t="19050" r="21590" b="14605"/>
            <wp:docPr id="1301529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29969" name=""/>
                    <pic:cNvPicPr/>
                  </pic:nvPicPr>
                  <pic:blipFill rotWithShape="1">
                    <a:blip r:embed="rId8"/>
                    <a:srcRect t="9850"/>
                    <a:stretch>
                      <a:fillRect/>
                    </a:stretch>
                  </pic:blipFill>
                  <pic:spPr bwMode="auto">
                    <a:xfrm>
                      <a:off x="0" y="0"/>
                      <a:ext cx="5731510" cy="3242945"/>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DB54BFA" w14:textId="281202C7" w:rsidR="00114C79" w:rsidRPr="004C7FB3" w:rsidRDefault="00114C79" w:rsidP="00114C79">
      <w:pPr>
        <w:spacing w:line="360" w:lineRule="auto"/>
        <w:jc w:val="center"/>
        <w:rPr>
          <w:rFonts w:ascii="Arial" w:hAnsi="Arial" w:cs="Arial"/>
          <w:b/>
          <w:bCs/>
          <w:sz w:val="22"/>
          <w:szCs w:val="22"/>
        </w:rPr>
      </w:pPr>
      <w:r w:rsidRPr="004C7FB3">
        <w:rPr>
          <w:rFonts w:ascii="Arial" w:hAnsi="Arial" w:cs="Arial"/>
          <w:b/>
          <w:bCs/>
          <w:sz w:val="22"/>
          <w:szCs w:val="22"/>
        </w:rPr>
        <w:t xml:space="preserve">Figure </w:t>
      </w:r>
      <w:r w:rsidR="00D2625E" w:rsidRPr="004C7FB3">
        <w:rPr>
          <w:rFonts w:ascii="Arial" w:hAnsi="Arial" w:cs="Arial"/>
          <w:b/>
          <w:bCs/>
          <w:sz w:val="22"/>
          <w:szCs w:val="22"/>
        </w:rPr>
        <w:t>1</w:t>
      </w:r>
      <w:r w:rsidRPr="004C7FB3">
        <w:rPr>
          <w:rFonts w:ascii="Arial" w:hAnsi="Arial" w:cs="Arial"/>
          <w:b/>
          <w:bCs/>
          <w:sz w:val="22"/>
          <w:szCs w:val="22"/>
        </w:rPr>
        <w:t>: Fishbone Diagram of the Mid Staffordshire NHS Scandal</w:t>
      </w:r>
    </w:p>
    <w:p w14:paraId="60E4250F" w14:textId="30ED5FFC" w:rsidR="00114C79" w:rsidRPr="004C7FB3" w:rsidRDefault="00114C79" w:rsidP="00114C79">
      <w:pPr>
        <w:spacing w:line="360" w:lineRule="auto"/>
        <w:jc w:val="center"/>
        <w:rPr>
          <w:rFonts w:ascii="Arial" w:hAnsi="Arial" w:cs="Arial"/>
          <w:sz w:val="22"/>
          <w:szCs w:val="22"/>
        </w:rPr>
      </w:pPr>
      <w:r w:rsidRPr="004C7FB3">
        <w:rPr>
          <w:rFonts w:ascii="Arial" w:hAnsi="Arial" w:cs="Arial"/>
          <w:sz w:val="22"/>
          <w:szCs w:val="22"/>
        </w:rPr>
        <w:t>(Source: Self-Developed)</w:t>
      </w:r>
    </w:p>
    <w:p w14:paraId="1B9C4F4A" w14:textId="2D8045F5" w:rsidR="00884E6A" w:rsidRPr="004C7FB3" w:rsidRDefault="00075540" w:rsidP="00D8077C">
      <w:pPr>
        <w:spacing w:line="360" w:lineRule="auto"/>
        <w:jc w:val="both"/>
        <w:rPr>
          <w:rFonts w:ascii="Arial" w:hAnsi="Arial" w:cs="Arial"/>
          <w:sz w:val="22"/>
          <w:szCs w:val="22"/>
        </w:rPr>
      </w:pPr>
      <w:r w:rsidRPr="004C7FB3">
        <w:rPr>
          <w:rFonts w:ascii="Arial" w:hAnsi="Arial" w:cs="Arial"/>
          <w:sz w:val="22"/>
          <w:szCs w:val="22"/>
        </w:rPr>
        <w:t>The analysis proves that there was no one problem in the crisis, but that it was a combination of weak links within a very weak system. One case example is the financial goals that the leadership focused on, which resulted in downsizing the nursing staff by around 150 employees, directly impacting care quality and workload pressures (NHS England, 2024). Inadequate governance in terms of the ineffective presence of regulations and ineffective audits enabled the deteriorating standards to continue. The problem was exacerbated by cultural factors, with the fear of whistleblowing thus not allowing staff to lay out concerns. These problems, along with the policy non-compliance, led to even higher death rates (as the estimated number of excess deaths is between 400 and 1200</w:t>
      </w:r>
      <w:r w:rsidR="00165679" w:rsidRPr="004C7FB3">
        <w:rPr>
          <w:rFonts w:ascii="Arial" w:hAnsi="Arial" w:cs="Arial"/>
          <w:sz w:val="22"/>
          <w:szCs w:val="22"/>
        </w:rPr>
        <w:t>)</w:t>
      </w:r>
      <w:r w:rsidRPr="004C7FB3">
        <w:rPr>
          <w:rFonts w:ascii="Arial" w:hAnsi="Arial" w:cs="Arial"/>
          <w:sz w:val="22"/>
          <w:szCs w:val="22"/>
        </w:rPr>
        <w:t xml:space="preserve"> (NYSNA, 2023). In general, the Fishbone analysis reveals the multiphasic nature and interdependence of the factors impacting the healthcare quality failure.</w:t>
      </w:r>
    </w:p>
    <w:p w14:paraId="09030041" w14:textId="77777777" w:rsidR="00884E6A" w:rsidRPr="004C7FB3" w:rsidRDefault="00884E6A" w:rsidP="0017467D">
      <w:pPr>
        <w:pStyle w:val="Heading2"/>
        <w:rPr>
          <w:rFonts w:ascii="Arial" w:hAnsi="Arial" w:cs="Arial"/>
          <w:sz w:val="22"/>
          <w:szCs w:val="22"/>
        </w:rPr>
      </w:pPr>
      <w:bookmarkStart w:id="4" w:name="_Toc226631969"/>
      <w:r w:rsidRPr="004C7FB3">
        <w:rPr>
          <w:rFonts w:ascii="Arial" w:hAnsi="Arial" w:cs="Arial"/>
          <w:sz w:val="22"/>
          <w:szCs w:val="22"/>
        </w:rPr>
        <w:t>Application of Donabedian’s Structure-Process-Outcome Model</w:t>
      </w:r>
      <w:bookmarkEnd w:id="4"/>
    </w:p>
    <w:p w14:paraId="113012D7" w14:textId="5BB52F21" w:rsidR="00884E6A" w:rsidRPr="004C7FB3" w:rsidRDefault="00165679" w:rsidP="00884E6A">
      <w:pPr>
        <w:spacing w:line="360" w:lineRule="auto"/>
        <w:jc w:val="both"/>
        <w:rPr>
          <w:rFonts w:ascii="Arial" w:hAnsi="Arial" w:cs="Arial"/>
          <w:sz w:val="22"/>
          <w:szCs w:val="22"/>
        </w:rPr>
      </w:pPr>
      <w:r w:rsidRPr="004C7FB3">
        <w:rPr>
          <w:rFonts w:ascii="Arial" w:hAnsi="Arial" w:cs="Arial"/>
          <w:sz w:val="22"/>
          <w:szCs w:val="22"/>
        </w:rPr>
        <w:t xml:space="preserve">The SPO model by Donabedian offers an elaborate model of measuring the quality of healthcare and is effective due to an analytical approach conducted on the relationship between the structure, process, and outcomes (Yang </w:t>
      </w:r>
      <w:r w:rsidRPr="004C7FB3">
        <w:rPr>
          <w:rFonts w:ascii="Arial" w:hAnsi="Arial" w:cs="Arial"/>
          <w:i/>
          <w:iCs/>
          <w:sz w:val="22"/>
          <w:szCs w:val="22"/>
        </w:rPr>
        <w:t>et al.,</w:t>
      </w:r>
      <w:r w:rsidRPr="004C7FB3">
        <w:rPr>
          <w:rFonts w:ascii="Arial" w:hAnsi="Arial" w:cs="Arial"/>
          <w:sz w:val="22"/>
          <w:szCs w:val="22"/>
        </w:rPr>
        <w:t xml:space="preserve"> 2025). All three components in the context of Mid Staffordshire led to poor performance.</w:t>
      </w:r>
    </w:p>
    <w:p w14:paraId="72808005" w14:textId="0AF8F73D" w:rsidR="00D2625E" w:rsidRPr="004C7FB3" w:rsidRDefault="00D2625E" w:rsidP="00D2625E">
      <w:pPr>
        <w:spacing w:line="360" w:lineRule="auto"/>
        <w:jc w:val="center"/>
        <w:rPr>
          <w:rFonts w:ascii="Arial" w:hAnsi="Arial" w:cs="Arial"/>
          <w:sz w:val="22"/>
          <w:szCs w:val="22"/>
        </w:rPr>
      </w:pPr>
      <w:r w:rsidRPr="004C7FB3">
        <w:rPr>
          <w:rFonts w:ascii="Arial" w:hAnsi="Arial" w:cs="Arial"/>
          <w:noProof/>
          <w:sz w:val="22"/>
          <w:szCs w:val="22"/>
        </w:rPr>
        <w:drawing>
          <wp:inline distT="0" distB="0" distL="0" distR="0" wp14:anchorId="0C319E67" wp14:editId="3A7891A7">
            <wp:extent cx="3798570" cy="3191770"/>
            <wp:effectExtent l="19050" t="19050" r="11430" b="27940"/>
            <wp:docPr id="88042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29216" name=""/>
                    <pic:cNvPicPr/>
                  </pic:nvPicPr>
                  <pic:blipFill>
                    <a:blip r:embed="rId9"/>
                    <a:stretch>
                      <a:fillRect/>
                    </a:stretch>
                  </pic:blipFill>
                  <pic:spPr>
                    <a:xfrm>
                      <a:off x="0" y="0"/>
                      <a:ext cx="3806123" cy="3198117"/>
                    </a:xfrm>
                    <a:prstGeom prst="rect">
                      <a:avLst/>
                    </a:prstGeom>
                    <a:ln>
                      <a:solidFill>
                        <a:schemeClr val="tx1"/>
                      </a:solidFill>
                    </a:ln>
                  </pic:spPr>
                </pic:pic>
              </a:graphicData>
            </a:graphic>
          </wp:inline>
        </w:drawing>
      </w:r>
    </w:p>
    <w:p w14:paraId="7C0B0A69" w14:textId="29722F8A" w:rsidR="00D2625E" w:rsidRPr="004C7FB3" w:rsidRDefault="00D2625E" w:rsidP="00D2625E">
      <w:pPr>
        <w:spacing w:line="360" w:lineRule="auto"/>
        <w:jc w:val="center"/>
        <w:rPr>
          <w:rFonts w:ascii="Arial" w:hAnsi="Arial" w:cs="Arial"/>
          <w:b/>
          <w:bCs/>
          <w:sz w:val="22"/>
          <w:szCs w:val="22"/>
        </w:rPr>
      </w:pPr>
      <w:r w:rsidRPr="004C7FB3">
        <w:rPr>
          <w:rFonts w:ascii="Arial" w:hAnsi="Arial" w:cs="Arial"/>
          <w:b/>
          <w:bCs/>
          <w:sz w:val="22"/>
          <w:szCs w:val="22"/>
        </w:rPr>
        <w:t>Figure 2: Donabedian Structure-Process-Outcome framework.</w:t>
      </w:r>
    </w:p>
    <w:p w14:paraId="0B3B4677" w14:textId="157EECE9" w:rsidR="00D2625E" w:rsidRPr="004C7FB3" w:rsidRDefault="00D2625E" w:rsidP="00D2625E">
      <w:pPr>
        <w:spacing w:line="360" w:lineRule="auto"/>
        <w:jc w:val="center"/>
        <w:rPr>
          <w:rFonts w:ascii="Arial" w:hAnsi="Arial" w:cs="Arial"/>
          <w:sz w:val="22"/>
          <w:szCs w:val="22"/>
        </w:rPr>
      </w:pPr>
      <w:r w:rsidRPr="004C7FB3">
        <w:rPr>
          <w:rFonts w:ascii="Arial" w:hAnsi="Arial" w:cs="Arial"/>
          <w:sz w:val="22"/>
          <w:szCs w:val="22"/>
        </w:rPr>
        <w:t xml:space="preserve">(Source: </w:t>
      </w:r>
      <w:proofErr w:type="spellStart"/>
      <w:r w:rsidRPr="004C7FB3">
        <w:rPr>
          <w:rFonts w:ascii="Arial" w:hAnsi="Arial" w:cs="Arial"/>
          <w:sz w:val="22"/>
          <w:szCs w:val="22"/>
        </w:rPr>
        <w:t>Tossaint-Schoenmakers</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2021)</w:t>
      </w:r>
    </w:p>
    <w:tbl>
      <w:tblPr>
        <w:tblStyle w:val="TableGrid"/>
        <w:tblW w:w="0" w:type="auto"/>
        <w:tblLook w:val="04A0" w:firstRow="1" w:lastRow="0" w:firstColumn="1" w:lastColumn="0" w:noHBand="0" w:noVBand="1"/>
      </w:tblPr>
      <w:tblGrid>
        <w:gridCol w:w="1439"/>
        <w:gridCol w:w="5088"/>
        <w:gridCol w:w="2489"/>
      </w:tblGrid>
      <w:tr w:rsidR="004C7FB3" w:rsidRPr="004C7FB3" w14:paraId="7C8AA258" w14:textId="77777777" w:rsidTr="00FD48BB">
        <w:tc>
          <w:tcPr>
            <w:tcW w:w="0" w:type="auto"/>
            <w:hideMark/>
          </w:tcPr>
          <w:p w14:paraId="7C4F8876" w14:textId="77777777" w:rsidR="00884E6A" w:rsidRPr="004C7FB3" w:rsidRDefault="00884E6A" w:rsidP="00884E6A">
            <w:pPr>
              <w:spacing w:after="160" w:line="360" w:lineRule="auto"/>
              <w:jc w:val="both"/>
              <w:rPr>
                <w:rFonts w:ascii="Arial" w:hAnsi="Arial" w:cs="Arial"/>
                <w:b/>
                <w:bCs/>
                <w:sz w:val="22"/>
                <w:szCs w:val="22"/>
              </w:rPr>
            </w:pPr>
            <w:r w:rsidRPr="004C7FB3">
              <w:rPr>
                <w:rFonts w:ascii="Arial" w:hAnsi="Arial" w:cs="Arial"/>
                <w:b/>
                <w:bCs/>
                <w:sz w:val="22"/>
                <w:szCs w:val="22"/>
              </w:rPr>
              <w:t>Component</w:t>
            </w:r>
          </w:p>
        </w:tc>
        <w:tc>
          <w:tcPr>
            <w:tcW w:w="0" w:type="auto"/>
            <w:hideMark/>
          </w:tcPr>
          <w:p w14:paraId="12330637" w14:textId="77777777" w:rsidR="00884E6A" w:rsidRPr="004C7FB3" w:rsidRDefault="00884E6A" w:rsidP="00884E6A">
            <w:pPr>
              <w:spacing w:after="160" w:line="360" w:lineRule="auto"/>
              <w:jc w:val="both"/>
              <w:rPr>
                <w:rFonts w:ascii="Arial" w:hAnsi="Arial" w:cs="Arial"/>
                <w:b/>
                <w:bCs/>
                <w:sz w:val="22"/>
                <w:szCs w:val="22"/>
              </w:rPr>
            </w:pPr>
            <w:r w:rsidRPr="004C7FB3">
              <w:rPr>
                <w:rFonts w:ascii="Arial" w:hAnsi="Arial" w:cs="Arial"/>
                <w:b/>
                <w:bCs/>
                <w:sz w:val="22"/>
                <w:szCs w:val="22"/>
              </w:rPr>
              <w:t>Issues Identified</w:t>
            </w:r>
          </w:p>
        </w:tc>
        <w:tc>
          <w:tcPr>
            <w:tcW w:w="0" w:type="auto"/>
            <w:hideMark/>
          </w:tcPr>
          <w:p w14:paraId="4A821C75" w14:textId="77777777" w:rsidR="00884E6A" w:rsidRPr="004C7FB3" w:rsidRDefault="00884E6A" w:rsidP="00884E6A">
            <w:pPr>
              <w:spacing w:after="160" w:line="360" w:lineRule="auto"/>
              <w:jc w:val="both"/>
              <w:rPr>
                <w:rFonts w:ascii="Arial" w:hAnsi="Arial" w:cs="Arial"/>
                <w:b/>
                <w:bCs/>
                <w:sz w:val="22"/>
                <w:szCs w:val="22"/>
              </w:rPr>
            </w:pPr>
            <w:r w:rsidRPr="004C7FB3">
              <w:rPr>
                <w:rFonts w:ascii="Arial" w:hAnsi="Arial" w:cs="Arial"/>
                <w:b/>
                <w:bCs/>
                <w:sz w:val="22"/>
                <w:szCs w:val="22"/>
              </w:rPr>
              <w:t>Impact</w:t>
            </w:r>
          </w:p>
        </w:tc>
      </w:tr>
      <w:tr w:rsidR="004C7FB3" w:rsidRPr="004C7FB3" w14:paraId="1BC1D5D4" w14:textId="77777777" w:rsidTr="00FD48BB">
        <w:tc>
          <w:tcPr>
            <w:tcW w:w="0" w:type="auto"/>
            <w:hideMark/>
          </w:tcPr>
          <w:p w14:paraId="6D83151C" w14:textId="77777777" w:rsidR="00884E6A" w:rsidRPr="004C7FB3" w:rsidRDefault="00884E6A" w:rsidP="00884E6A">
            <w:pPr>
              <w:spacing w:after="160" w:line="360" w:lineRule="auto"/>
              <w:jc w:val="both"/>
              <w:rPr>
                <w:rFonts w:ascii="Arial" w:hAnsi="Arial" w:cs="Arial"/>
                <w:sz w:val="22"/>
                <w:szCs w:val="22"/>
              </w:rPr>
            </w:pPr>
            <w:r w:rsidRPr="004C7FB3">
              <w:rPr>
                <w:rFonts w:ascii="Arial" w:hAnsi="Arial" w:cs="Arial"/>
                <w:sz w:val="22"/>
                <w:szCs w:val="22"/>
              </w:rPr>
              <w:t>Structure</w:t>
            </w:r>
          </w:p>
        </w:tc>
        <w:tc>
          <w:tcPr>
            <w:tcW w:w="0" w:type="auto"/>
            <w:hideMark/>
          </w:tcPr>
          <w:p w14:paraId="58CDB8D9" w14:textId="0B5F7CF6" w:rsidR="00884E6A" w:rsidRPr="004C7FB3" w:rsidRDefault="00884E6A" w:rsidP="00884E6A">
            <w:pPr>
              <w:spacing w:after="160" w:line="360" w:lineRule="auto"/>
              <w:jc w:val="both"/>
              <w:rPr>
                <w:rFonts w:ascii="Arial" w:hAnsi="Arial" w:cs="Arial"/>
                <w:sz w:val="22"/>
                <w:szCs w:val="22"/>
              </w:rPr>
            </w:pPr>
            <w:r w:rsidRPr="004C7FB3">
              <w:rPr>
                <w:rFonts w:ascii="Arial" w:hAnsi="Arial" w:cs="Arial"/>
                <w:sz w:val="22"/>
                <w:szCs w:val="22"/>
              </w:rPr>
              <w:t xml:space="preserve">Staff shortages, inadequate training, </w:t>
            </w:r>
            <w:r w:rsidR="00FD48BB" w:rsidRPr="004C7FB3">
              <w:rPr>
                <w:rFonts w:ascii="Arial" w:hAnsi="Arial" w:cs="Arial"/>
                <w:sz w:val="22"/>
                <w:szCs w:val="22"/>
              </w:rPr>
              <w:t xml:space="preserve">and </w:t>
            </w:r>
            <w:r w:rsidRPr="004C7FB3">
              <w:rPr>
                <w:rFonts w:ascii="Arial" w:hAnsi="Arial" w:cs="Arial"/>
                <w:sz w:val="22"/>
                <w:szCs w:val="22"/>
              </w:rPr>
              <w:t>limited resources</w:t>
            </w:r>
          </w:p>
        </w:tc>
        <w:tc>
          <w:tcPr>
            <w:tcW w:w="0" w:type="auto"/>
            <w:hideMark/>
          </w:tcPr>
          <w:p w14:paraId="67394967" w14:textId="77777777" w:rsidR="00884E6A" w:rsidRPr="004C7FB3" w:rsidRDefault="00884E6A" w:rsidP="00884E6A">
            <w:pPr>
              <w:spacing w:after="160" w:line="360" w:lineRule="auto"/>
              <w:jc w:val="both"/>
              <w:rPr>
                <w:rFonts w:ascii="Arial" w:hAnsi="Arial" w:cs="Arial"/>
                <w:sz w:val="22"/>
                <w:szCs w:val="22"/>
              </w:rPr>
            </w:pPr>
            <w:r w:rsidRPr="004C7FB3">
              <w:rPr>
                <w:rFonts w:ascii="Arial" w:hAnsi="Arial" w:cs="Arial"/>
                <w:sz w:val="22"/>
                <w:szCs w:val="22"/>
              </w:rPr>
              <w:t>Reduced care capacity</w:t>
            </w:r>
          </w:p>
        </w:tc>
      </w:tr>
      <w:tr w:rsidR="004C7FB3" w:rsidRPr="004C7FB3" w14:paraId="7A44F896" w14:textId="77777777" w:rsidTr="00FD48BB">
        <w:tc>
          <w:tcPr>
            <w:tcW w:w="0" w:type="auto"/>
            <w:hideMark/>
          </w:tcPr>
          <w:p w14:paraId="7634DE95" w14:textId="77777777" w:rsidR="00884E6A" w:rsidRPr="004C7FB3" w:rsidRDefault="00884E6A" w:rsidP="00B04A45">
            <w:pPr>
              <w:spacing w:line="360" w:lineRule="auto"/>
              <w:jc w:val="both"/>
              <w:rPr>
                <w:rFonts w:ascii="Arial" w:hAnsi="Arial" w:cs="Arial"/>
                <w:sz w:val="22"/>
                <w:szCs w:val="22"/>
              </w:rPr>
            </w:pPr>
            <w:r w:rsidRPr="004C7FB3">
              <w:rPr>
                <w:rFonts w:ascii="Arial" w:hAnsi="Arial" w:cs="Arial"/>
                <w:sz w:val="22"/>
                <w:szCs w:val="22"/>
              </w:rPr>
              <w:t>Process</w:t>
            </w:r>
          </w:p>
        </w:tc>
        <w:tc>
          <w:tcPr>
            <w:tcW w:w="0" w:type="auto"/>
            <w:hideMark/>
          </w:tcPr>
          <w:p w14:paraId="654BFFA6" w14:textId="77777777" w:rsidR="00884E6A" w:rsidRPr="004C7FB3" w:rsidRDefault="00884E6A" w:rsidP="00B04A45">
            <w:pPr>
              <w:spacing w:line="360" w:lineRule="auto"/>
              <w:jc w:val="both"/>
              <w:rPr>
                <w:rFonts w:ascii="Arial" w:hAnsi="Arial" w:cs="Arial"/>
                <w:sz w:val="22"/>
                <w:szCs w:val="22"/>
              </w:rPr>
            </w:pPr>
            <w:r w:rsidRPr="004C7FB3">
              <w:rPr>
                <w:rFonts w:ascii="Arial" w:hAnsi="Arial" w:cs="Arial"/>
                <w:sz w:val="22"/>
                <w:szCs w:val="22"/>
              </w:rPr>
              <w:t>Poor leadership, ineffective communication, lack of monitoring</w:t>
            </w:r>
          </w:p>
        </w:tc>
        <w:tc>
          <w:tcPr>
            <w:tcW w:w="0" w:type="auto"/>
            <w:hideMark/>
          </w:tcPr>
          <w:p w14:paraId="2F9B7785" w14:textId="77777777" w:rsidR="00884E6A" w:rsidRPr="004C7FB3" w:rsidRDefault="00884E6A" w:rsidP="00B04A45">
            <w:pPr>
              <w:spacing w:line="360" w:lineRule="auto"/>
              <w:jc w:val="both"/>
              <w:rPr>
                <w:rFonts w:ascii="Arial" w:hAnsi="Arial" w:cs="Arial"/>
                <w:sz w:val="22"/>
                <w:szCs w:val="22"/>
              </w:rPr>
            </w:pPr>
            <w:r w:rsidRPr="004C7FB3">
              <w:rPr>
                <w:rFonts w:ascii="Arial" w:hAnsi="Arial" w:cs="Arial"/>
                <w:sz w:val="22"/>
                <w:szCs w:val="22"/>
              </w:rPr>
              <w:t>Inefficient service delivery</w:t>
            </w:r>
          </w:p>
        </w:tc>
      </w:tr>
      <w:tr w:rsidR="004C7FB3" w:rsidRPr="004C7FB3" w14:paraId="37A0C538" w14:textId="77777777" w:rsidTr="00FD48BB">
        <w:tc>
          <w:tcPr>
            <w:tcW w:w="0" w:type="auto"/>
            <w:hideMark/>
          </w:tcPr>
          <w:p w14:paraId="43019970" w14:textId="77777777" w:rsidR="00884E6A" w:rsidRPr="004C7FB3" w:rsidRDefault="00884E6A" w:rsidP="00B04A45">
            <w:pPr>
              <w:spacing w:before="240" w:line="360" w:lineRule="auto"/>
              <w:jc w:val="both"/>
              <w:rPr>
                <w:rFonts w:ascii="Arial" w:hAnsi="Arial" w:cs="Arial"/>
                <w:sz w:val="22"/>
                <w:szCs w:val="22"/>
              </w:rPr>
            </w:pPr>
            <w:r w:rsidRPr="004C7FB3">
              <w:rPr>
                <w:rFonts w:ascii="Arial" w:hAnsi="Arial" w:cs="Arial"/>
                <w:sz w:val="22"/>
                <w:szCs w:val="22"/>
              </w:rPr>
              <w:t>Outcome</w:t>
            </w:r>
          </w:p>
        </w:tc>
        <w:tc>
          <w:tcPr>
            <w:tcW w:w="0" w:type="auto"/>
            <w:hideMark/>
          </w:tcPr>
          <w:p w14:paraId="2F683CC6" w14:textId="77777777" w:rsidR="00884E6A" w:rsidRPr="004C7FB3" w:rsidRDefault="00884E6A" w:rsidP="00B04A45">
            <w:pPr>
              <w:spacing w:before="240" w:line="360" w:lineRule="auto"/>
              <w:jc w:val="both"/>
              <w:rPr>
                <w:rFonts w:ascii="Arial" w:hAnsi="Arial" w:cs="Arial"/>
                <w:sz w:val="22"/>
                <w:szCs w:val="22"/>
              </w:rPr>
            </w:pPr>
            <w:r w:rsidRPr="004C7FB3">
              <w:rPr>
                <w:rFonts w:ascii="Arial" w:hAnsi="Arial" w:cs="Arial"/>
                <w:sz w:val="22"/>
                <w:szCs w:val="22"/>
              </w:rPr>
              <w:t>High mortality rates, poor patient experience</w:t>
            </w:r>
          </w:p>
        </w:tc>
        <w:tc>
          <w:tcPr>
            <w:tcW w:w="0" w:type="auto"/>
            <w:hideMark/>
          </w:tcPr>
          <w:p w14:paraId="4CF03EA9" w14:textId="77777777" w:rsidR="00884E6A" w:rsidRPr="004C7FB3" w:rsidRDefault="00884E6A" w:rsidP="00B04A45">
            <w:pPr>
              <w:spacing w:before="240" w:line="360" w:lineRule="auto"/>
              <w:jc w:val="both"/>
              <w:rPr>
                <w:rFonts w:ascii="Arial" w:hAnsi="Arial" w:cs="Arial"/>
                <w:sz w:val="22"/>
                <w:szCs w:val="22"/>
              </w:rPr>
            </w:pPr>
            <w:r w:rsidRPr="004C7FB3">
              <w:rPr>
                <w:rFonts w:ascii="Arial" w:hAnsi="Arial" w:cs="Arial"/>
                <w:sz w:val="22"/>
                <w:szCs w:val="22"/>
              </w:rPr>
              <w:t>Decline in quality and safety</w:t>
            </w:r>
          </w:p>
        </w:tc>
      </w:tr>
    </w:tbl>
    <w:p w14:paraId="328CF740" w14:textId="64F62A24" w:rsidR="003237DF" w:rsidRPr="004C7FB3" w:rsidRDefault="003237DF" w:rsidP="003237DF">
      <w:pPr>
        <w:spacing w:before="240" w:line="360" w:lineRule="auto"/>
        <w:jc w:val="center"/>
        <w:rPr>
          <w:rFonts w:ascii="Arial" w:hAnsi="Arial" w:cs="Arial"/>
          <w:b/>
          <w:bCs/>
          <w:sz w:val="22"/>
          <w:szCs w:val="22"/>
        </w:rPr>
      </w:pPr>
      <w:r w:rsidRPr="004C7FB3">
        <w:rPr>
          <w:rFonts w:ascii="Arial" w:hAnsi="Arial" w:cs="Arial"/>
          <w:b/>
          <w:bCs/>
          <w:sz w:val="22"/>
          <w:szCs w:val="22"/>
        </w:rPr>
        <w:t>Table 1: Donabedian Model Application</w:t>
      </w:r>
    </w:p>
    <w:p w14:paraId="693E756A" w14:textId="715F2AD8" w:rsidR="008C052A" w:rsidRPr="004C7FB3" w:rsidRDefault="008C052A" w:rsidP="003237DF">
      <w:pPr>
        <w:spacing w:before="240" w:line="360" w:lineRule="auto"/>
        <w:jc w:val="center"/>
        <w:rPr>
          <w:rFonts w:ascii="Arial" w:hAnsi="Arial" w:cs="Arial"/>
          <w:sz w:val="22"/>
          <w:szCs w:val="22"/>
        </w:rPr>
      </w:pPr>
      <w:r w:rsidRPr="004C7FB3">
        <w:rPr>
          <w:rFonts w:ascii="Arial" w:hAnsi="Arial" w:cs="Arial"/>
          <w:sz w:val="22"/>
          <w:szCs w:val="22"/>
        </w:rPr>
        <w:t xml:space="preserve">(Source: </w:t>
      </w:r>
      <w:proofErr w:type="spellStart"/>
      <w:r w:rsidRPr="004C7FB3">
        <w:rPr>
          <w:rFonts w:ascii="Arial" w:hAnsi="Arial" w:cs="Arial"/>
          <w:sz w:val="22"/>
          <w:szCs w:val="22"/>
        </w:rPr>
        <w:t>Atinga</w:t>
      </w:r>
      <w:proofErr w:type="spellEnd"/>
      <w:r w:rsidRPr="004C7FB3">
        <w:rPr>
          <w:rFonts w:ascii="Arial" w:hAnsi="Arial" w:cs="Arial"/>
          <w:sz w:val="22"/>
          <w:szCs w:val="22"/>
        </w:rPr>
        <w:t xml:space="preserve"> et al., 2024; </w:t>
      </w:r>
      <w:proofErr w:type="spellStart"/>
      <w:r w:rsidRPr="004C7FB3">
        <w:rPr>
          <w:rFonts w:ascii="Arial" w:hAnsi="Arial" w:cs="Arial"/>
          <w:sz w:val="22"/>
          <w:szCs w:val="22"/>
        </w:rPr>
        <w:t>Tossaint-Schoenmakers</w:t>
      </w:r>
      <w:proofErr w:type="spellEnd"/>
      <w:r w:rsidRPr="004C7FB3">
        <w:rPr>
          <w:rFonts w:ascii="Arial" w:hAnsi="Arial" w:cs="Arial"/>
          <w:sz w:val="22"/>
          <w:szCs w:val="22"/>
        </w:rPr>
        <w:t xml:space="preserve"> et al., 2021; Yang et al., 2025)</w:t>
      </w:r>
    </w:p>
    <w:p w14:paraId="6F1BD8BD" w14:textId="208FB4ED" w:rsidR="00884E6A" w:rsidRPr="004C7FB3" w:rsidRDefault="006755B5" w:rsidP="00FD48BB">
      <w:pPr>
        <w:spacing w:before="240" w:line="360" w:lineRule="auto"/>
        <w:jc w:val="both"/>
        <w:rPr>
          <w:rFonts w:ascii="Arial" w:hAnsi="Arial" w:cs="Arial"/>
          <w:sz w:val="22"/>
          <w:szCs w:val="22"/>
        </w:rPr>
      </w:pPr>
      <w:r w:rsidRPr="004C7FB3">
        <w:rPr>
          <w:rFonts w:ascii="Arial" w:hAnsi="Arial" w:cs="Arial"/>
          <w:sz w:val="22"/>
          <w:szCs w:val="22"/>
        </w:rPr>
        <w:t>The weaknesses in the structure, especially the lack of staff, placed enormous burdens on the medical professionals and, as a result, affected the process of care. Lack of efficient communication and supervision also led to less efficiency, which led to poor patient outcomes (</w:t>
      </w:r>
      <w:proofErr w:type="spellStart"/>
      <w:r w:rsidRPr="004C7FB3">
        <w:rPr>
          <w:rFonts w:ascii="Arial" w:hAnsi="Arial" w:cs="Arial"/>
          <w:sz w:val="22"/>
          <w:szCs w:val="22"/>
        </w:rPr>
        <w:t>Atinga</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xml:space="preserve"> 2024). These failures are quantitative, based on the high mortality rates that were witnessed in this period. More importantly, it is evident in the model that processes can be improved by improving such aspects of the structure, such as the staffing and training, and eventually resulting in better outcomes. </w:t>
      </w:r>
    </w:p>
    <w:p w14:paraId="55C31638" w14:textId="1E4831FB" w:rsidR="00C35694" w:rsidRPr="004C7FB3" w:rsidRDefault="00C35694" w:rsidP="0017467D">
      <w:pPr>
        <w:pStyle w:val="Heading2"/>
        <w:rPr>
          <w:rFonts w:ascii="Arial" w:hAnsi="Arial" w:cs="Arial"/>
          <w:sz w:val="22"/>
          <w:szCs w:val="22"/>
        </w:rPr>
      </w:pPr>
      <w:bookmarkStart w:id="5" w:name="_Toc226631970"/>
      <w:r w:rsidRPr="004C7FB3">
        <w:rPr>
          <w:rFonts w:ascii="Arial" w:hAnsi="Arial" w:cs="Arial"/>
          <w:sz w:val="22"/>
          <w:szCs w:val="22"/>
        </w:rPr>
        <w:t>Policy and Regulatory Analysis, and Impact on Quality, Efficiency, and Equity</w:t>
      </w:r>
      <w:bookmarkEnd w:id="5"/>
      <w:r w:rsidRPr="004C7FB3">
        <w:rPr>
          <w:rFonts w:ascii="Arial" w:hAnsi="Arial" w:cs="Arial"/>
          <w:sz w:val="22"/>
          <w:szCs w:val="22"/>
        </w:rPr>
        <w:t xml:space="preserve"> </w:t>
      </w:r>
    </w:p>
    <w:p w14:paraId="2CC76372" w14:textId="3605854A" w:rsidR="004A5701" w:rsidRPr="004C7FB3" w:rsidRDefault="004A5701" w:rsidP="004A5701">
      <w:pPr>
        <w:spacing w:line="360" w:lineRule="auto"/>
        <w:jc w:val="both"/>
        <w:rPr>
          <w:rFonts w:ascii="Arial" w:hAnsi="Arial" w:cs="Arial"/>
          <w:sz w:val="22"/>
          <w:szCs w:val="22"/>
        </w:rPr>
      </w:pPr>
      <w:r w:rsidRPr="004C7FB3">
        <w:rPr>
          <w:rFonts w:ascii="Arial" w:hAnsi="Arial" w:cs="Arial"/>
          <w:sz w:val="22"/>
          <w:szCs w:val="22"/>
        </w:rPr>
        <w:t xml:space="preserve">The Mid Staffordshire scandal showed significant flaws in terms of policy implementation </w:t>
      </w:r>
      <w:r w:rsidR="00D34446" w:rsidRPr="004C7FB3">
        <w:rPr>
          <w:rFonts w:ascii="Arial" w:hAnsi="Arial" w:cs="Arial"/>
          <w:sz w:val="22"/>
          <w:szCs w:val="22"/>
        </w:rPr>
        <w:t>and</w:t>
      </w:r>
      <w:r w:rsidRPr="004C7FB3">
        <w:rPr>
          <w:rFonts w:ascii="Arial" w:hAnsi="Arial" w:cs="Arial"/>
          <w:sz w:val="22"/>
          <w:szCs w:val="22"/>
        </w:rPr>
        <w:t xml:space="preserve"> regulatory oversight. The failure to spot and act on deteriorating standards of care unveiled a flaw in the policymaking and policy implementation that was missing. Despite the focus on the safety of patients, their dignity, and responsiveness that were put forth by the </w:t>
      </w:r>
      <w:r w:rsidRPr="004C7FB3">
        <w:rPr>
          <w:rFonts w:ascii="Arial" w:hAnsi="Arial" w:cs="Arial"/>
          <w:b/>
          <w:bCs/>
          <w:i/>
          <w:iCs/>
          <w:sz w:val="22"/>
          <w:szCs w:val="22"/>
        </w:rPr>
        <w:t>Health and Social Care Act 2008</w:t>
      </w:r>
      <w:r w:rsidRPr="004C7FB3">
        <w:rPr>
          <w:rFonts w:ascii="Arial" w:hAnsi="Arial" w:cs="Arial"/>
          <w:sz w:val="22"/>
          <w:szCs w:val="22"/>
        </w:rPr>
        <w:t>, the mentioned standards were not applied (UK Government, 2025). There was neglect towards patients, and both staff and patients had complaints, but they were frequently ignored, a sign of failure in accountability. Further, the financial targets were the priority to obtain the status of a Foundation Trust, which resulted in reduced staff numbers and substandard quality care provided by the Trust.</w:t>
      </w:r>
    </w:p>
    <w:p w14:paraId="3E66FB1F" w14:textId="441CA457" w:rsidR="00C35694" w:rsidRPr="004C7FB3" w:rsidRDefault="004A5701" w:rsidP="004A5701">
      <w:pPr>
        <w:spacing w:line="360" w:lineRule="auto"/>
        <w:jc w:val="both"/>
        <w:rPr>
          <w:rFonts w:ascii="Arial" w:hAnsi="Arial" w:cs="Arial"/>
          <w:sz w:val="22"/>
          <w:szCs w:val="22"/>
        </w:rPr>
      </w:pPr>
      <w:r w:rsidRPr="004C7FB3">
        <w:rPr>
          <w:rFonts w:ascii="Arial" w:hAnsi="Arial" w:cs="Arial"/>
          <w:sz w:val="22"/>
          <w:szCs w:val="22"/>
        </w:rPr>
        <w:t>The consequences of these failures were very severe in terms of quality, efficiency and equity. The level of quality of care fell to very low levels, the rates of mortality and bad experiences of the patients increased, with unmet basic needs. Staff shortage due to efficiency resulted in an increased workload strain, delayed treatment, and productivity (</w:t>
      </w:r>
      <w:proofErr w:type="spellStart"/>
      <w:r w:rsidRPr="004C7FB3">
        <w:rPr>
          <w:rFonts w:ascii="Arial" w:hAnsi="Arial" w:cs="Arial"/>
          <w:sz w:val="22"/>
          <w:szCs w:val="22"/>
        </w:rPr>
        <w:t>Vlassi</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xml:space="preserve"> 2023). This inefficiency led to increased costs of operation in the long run. It also impacted equity, wherein patients did not get even or equitable treatment, </w:t>
      </w:r>
      <w:r w:rsidR="008147D4" w:rsidRPr="004C7FB3">
        <w:rPr>
          <w:rFonts w:ascii="Arial" w:hAnsi="Arial" w:cs="Arial"/>
          <w:sz w:val="22"/>
          <w:szCs w:val="22"/>
        </w:rPr>
        <w:t>and</w:t>
      </w:r>
      <w:r w:rsidRPr="004C7FB3">
        <w:rPr>
          <w:rFonts w:ascii="Arial" w:hAnsi="Arial" w:cs="Arial"/>
          <w:sz w:val="22"/>
          <w:szCs w:val="22"/>
        </w:rPr>
        <w:t xml:space="preserve"> the vulnerable persons suffer more. </w:t>
      </w:r>
    </w:p>
    <w:p w14:paraId="48A3031F" w14:textId="14954AE5" w:rsidR="00884E6A" w:rsidRPr="004C7FB3" w:rsidRDefault="00884E6A" w:rsidP="0017467D">
      <w:pPr>
        <w:pStyle w:val="Heading2"/>
        <w:rPr>
          <w:rFonts w:ascii="Arial" w:hAnsi="Arial" w:cs="Arial"/>
          <w:sz w:val="22"/>
          <w:szCs w:val="22"/>
        </w:rPr>
      </w:pPr>
      <w:bookmarkStart w:id="6" w:name="_Toc226631971"/>
      <w:r w:rsidRPr="004C7FB3">
        <w:rPr>
          <w:rFonts w:ascii="Arial" w:hAnsi="Arial" w:cs="Arial"/>
          <w:sz w:val="22"/>
          <w:szCs w:val="22"/>
        </w:rPr>
        <w:t>Strategic Analysis Using SWOT Framework</w:t>
      </w:r>
      <w:bookmarkEnd w:id="6"/>
    </w:p>
    <w:tbl>
      <w:tblPr>
        <w:tblStyle w:val="TableGrid"/>
        <w:tblW w:w="0" w:type="auto"/>
        <w:tblLook w:val="04A0" w:firstRow="1" w:lastRow="0" w:firstColumn="1" w:lastColumn="0" w:noHBand="0" w:noVBand="1"/>
      </w:tblPr>
      <w:tblGrid>
        <w:gridCol w:w="2056"/>
        <w:gridCol w:w="2246"/>
        <w:gridCol w:w="2384"/>
        <w:gridCol w:w="2330"/>
      </w:tblGrid>
      <w:tr w:rsidR="004C7FB3" w:rsidRPr="004C7FB3" w14:paraId="4C784C09" w14:textId="77777777" w:rsidTr="003D52E0">
        <w:tc>
          <w:tcPr>
            <w:tcW w:w="0" w:type="auto"/>
            <w:hideMark/>
          </w:tcPr>
          <w:p w14:paraId="1504E48B" w14:textId="77777777" w:rsidR="003D52E0" w:rsidRPr="004C7FB3" w:rsidRDefault="003D52E0" w:rsidP="003D52E0">
            <w:pPr>
              <w:spacing w:after="160" w:line="360" w:lineRule="auto"/>
              <w:jc w:val="both"/>
              <w:rPr>
                <w:rFonts w:ascii="Arial" w:hAnsi="Arial" w:cs="Arial"/>
                <w:b/>
                <w:bCs/>
                <w:sz w:val="22"/>
                <w:szCs w:val="22"/>
              </w:rPr>
            </w:pPr>
            <w:r w:rsidRPr="004C7FB3">
              <w:rPr>
                <w:rFonts w:ascii="Arial" w:hAnsi="Arial" w:cs="Arial"/>
                <w:b/>
                <w:bCs/>
                <w:sz w:val="22"/>
                <w:szCs w:val="22"/>
              </w:rPr>
              <w:t>Strengths</w:t>
            </w:r>
          </w:p>
        </w:tc>
        <w:tc>
          <w:tcPr>
            <w:tcW w:w="0" w:type="auto"/>
            <w:hideMark/>
          </w:tcPr>
          <w:p w14:paraId="77C07272" w14:textId="77777777" w:rsidR="003D52E0" w:rsidRPr="004C7FB3" w:rsidRDefault="003D52E0" w:rsidP="003D52E0">
            <w:pPr>
              <w:spacing w:after="160" w:line="360" w:lineRule="auto"/>
              <w:jc w:val="both"/>
              <w:rPr>
                <w:rFonts w:ascii="Arial" w:hAnsi="Arial" w:cs="Arial"/>
                <w:b/>
                <w:bCs/>
                <w:sz w:val="22"/>
                <w:szCs w:val="22"/>
              </w:rPr>
            </w:pPr>
            <w:r w:rsidRPr="004C7FB3">
              <w:rPr>
                <w:rFonts w:ascii="Arial" w:hAnsi="Arial" w:cs="Arial"/>
                <w:b/>
                <w:bCs/>
                <w:sz w:val="22"/>
                <w:szCs w:val="22"/>
              </w:rPr>
              <w:t>Weaknesses</w:t>
            </w:r>
          </w:p>
        </w:tc>
        <w:tc>
          <w:tcPr>
            <w:tcW w:w="0" w:type="auto"/>
            <w:hideMark/>
          </w:tcPr>
          <w:p w14:paraId="2CF38A55" w14:textId="77777777" w:rsidR="003D52E0" w:rsidRPr="004C7FB3" w:rsidRDefault="003D52E0" w:rsidP="003D52E0">
            <w:pPr>
              <w:spacing w:after="160" w:line="360" w:lineRule="auto"/>
              <w:jc w:val="both"/>
              <w:rPr>
                <w:rFonts w:ascii="Arial" w:hAnsi="Arial" w:cs="Arial"/>
                <w:b/>
                <w:bCs/>
                <w:sz w:val="22"/>
                <w:szCs w:val="22"/>
              </w:rPr>
            </w:pPr>
            <w:r w:rsidRPr="004C7FB3">
              <w:rPr>
                <w:rFonts w:ascii="Arial" w:hAnsi="Arial" w:cs="Arial"/>
                <w:b/>
                <w:bCs/>
                <w:sz w:val="22"/>
                <w:szCs w:val="22"/>
              </w:rPr>
              <w:t>Opportunities</w:t>
            </w:r>
          </w:p>
        </w:tc>
        <w:tc>
          <w:tcPr>
            <w:tcW w:w="0" w:type="auto"/>
            <w:hideMark/>
          </w:tcPr>
          <w:p w14:paraId="160EAFBB" w14:textId="77777777" w:rsidR="003D52E0" w:rsidRPr="004C7FB3" w:rsidRDefault="003D52E0" w:rsidP="003D52E0">
            <w:pPr>
              <w:spacing w:after="160" w:line="360" w:lineRule="auto"/>
              <w:jc w:val="both"/>
              <w:rPr>
                <w:rFonts w:ascii="Arial" w:hAnsi="Arial" w:cs="Arial"/>
                <w:b/>
                <w:bCs/>
                <w:sz w:val="22"/>
                <w:szCs w:val="22"/>
              </w:rPr>
            </w:pPr>
            <w:r w:rsidRPr="004C7FB3">
              <w:rPr>
                <w:rFonts w:ascii="Arial" w:hAnsi="Arial" w:cs="Arial"/>
                <w:b/>
                <w:bCs/>
                <w:sz w:val="22"/>
                <w:szCs w:val="22"/>
              </w:rPr>
              <w:t>Threats</w:t>
            </w:r>
          </w:p>
        </w:tc>
      </w:tr>
      <w:tr w:rsidR="004C7FB3" w:rsidRPr="004C7FB3" w14:paraId="2F367FAE" w14:textId="77777777" w:rsidTr="003D52E0">
        <w:tc>
          <w:tcPr>
            <w:tcW w:w="0" w:type="auto"/>
            <w:hideMark/>
          </w:tcPr>
          <w:p w14:paraId="3E09CA77" w14:textId="6E3574A4"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Trust was a part of the NHS system, which offers a framework of clinical guidelines and national quality models to assist in service provision.</w:t>
            </w:r>
          </w:p>
        </w:tc>
        <w:tc>
          <w:tcPr>
            <w:tcW w:w="0" w:type="auto"/>
            <w:hideMark/>
          </w:tcPr>
          <w:p w14:paraId="18A8FEDD" w14:textId="7A322AC5"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number of nursing personnel dropped to around 150, which resulted in unsafe staffing and risked patients (NHS England, 2024).</w:t>
            </w:r>
          </w:p>
        </w:tc>
        <w:tc>
          <w:tcPr>
            <w:tcW w:w="0" w:type="auto"/>
            <w:hideMark/>
          </w:tcPr>
          <w:p w14:paraId="264630A4" w14:textId="5009198D"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stricter regulations and accountability measures in the reforms through the post-Francis Report helped to enhance the safety of patients in NHS organisations.</w:t>
            </w:r>
          </w:p>
        </w:tc>
        <w:tc>
          <w:tcPr>
            <w:tcW w:w="0" w:type="auto"/>
            <w:hideMark/>
          </w:tcPr>
          <w:p w14:paraId="6DC4BA93" w14:textId="34000DFE"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ongoing financial strain on the NHS can promote economising, which can impact the quality of staffing and care.</w:t>
            </w:r>
          </w:p>
        </w:tc>
      </w:tr>
      <w:tr w:rsidR="004C7FB3" w:rsidRPr="004C7FB3" w14:paraId="1A7A673E" w14:textId="77777777" w:rsidTr="003D52E0">
        <w:tc>
          <w:tcPr>
            <w:tcW w:w="0" w:type="auto"/>
            <w:hideMark/>
          </w:tcPr>
          <w:p w14:paraId="58CD0DCD" w14:textId="553AB676"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organisation was able to access trained medical staff and created medical infrastructure to provide care services.</w:t>
            </w:r>
          </w:p>
        </w:tc>
        <w:tc>
          <w:tcPr>
            <w:tcW w:w="0" w:type="auto"/>
            <w:hideMark/>
          </w:tcPr>
          <w:p w14:paraId="4D975846" w14:textId="3F044A5B"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Trust documented the number of excess deaths (between 400 and 1200), which is symptomatic of material quality and safety lapses (NYSNA, 2023).</w:t>
            </w:r>
          </w:p>
        </w:tc>
        <w:tc>
          <w:tcPr>
            <w:tcW w:w="0" w:type="auto"/>
            <w:hideMark/>
          </w:tcPr>
          <w:p w14:paraId="4222575C" w14:textId="76F54E67"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 xml:space="preserve">Improvements in technology and data monitoring systems in hospitals can increase the chances of identifying quality problems early and improving results (Abdulmalek </w:t>
            </w:r>
            <w:r w:rsidRPr="004C7FB3">
              <w:rPr>
                <w:rFonts w:ascii="Arial" w:hAnsi="Arial" w:cs="Arial"/>
                <w:i/>
                <w:iCs/>
                <w:sz w:val="22"/>
                <w:szCs w:val="22"/>
              </w:rPr>
              <w:t>et al.,</w:t>
            </w:r>
            <w:r w:rsidRPr="004C7FB3">
              <w:rPr>
                <w:rFonts w:ascii="Arial" w:hAnsi="Arial" w:cs="Arial"/>
                <w:sz w:val="22"/>
                <w:szCs w:val="22"/>
              </w:rPr>
              <w:t xml:space="preserve"> 2022).</w:t>
            </w:r>
          </w:p>
        </w:tc>
        <w:tc>
          <w:tcPr>
            <w:tcW w:w="0" w:type="auto"/>
            <w:hideMark/>
          </w:tcPr>
          <w:p w14:paraId="3A7E4DC6" w14:textId="4CED19D1"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organisational and cultural resistance to change can curtail the impact of service improvement initiatives.</w:t>
            </w:r>
          </w:p>
        </w:tc>
      </w:tr>
      <w:tr w:rsidR="004C7FB3" w:rsidRPr="004C7FB3" w14:paraId="3753ECC3" w14:textId="77777777" w:rsidTr="003D52E0">
        <w:tc>
          <w:tcPr>
            <w:tcW w:w="0" w:type="auto"/>
            <w:hideMark/>
          </w:tcPr>
          <w:p w14:paraId="64D785D8" w14:textId="7D71B4B8"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policies of high-quality patient-centred care could be guided by the presence of national policies like CQC and NICE standards.</w:t>
            </w:r>
          </w:p>
        </w:tc>
        <w:tc>
          <w:tcPr>
            <w:tcW w:w="0" w:type="auto"/>
            <w:hideMark/>
          </w:tcPr>
          <w:p w14:paraId="3B36A4E2" w14:textId="533D473B"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 xml:space="preserve">The levels of the Hospital Standardised Mortality Ratio (HSMR) were also much higher than anticipated, and they indicated inefficiencies in the entire system (Kang </w:t>
            </w:r>
            <w:r w:rsidRPr="004C7FB3">
              <w:rPr>
                <w:rFonts w:ascii="Arial" w:hAnsi="Arial" w:cs="Arial"/>
                <w:i/>
                <w:iCs/>
                <w:sz w:val="22"/>
                <w:szCs w:val="22"/>
              </w:rPr>
              <w:t>et al.,</w:t>
            </w:r>
            <w:r w:rsidRPr="004C7FB3">
              <w:rPr>
                <w:rFonts w:ascii="Arial" w:hAnsi="Arial" w:cs="Arial"/>
                <w:sz w:val="22"/>
                <w:szCs w:val="22"/>
              </w:rPr>
              <w:t xml:space="preserve"> 2023).</w:t>
            </w:r>
          </w:p>
        </w:tc>
        <w:tc>
          <w:tcPr>
            <w:tcW w:w="0" w:type="auto"/>
            <w:hideMark/>
          </w:tcPr>
          <w:p w14:paraId="3A603DC8" w14:textId="0B01A878"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Staff engagement and further focus on patient-centred care may empower the organisational culture and quality of care.</w:t>
            </w:r>
          </w:p>
        </w:tc>
        <w:tc>
          <w:tcPr>
            <w:tcW w:w="0" w:type="auto"/>
            <w:hideMark/>
          </w:tcPr>
          <w:p w14:paraId="192EE6AB" w14:textId="07482B8C" w:rsidR="003D52E0" w:rsidRPr="004C7FB3" w:rsidRDefault="00F037B8" w:rsidP="003D52E0">
            <w:pPr>
              <w:spacing w:after="160" w:line="360" w:lineRule="auto"/>
              <w:jc w:val="both"/>
              <w:rPr>
                <w:rFonts w:ascii="Arial" w:hAnsi="Arial" w:cs="Arial"/>
                <w:sz w:val="22"/>
                <w:szCs w:val="22"/>
              </w:rPr>
            </w:pPr>
            <w:r w:rsidRPr="004C7FB3">
              <w:rPr>
                <w:rFonts w:ascii="Arial" w:hAnsi="Arial" w:cs="Arial"/>
                <w:sz w:val="22"/>
                <w:szCs w:val="22"/>
              </w:rPr>
              <w:t>The potential threat of failure to control regulation is illuminated by weak legal reactions in the past in the case of the absence of reinforcement of monitoring tools (</w:t>
            </w:r>
            <w:proofErr w:type="spellStart"/>
            <w:r w:rsidRPr="004C7FB3">
              <w:rPr>
                <w:rFonts w:ascii="Arial" w:hAnsi="Arial" w:cs="Arial"/>
                <w:sz w:val="22"/>
                <w:szCs w:val="22"/>
              </w:rPr>
              <w:t>Abikoye</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xml:space="preserve"> 2024).</w:t>
            </w:r>
          </w:p>
        </w:tc>
      </w:tr>
    </w:tbl>
    <w:p w14:paraId="03877774" w14:textId="7EFE613F" w:rsidR="003D52E0" w:rsidRPr="004C7FB3" w:rsidRDefault="003D52E0" w:rsidP="003D52E0">
      <w:pPr>
        <w:spacing w:line="360" w:lineRule="auto"/>
        <w:jc w:val="center"/>
        <w:rPr>
          <w:rFonts w:ascii="Arial" w:hAnsi="Arial" w:cs="Arial"/>
          <w:b/>
          <w:bCs/>
          <w:sz w:val="22"/>
          <w:szCs w:val="22"/>
        </w:rPr>
      </w:pPr>
      <w:r w:rsidRPr="004C7FB3">
        <w:rPr>
          <w:rFonts w:ascii="Arial" w:hAnsi="Arial" w:cs="Arial"/>
          <w:b/>
          <w:bCs/>
          <w:sz w:val="22"/>
          <w:szCs w:val="22"/>
        </w:rPr>
        <w:t>Table 2: SWOT Analysis of Mid Staffordshire NHS Trust</w:t>
      </w:r>
    </w:p>
    <w:p w14:paraId="4F9E738E" w14:textId="5C1A5A3F" w:rsidR="00884E6A" w:rsidRPr="004C7FB3" w:rsidRDefault="008147D4" w:rsidP="00884E6A">
      <w:pPr>
        <w:spacing w:line="360" w:lineRule="auto"/>
        <w:jc w:val="both"/>
        <w:rPr>
          <w:rFonts w:ascii="Arial" w:hAnsi="Arial" w:cs="Arial"/>
          <w:sz w:val="22"/>
          <w:szCs w:val="22"/>
        </w:rPr>
      </w:pPr>
      <w:r w:rsidRPr="004C7FB3">
        <w:rPr>
          <w:rFonts w:ascii="Arial" w:hAnsi="Arial" w:cs="Arial"/>
          <w:sz w:val="22"/>
          <w:szCs w:val="22"/>
        </w:rPr>
        <w:t>The analysis shows that despite the NHS framework offering a great base, its internal challenges, like bad leadership and a shortage of staff members, are great barriers to performance. There are future opportunities for improvement, such as by reforming policies and technological developments, but these opportunities need to be convincingly utilised to surpass the existing difficulties.</w:t>
      </w:r>
    </w:p>
    <w:p w14:paraId="0CC3E881" w14:textId="77777777" w:rsidR="00884E6A" w:rsidRPr="004C7FB3" w:rsidRDefault="00884E6A" w:rsidP="0017467D">
      <w:pPr>
        <w:pStyle w:val="Heading2"/>
        <w:rPr>
          <w:rFonts w:ascii="Arial" w:hAnsi="Arial" w:cs="Arial"/>
          <w:sz w:val="22"/>
          <w:szCs w:val="22"/>
        </w:rPr>
      </w:pPr>
      <w:bookmarkStart w:id="7" w:name="_Toc226631972"/>
      <w:r w:rsidRPr="004C7FB3">
        <w:rPr>
          <w:rFonts w:ascii="Arial" w:hAnsi="Arial" w:cs="Arial"/>
          <w:sz w:val="22"/>
          <w:szCs w:val="22"/>
        </w:rPr>
        <w:t>Critical Evaluation of Theoretical Approaches</w:t>
      </w:r>
      <w:bookmarkEnd w:id="7"/>
    </w:p>
    <w:p w14:paraId="33443BA9" w14:textId="58414B08" w:rsidR="008147D4" w:rsidRPr="004C7FB3" w:rsidRDefault="008147D4" w:rsidP="008147D4">
      <w:pPr>
        <w:spacing w:line="360" w:lineRule="auto"/>
        <w:jc w:val="both"/>
        <w:rPr>
          <w:rFonts w:ascii="Arial" w:hAnsi="Arial" w:cs="Arial"/>
          <w:sz w:val="22"/>
          <w:szCs w:val="22"/>
        </w:rPr>
      </w:pPr>
      <w:r w:rsidRPr="004C7FB3">
        <w:rPr>
          <w:rFonts w:ascii="Arial" w:hAnsi="Arial" w:cs="Arial"/>
          <w:sz w:val="22"/>
          <w:szCs w:val="22"/>
        </w:rPr>
        <w:t xml:space="preserve">The use of various theoretical approaches helps to deepen the analysis as it offers some other views on the problem. The Swiss Cheese Model is very effective in explaining the alignment of systemic failures, whereas the Fishbone Diagram organises root causes in a systematic order. The model by Donabedian gives an overall picture of healthcare quality, and attributes outcomes and structural factors to each other. </w:t>
      </w:r>
      <w:r w:rsidR="005E24D8" w:rsidRPr="004C7FB3">
        <w:rPr>
          <w:rFonts w:ascii="Arial" w:hAnsi="Arial" w:cs="Arial"/>
          <w:sz w:val="22"/>
          <w:szCs w:val="22"/>
        </w:rPr>
        <w:t>However</w:t>
      </w:r>
      <w:r w:rsidRPr="004C7FB3">
        <w:rPr>
          <w:rFonts w:ascii="Arial" w:hAnsi="Arial" w:cs="Arial"/>
          <w:sz w:val="22"/>
          <w:szCs w:val="22"/>
        </w:rPr>
        <w:t xml:space="preserve">, both models have their limitations. The Swiss Cheese Model emphasises failures in the system, and it could ignore the responsibility of the individuals. The Fishbone Diagram, though effective in categorisation, lacks prioritisation of causes in terms of impact. </w:t>
      </w:r>
    </w:p>
    <w:p w14:paraId="5169C3BC" w14:textId="681265E5" w:rsidR="00884E6A" w:rsidRPr="004C7FB3" w:rsidRDefault="008147D4" w:rsidP="008147D4">
      <w:pPr>
        <w:spacing w:line="360" w:lineRule="auto"/>
        <w:jc w:val="both"/>
        <w:rPr>
          <w:rFonts w:ascii="Arial" w:hAnsi="Arial" w:cs="Arial"/>
          <w:sz w:val="22"/>
          <w:szCs w:val="22"/>
        </w:rPr>
      </w:pPr>
      <w:r w:rsidRPr="004C7FB3">
        <w:rPr>
          <w:rFonts w:ascii="Arial" w:hAnsi="Arial" w:cs="Arial"/>
          <w:sz w:val="22"/>
          <w:szCs w:val="22"/>
        </w:rPr>
        <w:t>Despite these shortcomings, these frameworks together offer a strong method of analysis, allowing a profound insight into the crisis at the Mid Staffordshire company. The multi-theoretical viewpoint is crucial in crafting effective service solutions. In general, the main body illustrates that the collapse of the Mid Staffordshire NHS Trust was not caused by a one-factor failure, but a system failure, which included the leadership, policy, culture, and resource management. The combination of theoretical practices and statistical facts reflects the necessity of a comprehensive approach to quality improvement of healthcare.</w:t>
      </w:r>
    </w:p>
    <w:p w14:paraId="3FDBFEC1" w14:textId="40250979" w:rsidR="00F03684" w:rsidRPr="004C7FB3" w:rsidRDefault="00F03684" w:rsidP="0017467D">
      <w:pPr>
        <w:pStyle w:val="Heading1"/>
        <w:rPr>
          <w:rFonts w:ascii="Arial" w:hAnsi="Arial" w:cs="Arial"/>
          <w:sz w:val="22"/>
          <w:szCs w:val="22"/>
        </w:rPr>
      </w:pPr>
      <w:bookmarkStart w:id="8" w:name="_Toc226631973"/>
      <w:r w:rsidRPr="004C7FB3">
        <w:rPr>
          <w:rFonts w:ascii="Arial" w:hAnsi="Arial" w:cs="Arial"/>
          <w:sz w:val="22"/>
          <w:szCs w:val="22"/>
        </w:rPr>
        <w:t>Recommendations</w:t>
      </w:r>
      <w:bookmarkEnd w:id="8"/>
    </w:p>
    <w:p w14:paraId="75C8F8B1" w14:textId="37822040" w:rsidR="00F03684" w:rsidRPr="004C7FB3" w:rsidRDefault="00DF0302" w:rsidP="00F03684">
      <w:pPr>
        <w:spacing w:line="360" w:lineRule="auto"/>
        <w:jc w:val="both"/>
        <w:rPr>
          <w:rFonts w:ascii="Arial" w:hAnsi="Arial" w:cs="Arial"/>
          <w:sz w:val="22"/>
          <w:szCs w:val="22"/>
        </w:rPr>
      </w:pPr>
      <w:r w:rsidRPr="004C7FB3">
        <w:rPr>
          <w:rFonts w:ascii="Arial" w:hAnsi="Arial" w:cs="Arial"/>
          <w:sz w:val="22"/>
          <w:szCs w:val="22"/>
        </w:rPr>
        <w:t>Three main recommendations have been suggested to resolve the systemic failures in the Mid Staffordshire NHS Foundation Trust, which are based on leadership and governance, the workforce and organisational culture. Quality improvement tools have been used to support these recommendations and prevent their ineffective implementation and maintenance.</w:t>
      </w:r>
    </w:p>
    <w:p w14:paraId="14F6CB47" w14:textId="77777777" w:rsidR="00F03684" w:rsidRPr="004C7FB3" w:rsidRDefault="00F03684" w:rsidP="00F03684">
      <w:pPr>
        <w:spacing w:line="360" w:lineRule="auto"/>
        <w:jc w:val="both"/>
        <w:rPr>
          <w:rFonts w:ascii="Arial" w:hAnsi="Arial" w:cs="Arial"/>
          <w:b/>
          <w:bCs/>
          <w:sz w:val="22"/>
          <w:szCs w:val="22"/>
        </w:rPr>
      </w:pPr>
      <w:r w:rsidRPr="004C7FB3">
        <w:rPr>
          <w:rFonts w:ascii="Arial" w:hAnsi="Arial" w:cs="Arial"/>
          <w:b/>
          <w:bCs/>
          <w:sz w:val="22"/>
          <w:szCs w:val="22"/>
        </w:rPr>
        <w:t>1. Strengthening Leadership and Governance</w:t>
      </w:r>
    </w:p>
    <w:p w14:paraId="4E72DBCF" w14:textId="594AA88B" w:rsidR="00F03684" w:rsidRPr="004C7FB3" w:rsidRDefault="00DF0302" w:rsidP="00F03684">
      <w:pPr>
        <w:spacing w:line="360" w:lineRule="auto"/>
        <w:jc w:val="both"/>
        <w:rPr>
          <w:rFonts w:ascii="Arial" w:hAnsi="Arial" w:cs="Arial"/>
          <w:b/>
          <w:bCs/>
          <w:sz w:val="22"/>
          <w:szCs w:val="22"/>
        </w:rPr>
      </w:pPr>
      <w:r w:rsidRPr="004C7FB3">
        <w:rPr>
          <w:rFonts w:ascii="Arial" w:hAnsi="Arial" w:cs="Arial"/>
          <w:sz w:val="22"/>
          <w:szCs w:val="22"/>
        </w:rPr>
        <w:t xml:space="preserve">Patient-centred care and accountability cannot be possible without effective leadership. Introduce leadership training programmes to endorse ethical decision-making and place patient safety as a priority. Enhance governance through audit and reporting </w:t>
      </w:r>
      <w:r w:rsidR="00D34446" w:rsidRPr="004C7FB3">
        <w:rPr>
          <w:rFonts w:ascii="Arial" w:hAnsi="Arial" w:cs="Arial"/>
          <w:sz w:val="22"/>
          <w:szCs w:val="22"/>
        </w:rPr>
        <w:t>and</w:t>
      </w:r>
      <w:r w:rsidRPr="004C7FB3">
        <w:rPr>
          <w:rFonts w:ascii="Arial" w:hAnsi="Arial" w:cs="Arial"/>
          <w:sz w:val="22"/>
          <w:szCs w:val="22"/>
        </w:rPr>
        <w:t xml:space="preserve"> accountability practices (</w:t>
      </w:r>
      <w:proofErr w:type="spellStart"/>
      <w:r w:rsidRPr="004C7FB3">
        <w:rPr>
          <w:rFonts w:ascii="Arial" w:hAnsi="Arial" w:cs="Arial"/>
          <w:sz w:val="22"/>
          <w:szCs w:val="22"/>
        </w:rPr>
        <w:t>Efunniyi</w:t>
      </w:r>
      <w:proofErr w:type="spellEnd"/>
      <w:r w:rsidRPr="004C7FB3">
        <w:rPr>
          <w:rFonts w:ascii="Arial" w:hAnsi="Arial" w:cs="Arial"/>
          <w:sz w:val="22"/>
          <w:szCs w:val="22"/>
        </w:rPr>
        <w:t xml:space="preserve"> </w:t>
      </w:r>
      <w:r w:rsidRPr="004C7FB3">
        <w:rPr>
          <w:rFonts w:ascii="Arial" w:hAnsi="Arial" w:cs="Arial"/>
          <w:i/>
          <w:iCs/>
          <w:sz w:val="22"/>
          <w:szCs w:val="22"/>
        </w:rPr>
        <w:t>et al.,</w:t>
      </w:r>
      <w:r w:rsidRPr="004C7FB3">
        <w:rPr>
          <w:rFonts w:ascii="Arial" w:hAnsi="Arial" w:cs="Arial"/>
          <w:sz w:val="22"/>
          <w:szCs w:val="22"/>
        </w:rPr>
        <w:t xml:space="preserve"> 2024). Normalise monitoring of performance in terms of essential indicators</w:t>
      </w:r>
      <w:r w:rsidR="004746DE" w:rsidRPr="004C7FB3">
        <w:rPr>
          <w:rFonts w:ascii="Arial" w:hAnsi="Arial" w:cs="Arial"/>
          <w:sz w:val="22"/>
          <w:szCs w:val="22"/>
        </w:rPr>
        <w:t>,</w:t>
      </w:r>
      <w:r w:rsidRPr="004C7FB3">
        <w:rPr>
          <w:rFonts w:ascii="Arial" w:hAnsi="Arial" w:cs="Arial"/>
          <w:sz w:val="22"/>
          <w:szCs w:val="22"/>
        </w:rPr>
        <w:t xml:space="preserve"> including the mortality rates and patient satisfaction. Effective governance models and strong leaders have been linked to improved healthcare and reduced incidents of poor healthcare.</w:t>
      </w:r>
    </w:p>
    <w:p w14:paraId="486EA956" w14:textId="468730A9" w:rsidR="00F03684" w:rsidRPr="004C7FB3" w:rsidRDefault="00F03684" w:rsidP="00080638">
      <w:pPr>
        <w:spacing w:line="360" w:lineRule="auto"/>
        <w:jc w:val="both"/>
        <w:rPr>
          <w:rFonts w:ascii="Arial" w:hAnsi="Arial" w:cs="Arial"/>
          <w:b/>
          <w:bCs/>
          <w:sz w:val="22"/>
          <w:szCs w:val="22"/>
        </w:rPr>
      </w:pPr>
      <w:r w:rsidRPr="004C7FB3">
        <w:rPr>
          <w:rFonts w:ascii="Arial" w:hAnsi="Arial" w:cs="Arial"/>
          <w:b/>
          <w:bCs/>
          <w:sz w:val="22"/>
          <w:szCs w:val="22"/>
        </w:rPr>
        <w:t>2. Improving Staffing and Workforce Planning</w:t>
      </w:r>
    </w:p>
    <w:p w14:paraId="7E7FD6B6" w14:textId="43E11725" w:rsidR="00F03684" w:rsidRPr="004C7FB3" w:rsidRDefault="004746DE" w:rsidP="00080638">
      <w:pPr>
        <w:spacing w:line="360" w:lineRule="auto"/>
        <w:jc w:val="both"/>
        <w:rPr>
          <w:rFonts w:ascii="Arial" w:hAnsi="Arial" w:cs="Arial"/>
          <w:sz w:val="22"/>
          <w:szCs w:val="22"/>
        </w:rPr>
      </w:pPr>
      <w:r w:rsidRPr="004C7FB3">
        <w:rPr>
          <w:rFonts w:ascii="Arial" w:hAnsi="Arial" w:cs="Arial"/>
          <w:sz w:val="22"/>
          <w:szCs w:val="22"/>
        </w:rPr>
        <w:t xml:space="preserve">Proper staffing is critical to safe, effective care. Introduce evidence-based nurse-to-patient ratios to have manageable workloads and adopt professional development and well-being support measures in recruitment and retention strategies. Take advantage of data-driven workforce planning to predict demand and deploy resources optimally. Studies have shown that when nurse staffing ratios are improved by as much as </w:t>
      </w:r>
      <w:r w:rsidRPr="004C7FB3">
        <w:rPr>
          <w:rFonts w:ascii="Arial" w:hAnsi="Arial" w:cs="Arial"/>
          <w:b/>
          <w:bCs/>
          <w:i/>
          <w:iCs/>
          <w:sz w:val="22"/>
          <w:szCs w:val="22"/>
        </w:rPr>
        <w:t>20%</w:t>
      </w:r>
      <w:r w:rsidRPr="004C7FB3">
        <w:rPr>
          <w:rFonts w:ascii="Arial" w:hAnsi="Arial" w:cs="Arial"/>
          <w:sz w:val="22"/>
          <w:szCs w:val="22"/>
        </w:rPr>
        <w:t xml:space="preserve">, patient mortality is minimised, indicating a significant role in quality improvement (Alanazi </w:t>
      </w:r>
      <w:r w:rsidRPr="004C7FB3">
        <w:rPr>
          <w:rFonts w:ascii="Arial" w:hAnsi="Arial" w:cs="Arial"/>
          <w:i/>
          <w:iCs/>
          <w:sz w:val="22"/>
          <w:szCs w:val="22"/>
        </w:rPr>
        <w:t>et al</w:t>
      </w:r>
      <w:r w:rsidRPr="004C7FB3">
        <w:rPr>
          <w:rFonts w:ascii="Arial" w:hAnsi="Arial" w:cs="Arial"/>
          <w:sz w:val="22"/>
          <w:szCs w:val="22"/>
        </w:rPr>
        <w:t>., 2025).</w:t>
      </w:r>
    </w:p>
    <w:p w14:paraId="69011928" w14:textId="77777777" w:rsidR="00F03684" w:rsidRPr="004C7FB3" w:rsidRDefault="00F03684" w:rsidP="00F03684">
      <w:pPr>
        <w:spacing w:line="360" w:lineRule="auto"/>
        <w:jc w:val="both"/>
        <w:rPr>
          <w:rFonts w:ascii="Arial" w:hAnsi="Arial" w:cs="Arial"/>
          <w:b/>
          <w:bCs/>
          <w:sz w:val="22"/>
          <w:szCs w:val="22"/>
        </w:rPr>
      </w:pPr>
      <w:r w:rsidRPr="004C7FB3">
        <w:rPr>
          <w:rFonts w:ascii="Arial" w:hAnsi="Arial" w:cs="Arial"/>
          <w:sz w:val="22"/>
          <w:szCs w:val="22"/>
        </w:rPr>
        <w:t xml:space="preserve">3. </w:t>
      </w:r>
      <w:r w:rsidRPr="004C7FB3">
        <w:rPr>
          <w:rFonts w:ascii="Arial" w:hAnsi="Arial" w:cs="Arial"/>
          <w:b/>
          <w:bCs/>
          <w:sz w:val="22"/>
          <w:szCs w:val="22"/>
        </w:rPr>
        <w:t>Enhancing Organisational Culture and Patient-Centred Care</w:t>
      </w:r>
    </w:p>
    <w:p w14:paraId="03B73808" w14:textId="19460FAC" w:rsidR="00F03684" w:rsidRPr="004C7FB3" w:rsidRDefault="004746DE" w:rsidP="00080638">
      <w:pPr>
        <w:spacing w:line="360" w:lineRule="auto"/>
        <w:jc w:val="both"/>
        <w:rPr>
          <w:rFonts w:ascii="Arial" w:hAnsi="Arial" w:cs="Arial"/>
          <w:sz w:val="22"/>
          <w:szCs w:val="22"/>
        </w:rPr>
      </w:pPr>
      <w:r w:rsidRPr="004C7FB3">
        <w:rPr>
          <w:rFonts w:ascii="Arial" w:hAnsi="Arial" w:cs="Arial"/>
          <w:sz w:val="22"/>
          <w:szCs w:val="22"/>
        </w:rPr>
        <w:t xml:space="preserve">Transparency and continuous improvement depend on a positive organisational culture. Enhance whistleblowing policies to promote reporting without any fear and incorporate the system of patient feedback into the decision-making process. Make frequent surveys of staff engagement to assess the organisational climate and areas of improvement (Graham </w:t>
      </w:r>
      <w:r w:rsidRPr="004C7FB3">
        <w:rPr>
          <w:rFonts w:ascii="Arial" w:hAnsi="Arial" w:cs="Arial"/>
          <w:i/>
          <w:iCs/>
          <w:sz w:val="22"/>
          <w:szCs w:val="22"/>
        </w:rPr>
        <w:t xml:space="preserve">et al., </w:t>
      </w:r>
      <w:r w:rsidRPr="004C7FB3">
        <w:rPr>
          <w:rFonts w:ascii="Arial" w:hAnsi="Arial" w:cs="Arial"/>
          <w:sz w:val="22"/>
          <w:szCs w:val="22"/>
        </w:rPr>
        <w:t>2023). By promoting an open culture, patient safety will be improved, and there will be less risk of systemic failures as issues can be identified and addressed promptly.</w:t>
      </w:r>
    </w:p>
    <w:p w14:paraId="3E4EDC51" w14:textId="77777777" w:rsidR="00F03684" w:rsidRPr="004C7FB3" w:rsidRDefault="00F03684" w:rsidP="0017467D">
      <w:pPr>
        <w:pStyle w:val="Heading2"/>
        <w:rPr>
          <w:rFonts w:ascii="Arial" w:hAnsi="Arial" w:cs="Arial"/>
          <w:sz w:val="22"/>
          <w:szCs w:val="22"/>
        </w:rPr>
      </w:pPr>
      <w:bookmarkStart w:id="9" w:name="_Toc226631974"/>
      <w:r w:rsidRPr="004C7FB3">
        <w:rPr>
          <w:rFonts w:ascii="Arial" w:hAnsi="Arial" w:cs="Arial"/>
          <w:sz w:val="22"/>
          <w:szCs w:val="22"/>
        </w:rPr>
        <w:t>Application of Quality Improvement Tools</w:t>
      </w:r>
      <w:bookmarkEnd w:id="9"/>
    </w:p>
    <w:p w14:paraId="7266F40D" w14:textId="027523C4" w:rsidR="00F03684" w:rsidRPr="004C7FB3" w:rsidRDefault="0016799F" w:rsidP="00F03684">
      <w:pPr>
        <w:spacing w:line="360" w:lineRule="auto"/>
        <w:jc w:val="both"/>
        <w:rPr>
          <w:rFonts w:ascii="Arial" w:hAnsi="Arial" w:cs="Arial"/>
          <w:sz w:val="22"/>
          <w:szCs w:val="22"/>
        </w:rPr>
      </w:pPr>
      <w:r w:rsidRPr="004C7FB3">
        <w:rPr>
          <w:rFonts w:ascii="Arial" w:hAnsi="Arial" w:cs="Arial"/>
          <w:sz w:val="22"/>
          <w:szCs w:val="22"/>
        </w:rPr>
        <w:t xml:space="preserve">Structured quality improvement methodologies should be used in order to </w:t>
      </w:r>
      <w:r w:rsidR="00594937" w:rsidRPr="004C7FB3">
        <w:rPr>
          <w:rFonts w:ascii="Arial" w:hAnsi="Arial" w:cs="Arial"/>
          <w:sz w:val="22"/>
          <w:szCs w:val="22"/>
        </w:rPr>
        <w:t>ensure</w:t>
      </w:r>
      <w:r w:rsidRPr="004C7FB3">
        <w:rPr>
          <w:rFonts w:ascii="Arial" w:hAnsi="Arial" w:cs="Arial"/>
          <w:sz w:val="22"/>
          <w:szCs w:val="22"/>
        </w:rPr>
        <w:t xml:space="preserve"> good implementation.</w:t>
      </w:r>
    </w:p>
    <w:tbl>
      <w:tblPr>
        <w:tblStyle w:val="TableGrid"/>
        <w:tblW w:w="0" w:type="auto"/>
        <w:tblLook w:val="04A0" w:firstRow="1" w:lastRow="0" w:firstColumn="1" w:lastColumn="0" w:noHBand="0" w:noVBand="1"/>
      </w:tblPr>
      <w:tblGrid>
        <w:gridCol w:w="816"/>
        <w:gridCol w:w="8200"/>
      </w:tblGrid>
      <w:tr w:rsidR="004C7FB3" w:rsidRPr="004C7FB3" w14:paraId="70313243" w14:textId="77777777" w:rsidTr="00F03684">
        <w:tc>
          <w:tcPr>
            <w:tcW w:w="0" w:type="auto"/>
            <w:hideMark/>
          </w:tcPr>
          <w:p w14:paraId="0F23FA1D" w14:textId="77777777" w:rsidR="00F03684" w:rsidRPr="004C7FB3" w:rsidRDefault="00F03684" w:rsidP="00F03684">
            <w:pPr>
              <w:spacing w:after="160" w:line="360" w:lineRule="auto"/>
              <w:jc w:val="both"/>
              <w:rPr>
                <w:rFonts w:ascii="Arial" w:hAnsi="Arial" w:cs="Arial"/>
                <w:b/>
                <w:bCs/>
                <w:sz w:val="22"/>
                <w:szCs w:val="22"/>
              </w:rPr>
            </w:pPr>
            <w:r w:rsidRPr="004C7FB3">
              <w:rPr>
                <w:rFonts w:ascii="Arial" w:hAnsi="Arial" w:cs="Arial"/>
                <w:b/>
                <w:bCs/>
                <w:sz w:val="22"/>
                <w:szCs w:val="22"/>
              </w:rPr>
              <w:t>Stage</w:t>
            </w:r>
          </w:p>
        </w:tc>
        <w:tc>
          <w:tcPr>
            <w:tcW w:w="0" w:type="auto"/>
            <w:hideMark/>
          </w:tcPr>
          <w:p w14:paraId="723ED9AA" w14:textId="77777777" w:rsidR="00F03684" w:rsidRPr="004C7FB3" w:rsidRDefault="00F03684" w:rsidP="00F03684">
            <w:pPr>
              <w:spacing w:after="160" w:line="360" w:lineRule="auto"/>
              <w:jc w:val="both"/>
              <w:rPr>
                <w:rFonts w:ascii="Arial" w:hAnsi="Arial" w:cs="Arial"/>
                <w:b/>
                <w:bCs/>
                <w:sz w:val="22"/>
                <w:szCs w:val="22"/>
              </w:rPr>
            </w:pPr>
            <w:r w:rsidRPr="004C7FB3">
              <w:rPr>
                <w:rFonts w:ascii="Arial" w:hAnsi="Arial" w:cs="Arial"/>
                <w:b/>
                <w:bCs/>
                <w:sz w:val="22"/>
                <w:szCs w:val="22"/>
              </w:rPr>
              <w:t>Practical Steps</w:t>
            </w:r>
          </w:p>
        </w:tc>
      </w:tr>
      <w:tr w:rsidR="004C7FB3" w:rsidRPr="004C7FB3" w14:paraId="3A6CD89E" w14:textId="77777777" w:rsidTr="00F03684">
        <w:tc>
          <w:tcPr>
            <w:tcW w:w="0" w:type="auto"/>
            <w:hideMark/>
          </w:tcPr>
          <w:p w14:paraId="2A621693" w14:textId="77777777" w:rsidR="00F03684" w:rsidRPr="004C7FB3" w:rsidRDefault="00F03684" w:rsidP="00F03684">
            <w:pPr>
              <w:spacing w:after="160" w:line="360" w:lineRule="auto"/>
              <w:jc w:val="both"/>
              <w:rPr>
                <w:rFonts w:ascii="Arial" w:hAnsi="Arial" w:cs="Arial"/>
                <w:sz w:val="22"/>
                <w:szCs w:val="22"/>
              </w:rPr>
            </w:pPr>
            <w:r w:rsidRPr="004C7FB3">
              <w:rPr>
                <w:rFonts w:ascii="Arial" w:hAnsi="Arial" w:cs="Arial"/>
                <w:sz w:val="22"/>
                <w:szCs w:val="22"/>
              </w:rPr>
              <w:t>Plan</w:t>
            </w:r>
          </w:p>
        </w:tc>
        <w:tc>
          <w:tcPr>
            <w:tcW w:w="0" w:type="auto"/>
            <w:hideMark/>
          </w:tcPr>
          <w:p w14:paraId="1008BDFA" w14:textId="21670697" w:rsidR="00F03684" w:rsidRPr="004C7FB3" w:rsidRDefault="0019374F" w:rsidP="00F03684">
            <w:pPr>
              <w:spacing w:after="160" w:line="360" w:lineRule="auto"/>
              <w:jc w:val="both"/>
              <w:rPr>
                <w:rFonts w:ascii="Arial" w:hAnsi="Arial" w:cs="Arial"/>
                <w:sz w:val="22"/>
                <w:szCs w:val="22"/>
              </w:rPr>
            </w:pPr>
            <w:r w:rsidRPr="004C7FB3">
              <w:rPr>
                <w:rFonts w:ascii="Arial" w:hAnsi="Arial" w:cs="Arial"/>
                <w:sz w:val="22"/>
                <w:szCs w:val="22"/>
              </w:rPr>
              <w:t>Determine the major challenges through data analysis that include high mortality and staffing deficits.</w:t>
            </w:r>
          </w:p>
        </w:tc>
      </w:tr>
      <w:tr w:rsidR="004C7FB3" w:rsidRPr="004C7FB3" w14:paraId="212EFA7C" w14:textId="77777777" w:rsidTr="00F03684">
        <w:tc>
          <w:tcPr>
            <w:tcW w:w="0" w:type="auto"/>
            <w:hideMark/>
          </w:tcPr>
          <w:p w14:paraId="7CBEF318" w14:textId="77777777" w:rsidR="00F03684" w:rsidRPr="004C7FB3" w:rsidRDefault="00F03684" w:rsidP="00F03684">
            <w:pPr>
              <w:spacing w:after="160" w:line="360" w:lineRule="auto"/>
              <w:jc w:val="both"/>
              <w:rPr>
                <w:rFonts w:ascii="Arial" w:hAnsi="Arial" w:cs="Arial"/>
                <w:sz w:val="22"/>
                <w:szCs w:val="22"/>
              </w:rPr>
            </w:pPr>
            <w:r w:rsidRPr="004C7FB3">
              <w:rPr>
                <w:rFonts w:ascii="Arial" w:hAnsi="Arial" w:cs="Arial"/>
                <w:sz w:val="22"/>
                <w:szCs w:val="22"/>
              </w:rPr>
              <w:t>Do</w:t>
            </w:r>
          </w:p>
        </w:tc>
        <w:tc>
          <w:tcPr>
            <w:tcW w:w="0" w:type="auto"/>
            <w:hideMark/>
          </w:tcPr>
          <w:p w14:paraId="4480EDC8" w14:textId="53A60274" w:rsidR="00F03684" w:rsidRPr="004C7FB3" w:rsidRDefault="0019374F" w:rsidP="00F03684">
            <w:pPr>
              <w:spacing w:after="160" w:line="360" w:lineRule="auto"/>
              <w:jc w:val="both"/>
              <w:rPr>
                <w:rFonts w:ascii="Arial" w:hAnsi="Arial" w:cs="Arial"/>
                <w:sz w:val="22"/>
                <w:szCs w:val="22"/>
              </w:rPr>
            </w:pPr>
            <w:r w:rsidRPr="004C7FB3">
              <w:rPr>
                <w:rFonts w:ascii="Arial" w:hAnsi="Arial" w:cs="Arial"/>
                <w:sz w:val="22"/>
                <w:szCs w:val="22"/>
              </w:rPr>
              <w:t xml:space="preserve">Pilot interventions, such as </w:t>
            </w:r>
            <w:r w:rsidR="0016799F" w:rsidRPr="004C7FB3">
              <w:rPr>
                <w:rFonts w:ascii="Arial" w:hAnsi="Arial" w:cs="Arial"/>
                <w:sz w:val="22"/>
                <w:szCs w:val="22"/>
              </w:rPr>
              <w:t>raising</w:t>
            </w:r>
            <w:r w:rsidRPr="004C7FB3">
              <w:rPr>
                <w:rFonts w:ascii="Arial" w:hAnsi="Arial" w:cs="Arial"/>
                <w:sz w:val="22"/>
                <w:szCs w:val="22"/>
              </w:rPr>
              <w:t xml:space="preserve"> the staffing level within the chosen departments.</w:t>
            </w:r>
          </w:p>
        </w:tc>
      </w:tr>
      <w:tr w:rsidR="004C7FB3" w:rsidRPr="004C7FB3" w14:paraId="455EB5A2" w14:textId="77777777" w:rsidTr="00F03684">
        <w:tc>
          <w:tcPr>
            <w:tcW w:w="0" w:type="auto"/>
            <w:hideMark/>
          </w:tcPr>
          <w:p w14:paraId="224C1EF2" w14:textId="77777777" w:rsidR="00F03684" w:rsidRPr="004C7FB3" w:rsidRDefault="00F03684" w:rsidP="00F03684">
            <w:pPr>
              <w:spacing w:after="160" w:line="360" w:lineRule="auto"/>
              <w:jc w:val="both"/>
              <w:rPr>
                <w:rFonts w:ascii="Arial" w:hAnsi="Arial" w:cs="Arial"/>
                <w:sz w:val="22"/>
                <w:szCs w:val="22"/>
              </w:rPr>
            </w:pPr>
            <w:r w:rsidRPr="004C7FB3">
              <w:rPr>
                <w:rFonts w:ascii="Arial" w:hAnsi="Arial" w:cs="Arial"/>
                <w:sz w:val="22"/>
                <w:szCs w:val="22"/>
              </w:rPr>
              <w:t>Study</w:t>
            </w:r>
          </w:p>
        </w:tc>
        <w:tc>
          <w:tcPr>
            <w:tcW w:w="0" w:type="auto"/>
            <w:hideMark/>
          </w:tcPr>
          <w:p w14:paraId="5D4BF0B8" w14:textId="43CACEAA" w:rsidR="00F03684" w:rsidRPr="004C7FB3" w:rsidRDefault="0016799F" w:rsidP="00F03684">
            <w:pPr>
              <w:spacing w:after="160" w:line="360" w:lineRule="auto"/>
              <w:jc w:val="both"/>
              <w:rPr>
                <w:rFonts w:ascii="Arial" w:hAnsi="Arial" w:cs="Arial"/>
                <w:sz w:val="22"/>
                <w:szCs w:val="22"/>
              </w:rPr>
            </w:pPr>
            <w:r w:rsidRPr="004C7FB3">
              <w:rPr>
                <w:rFonts w:ascii="Arial" w:hAnsi="Arial" w:cs="Arial"/>
                <w:sz w:val="22"/>
                <w:szCs w:val="22"/>
              </w:rPr>
              <w:t>Assess results with such indicators as patient mortality, response rates and satisfaction scores.</w:t>
            </w:r>
          </w:p>
        </w:tc>
      </w:tr>
      <w:tr w:rsidR="004C7FB3" w:rsidRPr="004C7FB3" w14:paraId="3DF0568A" w14:textId="77777777" w:rsidTr="00F03684">
        <w:tc>
          <w:tcPr>
            <w:tcW w:w="0" w:type="auto"/>
            <w:hideMark/>
          </w:tcPr>
          <w:p w14:paraId="5D6AEC2E" w14:textId="77777777" w:rsidR="00F03684" w:rsidRPr="004C7FB3" w:rsidRDefault="00F03684" w:rsidP="00F03684">
            <w:pPr>
              <w:spacing w:after="160" w:line="360" w:lineRule="auto"/>
              <w:jc w:val="both"/>
              <w:rPr>
                <w:rFonts w:ascii="Arial" w:hAnsi="Arial" w:cs="Arial"/>
                <w:sz w:val="22"/>
                <w:szCs w:val="22"/>
              </w:rPr>
            </w:pPr>
            <w:r w:rsidRPr="004C7FB3">
              <w:rPr>
                <w:rFonts w:ascii="Arial" w:hAnsi="Arial" w:cs="Arial"/>
                <w:sz w:val="22"/>
                <w:szCs w:val="22"/>
              </w:rPr>
              <w:t>Act</w:t>
            </w:r>
          </w:p>
        </w:tc>
        <w:tc>
          <w:tcPr>
            <w:tcW w:w="0" w:type="auto"/>
            <w:hideMark/>
          </w:tcPr>
          <w:p w14:paraId="69F382DD" w14:textId="595148B2" w:rsidR="00F03684" w:rsidRPr="004C7FB3" w:rsidRDefault="0016799F" w:rsidP="00F03684">
            <w:pPr>
              <w:spacing w:after="160" w:line="360" w:lineRule="auto"/>
              <w:jc w:val="both"/>
              <w:rPr>
                <w:rFonts w:ascii="Arial" w:hAnsi="Arial" w:cs="Arial"/>
                <w:sz w:val="22"/>
                <w:szCs w:val="22"/>
              </w:rPr>
            </w:pPr>
            <w:r w:rsidRPr="004C7FB3">
              <w:rPr>
                <w:rFonts w:ascii="Arial" w:hAnsi="Arial" w:cs="Arial"/>
                <w:sz w:val="22"/>
                <w:szCs w:val="22"/>
              </w:rPr>
              <w:t>Scale successful organisational-wide interventions and standardise best practices</w:t>
            </w:r>
            <w:r w:rsidR="00F03684" w:rsidRPr="004C7FB3">
              <w:rPr>
                <w:rFonts w:ascii="Arial" w:hAnsi="Arial" w:cs="Arial"/>
                <w:sz w:val="22"/>
                <w:szCs w:val="22"/>
              </w:rPr>
              <w:t>.</w:t>
            </w:r>
          </w:p>
        </w:tc>
      </w:tr>
    </w:tbl>
    <w:p w14:paraId="639F847C" w14:textId="582295E5" w:rsidR="00F03684" w:rsidRPr="004C7FB3" w:rsidRDefault="00F03684" w:rsidP="00F03684">
      <w:pPr>
        <w:spacing w:before="240" w:line="360" w:lineRule="auto"/>
        <w:jc w:val="center"/>
        <w:rPr>
          <w:rFonts w:ascii="Arial" w:hAnsi="Arial" w:cs="Arial"/>
          <w:b/>
          <w:bCs/>
          <w:sz w:val="22"/>
          <w:szCs w:val="22"/>
        </w:rPr>
      </w:pPr>
      <w:r w:rsidRPr="004C7FB3">
        <w:rPr>
          <w:rFonts w:ascii="Arial" w:hAnsi="Arial" w:cs="Arial"/>
          <w:b/>
          <w:bCs/>
          <w:sz w:val="22"/>
          <w:szCs w:val="22"/>
        </w:rPr>
        <w:t>Table 3: PDSA Cycle Implementation</w:t>
      </w:r>
    </w:p>
    <w:p w14:paraId="4916084E" w14:textId="764EFFFD" w:rsidR="00F03684" w:rsidRPr="004C7FB3" w:rsidRDefault="00594937" w:rsidP="00F03684">
      <w:pPr>
        <w:spacing w:before="240" w:line="360" w:lineRule="auto"/>
        <w:jc w:val="both"/>
        <w:rPr>
          <w:rFonts w:ascii="Arial" w:hAnsi="Arial" w:cs="Arial"/>
          <w:sz w:val="22"/>
          <w:szCs w:val="22"/>
        </w:rPr>
      </w:pPr>
      <w:r w:rsidRPr="004C7FB3">
        <w:rPr>
          <w:rFonts w:ascii="Arial" w:hAnsi="Arial" w:cs="Arial"/>
          <w:sz w:val="22"/>
          <w:szCs w:val="22"/>
        </w:rPr>
        <w:t>One of the essential parts of the PDSA cycle is the ability to constantly learn and change; this way, the changes will be evidence-based and sustainable.</w:t>
      </w:r>
    </w:p>
    <w:tbl>
      <w:tblPr>
        <w:tblStyle w:val="TableGrid"/>
        <w:tblW w:w="0" w:type="auto"/>
        <w:tblLook w:val="04A0" w:firstRow="1" w:lastRow="0" w:firstColumn="1" w:lastColumn="0" w:noHBand="0" w:noVBand="1"/>
      </w:tblPr>
      <w:tblGrid>
        <w:gridCol w:w="840"/>
        <w:gridCol w:w="8176"/>
      </w:tblGrid>
      <w:tr w:rsidR="004C7FB3" w:rsidRPr="004C7FB3" w14:paraId="6943E965" w14:textId="77777777" w:rsidTr="00251FFC">
        <w:tc>
          <w:tcPr>
            <w:tcW w:w="0" w:type="auto"/>
            <w:hideMark/>
          </w:tcPr>
          <w:p w14:paraId="3D26FA4E" w14:textId="77777777" w:rsidR="00251FFC" w:rsidRPr="004C7FB3" w:rsidRDefault="00251FFC" w:rsidP="00251FFC">
            <w:pPr>
              <w:spacing w:before="240" w:after="160" w:line="360" w:lineRule="auto"/>
              <w:jc w:val="both"/>
              <w:rPr>
                <w:rFonts w:ascii="Arial" w:hAnsi="Arial" w:cs="Arial"/>
                <w:b/>
                <w:bCs/>
                <w:sz w:val="22"/>
                <w:szCs w:val="22"/>
              </w:rPr>
            </w:pPr>
            <w:r w:rsidRPr="004C7FB3">
              <w:rPr>
                <w:rFonts w:ascii="Arial" w:hAnsi="Arial" w:cs="Arial"/>
                <w:b/>
                <w:bCs/>
                <w:sz w:val="22"/>
                <w:szCs w:val="22"/>
              </w:rPr>
              <w:t>Stage</w:t>
            </w:r>
          </w:p>
        </w:tc>
        <w:tc>
          <w:tcPr>
            <w:tcW w:w="0" w:type="auto"/>
            <w:hideMark/>
          </w:tcPr>
          <w:p w14:paraId="1B5D66F8" w14:textId="77777777" w:rsidR="00251FFC" w:rsidRPr="004C7FB3" w:rsidRDefault="00251FFC" w:rsidP="00251FFC">
            <w:pPr>
              <w:spacing w:before="240" w:after="160" w:line="360" w:lineRule="auto"/>
              <w:jc w:val="both"/>
              <w:rPr>
                <w:rFonts w:ascii="Arial" w:hAnsi="Arial" w:cs="Arial"/>
                <w:b/>
                <w:bCs/>
                <w:sz w:val="22"/>
                <w:szCs w:val="22"/>
              </w:rPr>
            </w:pPr>
            <w:r w:rsidRPr="004C7FB3">
              <w:rPr>
                <w:rFonts w:ascii="Arial" w:hAnsi="Arial" w:cs="Arial"/>
                <w:b/>
                <w:bCs/>
                <w:sz w:val="22"/>
                <w:szCs w:val="22"/>
              </w:rPr>
              <w:t>Practical Steps</w:t>
            </w:r>
          </w:p>
        </w:tc>
      </w:tr>
      <w:tr w:rsidR="004C7FB3" w:rsidRPr="004C7FB3" w14:paraId="163BCF93" w14:textId="77777777" w:rsidTr="00251FFC">
        <w:tc>
          <w:tcPr>
            <w:tcW w:w="0" w:type="auto"/>
            <w:hideMark/>
          </w:tcPr>
          <w:p w14:paraId="6D5DB575" w14:textId="77777777" w:rsidR="00251FFC" w:rsidRPr="004C7FB3" w:rsidRDefault="00251FFC" w:rsidP="00251FFC">
            <w:pPr>
              <w:spacing w:before="240" w:after="160" w:line="360" w:lineRule="auto"/>
              <w:jc w:val="both"/>
              <w:rPr>
                <w:rFonts w:ascii="Arial" w:hAnsi="Arial" w:cs="Arial"/>
                <w:sz w:val="22"/>
                <w:szCs w:val="22"/>
              </w:rPr>
            </w:pPr>
            <w:r w:rsidRPr="004C7FB3">
              <w:rPr>
                <w:rFonts w:ascii="Arial" w:hAnsi="Arial" w:cs="Arial"/>
                <w:sz w:val="22"/>
                <w:szCs w:val="22"/>
              </w:rPr>
              <w:t>Plan</w:t>
            </w:r>
          </w:p>
        </w:tc>
        <w:tc>
          <w:tcPr>
            <w:tcW w:w="0" w:type="auto"/>
            <w:hideMark/>
          </w:tcPr>
          <w:p w14:paraId="3F074DAE" w14:textId="2009D04F" w:rsidR="00251FFC" w:rsidRPr="004C7FB3" w:rsidRDefault="00594937" w:rsidP="00251FFC">
            <w:pPr>
              <w:spacing w:before="240" w:after="160" w:line="360" w:lineRule="auto"/>
              <w:jc w:val="both"/>
              <w:rPr>
                <w:rFonts w:ascii="Arial" w:hAnsi="Arial" w:cs="Arial"/>
                <w:sz w:val="22"/>
                <w:szCs w:val="22"/>
              </w:rPr>
            </w:pPr>
            <w:r w:rsidRPr="004C7FB3">
              <w:rPr>
                <w:rFonts w:ascii="Arial" w:hAnsi="Arial" w:cs="Arial"/>
                <w:sz w:val="22"/>
                <w:szCs w:val="22"/>
              </w:rPr>
              <w:t>Formulate governance principles per CQC principles and patient safety objectives.</w:t>
            </w:r>
          </w:p>
        </w:tc>
      </w:tr>
      <w:tr w:rsidR="004C7FB3" w:rsidRPr="004C7FB3" w14:paraId="6C5BE506" w14:textId="77777777" w:rsidTr="00251FFC">
        <w:tc>
          <w:tcPr>
            <w:tcW w:w="0" w:type="auto"/>
            <w:hideMark/>
          </w:tcPr>
          <w:p w14:paraId="0F96F932" w14:textId="77777777" w:rsidR="00251FFC" w:rsidRPr="004C7FB3" w:rsidRDefault="00251FFC" w:rsidP="00251FFC">
            <w:pPr>
              <w:spacing w:before="240" w:after="160" w:line="360" w:lineRule="auto"/>
              <w:jc w:val="both"/>
              <w:rPr>
                <w:rFonts w:ascii="Arial" w:hAnsi="Arial" w:cs="Arial"/>
                <w:sz w:val="22"/>
                <w:szCs w:val="22"/>
              </w:rPr>
            </w:pPr>
            <w:r w:rsidRPr="004C7FB3">
              <w:rPr>
                <w:rFonts w:ascii="Arial" w:hAnsi="Arial" w:cs="Arial"/>
                <w:sz w:val="22"/>
                <w:szCs w:val="22"/>
              </w:rPr>
              <w:t>Do</w:t>
            </w:r>
          </w:p>
        </w:tc>
        <w:tc>
          <w:tcPr>
            <w:tcW w:w="0" w:type="auto"/>
            <w:hideMark/>
          </w:tcPr>
          <w:p w14:paraId="2DE2AEE2" w14:textId="1FE9FFEE" w:rsidR="00251FFC" w:rsidRPr="004C7FB3" w:rsidRDefault="00594937" w:rsidP="00251FFC">
            <w:pPr>
              <w:spacing w:before="240" w:after="160" w:line="360" w:lineRule="auto"/>
              <w:jc w:val="both"/>
              <w:rPr>
                <w:rFonts w:ascii="Arial" w:hAnsi="Arial" w:cs="Arial"/>
                <w:sz w:val="22"/>
                <w:szCs w:val="22"/>
              </w:rPr>
            </w:pPr>
            <w:r w:rsidRPr="004C7FB3">
              <w:rPr>
                <w:rFonts w:ascii="Arial" w:hAnsi="Arial" w:cs="Arial"/>
                <w:sz w:val="22"/>
                <w:szCs w:val="22"/>
              </w:rPr>
              <w:t>Plan and educate staff about compliance.</w:t>
            </w:r>
          </w:p>
        </w:tc>
      </w:tr>
      <w:tr w:rsidR="004C7FB3" w:rsidRPr="004C7FB3" w14:paraId="2709C10D" w14:textId="77777777" w:rsidTr="00251FFC">
        <w:tc>
          <w:tcPr>
            <w:tcW w:w="0" w:type="auto"/>
            <w:hideMark/>
          </w:tcPr>
          <w:p w14:paraId="1C6DF79D" w14:textId="77777777" w:rsidR="00251FFC" w:rsidRPr="004C7FB3" w:rsidRDefault="00251FFC" w:rsidP="00251FFC">
            <w:pPr>
              <w:spacing w:before="240" w:after="160" w:line="360" w:lineRule="auto"/>
              <w:jc w:val="both"/>
              <w:rPr>
                <w:rFonts w:ascii="Arial" w:hAnsi="Arial" w:cs="Arial"/>
                <w:sz w:val="22"/>
                <w:szCs w:val="22"/>
              </w:rPr>
            </w:pPr>
            <w:r w:rsidRPr="004C7FB3">
              <w:rPr>
                <w:rFonts w:ascii="Arial" w:hAnsi="Arial" w:cs="Arial"/>
                <w:sz w:val="22"/>
                <w:szCs w:val="22"/>
              </w:rPr>
              <w:t>Check</w:t>
            </w:r>
          </w:p>
        </w:tc>
        <w:tc>
          <w:tcPr>
            <w:tcW w:w="0" w:type="auto"/>
            <w:hideMark/>
          </w:tcPr>
          <w:p w14:paraId="41C1132F" w14:textId="29EBB6F6" w:rsidR="00251FFC" w:rsidRPr="004C7FB3" w:rsidRDefault="00594937" w:rsidP="00251FFC">
            <w:pPr>
              <w:spacing w:before="240" w:after="160" w:line="360" w:lineRule="auto"/>
              <w:jc w:val="both"/>
              <w:rPr>
                <w:rFonts w:ascii="Arial" w:hAnsi="Arial" w:cs="Arial"/>
                <w:sz w:val="22"/>
                <w:szCs w:val="22"/>
              </w:rPr>
            </w:pPr>
            <w:r w:rsidRPr="004C7FB3">
              <w:rPr>
                <w:rFonts w:ascii="Arial" w:hAnsi="Arial" w:cs="Arial"/>
                <w:sz w:val="22"/>
                <w:szCs w:val="22"/>
              </w:rPr>
              <w:t>Report performance using audits and performance measures.</w:t>
            </w:r>
          </w:p>
        </w:tc>
      </w:tr>
      <w:tr w:rsidR="004C7FB3" w:rsidRPr="004C7FB3" w14:paraId="6C5199C4" w14:textId="77777777" w:rsidTr="00251FFC">
        <w:tc>
          <w:tcPr>
            <w:tcW w:w="0" w:type="auto"/>
            <w:hideMark/>
          </w:tcPr>
          <w:p w14:paraId="3C3FD46F" w14:textId="77777777" w:rsidR="00251FFC" w:rsidRPr="004C7FB3" w:rsidRDefault="00251FFC" w:rsidP="00251FFC">
            <w:pPr>
              <w:spacing w:before="240" w:after="160" w:line="360" w:lineRule="auto"/>
              <w:jc w:val="both"/>
              <w:rPr>
                <w:rFonts w:ascii="Arial" w:hAnsi="Arial" w:cs="Arial"/>
                <w:sz w:val="22"/>
                <w:szCs w:val="22"/>
              </w:rPr>
            </w:pPr>
            <w:r w:rsidRPr="004C7FB3">
              <w:rPr>
                <w:rFonts w:ascii="Arial" w:hAnsi="Arial" w:cs="Arial"/>
                <w:sz w:val="22"/>
                <w:szCs w:val="22"/>
              </w:rPr>
              <w:t>Act</w:t>
            </w:r>
          </w:p>
        </w:tc>
        <w:tc>
          <w:tcPr>
            <w:tcW w:w="0" w:type="auto"/>
            <w:hideMark/>
          </w:tcPr>
          <w:p w14:paraId="77C56F73" w14:textId="20449CB6" w:rsidR="00251FFC" w:rsidRPr="004C7FB3" w:rsidRDefault="00594937" w:rsidP="00251FFC">
            <w:pPr>
              <w:spacing w:before="240" w:after="160" w:line="360" w:lineRule="auto"/>
              <w:jc w:val="both"/>
              <w:rPr>
                <w:rFonts w:ascii="Arial" w:hAnsi="Arial" w:cs="Arial"/>
                <w:sz w:val="22"/>
                <w:szCs w:val="22"/>
              </w:rPr>
            </w:pPr>
            <w:r w:rsidRPr="004C7FB3">
              <w:rPr>
                <w:rFonts w:ascii="Arial" w:hAnsi="Arial" w:cs="Arial"/>
                <w:sz w:val="22"/>
                <w:szCs w:val="22"/>
              </w:rPr>
              <w:t xml:space="preserve">Improve policies </w:t>
            </w:r>
            <w:r w:rsidR="006670F7" w:rsidRPr="004C7FB3">
              <w:rPr>
                <w:rFonts w:ascii="Arial" w:hAnsi="Arial" w:cs="Arial"/>
                <w:sz w:val="22"/>
                <w:szCs w:val="22"/>
              </w:rPr>
              <w:t>based on</w:t>
            </w:r>
            <w:r w:rsidRPr="004C7FB3">
              <w:rPr>
                <w:rFonts w:ascii="Arial" w:hAnsi="Arial" w:cs="Arial"/>
                <w:sz w:val="22"/>
                <w:szCs w:val="22"/>
              </w:rPr>
              <w:t xml:space="preserve"> audit results and feedback.</w:t>
            </w:r>
          </w:p>
        </w:tc>
      </w:tr>
    </w:tbl>
    <w:p w14:paraId="3EE22D87" w14:textId="17007DCA" w:rsidR="00251FFC" w:rsidRPr="004C7FB3" w:rsidRDefault="00251FFC" w:rsidP="00251FFC">
      <w:pPr>
        <w:spacing w:before="240" w:line="360" w:lineRule="auto"/>
        <w:jc w:val="center"/>
        <w:rPr>
          <w:rFonts w:ascii="Arial" w:hAnsi="Arial" w:cs="Arial"/>
          <w:b/>
          <w:bCs/>
          <w:sz w:val="22"/>
          <w:szCs w:val="22"/>
        </w:rPr>
      </w:pPr>
      <w:r w:rsidRPr="004C7FB3">
        <w:rPr>
          <w:rFonts w:ascii="Arial" w:hAnsi="Arial" w:cs="Arial"/>
          <w:b/>
          <w:bCs/>
          <w:sz w:val="22"/>
          <w:szCs w:val="22"/>
        </w:rPr>
        <w:t>Table 4: PDCA Model for Governance Improvement</w:t>
      </w:r>
    </w:p>
    <w:p w14:paraId="293C1A13" w14:textId="15AE18FE" w:rsidR="00F03684" w:rsidRPr="004C7FB3" w:rsidRDefault="00251FFC" w:rsidP="00F03684">
      <w:pPr>
        <w:spacing w:before="240" w:line="360" w:lineRule="auto"/>
        <w:jc w:val="both"/>
        <w:rPr>
          <w:rFonts w:ascii="Arial" w:hAnsi="Arial" w:cs="Arial"/>
          <w:sz w:val="22"/>
          <w:szCs w:val="22"/>
        </w:rPr>
      </w:pPr>
      <w:r w:rsidRPr="004C7FB3">
        <w:rPr>
          <w:rFonts w:ascii="Arial" w:hAnsi="Arial" w:cs="Arial"/>
          <w:sz w:val="22"/>
          <w:szCs w:val="22"/>
        </w:rPr>
        <w:t>The PDCA model ensures consistency and continuous monitoring of healthcare processes.</w:t>
      </w:r>
    </w:p>
    <w:p w14:paraId="2BA9B4D1" w14:textId="77777777" w:rsidR="007D7EBF" w:rsidRPr="004C7FB3" w:rsidRDefault="007D7EBF" w:rsidP="0017467D">
      <w:pPr>
        <w:pStyle w:val="Heading2"/>
        <w:rPr>
          <w:rFonts w:ascii="Arial" w:hAnsi="Arial" w:cs="Arial"/>
          <w:sz w:val="22"/>
          <w:szCs w:val="22"/>
        </w:rPr>
      </w:pPr>
      <w:bookmarkStart w:id="10" w:name="_Toc226631975"/>
      <w:r w:rsidRPr="004C7FB3">
        <w:rPr>
          <w:rFonts w:ascii="Arial" w:hAnsi="Arial" w:cs="Arial"/>
          <w:sz w:val="22"/>
          <w:szCs w:val="22"/>
        </w:rPr>
        <w:t>Lean Methodology Application</w:t>
      </w:r>
      <w:bookmarkEnd w:id="10"/>
    </w:p>
    <w:p w14:paraId="0484E462" w14:textId="4C2FF636" w:rsidR="007D4FCC" w:rsidRPr="004C7FB3" w:rsidRDefault="00475DE8" w:rsidP="007D7EBF">
      <w:pPr>
        <w:spacing w:before="240" w:line="360" w:lineRule="auto"/>
        <w:jc w:val="both"/>
        <w:rPr>
          <w:rFonts w:ascii="Arial" w:hAnsi="Arial" w:cs="Arial"/>
          <w:sz w:val="22"/>
          <w:szCs w:val="22"/>
        </w:rPr>
      </w:pPr>
      <w:r w:rsidRPr="004C7FB3">
        <w:rPr>
          <w:rFonts w:ascii="Arial" w:hAnsi="Arial" w:cs="Arial"/>
          <w:sz w:val="22"/>
          <w:szCs w:val="22"/>
        </w:rPr>
        <w:t xml:space="preserve">Lean aims at removing work inefficiencies and workflow. Here, superfluous bureaucratic processes ought to be cut down to enable medical care providers to dedicate additional time to patient care. Efficiency can be enhanced by streamlining the processes involved, including the process of admission and discharge planning of patients and improving waiting time. According to studies, </w:t>
      </w:r>
      <w:r w:rsidR="009065A7" w:rsidRPr="004C7FB3">
        <w:rPr>
          <w:rFonts w:ascii="Arial" w:hAnsi="Arial" w:cs="Arial"/>
          <w:sz w:val="22"/>
          <w:szCs w:val="22"/>
        </w:rPr>
        <w:t>l</w:t>
      </w:r>
      <w:r w:rsidRPr="004C7FB3">
        <w:rPr>
          <w:rFonts w:ascii="Arial" w:hAnsi="Arial" w:cs="Arial"/>
          <w:sz w:val="22"/>
          <w:szCs w:val="22"/>
        </w:rPr>
        <w:t xml:space="preserve">ean interventions have the potential to enhance the effectiveness of operations by </w:t>
      </w:r>
      <w:r w:rsidRPr="004C7FB3">
        <w:rPr>
          <w:rFonts w:ascii="Arial" w:hAnsi="Arial" w:cs="Arial"/>
          <w:b/>
          <w:bCs/>
          <w:i/>
          <w:iCs/>
          <w:sz w:val="22"/>
          <w:szCs w:val="22"/>
        </w:rPr>
        <w:t>30%</w:t>
      </w:r>
      <w:r w:rsidRPr="004C7FB3">
        <w:rPr>
          <w:rFonts w:ascii="Arial" w:hAnsi="Arial" w:cs="Arial"/>
          <w:sz w:val="22"/>
          <w:szCs w:val="22"/>
        </w:rPr>
        <w:t xml:space="preserve">, not only increasing productivity but also improving patient outcomes (Wang </w:t>
      </w:r>
      <w:r w:rsidRPr="004C7FB3">
        <w:rPr>
          <w:rFonts w:ascii="Arial" w:hAnsi="Arial" w:cs="Arial"/>
          <w:i/>
          <w:iCs/>
          <w:sz w:val="22"/>
          <w:szCs w:val="22"/>
        </w:rPr>
        <w:t>et al.,</w:t>
      </w:r>
      <w:r w:rsidRPr="004C7FB3">
        <w:rPr>
          <w:rFonts w:ascii="Arial" w:hAnsi="Arial" w:cs="Arial"/>
          <w:sz w:val="22"/>
          <w:szCs w:val="22"/>
        </w:rPr>
        <w:t xml:space="preserve"> 2025).</w:t>
      </w:r>
      <w:r w:rsidR="00EC2D8E" w:rsidRPr="004C7FB3">
        <w:rPr>
          <w:rFonts w:ascii="Arial" w:hAnsi="Arial" w:cs="Arial"/>
          <w:sz w:val="22"/>
          <w:szCs w:val="22"/>
        </w:rPr>
        <w:t xml:space="preserve"> </w:t>
      </w:r>
      <w:r w:rsidR="007D4FCC" w:rsidRPr="004C7FB3">
        <w:rPr>
          <w:rFonts w:ascii="Arial" w:hAnsi="Arial" w:cs="Arial"/>
          <w:sz w:val="22"/>
          <w:szCs w:val="22"/>
        </w:rPr>
        <w:t>Moreover, Lean focuses on value-based care through the identification of such activities that do not add value, as perceived by the patient. Patient pathways can be analysed using tools like value stream mapping to remove any delays or redundancies. Eliminating duplication of work and errors can also be achieved through standardisation of procedures and enhancing interdepartmental coordination. Additionally, allowing front-line personnel to detect inefficiencies will promote continuous improvement and create a culture of responsibility. This solution not only improves the quality of service, but also staff satisfaction and patient experience are better.</w:t>
      </w:r>
    </w:p>
    <w:p w14:paraId="63F143F2" w14:textId="52CFAF4C" w:rsidR="007D7EBF" w:rsidRPr="004C7FB3" w:rsidRDefault="007D7EBF" w:rsidP="0017467D">
      <w:pPr>
        <w:pStyle w:val="Heading2"/>
        <w:rPr>
          <w:rFonts w:ascii="Arial" w:hAnsi="Arial" w:cs="Arial"/>
          <w:sz w:val="22"/>
          <w:szCs w:val="22"/>
        </w:rPr>
      </w:pPr>
      <w:bookmarkStart w:id="11" w:name="_Toc226631976"/>
      <w:r w:rsidRPr="004C7FB3">
        <w:rPr>
          <w:rFonts w:ascii="Arial" w:hAnsi="Arial" w:cs="Arial"/>
          <w:sz w:val="22"/>
          <w:szCs w:val="22"/>
        </w:rPr>
        <w:t>Six Sigma Application</w:t>
      </w:r>
      <w:bookmarkEnd w:id="11"/>
    </w:p>
    <w:p w14:paraId="59F107E7" w14:textId="0C9BC10E" w:rsidR="00251FFC" w:rsidRPr="004C7FB3" w:rsidRDefault="00475DE8" w:rsidP="00F03684">
      <w:pPr>
        <w:spacing w:before="240" w:line="360" w:lineRule="auto"/>
        <w:jc w:val="both"/>
        <w:rPr>
          <w:rFonts w:ascii="Arial" w:hAnsi="Arial" w:cs="Arial"/>
          <w:sz w:val="22"/>
          <w:szCs w:val="22"/>
        </w:rPr>
      </w:pPr>
      <w:r w:rsidRPr="004C7FB3">
        <w:rPr>
          <w:rFonts w:ascii="Arial" w:hAnsi="Arial" w:cs="Arial"/>
          <w:sz w:val="22"/>
          <w:szCs w:val="22"/>
        </w:rPr>
        <w:t xml:space="preserve">Six Sigma emphasises reducing errors and variability in processes. </w:t>
      </w:r>
      <w:r w:rsidR="007D4FCC" w:rsidRPr="004C7FB3">
        <w:rPr>
          <w:rFonts w:ascii="Arial" w:hAnsi="Arial" w:cs="Arial"/>
          <w:sz w:val="22"/>
          <w:szCs w:val="22"/>
        </w:rPr>
        <w:t>Healthcare organisations can identify inefficiencies and introduce specific changes in a systematic way, using the help of methodologies like DMAIC (Define, Measure, Analyse, Improve, Control)</w:t>
      </w:r>
      <w:r w:rsidR="00B75EBA" w:rsidRPr="004C7FB3">
        <w:rPr>
          <w:rFonts w:ascii="Arial" w:hAnsi="Arial" w:cs="Arial"/>
          <w:sz w:val="22"/>
          <w:szCs w:val="22"/>
        </w:rPr>
        <w:t xml:space="preserve"> (Monday, 2022)</w:t>
      </w:r>
      <w:r w:rsidR="007D4FCC" w:rsidRPr="004C7FB3">
        <w:rPr>
          <w:rFonts w:ascii="Arial" w:hAnsi="Arial" w:cs="Arial"/>
          <w:sz w:val="22"/>
          <w:szCs w:val="22"/>
        </w:rPr>
        <w:t xml:space="preserve">. </w:t>
      </w:r>
      <w:r w:rsidRPr="004C7FB3">
        <w:rPr>
          <w:rFonts w:ascii="Arial" w:hAnsi="Arial" w:cs="Arial"/>
          <w:sz w:val="22"/>
          <w:szCs w:val="22"/>
        </w:rPr>
        <w:t xml:space="preserve">Data-driven methods can help healthcare organisations to discover underlying causes of clinical errors and make specific improvements. Indicatively, employing incident report analysis may be used to detect trends of errors to take corrective measures (Kang </w:t>
      </w:r>
      <w:r w:rsidRPr="004C7FB3">
        <w:rPr>
          <w:rFonts w:ascii="Arial" w:hAnsi="Arial" w:cs="Arial"/>
          <w:i/>
          <w:iCs/>
          <w:sz w:val="22"/>
          <w:szCs w:val="22"/>
        </w:rPr>
        <w:t>et al.,</w:t>
      </w:r>
      <w:r w:rsidRPr="004C7FB3">
        <w:rPr>
          <w:rFonts w:ascii="Arial" w:hAnsi="Arial" w:cs="Arial"/>
          <w:sz w:val="22"/>
          <w:szCs w:val="22"/>
        </w:rPr>
        <w:t xml:space="preserve"> 2023). Medical errors </w:t>
      </w:r>
      <w:r w:rsidR="00BE653B" w:rsidRPr="004C7FB3">
        <w:rPr>
          <w:rFonts w:ascii="Arial" w:hAnsi="Arial" w:cs="Arial"/>
          <w:sz w:val="22"/>
          <w:szCs w:val="22"/>
        </w:rPr>
        <w:t>and</w:t>
      </w:r>
      <w:r w:rsidRPr="004C7FB3">
        <w:rPr>
          <w:rFonts w:ascii="Arial" w:hAnsi="Arial" w:cs="Arial"/>
          <w:sz w:val="22"/>
          <w:szCs w:val="22"/>
        </w:rPr>
        <w:t xml:space="preserve"> better patient safety have been proven to be greatly </w:t>
      </w:r>
      <w:r w:rsidR="006C2284" w:rsidRPr="004C7FB3">
        <w:rPr>
          <w:rFonts w:ascii="Arial" w:hAnsi="Arial" w:cs="Arial"/>
          <w:sz w:val="22"/>
          <w:szCs w:val="22"/>
        </w:rPr>
        <w:t>decreased</w:t>
      </w:r>
      <w:r w:rsidRPr="004C7FB3">
        <w:rPr>
          <w:rFonts w:ascii="Arial" w:hAnsi="Arial" w:cs="Arial"/>
          <w:sz w:val="22"/>
          <w:szCs w:val="22"/>
        </w:rPr>
        <w:t xml:space="preserve"> by using Six Sigma methodologies.</w:t>
      </w:r>
      <w:r w:rsidR="00EC2D8E" w:rsidRPr="004C7FB3">
        <w:rPr>
          <w:rFonts w:ascii="Arial" w:hAnsi="Arial" w:cs="Arial"/>
          <w:sz w:val="22"/>
          <w:szCs w:val="22"/>
        </w:rPr>
        <w:t xml:space="preserve"> </w:t>
      </w:r>
      <w:r w:rsidR="007D4FCC" w:rsidRPr="004C7FB3">
        <w:rPr>
          <w:rFonts w:ascii="Arial" w:hAnsi="Arial" w:cs="Arial"/>
          <w:sz w:val="22"/>
          <w:szCs w:val="22"/>
        </w:rPr>
        <w:t>Also, Six Sigma can aid in the standardisation of clinical processes and minimise discrepancies in care delivery. It also improves decision-making with statistical tools and performance measurements. Consequently, healthcare organisations will be able to enhance process reliability, minimise medical errors, and improve patient safety outcomes.</w:t>
      </w:r>
    </w:p>
    <w:p w14:paraId="0704AECC" w14:textId="69C3D7E9" w:rsidR="00B75EBA" w:rsidRPr="004C7FB3" w:rsidRDefault="00B75EBA" w:rsidP="00B75EBA">
      <w:pPr>
        <w:spacing w:before="240" w:line="360" w:lineRule="auto"/>
        <w:jc w:val="center"/>
        <w:rPr>
          <w:rFonts w:ascii="Arial" w:hAnsi="Arial" w:cs="Arial"/>
          <w:sz w:val="22"/>
          <w:szCs w:val="22"/>
        </w:rPr>
      </w:pPr>
      <w:r w:rsidRPr="004C7FB3">
        <w:rPr>
          <w:rFonts w:ascii="Arial" w:hAnsi="Arial" w:cs="Arial"/>
          <w:noProof/>
          <w:sz w:val="22"/>
          <w:szCs w:val="22"/>
        </w:rPr>
        <w:drawing>
          <wp:inline distT="0" distB="0" distL="0" distR="0" wp14:anchorId="193EFFA1" wp14:editId="7D16E001">
            <wp:extent cx="3330229" cy="2949196"/>
            <wp:effectExtent l="19050" t="19050" r="22860" b="22860"/>
            <wp:docPr id="108326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66147" name=""/>
                    <pic:cNvPicPr/>
                  </pic:nvPicPr>
                  <pic:blipFill>
                    <a:blip r:embed="rId10"/>
                    <a:stretch>
                      <a:fillRect/>
                    </a:stretch>
                  </pic:blipFill>
                  <pic:spPr>
                    <a:xfrm>
                      <a:off x="0" y="0"/>
                      <a:ext cx="3330229" cy="2949196"/>
                    </a:xfrm>
                    <a:prstGeom prst="rect">
                      <a:avLst/>
                    </a:prstGeom>
                    <a:ln>
                      <a:solidFill>
                        <a:schemeClr val="accent1"/>
                      </a:solidFill>
                    </a:ln>
                  </pic:spPr>
                </pic:pic>
              </a:graphicData>
            </a:graphic>
          </wp:inline>
        </w:drawing>
      </w:r>
    </w:p>
    <w:p w14:paraId="0D9AA032" w14:textId="2F0EFD8F" w:rsidR="00B75EBA" w:rsidRPr="004C7FB3" w:rsidRDefault="00B75EBA" w:rsidP="00B75EBA">
      <w:pPr>
        <w:spacing w:line="360" w:lineRule="auto"/>
        <w:jc w:val="center"/>
        <w:rPr>
          <w:rFonts w:ascii="Arial" w:hAnsi="Arial" w:cs="Arial"/>
          <w:b/>
          <w:bCs/>
          <w:sz w:val="22"/>
          <w:szCs w:val="22"/>
        </w:rPr>
      </w:pPr>
      <w:r w:rsidRPr="004C7FB3">
        <w:rPr>
          <w:rFonts w:ascii="Arial" w:hAnsi="Arial" w:cs="Arial"/>
          <w:b/>
          <w:bCs/>
          <w:sz w:val="22"/>
          <w:szCs w:val="22"/>
        </w:rPr>
        <w:t xml:space="preserve">Figure </w:t>
      </w:r>
      <w:r w:rsidR="000B380D" w:rsidRPr="004C7FB3">
        <w:rPr>
          <w:rFonts w:ascii="Arial" w:hAnsi="Arial" w:cs="Arial"/>
          <w:b/>
          <w:bCs/>
          <w:sz w:val="22"/>
          <w:szCs w:val="22"/>
        </w:rPr>
        <w:t>3</w:t>
      </w:r>
      <w:r w:rsidRPr="004C7FB3">
        <w:rPr>
          <w:rFonts w:ascii="Arial" w:hAnsi="Arial" w:cs="Arial"/>
          <w:b/>
          <w:bCs/>
          <w:sz w:val="22"/>
          <w:szCs w:val="22"/>
        </w:rPr>
        <w:t>: Define, measure, analyse, improve, control (DMAIC) methodology</w:t>
      </w:r>
    </w:p>
    <w:p w14:paraId="47B75C58" w14:textId="7A0ED5C5" w:rsidR="00B75EBA" w:rsidRPr="004C7FB3" w:rsidRDefault="00B75EBA" w:rsidP="00B75EBA">
      <w:pPr>
        <w:spacing w:line="360" w:lineRule="auto"/>
        <w:jc w:val="center"/>
        <w:rPr>
          <w:rFonts w:ascii="Arial" w:hAnsi="Arial" w:cs="Arial"/>
          <w:sz w:val="22"/>
          <w:szCs w:val="22"/>
        </w:rPr>
      </w:pPr>
      <w:r w:rsidRPr="004C7FB3">
        <w:rPr>
          <w:rFonts w:ascii="Arial" w:hAnsi="Arial" w:cs="Arial"/>
          <w:sz w:val="22"/>
          <w:szCs w:val="22"/>
        </w:rPr>
        <w:t>(Source: Monday, 2022)</w:t>
      </w:r>
      <w:r w:rsidR="00D2625E" w:rsidRPr="004C7FB3">
        <w:rPr>
          <w:rFonts w:ascii="Arial" w:hAnsi="Arial" w:cs="Arial"/>
          <w:sz w:val="22"/>
          <w:szCs w:val="22"/>
        </w:rPr>
        <w:tab/>
      </w:r>
    </w:p>
    <w:p w14:paraId="4B047918" w14:textId="77777777" w:rsidR="00913149" w:rsidRPr="004C7FB3" w:rsidRDefault="00080638" w:rsidP="0017467D">
      <w:pPr>
        <w:pStyle w:val="Heading1"/>
        <w:rPr>
          <w:rFonts w:ascii="Arial" w:hAnsi="Arial" w:cs="Arial"/>
          <w:sz w:val="22"/>
          <w:szCs w:val="22"/>
        </w:rPr>
      </w:pPr>
      <w:bookmarkStart w:id="12" w:name="_Toc226631977"/>
      <w:r w:rsidRPr="004C7FB3">
        <w:rPr>
          <w:rFonts w:ascii="Arial" w:hAnsi="Arial" w:cs="Arial"/>
          <w:sz w:val="22"/>
          <w:szCs w:val="22"/>
        </w:rPr>
        <w:t>Conclusion</w:t>
      </w:r>
      <w:bookmarkEnd w:id="12"/>
    </w:p>
    <w:p w14:paraId="29D2BE15" w14:textId="5C1C76C0" w:rsidR="002D5D75" w:rsidRPr="004C7FB3" w:rsidRDefault="002D5D75" w:rsidP="002D5D75">
      <w:pPr>
        <w:spacing w:line="360" w:lineRule="auto"/>
        <w:jc w:val="both"/>
        <w:rPr>
          <w:rFonts w:ascii="Arial" w:hAnsi="Arial" w:cs="Arial"/>
          <w:sz w:val="22"/>
          <w:szCs w:val="22"/>
        </w:rPr>
      </w:pPr>
      <w:r w:rsidRPr="004C7FB3">
        <w:rPr>
          <w:rFonts w:ascii="Arial" w:hAnsi="Arial" w:cs="Arial"/>
          <w:sz w:val="22"/>
          <w:szCs w:val="22"/>
        </w:rPr>
        <w:t>The scandal of the Mid Staffordshire NHS Foundation Trust is an important case of the failure of healthcare quality, where combined problems of leadership, governance, staffing, and organisational culture make up the problem. This report analysis shows that isolated incidents did not lead to the crisis, but systemic weak links, as explained under models like the Swiss Cheese Model, Fishbone Diagram and the Structure-Process-Outcome model by Donabedian. These methods pointed out how failures at various levels interacted to create drastic effects of up to 400-1200 deaths that could have been avoided.</w:t>
      </w:r>
    </w:p>
    <w:p w14:paraId="14D2E7CD" w14:textId="5037D27E" w:rsidR="002D5D75" w:rsidRPr="004C7FB3" w:rsidRDefault="002D5D75" w:rsidP="002D5D75">
      <w:pPr>
        <w:spacing w:line="360" w:lineRule="auto"/>
        <w:jc w:val="both"/>
        <w:rPr>
          <w:rFonts w:ascii="Arial" w:hAnsi="Arial" w:cs="Arial"/>
          <w:sz w:val="22"/>
          <w:szCs w:val="22"/>
        </w:rPr>
      </w:pPr>
      <w:r w:rsidRPr="004C7FB3">
        <w:rPr>
          <w:rFonts w:ascii="Arial" w:hAnsi="Arial" w:cs="Arial"/>
          <w:sz w:val="22"/>
          <w:szCs w:val="22"/>
        </w:rPr>
        <w:t>The policy</w:t>
      </w:r>
      <w:r w:rsidR="009A7211" w:rsidRPr="004C7FB3">
        <w:rPr>
          <w:rFonts w:ascii="Arial" w:hAnsi="Arial" w:cs="Arial"/>
          <w:sz w:val="22"/>
          <w:szCs w:val="22"/>
        </w:rPr>
        <w:t xml:space="preserve"> or </w:t>
      </w:r>
      <w:r w:rsidRPr="004C7FB3">
        <w:rPr>
          <w:rFonts w:ascii="Arial" w:hAnsi="Arial" w:cs="Arial"/>
          <w:sz w:val="22"/>
          <w:szCs w:val="22"/>
        </w:rPr>
        <w:t>regulatory shortcomings also play an important role, as highlighted in the findings. Despite the frameworks used, including the CQC standards and the Health and Social Care Act 2008, there was ineffective implementation and monitoring of the issues, which allowed bad practices to continue. These issues were further worsened by the prioritisation between financial targets and patient-centred care, creating a shortage of staff, decreasing efficiency and impaired patient safety.</w:t>
      </w:r>
    </w:p>
    <w:p w14:paraId="2F8D560C" w14:textId="513653A4" w:rsidR="00401154" w:rsidRPr="004C7FB3" w:rsidRDefault="002D5D75" w:rsidP="002D5D75">
      <w:pPr>
        <w:spacing w:line="360" w:lineRule="auto"/>
        <w:jc w:val="both"/>
        <w:rPr>
          <w:rFonts w:ascii="Arial" w:hAnsi="Arial" w:cs="Arial"/>
          <w:sz w:val="22"/>
          <w:szCs w:val="22"/>
        </w:rPr>
      </w:pPr>
      <w:r w:rsidRPr="004C7FB3">
        <w:rPr>
          <w:rFonts w:ascii="Arial" w:hAnsi="Arial" w:cs="Arial"/>
          <w:sz w:val="22"/>
          <w:szCs w:val="22"/>
        </w:rPr>
        <w:t xml:space="preserve">The suggestions in this report aim at enhancing leadership, bettering workforce planning and enhancing a culture of transparency and accountability. A combination of quality improvement tools, </w:t>
      </w:r>
      <w:r w:rsidR="00A76C8F" w:rsidRPr="004C7FB3">
        <w:rPr>
          <w:rFonts w:ascii="Arial" w:hAnsi="Arial" w:cs="Arial"/>
          <w:sz w:val="22"/>
          <w:szCs w:val="22"/>
        </w:rPr>
        <w:t>such as</w:t>
      </w:r>
      <w:r w:rsidRPr="004C7FB3">
        <w:rPr>
          <w:rFonts w:ascii="Arial" w:hAnsi="Arial" w:cs="Arial"/>
          <w:sz w:val="22"/>
          <w:szCs w:val="22"/>
        </w:rPr>
        <w:t xml:space="preserve"> PDSA, PDCA, Lean and Six Sigma, offers a systematic way of implementing sustainable changes. Hence, the Mid Staffordshire case lays emphasis on how the organisational priorities should be aligned with patient safety and quality care. Healthcare organisations will be able to increase the </w:t>
      </w:r>
      <w:r w:rsidR="009065A7" w:rsidRPr="004C7FB3">
        <w:rPr>
          <w:rFonts w:ascii="Arial" w:hAnsi="Arial" w:cs="Arial"/>
          <w:sz w:val="22"/>
          <w:szCs w:val="22"/>
        </w:rPr>
        <w:t>quality-of-service</w:t>
      </w:r>
      <w:r w:rsidRPr="004C7FB3">
        <w:rPr>
          <w:rFonts w:ascii="Arial" w:hAnsi="Arial" w:cs="Arial"/>
          <w:sz w:val="22"/>
          <w:szCs w:val="22"/>
        </w:rPr>
        <w:t xml:space="preserve"> delivery, patient outcomes, and prevent such failures in the future by fixing the systemic weaknesses and implementing continuous improvement strategies.</w:t>
      </w:r>
    </w:p>
    <w:p w14:paraId="5B84A300" w14:textId="77777777" w:rsidR="00401154" w:rsidRPr="004C7FB3" w:rsidRDefault="00401154">
      <w:pPr>
        <w:rPr>
          <w:rFonts w:ascii="Arial" w:hAnsi="Arial" w:cs="Arial"/>
          <w:sz w:val="22"/>
          <w:szCs w:val="22"/>
        </w:rPr>
      </w:pPr>
      <w:r w:rsidRPr="004C7FB3">
        <w:rPr>
          <w:rFonts w:ascii="Arial" w:hAnsi="Arial" w:cs="Arial"/>
          <w:sz w:val="22"/>
          <w:szCs w:val="22"/>
        </w:rPr>
        <w:br w:type="page"/>
      </w:r>
    </w:p>
    <w:p w14:paraId="0A16143B" w14:textId="77777777" w:rsidR="00401154" w:rsidRPr="004C7FB3" w:rsidRDefault="00401154" w:rsidP="00401154">
      <w:pPr>
        <w:pStyle w:val="Heading1"/>
        <w:rPr>
          <w:rFonts w:ascii="Arial" w:hAnsi="Arial" w:cs="Arial"/>
          <w:sz w:val="22"/>
          <w:szCs w:val="22"/>
        </w:rPr>
      </w:pPr>
      <w:bookmarkStart w:id="13" w:name="_Toc226631978"/>
      <w:r w:rsidRPr="004C7FB3">
        <w:rPr>
          <w:rFonts w:ascii="Arial" w:hAnsi="Arial" w:cs="Arial"/>
          <w:sz w:val="22"/>
          <w:szCs w:val="22"/>
        </w:rPr>
        <w:t>Reference list</w:t>
      </w:r>
      <w:bookmarkEnd w:id="13"/>
    </w:p>
    <w:p w14:paraId="60BADD1A" w14:textId="33D6AF81"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Abdulmalek, S. et al. (2022) ‘IoT-based healthcare-monitoring system towards improving quality of life: A review’, </w:t>
      </w:r>
      <w:r w:rsidRPr="004C7FB3">
        <w:rPr>
          <w:rFonts w:ascii="Times New Roman" w:hAnsi="Times New Roman" w:cs="Times New Roman"/>
          <w:i/>
          <w:iCs/>
        </w:rPr>
        <w:t>Healthcare</w:t>
      </w:r>
      <w:r w:rsidRPr="004C7FB3">
        <w:rPr>
          <w:rFonts w:ascii="Times New Roman" w:hAnsi="Times New Roman" w:cs="Times New Roman"/>
        </w:rPr>
        <w:t xml:space="preserve">, 10(10), p.1993. </w:t>
      </w:r>
      <w:hyperlink r:id="rId11" w:history="1">
        <w:r w:rsidR="004C7FB3" w:rsidRPr="004C7FB3">
          <w:rPr>
            <w:rStyle w:val="Hyperlink"/>
            <w:rFonts w:ascii="Times New Roman" w:hAnsi="Times New Roman" w:cs="Times New Roman"/>
            <w:color w:val="auto"/>
          </w:rPr>
          <w:t>https://www.mdpi.com/2227-9032/10/10/1993</w:t>
        </w:r>
      </w:hyperlink>
      <w:r w:rsidR="004C7FB3" w:rsidRPr="004C7FB3">
        <w:rPr>
          <w:rFonts w:ascii="Times New Roman" w:hAnsi="Times New Roman" w:cs="Times New Roman"/>
        </w:rPr>
        <w:t xml:space="preserve">  </w:t>
      </w:r>
    </w:p>
    <w:p w14:paraId="7BC1195D" w14:textId="25E16A1F" w:rsidR="00EE536D" w:rsidRPr="004C7FB3" w:rsidRDefault="00EE536D" w:rsidP="00EE536D">
      <w:pPr>
        <w:spacing w:line="360" w:lineRule="auto"/>
        <w:jc w:val="both"/>
        <w:rPr>
          <w:rFonts w:ascii="Times New Roman" w:hAnsi="Times New Roman" w:cs="Times New Roman"/>
        </w:rPr>
      </w:pPr>
      <w:proofErr w:type="spellStart"/>
      <w:r w:rsidRPr="004C7FB3">
        <w:rPr>
          <w:rFonts w:ascii="Times New Roman" w:hAnsi="Times New Roman" w:cs="Times New Roman"/>
        </w:rPr>
        <w:t>Abikoye</w:t>
      </w:r>
      <w:proofErr w:type="spellEnd"/>
      <w:r w:rsidRPr="004C7FB3">
        <w:rPr>
          <w:rFonts w:ascii="Times New Roman" w:hAnsi="Times New Roman" w:cs="Times New Roman"/>
        </w:rPr>
        <w:t xml:space="preserve">, B.E. et al. (2024) ‘Real-time financial monitoring systems: Enhancing risk management through continuous oversight’, </w:t>
      </w:r>
      <w:r w:rsidRPr="004C7FB3">
        <w:rPr>
          <w:rFonts w:ascii="Times New Roman" w:hAnsi="Times New Roman" w:cs="Times New Roman"/>
          <w:i/>
          <w:iCs/>
        </w:rPr>
        <w:t>GSC Advanced Research and Reviews</w:t>
      </w:r>
      <w:r w:rsidRPr="004C7FB3">
        <w:rPr>
          <w:rFonts w:ascii="Times New Roman" w:hAnsi="Times New Roman" w:cs="Times New Roman"/>
        </w:rPr>
        <w:t xml:space="preserve">, 20(1), pp.465–476. </w:t>
      </w:r>
      <w:hyperlink r:id="rId12" w:history="1">
        <w:r w:rsidR="004C7FB3" w:rsidRPr="004C7FB3">
          <w:rPr>
            <w:rStyle w:val="Hyperlink"/>
            <w:rFonts w:ascii="Times New Roman" w:hAnsi="Times New Roman" w:cs="Times New Roman"/>
            <w:color w:val="auto"/>
          </w:rPr>
          <w:t>https://www.researchgate.net/profile/Bibitayo-Abikoye/publication/383056885_Real-Time_Financial_Monitoring_Systems_Enhancing_Risk_Management_Through_Continuous_Oversight/links/66bbacf68f7e1236bc557c24/Real-Time-Financial-Monitoring-Systems-Enhancing-Risk-Management-Through-Continuous-Oversight.pdf</w:t>
        </w:r>
      </w:hyperlink>
      <w:r w:rsidR="004C7FB3" w:rsidRPr="004C7FB3">
        <w:rPr>
          <w:rFonts w:ascii="Times New Roman" w:hAnsi="Times New Roman" w:cs="Times New Roman"/>
        </w:rPr>
        <w:t xml:space="preserve"> </w:t>
      </w:r>
    </w:p>
    <w:p w14:paraId="39F70CB5" w14:textId="3553D3EA"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Alanazi, F.K. et al. (2025) ‘Inpatient mortality and safety culture: The critical role of nurses and nurse staffing’, </w:t>
      </w:r>
      <w:r w:rsidRPr="004C7FB3">
        <w:rPr>
          <w:rFonts w:ascii="Times New Roman" w:hAnsi="Times New Roman" w:cs="Times New Roman"/>
          <w:i/>
          <w:iCs/>
        </w:rPr>
        <w:t>Journal of Nursing Management</w:t>
      </w:r>
      <w:r w:rsidRPr="004C7FB3">
        <w:rPr>
          <w:rFonts w:ascii="Times New Roman" w:hAnsi="Times New Roman" w:cs="Times New Roman"/>
        </w:rPr>
        <w:t xml:space="preserve">, 2025(1), p.1101404. </w:t>
      </w:r>
      <w:hyperlink r:id="rId13" w:history="1">
        <w:r w:rsidR="004C7FB3" w:rsidRPr="004C7FB3">
          <w:rPr>
            <w:rStyle w:val="Hyperlink"/>
            <w:rFonts w:ascii="Times New Roman" w:hAnsi="Times New Roman" w:cs="Times New Roman"/>
            <w:color w:val="auto"/>
          </w:rPr>
          <w:t>https://onlinelibrary.wiley.com/doi/pdf/10.1155/jonm/1101404</w:t>
        </w:r>
      </w:hyperlink>
      <w:r w:rsidR="004C7FB3" w:rsidRPr="004C7FB3">
        <w:rPr>
          <w:rFonts w:ascii="Times New Roman" w:hAnsi="Times New Roman" w:cs="Times New Roman"/>
        </w:rPr>
        <w:t xml:space="preserve"> </w:t>
      </w:r>
    </w:p>
    <w:p w14:paraId="55AF4269" w14:textId="4E4525F8" w:rsidR="00EE536D" w:rsidRPr="004C7FB3" w:rsidRDefault="00EE536D" w:rsidP="00EE536D">
      <w:pPr>
        <w:spacing w:line="360" w:lineRule="auto"/>
        <w:jc w:val="both"/>
        <w:rPr>
          <w:rFonts w:ascii="Times New Roman" w:hAnsi="Times New Roman" w:cs="Times New Roman"/>
        </w:rPr>
      </w:pPr>
      <w:proofErr w:type="spellStart"/>
      <w:r w:rsidRPr="004C7FB3">
        <w:rPr>
          <w:rFonts w:ascii="Times New Roman" w:hAnsi="Times New Roman" w:cs="Times New Roman"/>
        </w:rPr>
        <w:t>Atinga</w:t>
      </w:r>
      <w:proofErr w:type="spellEnd"/>
      <w:r w:rsidRPr="004C7FB3">
        <w:rPr>
          <w:rFonts w:ascii="Times New Roman" w:hAnsi="Times New Roman" w:cs="Times New Roman"/>
        </w:rPr>
        <w:t xml:space="preserve">, R.A. et al. (2024) ‘“It’s the patient that suffers from poor communication”: Analysing communication gaps and associated consequences in handover events from nurses’ experiences’, </w:t>
      </w:r>
      <w:r w:rsidRPr="004C7FB3">
        <w:rPr>
          <w:rFonts w:ascii="Times New Roman" w:hAnsi="Times New Roman" w:cs="Times New Roman"/>
          <w:i/>
          <w:iCs/>
        </w:rPr>
        <w:t>SSM - Qualitative Research in Health</w:t>
      </w:r>
      <w:r w:rsidRPr="004C7FB3">
        <w:rPr>
          <w:rFonts w:ascii="Times New Roman" w:hAnsi="Times New Roman" w:cs="Times New Roman"/>
        </w:rPr>
        <w:t xml:space="preserve">, 6, p.100482. </w:t>
      </w:r>
      <w:hyperlink r:id="rId14" w:history="1">
        <w:r w:rsidR="004C7FB3" w:rsidRPr="004C7FB3">
          <w:rPr>
            <w:rStyle w:val="Hyperlink"/>
            <w:rFonts w:ascii="Times New Roman" w:hAnsi="Times New Roman" w:cs="Times New Roman"/>
            <w:color w:val="auto"/>
          </w:rPr>
          <w:t>https://www.sciencedirect.com/science/article/pii/S266732152400091X</w:t>
        </w:r>
      </w:hyperlink>
      <w:r w:rsidR="004C7FB3" w:rsidRPr="004C7FB3">
        <w:rPr>
          <w:rFonts w:ascii="Times New Roman" w:hAnsi="Times New Roman" w:cs="Times New Roman"/>
        </w:rPr>
        <w:t xml:space="preserve"> </w:t>
      </w:r>
    </w:p>
    <w:p w14:paraId="3F939B00" w14:textId="0B92E3FA" w:rsidR="00EE536D" w:rsidRPr="004C7FB3" w:rsidRDefault="00EE536D" w:rsidP="00EE536D">
      <w:pPr>
        <w:spacing w:line="360" w:lineRule="auto"/>
        <w:jc w:val="both"/>
        <w:rPr>
          <w:rFonts w:ascii="Times New Roman" w:hAnsi="Times New Roman" w:cs="Times New Roman"/>
        </w:rPr>
      </w:pPr>
      <w:proofErr w:type="spellStart"/>
      <w:r w:rsidRPr="004C7FB3">
        <w:rPr>
          <w:rFonts w:ascii="Times New Roman" w:hAnsi="Times New Roman" w:cs="Times New Roman"/>
        </w:rPr>
        <w:t>Dall’Ora</w:t>
      </w:r>
      <w:proofErr w:type="spellEnd"/>
      <w:r w:rsidRPr="004C7FB3">
        <w:rPr>
          <w:rFonts w:ascii="Times New Roman" w:hAnsi="Times New Roman" w:cs="Times New Roman"/>
        </w:rPr>
        <w:t xml:space="preserve">, C. et al. (2022) ‘Nurse staffing levels and patient outcomes: A systematic review of longitudinal studies’, </w:t>
      </w:r>
      <w:r w:rsidRPr="004C7FB3">
        <w:rPr>
          <w:rFonts w:ascii="Times New Roman" w:hAnsi="Times New Roman" w:cs="Times New Roman"/>
          <w:i/>
          <w:iCs/>
        </w:rPr>
        <w:t>International Journal of Nursing Studies</w:t>
      </w:r>
      <w:r w:rsidRPr="004C7FB3">
        <w:rPr>
          <w:rFonts w:ascii="Times New Roman" w:hAnsi="Times New Roman" w:cs="Times New Roman"/>
        </w:rPr>
        <w:t xml:space="preserve">, 134, p.104311. </w:t>
      </w:r>
      <w:hyperlink r:id="rId15" w:history="1">
        <w:r w:rsidR="004C7FB3" w:rsidRPr="004C7FB3">
          <w:rPr>
            <w:rStyle w:val="Hyperlink"/>
            <w:rFonts w:ascii="Times New Roman" w:hAnsi="Times New Roman" w:cs="Times New Roman"/>
            <w:color w:val="auto"/>
          </w:rPr>
          <w:t>https://www.sciencedirect.com/science/article/pii/S0020748922001407</w:t>
        </w:r>
      </w:hyperlink>
      <w:r w:rsidR="004C7FB3" w:rsidRPr="004C7FB3">
        <w:rPr>
          <w:rFonts w:ascii="Times New Roman" w:hAnsi="Times New Roman" w:cs="Times New Roman"/>
        </w:rPr>
        <w:t xml:space="preserve">  </w:t>
      </w:r>
    </w:p>
    <w:p w14:paraId="1CAE1536" w14:textId="0AA8677F" w:rsidR="00EE536D" w:rsidRPr="004C7FB3" w:rsidRDefault="00EE536D" w:rsidP="00EE536D">
      <w:pPr>
        <w:spacing w:line="360" w:lineRule="auto"/>
        <w:jc w:val="both"/>
        <w:rPr>
          <w:rFonts w:ascii="Times New Roman" w:hAnsi="Times New Roman" w:cs="Times New Roman"/>
        </w:rPr>
      </w:pPr>
      <w:proofErr w:type="spellStart"/>
      <w:r w:rsidRPr="004C7FB3">
        <w:rPr>
          <w:rFonts w:ascii="Times New Roman" w:hAnsi="Times New Roman" w:cs="Times New Roman"/>
        </w:rPr>
        <w:t>Efunniyi</w:t>
      </w:r>
      <w:proofErr w:type="spellEnd"/>
      <w:r w:rsidRPr="004C7FB3">
        <w:rPr>
          <w:rFonts w:ascii="Times New Roman" w:hAnsi="Times New Roman" w:cs="Times New Roman"/>
        </w:rPr>
        <w:t xml:space="preserve">, C.P. et al. (2024) ‘Strengthening corporate governance and financial compliance: Enhancing accountability and transparency’, </w:t>
      </w:r>
      <w:r w:rsidRPr="004C7FB3">
        <w:rPr>
          <w:rFonts w:ascii="Times New Roman" w:hAnsi="Times New Roman" w:cs="Times New Roman"/>
          <w:i/>
          <w:iCs/>
        </w:rPr>
        <w:t>Finance &amp; Accounting Research Journal</w:t>
      </w:r>
      <w:r w:rsidRPr="004C7FB3">
        <w:rPr>
          <w:rFonts w:ascii="Times New Roman" w:hAnsi="Times New Roman" w:cs="Times New Roman"/>
        </w:rPr>
        <w:t>, 6(8), pp.1597–1616.</w:t>
      </w:r>
      <w:hyperlink r:id="rId16" w:history="1">
        <w:r w:rsidR="004C7FB3" w:rsidRPr="004C7FB3">
          <w:rPr>
            <w:rStyle w:val="Hyperlink"/>
            <w:rFonts w:ascii="Times New Roman" w:hAnsi="Times New Roman" w:cs="Times New Roman"/>
            <w:color w:val="auto"/>
          </w:rPr>
          <w:t xml:space="preserve"> 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w:t>
        </w:r>
      </w:hyperlink>
      <w:r w:rsidR="004C7FB3" w:rsidRPr="004C7FB3">
        <w:rPr>
          <w:rFonts w:ascii="Times New Roman" w:hAnsi="Times New Roman" w:cs="Times New Roman"/>
        </w:rPr>
        <w:t xml:space="preserve"> </w:t>
      </w:r>
    </w:p>
    <w:p w14:paraId="5D7073A9" w14:textId="77777777"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Francis Report (2013) </w:t>
      </w:r>
      <w:r w:rsidRPr="004C7FB3">
        <w:rPr>
          <w:rFonts w:ascii="Times New Roman" w:hAnsi="Times New Roman" w:cs="Times New Roman"/>
          <w:i/>
          <w:iCs/>
        </w:rPr>
        <w:t>Report of the Mid Staffordshire NHS Foundation Trust Public Inquiry</w:t>
      </w:r>
      <w:r w:rsidRPr="004C7FB3">
        <w:rPr>
          <w:rFonts w:ascii="Times New Roman" w:hAnsi="Times New Roman" w:cs="Times New Roman"/>
        </w:rPr>
        <w:t xml:space="preserve">. Available at: </w:t>
      </w:r>
      <w:hyperlink r:id="rId17" w:tgtFrame="_new" w:history="1">
        <w:r w:rsidRPr="004C7FB3">
          <w:rPr>
            <w:rStyle w:val="Hyperlink"/>
            <w:rFonts w:ascii="Times New Roman" w:hAnsi="Times New Roman" w:cs="Times New Roman"/>
            <w:color w:val="auto"/>
          </w:rPr>
          <w:t>https://www.shropscommunityhealth.nhs.uk/content/doclib/10825.pdf</w:t>
        </w:r>
      </w:hyperlink>
      <w:r w:rsidRPr="004C7FB3">
        <w:rPr>
          <w:rFonts w:ascii="Times New Roman" w:hAnsi="Times New Roman" w:cs="Times New Roman"/>
        </w:rPr>
        <w:t xml:space="preserve"> (Accessed: 9 April 2026).</w:t>
      </w:r>
    </w:p>
    <w:p w14:paraId="3E11F954" w14:textId="01BC930B"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Graham, S., Cadden, T. and Treacy, R. (2023) ‘Examining the influence of employee engagement in supporting the implementation of green supply chain management practices: A green human resource management perspective’, </w:t>
      </w:r>
      <w:r w:rsidRPr="004C7FB3">
        <w:rPr>
          <w:rFonts w:ascii="Times New Roman" w:hAnsi="Times New Roman" w:cs="Times New Roman"/>
          <w:i/>
          <w:iCs/>
        </w:rPr>
        <w:t>Business Strategy and the Environment</w:t>
      </w:r>
      <w:r w:rsidRPr="004C7FB3">
        <w:rPr>
          <w:rFonts w:ascii="Times New Roman" w:hAnsi="Times New Roman" w:cs="Times New Roman"/>
        </w:rPr>
        <w:t xml:space="preserve">, 32(7), pp.4750–4766. </w:t>
      </w:r>
      <w:hyperlink r:id="rId18" w:history="1">
        <w:r w:rsidR="004C7FB3" w:rsidRPr="004C7FB3">
          <w:rPr>
            <w:rStyle w:val="Hyperlink"/>
            <w:rFonts w:ascii="Times New Roman" w:hAnsi="Times New Roman" w:cs="Times New Roman"/>
            <w:color w:val="auto"/>
          </w:rPr>
          <w:t>https://onlinelibrary.wiley.com/doi/pdfdirect/10.1002/bse.3391</w:t>
        </w:r>
      </w:hyperlink>
      <w:r w:rsidR="004C7FB3" w:rsidRPr="004C7FB3">
        <w:rPr>
          <w:rFonts w:ascii="Times New Roman" w:hAnsi="Times New Roman" w:cs="Times New Roman"/>
        </w:rPr>
        <w:t xml:space="preserve"> </w:t>
      </w:r>
    </w:p>
    <w:p w14:paraId="5296EAAC" w14:textId="19F46D92"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Kang, E. et al. (2023) ‘Changes in the hospital standardized mortality ratio before and during the COVID-19 pandemic: A disaggregated analysis by region and hospital type in Korea’, </w:t>
      </w:r>
      <w:r w:rsidRPr="004C7FB3">
        <w:rPr>
          <w:rFonts w:ascii="Times New Roman" w:hAnsi="Times New Roman" w:cs="Times New Roman"/>
          <w:i/>
          <w:iCs/>
        </w:rPr>
        <w:t>Journal of Preventive Medicine and Public Health</w:t>
      </w:r>
      <w:r w:rsidRPr="004C7FB3">
        <w:rPr>
          <w:rFonts w:ascii="Times New Roman" w:hAnsi="Times New Roman" w:cs="Times New Roman"/>
        </w:rPr>
        <w:t xml:space="preserve">, 56(2), pp.180–189. </w:t>
      </w:r>
      <w:hyperlink r:id="rId19" w:history="1">
        <w:r w:rsidR="004C7FB3" w:rsidRPr="004C7FB3">
          <w:rPr>
            <w:rStyle w:val="Hyperlink"/>
            <w:rFonts w:ascii="Times New Roman" w:hAnsi="Times New Roman" w:cs="Times New Roman"/>
            <w:color w:val="auto"/>
          </w:rPr>
          <w:t>https://pmc.ncbi.nlm.nih.gov/articles/PMC10111096/pdf/jpmph-22-479.pdf</w:t>
        </w:r>
      </w:hyperlink>
      <w:r w:rsidR="004C7FB3" w:rsidRPr="004C7FB3">
        <w:rPr>
          <w:rFonts w:ascii="Times New Roman" w:hAnsi="Times New Roman" w:cs="Times New Roman"/>
        </w:rPr>
        <w:t xml:space="preserve"> </w:t>
      </w:r>
    </w:p>
    <w:p w14:paraId="02B5BC8D" w14:textId="08B03003"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Kumah, A. (2025) ‘Poor quality care in healthcare settings: An overlooked epidemic’, </w:t>
      </w:r>
      <w:r w:rsidRPr="004C7FB3">
        <w:rPr>
          <w:rFonts w:ascii="Times New Roman" w:hAnsi="Times New Roman" w:cs="Times New Roman"/>
          <w:i/>
          <w:iCs/>
        </w:rPr>
        <w:t>Frontiers in Public Health</w:t>
      </w:r>
      <w:r w:rsidRPr="004C7FB3">
        <w:rPr>
          <w:rFonts w:ascii="Times New Roman" w:hAnsi="Times New Roman" w:cs="Times New Roman"/>
        </w:rPr>
        <w:t xml:space="preserve">, 13, p.1504172. </w:t>
      </w:r>
      <w:hyperlink r:id="rId20" w:history="1">
        <w:r w:rsidR="004C7FB3" w:rsidRPr="004C7FB3">
          <w:rPr>
            <w:rStyle w:val="Hyperlink"/>
            <w:rFonts w:ascii="Times New Roman" w:hAnsi="Times New Roman" w:cs="Times New Roman"/>
            <w:color w:val="auto"/>
          </w:rPr>
          <w:t>https://www.frontiersin.org/journals/public-health/articles/10.3389/fpubh.2025.1504172/pdf</w:t>
        </w:r>
      </w:hyperlink>
      <w:r w:rsidR="004C7FB3" w:rsidRPr="004C7FB3">
        <w:rPr>
          <w:rFonts w:ascii="Times New Roman" w:hAnsi="Times New Roman" w:cs="Times New Roman"/>
        </w:rPr>
        <w:t xml:space="preserve"> </w:t>
      </w:r>
    </w:p>
    <w:p w14:paraId="110F2E90" w14:textId="347FF05D"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Monday, L. (2022) ‘Define, measure, analyse, improve, control (DMAIC) methodology as a roadmap in quality improvement’, </w:t>
      </w:r>
      <w:r w:rsidRPr="004C7FB3">
        <w:rPr>
          <w:rFonts w:ascii="Times New Roman" w:hAnsi="Times New Roman" w:cs="Times New Roman"/>
          <w:i/>
          <w:iCs/>
        </w:rPr>
        <w:t>Global Journal on Quality and Safety in Healthcare</w:t>
      </w:r>
      <w:r w:rsidRPr="004C7FB3">
        <w:rPr>
          <w:rFonts w:ascii="Times New Roman" w:hAnsi="Times New Roman" w:cs="Times New Roman"/>
        </w:rPr>
        <w:t xml:space="preserve">, 5(2), pp.44–46. </w:t>
      </w:r>
      <w:hyperlink r:id="rId21" w:history="1">
        <w:r w:rsidR="004C7FB3" w:rsidRPr="004C7FB3">
          <w:rPr>
            <w:rStyle w:val="Hyperlink"/>
            <w:rFonts w:ascii="Times New Roman" w:hAnsi="Times New Roman" w:cs="Times New Roman"/>
            <w:color w:val="auto"/>
          </w:rPr>
          <w:t>https://pmc.ncbi.nlm.nih.gov/articles/PMC10229001/pdf/i2589-9449-5-2-44.pdf</w:t>
        </w:r>
      </w:hyperlink>
      <w:r w:rsidR="004C7FB3" w:rsidRPr="004C7FB3">
        <w:rPr>
          <w:rFonts w:ascii="Times New Roman" w:hAnsi="Times New Roman" w:cs="Times New Roman"/>
        </w:rPr>
        <w:t xml:space="preserve"> </w:t>
      </w:r>
    </w:p>
    <w:p w14:paraId="0E7A0CC8" w14:textId="77777777"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New York State Nurses Association (2023) </w:t>
      </w:r>
      <w:r w:rsidRPr="004C7FB3">
        <w:rPr>
          <w:rFonts w:ascii="Times New Roman" w:hAnsi="Times New Roman" w:cs="Times New Roman"/>
          <w:i/>
          <w:iCs/>
        </w:rPr>
        <w:t>Research shows safe staffing saves lives</w:t>
      </w:r>
      <w:r w:rsidRPr="004C7FB3">
        <w:rPr>
          <w:rFonts w:ascii="Times New Roman" w:hAnsi="Times New Roman" w:cs="Times New Roman"/>
        </w:rPr>
        <w:t xml:space="preserve">. Available at: </w:t>
      </w:r>
      <w:hyperlink r:id="rId22" w:tgtFrame="_new" w:history="1">
        <w:r w:rsidRPr="004C7FB3">
          <w:rPr>
            <w:rStyle w:val="Hyperlink"/>
            <w:rFonts w:ascii="Times New Roman" w:hAnsi="Times New Roman" w:cs="Times New Roman"/>
            <w:color w:val="auto"/>
          </w:rPr>
          <w:t>https://www.nysna.org/resources/research-shows-safe-staffing-saves-lives</w:t>
        </w:r>
      </w:hyperlink>
      <w:r w:rsidRPr="004C7FB3">
        <w:rPr>
          <w:rFonts w:ascii="Times New Roman" w:hAnsi="Times New Roman" w:cs="Times New Roman"/>
        </w:rPr>
        <w:t xml:space="preserve"> (Accessed: 9 April 2026).</w:t>
      </w:r>
    </w:p>
    <w:p w14:paraId="7B48FD30" w14:textId="77777777"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NHS (2016) </w:t>
      </w:r>
      <w:r w:rsidRPr="004C7FB3">
        <w:rPr>
          <w:rFonts w:ascii="Times New Roman" w:hAnsi="Times New Roman" w:cs="Times New Roman"/>
          <w:i/>
          <w:iCs/>
        </w:rPr>
        <w:t>Evidence from NHS Improvement on clinical staff shortages: A workforce analysis</w:t>
      </w:r>
      <w:r w:rsidRPr="004C7FB3">
        <w:rPr>
          <w:rFonts w:ascii="Times New Roman" w:hAnsi="Times New Roman" w:cs="Times New Roman"/>
        </w:rPr>
        <w:t xml:space="preserve">. Available at: </w:t>
      </w:r>
      <w:hyperlink r:id="rId23" w:tgtFrame="_new" w:history="1">
        <w:r w:rsidRPr="004C7FB3">
          <w:rPr>
            <w:rStyle w:val="Hyperlink"/>
            <w:rFonts w:ascii="Times New Roman" w:hAnsi="Times New Roman" w:cs="Times New Roman"/>
            <w:color w:val="auto"/>
          </w:rPr>
          <w:t>https://assets.publishing.service.gov.uk/media/5a8074f140f0b62305b8b434/Clinical_workforce_report.pdf</w:t>
        </w:r>
      </w:hyperlink>
      <w:r w:rsidRPr="004C7FB3">
        <w:rPr>
          <w:rFonts w:ascii="Times New Roman" w:hAnsi="Times New Roman" w:cs="Times New Roman"/>
        </w:rPr>
        <w:t xml:space="preserve"> (Accessed: 9 April 2026).</w:t>
      </w:r>
    </w:p>
    <w:p w14:paraId="3A2624E8" w14:textId="77777777"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NHS England (2024) </w:t>
      </w:r>
      <w:r w:rsidRPr="004C7FB3">
        <w:rPr>
          <w:rFonts w:ascii="Times New Roman" w:hAnsi="Times New Roman" w:cs="Times New Roman"/>
          <w:i/>
          <w:iCs/>
        </w:rPr>
        <w:t>NHS long term workforce plan</w:t>
      </w:r>
      <w:r w:rsidRPr="004C7FB3">
        <w:rPr>
          <w:rFonts w:ascii="Times New Roman" w:hAnsi="Times New Roman" w:cs="Times New Roman"/>
        </w:rPr>
        <w:t xml:space="preserve">. Available at: </w:t>
      </w:r>
      <w:hyperlink r:id="rId24" w:tgtFrame="_new" w:history="1">
        <w:r w:rsidRPr="004C7FB3">
          <w:rPr>
            <w:rStyle w:val="Hyperlink"/>
            <w:rFonts w:ascii="Times New Roman" w:hAnsi="Times New Roman" w:cs="Times New Roman"/>
            <w:color w:val="auto"/>
          </w:rPr>
          <w:t>https://www.england.nhs.uk/long-read/nhs-long-term-workforce-plan-2/</w:t>
        </w:r>
      </w:hyperlink>
      <w:r w:rsidRPr="004C7FB3">
        <w:rPr>
          <w:rFonts w:ascii="Times New Roman" w:hAnsi="Times New Roman" w:cs="Times New Roman"/>
        </w:rPr>
        <w:t xml:space="preserve"> (Accessed: 9 April 2026).</w:t>
      </w:r>
    </w:p>
    <w:p w14:paraId="6462A588" w14:textId="4A274CF6" w:rsidR="00EE536D" w:rsidRPr="004C7FB3" w:rsidRDefault="00EE536D" w:rsidP="00EE536D">
      <w:pPr>
        <w:spacing w:line="360" w:lineRule="auto"/>
        <w:jc w:val="both"/>
        <w:rPr>
          <w:rFonts w:ascii="Times New Roman" w:hAnsi="Times New Roman" w:cs="Times New Roman"/>
        </w:rPr>
      </w:pPr>
      <w:proofErr w:type="spellStart"/>
      <w:r w:rsidRPr="004C7FB3">
        <w:rPr>
          <w:rFonts w:ascii="Times New Roman" w:hAnsi="Times New Roman" w:cs="Times New Roman"/>
        </w:rPr>
        <w:t>Tossaint-Schoenmakers</w:t>
      </w:r>
      <w:proofErr w:type="spellEnd"/>
      <w:r w:rsidRPr="004C7FB3">
        <w:rPr>
          <w:rFonts w:ascii="Times New Roman" w:hAnsi="Times New Roman" w:cs="Times New Roman"/>
        </w:rPr>
        <w:t xml:space="preserve">, R. et al. (2021) ‘The challenge of integrating eHealth into health care: Systematic literature review of the Donabedian model of structure, process, and outcome’, </w:t>
      </w:r>
      <w:r w:rsidRPr="004C7FB3">
        <w:rPr>
          <w:rFonts w:ascii="Times New Roman" w:hAnsi="Times New Roman" w:cs="Times New Roman"/>
          <w:i/>
          <w:iCs/>
        </w:rPr>
        <w:t>Journal of Medical Internet Research</w:t>
      </w:r>
      <w:r w:rsidRPr="004C7FB3">
        <w:rPr>
          <w:rFonts w:ascii="Times New Roman" w:hAnsi="Times New Roman" w:cs="Times New Roman"/>
        </w:rPr>
        <w:t xml:space="preserve">, 23(5), p.e27180. </w:t>
      </w:r>
      <w:hyperlink r:id="rId25" w:history="1">
        <w:r w:rsidR="004C7FB3" w:rsidRPr="004C7FB3">
          <w:rPr>
            <w:rStyle w:val="Hyperlink"/>
            <w:rFonts w:ascii="Times New Roman" w:hAnsi="Times New Roman" w:cs="Times New Roman"/>
            <w:color w:val="auto"/>
          </w:rPr>
          <w:t>https://www.jmir.org/2021/5/e27180/</w:t>
        </w:r>
      </w:hyperlink>
      <w:r w:rsidR="004C7FB3" w:rsidRPr="004C7FB3">
        <w:rPr>
          <w:rFonts w:ascii="Times New Roman" w:hAnsi="Times New Roman" w:cs="Times New Roman"/>
        </w:rPr>
        <w:t xml:space="preserve"> </w:t>
      </w:r>
    </w:p>
    <w:p w14:paraId="377536A9" w14:textId="77777777"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UK Government (2025) </w:t>
      </w:r>
      <w:r w:rsidRPr="004C7FB3">
        <w:rPr>
          <w:rFonts w:ascii="Times New Roman" w:hAnsi="Times New Roman" w:cs="Times New Roman"/>
          <w:i/>
          <w:iCs/>
        </w:rPr>
        <w:t>Health and Social Care Act 2008</w:t>
      </w:r>
      <w:r w:rsidRPr="004C7FB3">
        <w:rPr>
          <w:rFonts w:ascii="Times New Roman" w:hAnsi="Times New Roman" w:cs="Times New Roman"/>
        </w:rPr>
        <w:t xml:space="preserve">. Available at: </w:t>
      </w:r>
      <w:hyperlink r:id="rId26" w:tgtFrame="_new" w:history="1">
        <w:r w:rsidRPr="004C7FB3">
          <w:rPr>
            <w:rStyle w:val="Hyperlink"/>
            <w:rFonts w:ascii="Times New Roman" w:hAnsi="Times New Roman" w:cs="Times New Roman"/>
            <w:color w:val="auto"/>
          </w:rPr>
          <w:t>https://www.legislation.gov.uk/ukpga/2008/14</w:t>
        </w:r>
      </w:hyperlink>
      <w:r w:rsidRPr="004C7FB3">
        <w:rPr>
          <w:rFonts w:ascii="Times New Roman" w:hAnsi="Times New Roman" w:cs="Times New Roman"/>
        </w:rPr>
        <w:t xml:space="preserve"> (Accessed: 9 April 2026).</w:t>
      </w:r>
    </w:p>
    <w:p w14:paraId="26BECC96" w14:textId="4B53C5DC"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Vlassi, A. et al. (2023) ‘Stress, professional burnout, and employee efficiency in the Greek National Organization for the Provision of Health Services’, </w:t>
      </w:r>
      <w:r w:rsidRPr="004C7FB3">
        <w:rPr>
          <w:rFonts w:ascii="Times New Roman" w:hAnsi="Times New Roman" w:cs="Times New Roman"/>
          <w:i/>
          <w:iCs/>
        </w:rPr>
        <w:t>Clinics and Practice</w:t>
      </w:r>
      <w:r w:rsidRPr="004C7FB3">
        <w:rPr>
          <w:rFonts w:ascii="Times New Roman" w:hAnsi="Times New Roman" w:cs="Times New Roman"/>
        </w:rPr>
        <w:t xml:space="preserve">, 13(6), pp.1541–1548. </w:t>
      </w:r>
      <w:hyperlink r:id="rId27" w:history="1">
        <w:r w:rsidR="004C7FB3" w:rsidRPr="004C7FB3">
          <w:rPr>
            <w:rStyle w:val="Hyperlink"/>
            <w:rFonts w:ascii="Times New Roman" w:hAnsi="Times New Roman" w:cs="Times New Roman"/>
            <w:color w:val="auto"/>
          </w:rPr>
          <w:t>https://www.mdpi.com/2039-7283/13/6/135</w:t>
        </w:r>
      </w:hyperlink>
      <w:r w:rsidR="004C7FB3" w:rsidRPr="004C7FB3">
        <w:rPr>
          <w:rFonts w:ascii="Times New Roman" w:hAnsi="Times New Roman" w:cs="Times New Roman"/>
        </w:rPr>
        <w:t xml:space="preserve"> </w:t>
      </w:r>
    </w:p>
    <w:p w14:paraId="00BB4C25" w14:textId="4C35864E"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Wang, J. et al. (2025) ‘A systematic review of lean implementation in hospitals: Impact on efficiency, quality, cost, and satisfaction’, </w:t>
      </w:r>
      <w:r w:rsidRPr="004C7FB3">
        <w:rPr>
          <w:rFonts w:ascii="Times New Roman" w:hAnsi="Times New Roman" w:cs="Times New Roman"/>
          <w:i/>
          <w:iCs/>
        </w:rPr>
        <w:t>International Journal of Health Policy and Management</w:t>
      </w:r>
      <w:r w:rsidRPr="004C7FB3">
        <w:rPr>
          <w:rFonts w:ascii="Times New Roman" w:hAnsi="Times New Roman" w:cs="Times New Roman"/>
        </w:rPr>
        <w:t xml:space="preserve">, 14, p.8974. </w:t>
      </w:r>
      <w:hyperlink r:id="rId28" w:history="1">
        <w:r w:rsidR="004C7FB3" w:rsidRPr="004C7FB3">
          <w:rPr>
            <w:rStyle w:val="Hyperlink"/>
            <w:rFonts w:ascii="Times New Roman" w:hAnsi="Times New Roman" w:cs="Times New Roman"/>
            <w:color w:val="auto"/>
          </w:rPr>
          <w:t>https://pmc.ncbi.nlm.nih.gov/articles/PMC12573144/</w:t>
        </w:r>
      </w:hyperlink>
      <w:r w:rsidR="004C7FB3" w:rsidRPr="004C7FB3">
        <w:rPr>
          <w:rFonts w:ascii="Times New Roman" w:hAnsi="Times New Roman" w:cs="Times New Roman"/>
        </w:rPr>
        <w:t xml:space="preserve"> </w:t>
      </w:r>
    </w:p>
    <w:p w14:paraId="2C64DD04" w14:textId="7ED5A03C"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lang w:val="de-DE"/>
        </w:rPr>
        <w:t xml:space="preserve">Wiegmann, D.A. et al. </w:t>
      </w:r>
      <w:r w:rsidRPr="004C7FB3">
        <w:rPr>
          <w:rFonts w:ascii="Times New Roman" w:hAnsi="Times New Roman" w:cs="Times New Roman"/>
        </w:rPr>
        <w:t xml:space="preserve">(2022) ‘Understanding the “Swiss cheese model” and its application to patient safety’, </w:t>
      </w:r>
      <w:r w:rsidRPr="004C7FB3">
        <w:rPr>
          <w:rFonts w:ascii="Times New Roman" w:hAnsi="Times New Roman" w:cs="Times New Roman"/>
          <w:i/>
          <w:iCs/>
        </w:rPr>
        <w:t>Journal of Patient Safety</w:t>
      </w:r>
      <w:r w:rsidRPr="004C7FB3">
        <w:rPr>
          <w:rFonts w:ascii="Times New Roman" w:hAnsi="Times New Roman" w:cs="Times New Roman"/>
        </w:rPr>
        <w:t xml:space="preserve">, 18(2), pp.119–123. </w:t>
      </w:r>
      <w:hyperlink r:id="rId29" w:history="1">
        <w:r w:rsidR="004C7FB3" w:rsidRPr="004C7FB3">
          <w:rPr>
            <w:rStyle w:val="Hyperlink"/>
            <w:rFonts w:ascii="Times New Roman" w:hAnsi="Times New Roman" w:cs="Times New Roman"/>
            <w:color w:val="auto"/>
          </w:rPr>
          <w:t>https://pmc.ncbi.nlm.nih.gov/articles/PMC8514562/pdf/nihms-1651282.pdf</w:t>
        </w:r>
      </w:hyperlink>
      <w:r w:rsidR="004C7FB3" w:rsidRPr="004C7FB3">
        <w:rPr>
          <w:rFonts w:ascii="Times New Roman" w:hAnsi="Times New Roman" w:cs="Times New Roman"/>
        </w:rPr>
        <w:t xml:space="preserve"> </w:t>
      </w:r>
    </w:p>
    <w:p w14:paraId="347FB76D" w14:textId="1CAC58C1" w:rsidR="00EE536D" w:rsidRPr="004C7FB3" w:rsidRDefault="00EE536D" w:rsidP="00EE536D">
      <w:pPr>
        <w:spacing w:line="360" w:lineRule="auto"/>
        <w:jc w:val="both"/>
        <w:rPr>
          <w:rFonts w:ascii="Times New Roman" w:hAnsi="Times New Roman" w:cs="Times New Roman"/>
        </w:rPr>
      </w:pPr>
      <w:r w:rsidRPr="004C7FB3">
        <w:rPr>
          <w:rFonts w:ascii="Times New Roman" w:hAnsi="Times New Roman" w:cs="Times New Roman"/>
        </w:rPr>
        <w:t xml:space="preserve">Yang, J. et al. (2025) ‘Application of Donabedian three-dimensional model in outpatient care quality: A scoping review’, </w:t>
      </w:r>
      <w:r w:rsidRPr="004C7FB3">
        <w:rPr>
          <w:rFonts w:ascii="Times New Roman" w:hAnsi="Times New Roman" w:cs="Times New Roman"/>
          <w:i/>
          <w:iCs/>
        </w:rPr>
        <w:t>Journal of Nursing Management</w:t>
      </w:r>
      <w:r w:rsidRPr="004C7FB3">
        <w:rPr>
          <w:rFonts w:ascii="Times New Roman" w:hAnsi="Times New Roman" w:cs="Times New Roman"/>
        </w:rPr>
        <w:t xml:space="preserve">, 2025(1), p.6893336. </w:t>
      </w:r>
      <w:hyperlink r:id="rId30" w:history="1">
        <w:r w:rsidR="004C7FB3" w:rsidRPr="004C7FB3">
          <w:rPr>
            <w:rStyle w:val="Hyperlink"/>
            <w:rFonts w:ascii="Times New Roman" w:hAnsi="Times New Roman" w:cs="Times New Roman"/>
            <w:color w:val="auto"/>
          </w:rPr>
          <w:t>https://onlinelibrary.wiley.com/doi/pdf/10.1155/jonm/6893336</w:t>
        </w:r>
      </w:hyperlink>
      <w:r w:rsidR="004C7FB3" w:rsidRPr="004C7FB3">
        <w:rPr>
          <w:rFonts w:ascii="Times New Roman" w:hAnsi="Times New Roman" w:cs="Times New Roman"/>
        </w:rPr>
        <w:t xml:space="preserve"> </w:t>
      </w:r>
    </w:p>
    <w:p w14:paraId="5DB90976" w14:textId="77777777" w:rsidR="00401154" w:rsidRPr="004C7FB3" w:rsidRDefault="00401154" w:rsidP="002D5D75">
      <w:pPr>
        <w:spacing w:line="360" w:lineRule="auto"/>
        <w:jc w:val="both"/>
        <w:rPr>
          <w:rFonts w:ascii="Times New Roman" w:hAnsi="Times New Roman" w:cs="Times New Roman"/>
        </w:rPr>
      </w:pPr>
    </w:p>
    <w:p w14:paraId="51CAF912" w14:textId="140292BC" w:rsidR="007D7EBF" w:rsidRPr="004C7FB3" w:rsidRDefault="007D7EBF" w:rsidP="007D7EBF">
      <w:pPr>
        <w:spacing w:line="360" w:lineRule="auto"/>
        <w:jc w:val="both"/>
        <w:rPr>
          <w:rFonts w:ascii="Times New Roman" w:hAnsi="Times New Roman" w:cs="Times New Roman"/>
        </w:rPr>
      </w:pPr>
    </w:p>
    <w:p w14:paraId="67657458" w14:textId="77777777" w:rsidR="007D7EBF" w:rsidRPr="004C7FB3" w:rsidRDefault="007D7EBF" w:rsidP="00080638">
      <w:pPr>
        <w:spacing w:line="360" w:lineRule="auto"/>
        <w:jc w:val="both"/>
        <w:rPr>
          <w:rFonts w:ascii="Times New Roman" w:hAnsi="Times New Roman" w:cs="Times New Roman"/>
        </w:rPr>
      </w:pPr>
    </w:p>
    <w:sectPr w:rsidR="007D7EBF" w:rsidRPr="004C7FB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E47D4" w14:textId="77777777" w:rsidR="00556B5D" w:rsidRDefault="00556B5D" w:rsidP="004C69DC">
      <w:pPr>
        <w:spacing w:after="0" w:line="240" w:lineRule="auto"/>
      </w:pPr>
      <w:r>
        <w:separator/>
      </w:r>
    </w:p>
  </w:endnote>
  <w:endnote w:type="continuationSeparator" w:id="0">
    <w:p w14:paraId="1262912C" w14:textId="77777777" w:rsidR="00556B5D" w:rsidRDefault="00556B5D" w:rsidP="004C6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5521944"/>
      <w:docPartObj>
        <w:docPartGallery w:val="Page Numbers (Bottom of Page)"/>
        <w:docPartUnique/>
      </w:docPartObj>
    </w:sdtPr>
    <w:sdtEndPr>
      <w:rPr>
        <w:noProof/>
      </w:rPr>
    </w:sdtEndPr>
    <w:sdtContent>
      <w:p w14:paraId="53E12555" w14:textId="6F13EC69" w:rsidR="004C69DC" w:rsidRDefault="004C69DC">
        <w:pPr>
          <w:pStyle w:val="Footer"/>
          <w:jc w:val="right"/>
        </w:pPr>
        <w:r w:rsidRPr="004C69DC">
          <w:rPr>
            <w:rFonts w:ascii="Times New Roman" w:hAnsi="Times New Roman" w:cs="Times New Roman"/>
            <w:sz w:val="20"/>
            <w:szCs w:val="20"/>
          </w:rPr>
          <w:fldChar w:fldCharType="begin"/>
        </w:r>
        <w:r w:rsidRPr="004C69DC">
          <w:rPr>
            <w:rFonts w:ascii="Times New Roman" w:hAnsi="Times New Roman" w:cs="Times New Roman"/>
            <w:sz w:val="20"/>
            <w:szCs w:val="20"/>
          </w:rPr>
          <w:instrText xml:space="preserve"> PAGE   \* MERGEFORMAT </w:instrText>
        </w:r>
        <w:r w:rsidRPr="004C69DC">
          <w:rPr>
            <w:rFonts w:ascii="Times New Roman" w:hAnsi="Times New Roman" w:cs="Times New Roman"/>
            <w:sz w:val="20"/>
            <w:szCs w:val="20"/>
          </w:rPr>
          <w:fldChar w:fldCharType="separate"/>
        </w:r>
        <w:r w:rsidRPr="004C69DC">
          <w:rPr>
            <w:rFonts w:ascii="Times New Roman" w:hAnsi="Times New Roman" w:cs="Times New Roman"/>
            <w:noProof/>
            <w:sz w:val="20"/>
            <w:szCs w:val="20"/>
          </w:rPr>
          <w:t>2</w:t>
        </w:r>
        <w:r w:rsidRPr="004C69DC">
          <w:rPr>
            <w:rFonts w:ascii="Times New Roman" w:hAnsi="Times New Roman" w:cs="Times New Roman"/>
            <w:noProof/>
            <w:sz w:val="20"/>
            <w:szCs w:val="20"/>
          </w:rPr>
          <w:fldChar w:fldCharType="end"/>
        </w:r>
      </w:p>
    </w:sdtContent>
  </w:sdt>
  <w:p w14:paraId="52B67184" w14:textId="77777777" w:rsidR="004C69DC" w:rsidRDefault="004C6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F2BB8" w14:textId="77777777" w:rsidR="00556B5D" w:rsidRDefault="00556B5D" w:rsidP="004C69DC">
      <w:pPr>
        <w:spacing w:after="0" w:line="240" w:lineRule="auto"/>
      </w:pPr>
      <w:r>
        <w:separator/>
      </w:r>
    </w:p>
  </w:footnote>
  <w:footnote w:type="continuationSeparator" w:id="0">
    <w:p w14:paraId="1B9D4B6E" w14:textId="77777777" w:rsidR="00556B5D" w:rsidRDefault="00556B5D" w:rsidP="004C6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6C6F0E"/>
    <w:multiLevelType w:val="multilevel"/>
    <w:tmpl w:val="5218C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790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613"/>
    <w:rsid w:val="0001468A"/>
    <w:rsid w:val="00075540"/>
    <w:rsid w:val="00080638"/>
    <w:rsid w:val="000B380D"/>
    <w:rsid w:val="000F445D"/>
    <w:rsid w:val="00114C79"/>
    <w:rsid w:val="001210E3"/>
    <w:rsid w:val="00143F76"/>
    <w:rsid w:val="00165679"/>
    <w:rsid w:val="0016799F"/>
    <w:rsid w:val="0017467D"/>
    <w:rsid w:val="0019374F"/>
    <w:rsid w:val="001C3A85"/>
    <w:rsid w:val="001D2589"/>
    <w:rsid w:val="001E0E1F"/>
    <w:rsid w:val="001E7383"/>
    <w:rsid w:val="00240372"/>
    <w:rsid w:val="00251FFC"/>
    <w:rsid w:val="002D5D75"/>
    <w:rsid w:val="0032256E"/>
    <w:rsid w:val="003237DF"/>
    <w:rsid w:val="003457EE"/>
    <w:rsid w:val="00361378"/>
    <w:rsid w:val="00371AA0"/>
    <w:rsid w:val="00384ECB"/>
    <w:rsid w:val="00395A8B"/>
    <w:rsid w:val="003D52E0"/>
    <w:rsid w:val="00401154"/>
    <w:rsid w:val="004746DE"/>
    <w:rsid w:val="00475DE8"/>
    <w:rsid w:val="004956E2"/>
    <w:rsid w:val="004A5701"/>
    <w:rsid w:val="004C69DC"/>
    <w:rsid w:val="004C7FB3"/>
    <w:rsid w:val="00522C99"/>
    <w:rsid w:val="00556B5D"/>
    <w:rsid w:val="00586E6A"/>
    <w:rsid w:val="00594937"/>
    <w:rsid w:val="005E24D8"/>
    <w:rsid w:val="006670F7"/>
    <w:rsid w:val="006755B5"/>
    <w:rsid w:val="0069161C"/>
    <w:rsid w:val="006C2284"/>
    <w:rsid w:val="006C6948"/>
    <w:rsid w:val="006F77CE"/>
    <w:rsid w:val="00723CF6"/>
    <w:rsid w:val="00741539"/>
    <w:rsid w:val="00796BC3"/>
    <w:rsid w:val="007D3275"/>
    <w:rsid w:val="007D4FCC"/>
    <w:rsid w:val="007D7EBF"/>
    <w:rsid w:val="007E50DC"/>
    <w:rsid w:val="008147D4"/>
    <w:rsid w:val="00876093"/>
    <w:rsid w:val="00881E21"/>
    <w:rsid w:val="00884E6A"/>
    <w:rsid w:val="008C052A"/>
    <w:rsid w:val="009036C5"/>
    <w:rsid w:val="009065A7"/>
    <w:rsid w:val="00913149"/>
    <w:rsid w:val="009934E6"/>
    <w:rsid w:val="009A7211"/>
    <w:rsid w:val="00A044F0"/>
    <w:rsid w:val="00A67779"/>
    <w:rsid w:val="00A76C8F"/>
    <w:rsid w:val="00AC5E8D"/>
    <w:rsid w:val="00AD3823"/>
    <w:rsid w:val="00B04A45"/>
    <w:rsid w:val="00B14613"/>
    <w:rsid w:val="00B26CD7"/>
    <w:rsid w:val="00B436E9"/>
    <w:rsid w:val="00B709A9"/>
    <w:rsid w:val="00B75EBA"/>
    <w:rsid w:val="00BB3545"/>
    <w:rsid w:val="00BB6B86"/>
    <w:rsid w:val="00BE653B"/>
    <w:rsid w:val="00C35694"/>
    <w:rsid w:val="00C928B0"/>
    <w:rsid w:val="00CB4D76"/>
    <w:rsid w:val="00CC7E32"/>
    <w:rsid w:val="00CD008E"/>
    <w:rsid w:val="00D2625E"/>
    <w:rsid w:val="00D34446"/>
    <w:rsid w:val="00D8077C"/>
    <w:rsid w:val="00D861A6"/>
    <w:rsid w:val="00DD1095"/>
    <w:rsid w:val="00DE189E"/>
    <w:rsid w:val="00DF0302"/>
    <w:rsid w:val="00E02C28"/>
    <w:rsid w:val="00E11D91"/>
    <w:rsid w:val="00E207AE"/>
    <w:rsid w:val="00E65765"/>
    <w:rsid w:val="00E80CEF"/>
    <w:rsid w:val="00EB2441"/>
    <w:rsid w:val="00EC2D8E"/>
    <w:rsid w:val="00EE536D"/>
    <w:rsid w:val="00EF6B10"/>
    <w:rsid w:val="00F03684"/>
    <w:rsid w:val="00F037B8"/>
    <w:rsid w:val="00F13C12"/>
    <w:rsid w:val="00F620A4"/>
    <w:rsid w:val="00F77D99"/>
    <w:rsid w:val="00F84137"/>
    <w:rsid w:val="00FB7D64"/>
    <w:rsid w:val="00FD48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82F72"/>
  <w15:chartTrackingRefBased/>
  <w15:docId w15:val="{701B66FA-396A-4355-91D0-47AB224A2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25E"/>
  </w:style>
  <w:style w:type="paragraph" w:styleId="Heading1">
    <w:name w:val="heading 1"/>
    <w:basedOn w:val="Normal"/>
    <w:next w:val="Normal"/>
    <w:link w:val="Heading1Char"/>
    <w:uiPriority w:val="9"/>
    <w:qFormat/>
    <w:rsid w:val="00401154"/>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17467D"/>
    <w:pPr>
      <w:spacing w:before="240"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B146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6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6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6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6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6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6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154"/>
    <w:rPr>
      <w:rFonts w:ascii="Times New Roman" w:hAnsi="Times New Roman" w:cs="Times New Roman"/>
      <w:b/>
      <w:bCs/>
    </w:rPr>
  </w:style>
  <w:style w:type="character" w:customStyle="1" w:styleId="Heading2Char">
    <w:name w:val="Heading 2 Char"/>
    <w:basedOn w:val="DefaultParagraphFont"/>
    <w:link w:val="Heading2"/>
    <w:uiPriority w:val="9"/>
    <w:rsid w:val="0017467D"/>
    <w:rPr>
      <w:rFonts w:ascii="Times New Roman" w:hAnsi="Times New Roman" w:cs="Times New Roman"/>
      <w:b/>
      <w:bCs/>
    </w:rPr>
  </w:style>
  <w:style w:type="character" w:customStyle="1" w:styleId="Heading3Char">
    <w:name w:val="Heading 3 Char"/>
    <w:basedOn w:val="DefaultParagraphFont"/>
    <w:link w:val="Heading3"/>
    <w:uiPriority w:val="9"/>
    <w:semiHidden/>
    <w:rsid w:val="00B146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6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6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6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6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6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613"/>
    <w:rPr>
      <w:rFonts w:eastAsiaTheme="majorEastAsia" w:cstheme="majorBidi"/>
      <w:color w:val="272727" w:themeColor="text1" w:themeTint="D8"/>
    </w:rPr>
  </w:style>
  <w:style w:type="paragraph" w:styleId="Title">
    <w:name w:val="Title"/>
    <w:basedOn w:val="Normal"/>
    <w:next w:val="Normal"/>
    <w:link w:val="TitleChar"/>
    <w:uiPriority w:val="10"/>
    <w:qFormat/>
    <w:rsid w:val="00B146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6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6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6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613"/>
    <w:pPr>
      <w:spacing w:before="160"/>
      <w:jc w:val="center"/>
    </w:pPr>
    <w:rPr>
      <w:i/>
      <w:iCs/>
      <w:color w:val="404040" w:themeColor="text1" w:themeTint="BF"/>
    </w:rPr>
  </w:style>
  <w:style w:type="character" w:customStyle="1" w:styleId="QuoteChar">
    <w:name w:val="Quote Char"/>
    <w:basedOn w:val="DefaultParagraphFont"/>
    <w:link w:val="Quote"/>
    <w:uiPriority w:val="29"/>
    <w:rsid w:val="00B14613"/>
    <w:rPr>
      <w:i/>
      <w:iCs/>
      <w:color w:val="404040" w:themeColor="text1" w:themeTint="BF"/>
    </w:rPr>
  </w:style>
  <w:style w:type="paragraph" w:styleId="ListParagraph">
    <w:name w:val="List Paragraph"/>
    <w:basedOn w:val="Normal"/>
    <w:uiPriority w:val="34"/>
    <w:qFormat/>
    <w:rsid w:val="00B14613"/>
    <w:pPr>
      <w:ind w:left="720"/>
      <w:contextualSpacing/>
    </w:pPr>
  </w:style>
  <w:style w:type="character" w:styleId="IntenseEmphasis">
    <w:name w:val="Intense Emphasis"/>
    <w:basedOn w:val="DefaultParagraphFont"/>
    <w:uiPriority w:val="21"/>
    <w:qFormat/>
    <w:rsid w:val="00B14613"/>
    <w:rPr>
      <w:i/>
      <w:iCs/>
      <w:color w:val="0F4761" w:themeColor="accent1" w:themeShade="BF"/>
    </w:rPr>
  </w:style>
  <w:style w:type="paragraph" w:styleId="IntenseQuote">
    <w:name w:val="Intense Quote"/>
    <w:basedOn w:val="Normal"/>
    <w:next w:val="Normal"/>
    <w:link w:val="IntenseQuoteChar"/>
    <w:uiPriority w:val="30"/>
    <w:qFormat/>
    <w:rsid w:val="00B146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613"/>
    <w:rPr>
      <w:i/>
      <w:iCs/>
      <w:color w:val="0F4761" w:themeColor="accent1" w:themeShade="BF"/>
    </w:rPr>
  </w:style>
  <w:style w:type="character" w:styleId="IntenseReference">
    <w:name w:val="Intense Reference"/>
    <w:basedOn w:val="DefaultParagraphFont"/>
    <w:uiPriority w:val="32"/>
    <w:qFormat/>
    <w:rsid w:val="00B14613"/>
    <w:rPr>
      <w:b/>
      <w:bCs/>
      <w:smallCaps/>
      <w:color w:val="0F4761" w:themeColor="accent1" w:themeShade="BF"/>
      <w:spacing w:val="5"/>
    </w:rPr>
  </w:style>
  <w:style w:type="table" w:styleId="TableGrid">
    <w:name w:val="Table Grid"/>
    <w:basedOn w:val="TableNormal"/>
    <w:uiPriority w:val="39"/>
    <w:rsid w:val="00884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1154"/>
    <w:rPr>
      <w:color w:val="467886" w:themeColor="hyperlink"/>
      <w:u w:val="single"/>
    </w:rPr>
  </w:style>
  <w:style w:type="character" w:styleId="UnresolvedMention">
    <w:name w:val="Unresolved Mention"/>
    <w:basedOn w:val="DefaultParagraphFont"/>
    <w:uiPriority w:val="99"/>
    <w:semiHidden/>
    <w:unhideWhenUsed/>
    <w:rsid w:val="00401154"/>
    <w:rPr>
      <w:color w:val="605E5C"/>
      <w:shd w:val="clear" w:color="auto" w:fill="E1DFDD"/>
    </w:rPr>
  </w:style>
  <w:style w:type="paragraph" w:styleId="TOCHeading">
    <w:name w:val="TOC Heading"/>
    <w:basedOn w:val="Heading1"/>
    <w:next w:val="Normal"/>
    <w:uiPriority w:val="39"/>
    <w:unhideWhenUsed/>
    <w:qFormat/>
    <w:rsid w:val="004C69D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C69DC"/>
    <w:pPr>
      <w:spacing w:after="100"/>
    </w:pPr>
  </w:style>
  <w:style w:type="paragraph" w:styleId="TOC2">
    <w:name w:val="toc 2"/>
    <w:basedOn w:val="Normal"/>
    <w:next w:val="Normal"/>
    <w:autoRedefine/>
    <w:uiPriority w:val="39"/>
    <w:unhideWhenUsed/>
    <w:rsid w:val="004C69DC"/>
    <w:pPr>
      <w:spacing w:after="100"/>
      <w:ind w:left="240"/>
    </w:pPr>
  </w:style>
  <w:style w:type="paragraph" w:styleId="Header">
    <w:name w:val="header"/>
    <w:basedOn w:val="Normal"/>
    <w:link w:val="HeaderChar"/>
    <w:uiPriority w:val="99"/>
    <w:unhideWhenUsed/>
    <w:rsid w:val="004C6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9DC"/>
  </w:style>
  <w:style w:type="paragraph" w:styleId="Footer">
    <w:name w:val="footer"/>
    <w:basedOn w:val="Normal"/>
    <w:link w:val="FooterChar"/>
    <w:uiPriority w:val="99"/>
    <w:unhideWhenUsed/>
    <w:rsid w:val="004C6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9DC"/>
  </w:style>
  <w:style w:type="character" w:styleId="CommentReference">
    <w:name w:val="annotation reference"/>
    <w:basedOn w:val="DefaultParagraphFont"/>
    <w:uiPriority w:val="99"/>
    <w:semiHidden/>
    <w:unhideWhenUsed/>
    <w:rsid w:val="00AC5E8D"/>
    <w:rPr>
      <w:sz w:val="16"/>
      <w:szCs w:val="16"/>
    </w:rPr>
  </w:style>
  <w:style w:type="paragraph" w:styleId="CommentText">
    <w:name w:val="annotation text"/>
    <w:basedOn w:val="Normal"/>
    <w:link w:val="CommentTextChar"/>
    <w:uiPriority w:val="99"/>
    <w:unhideWhenUsed/>
    <w:rsid w:val="00AC5E8D"/>
    <w:pPr>
      <w:spacing w:line="240" w:lineRule="auto"/>
    </w:pPr>
    <w:rPr>
      <w:sz w:val="20"/>
      <w:szCs w:val="20"/>
    </w:rPr>
  </w:style>
  <w:style w:type="character" w:customStyle="1" w:styleId="CommentTextChar">
    <w:name w:val="Comment Text Char"/>
    <w:basedOn w:val="DefaultParagraphFont"/>
    <w:link w:val="CommentText"/>
    <w:uiPriority w:val="99"/>
    <w:rsid w:val="00AC5E8D"/>
    <w:rPr>
      <w:sz w:val="20"/>
      <w:szCs w:val="20"/>
    </w:rPr>
  </w:style>
  <w:style w:type="paragraph" w:styleId="CommentSubject">
    <w:name w:val="annotation subject"/>
    <w:basedOn w:val="CommentText"/>
    <w:next w:val="CommentText"/>
    <w:link w:val="CommentSubjectChar"/>
    <w:uiPriority w:val="99"/>
    <w:semiHidden/>
    <w:unhideWhenUsed/>
    <w:rsid w:val="00AC5E8D"/>
    <w:rPr>
      <w:b/>
      <w:bCs/>
    </w:rPr>
  </w:style>
  <w:style w:type="character" w:customStyle="1" w:styleId="CommentSubjectChar">
    <w:name w:val="Comment Subject Char"/>
    <w:basedOn w:val="CommentTextChar"/>
    <w:link w:val="CommentSubject"/>
    <w:uiPriority w:val="99"/>
    <w:semiHidden/>
    <w:rsid w:val="00AC5E8D"/>
    <w:rPr>
      <w:b/>
      <w:bCs/>
      <w:sz w:val="20"/>
      <w:szCs w:val="20"/>
    </w:rPr>
  </w:style>
  <w:style w:type="character" w:styleId="FollowedHyperlink">
    <w:name w:val="FollowedHyperlink"/>
    <w:basedOn w:val="DefaultParagraphFont"/>
    <w:uiPriority w:val="99"/>
    <w:semiHidden/>
    <w:unhideWhenUsed/>
    <w:rsid w:val="004C7F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10.1155/jonm/1101404" TargetMode="External"/><Relationship Id="rId18" Type="http://schemas.openxmlformats.org/officeDocument/2006/relationships/hyperlink" Target="https://onlinelibrary.wiley.com/doi/pdfdirect/10.1002/bse.3391" TargetMode="External"/><Relationship Id="rId26" Type="http://schemas.openxmlformats.org/officeDocument/2006/relationships/hyperlink" Target="https://www.legislation.gov.uk/ukpga/2008/14" TargetMode="External"/><Relationship Id="rId3" Type="http://schemas.openxmlformats.org/officeDocument/2006/relationships/styles" Target="styles.xml"/><Relationship Id="rId21" Type="http://schemas.openxmlformats.org/officeDocument/2006/relationships/hyperlink" Target="https://pmc.ncbi.nlm.nih.gov/articles/PMC10229001/pdf/i2589-9449-5-2-44.pdf" TargetMode="External"/><Relationship Id="rId7" Type="http://schemas.openxmlformats.org/officeDocument/2006/relationships/endnotes" Target="endnotes.xml"/><Relationship Id="rId12" Type="http://schemas.openxmlformats.org/officeDocument/2006/relationships/hyperlink" Target="https://www.researchgate.net/profile/Bibitayo-Abikoye/publication/383056885_Real-Time_Financial_Monitoring_Systems_Enhancing_Risk_Management_Through_Continuous_Oversight/links/66bbacf68f7e1236bc557c24/Real-Time-Financial-Monitoring-Systems-Enhancing-Risk-Management-Through-Continuous-Oversight.pdf" TargetMode="External"/><Relationship Id="rId17" Type="http://schemas.openxmlformats.org/officeDocument/2006/relationships/hyperlink" Target="https://www.shropscommunityhealth.nhs.uk/content/doclib/10825.pdf" TargetMode="External"/><Relationship Id="rId25" Type="http://schemas.openxmlformats.org/officeDocument/2006/relationships/hyperlink" Target="https://www.jmir.org/2021/5/e2718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20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 TargetMode="External"/><Relationship Id="rId20" Type="http://schemas.openxmlformats.org/officeDocument/2006/relationships/hyperlink" Target="https://www.frontiersin.org/journals/public-health/articles/10.3389/fpubh.2025.1504172/pdf" TargetMode="External"/><Relationship Id="rId29" Type="http://schemas.openxmlformats.org/officeDocument/2006/relationships/hyperlink" Target="https://pmc.ncbi.nlm.nih.gov/articles/PMC8514562/pdf/nihms-165128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227-9032/10/10/1993" TargetMode="External"/><Relationship Id="rId24" Type="http://schemas.openxmlformats.org/officeDocument/2006/relationships/hyperlink" Target="https://www.england.nhs.uk/long-read/nhs-long-term-workforce-plan-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0020748922001407" TargetMode="External"/><Relationship Id="rId23" Type="http://schemas.openxmlformats.org/officeDocument/2006/relationships/hyperlink" Target="https://assets.publishing.service.gov.uk/media/5a8074f140f0b62305b8b434/Clinical_workforce_report.pdf" TargetMode="External"/><Relationship Id="rId28" Type="http://schemas.openxmlformats.org/officeDocument/2006/relationships/hyperlink" Target="https://pmc.ncbi.nlm.nih.gov/articles/PMC12573144/" TargetMode="External"/><Relationship Id="rId10" Type="http://schemas.openxmlformats.org/officeDocument/2006/relationships/image" Target="media/image3.png"/><Relationship Id="rId19" Type="http://schemas.openxmlformats.org/officeDocument/2006/relationships/hyperlink" Target="https://pmc.ncbi.nlm.nih.gov/articles/PMC10111096/pdf/jpmph-22-479.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66732152400091X" TargetMode="External"/><Relationship Id="rId22" Type="http://schemas.openxmlformats.org/officeDocument/2006/relationships/hyperlink" Target="https://www.nysna.org/resources/research-shows-safe-staffing-saves-lives" TargetMode="External"/><Relationship Id="rId27" Type="http://schemas.openxmlformats.org/officeDocument/2006/relationships/hyperlink" Target="https://www.mdpi.com/2039-7283/13/6/135" TargetMode="External"/><Relationship Id="rId30" Type="http://schemas.openxmlformats.org/officeDocument/2006/relationships/hyperlink" Target="https://onlinelibrary.wiley.com/doi/pdf/10.1155/jonm/6893336"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DD150-78B5-4734-AE72-A4124AF9C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4510</Words>
  <Characters>25707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2026-04-16T10:42:00Z</dcterms:created>
  <dcterms:modified xsi:type="dcterms:W3CDTF">2026-04-16T10:42:00Z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7e2efcb9-7584-49e8-bf18-a2e6ac61c92a</vt:lpwstr>
  </property>
</Properties>
</file>