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91DC9" w14:textId="77777777" w:rsidR="006405CA" w:rsidRDefault="0032280C" w:rsidP="008C584D">
      <w:pPr>
        <w:pStyle w:val="Title"/>
        <w:jc w:val="center"/>
      </w:pPr>
      <w:r w:rsidRPr="0032280C">
        <w:t>How to engage em</w:t>
      </w:r>
      <w:r>
        <w:t>ployees throughout the employee</w:t>
      </w:r>
      <w:r w:rsidRPr="0032280C">
        <w:t xml:space="preserve"> lifecycle</w:t>
      </w:r>
    </w:p>
    <w:p w14:paraId="49C8537A" w14:textId="77777777" w:rsidR="0032280C" w:rsidRDefault="0032280C" w:rsidP="0032280C">
      <w:pPr>
        <w:jc w:val="center"/>
        <w:rPr>
          <w:rFonts w:ascii="Bahnschrift SemiCondensed" w:hAnsi="Bahnschrift SemiCondensed"/>
          <w:i/>
          <w:sz w:val="36"/>
          <w:szCs w:val="36"/>
        </w:rPr>
      </w:pPr>
    </w:p>
    <w:p w14:paraId="253756A6" w14:textId="77777777" w:rsidR="0032280C" w:rsidRDefault="0032280C" w:rsidP="0032280C">
      <w:pPr>
        <w:jc w:val="center"/>
        <w:rPr>
          <w:rFonts w:ascii="Bahnschrift SemiCondensed" w:hAnsi="Bahnschrift SemiCondensed"/>
          <w:i/>
          <w:sz w:val="36"/>
          <w:szCs w:val="36"/>
        </w:rPr>
      </w:pPr>
    </w:p>
    <w:p w14:paraId="5703E449" w14:textId="77777777" w:rsidR="0032280C" w:rsidRDefault="0032280C" w:rsidP="0032280C">
      <w:pPr>
        <w:jc w:val="center"/>
        <w:rPr>
          <w:rFonts w:ascii="Bahnschrift SemiCondensed" w:hAnsi="Bahnschrift SemiCondensed"/>
          <w:i/>
          <w:sz w:val="36"/>
          <w:szCs w:val="36"/>
        </w:rPr>
      </w:pPr>
    </w:p>
    <w:p w14:paraId="4B59B762" w14:textId="77777777" w:rsidR="0032280C" w:rsidRDefault="0032280C" w:rsidP="0032280C">
      <w:pPr>
        <w:jc w:val="center"/>
        <w:rPr>
          <w:rFonts w:ascii="Bahnschrift SemiCondensed" w:hAnsi="Bahnschrift SemiCondensed"/>
          <w:i/>
          <w:sz w:val="36"/>
          <w:szCs w:val="36"/>
        </w:rPr>
      </w:pPr>
    </w:p>
    <w:p w14:paraId="4BDD15E6" w14:textId="6C01D302" w:rsidR="0032280C" w:rsidRPr="00FE0A21" w:rsidRDefault="0032280C" w:rsidP="00FE0A21">
      <w:pPr>
        <w:jc w:val="center"/>
        <w:rPr>
          <w:b/>
          <w:bCs/>
          <w:sz w:val="32"/>
          <w:szCs w:val="28"/>
        </w:rPr>
      </w:pPr>
    </w:p>
    <w:p w14:paraId="7B9DF696" w14:textId="77777777" w:rsidR="0032280C" w:rsidRDefault="0032280C" w:rsidP="0032280C">
      <w:pPr>
        <w:jc w:val="center"/>
        <w:rPr>
          <w:rFonts w:ascii="Bahnschrift SemiCondensed" w:hAnsi="Bahnschrift SemiCondensed"/>
          <w:i/>
          <w:sz w:val="36"/>
          <w:szCs w:val="36"/>
        </w:rPr>
      </w:pPr>
    </w:p>
    <w:p w14:paraId="7609D71E" w14:textId="77777777" w:rsidR="0032280C" w:rsidRDefault="0032280C" w:rsidP="0032280C">
      <w:pPr>
        <w:jc w:val="center"/>
        <w:rPr>
          <w:rFonts w:ascii="Bahnschrift SemiCondensed" w:hAnsi="Bahnschrift SemiCondensed"/>
          <w:i/>
          <w:sz w:val="36"/>
          <w:szCs w:val="36"/>
        </w:rPr>
      </w:pPr>
    </w:p>
    <w:p w14:paraId="728E9933" w14:textId="77777777" w:rsidR="0032280C" w:rsidRDefault="0032280C" w:rsidP="0032280C">
      <w:pPr>
        <w:jc w:val="center"/>
        <w:rPr>
          <w:rFonts w:ascii="Bahnschrift SemiCondensed" w:hAnsi="Bahnschrift SemiCondensed"/>
          <w:i/>
          <w:sz w:val="36"/>
          <w:szCs w:val="36"/>
        </w:rPr>
      </w:pPr>
    </w:p>
    <w:p w14:paraId="63982ABE" w14:textId="77777777" w:rsidR="0032280C" w:rsidRDefault="0032280C" w:rsidP="0032280C">
      <w:pPr>
        <w:jc w:val="center"/>
        <w:rPr>
          <w:rFonts w:ascii="Bahnschrift SemiCondensed" w:hAnsi="Bahnschrift SemiCondensed"/>
          <w:i/>
          <w:sz w:val="36"/>
          <w:szCs w:val="36"/>
        </w:rPr>
      </w:pPr>
    </w:p>
    <w:p w14:paraId="5FACA68B" w14:textId="77777777" w:rsidR="0032280C" w:rsidRDefault="0032280C" w:rsidP="0032280C">
      <w:pPr>
        <w:jc w:val="center"/>
        <w:rPr>
          <w:rFonts w:ascii="Bahnschrift SemiCondensed" w:hAnsi="Bahnschrift SemiCondensed"/>
          <w:i/>
          <w:sz w:val="36"/>
          <w:szCs w:val="36"/>
        </w:rPr>
      </w:pPr>
    </w:p>
    <w:p w14:paraId="7D7E156F" w14:textId="77777777" w:rsidR="0032280C" w:rsidRDefault="0032280C" w:rsidP="00A32026">
      <w:pPr>
        <w:rPr>
          <w:rFonts w:ascii="Bahnschrift SemiCondensed" w:hAnsi="Bahnschrift SemiCondensed"/>
          <w:i/>
          <w:sz w:val="36"/>
          <w:szCs w:val="36"/>
        </w:rPr>
      </w:pPr>
    </w:p>
    <w:p w14:paraId="69093596" w14:textId="044D8308" w:rsidR="0032280C" w:rsidRDefault="0032280C" w:rsidP="0032280C">
      <w:pPr>
        <w:rPr>
          <w:i/>
        </w:rPr>
      </w:pPr>
      <w:r w:rsidRPr="0032280C">
        <w:rPr>
          <w:i/>
        </w:rPr>
        <w:t>Student Name:</w:t>
      </w:r>
      <w:r w:rsidR="00A32026">
        <w:rPr>
          <w:i/>
        </w:rPr>
        <w:t xml:space="preserve"> Alexandra Craesc</w:t>
      </w:r>
      <w:r w:rsidR="00D141F0">
        <w:rPr>
          <w:i/>
        </w:rPr>
        <w:t>u</w:t>
      </w:r>
    </w:p>
    <w:p w14:paraId="2CA88ED7" w14:textId="73AE914B" w:rsidR="00D141F0" w:rsidRPr="0032280C" w:rsidRDefault="00D141F0" w:rsidP="0032280C">
      <w:pPr>
        <w:rPr>
          <w:i/>
        </w:rPr>
      </w:pPr>
      <w:r>
        <w:rPr>
          <w:i/>
        </w:rPr>
        <w:t>Student number:9111926</w:t>
      </w:r>
    </w:p>
    <w:p w14:paraId="2159BBD9" w14:textId="35F215E9" w:rsidR="0032280C" w:rsidRDefault="00A94AEF" w:rsidP="00A94AEF">
      <w:pPr>
        <w:jc w:val="left"/>
        <w:rPr>
          <w:i/>
        </w:rPr>
      </w:pPr>
      <w:r>
        <w:rPr>
          <w:i/>
        </w:rPr>
        <w:t>Module title and module code</w:t>
      </w:r>
      <w:r w:rsidR="00B56FE9">
        <w:rPr>
          <w:i/>
        </w:rPr>
        <w:t>:Personal</w:t>
      </w:r>
      <w:r w:rsidR="00E437B1">
        <w:rPr>
          <w:i/>
        </w:rPr>
        <w:t xml:space="preserve"> </w:t>
      </w:r>
      <w:r w:rsidR="008351B5">
        <w:rPr>
          <w:i/>
        </w:rPr>
        <w:t xml:space="preserve">Resourcing </w:t>
      </w:r>
      <w:r w:rsidR="00E437B1">
        <w:rPr>
          <w:i/>
        </w:rPr>
        <w:t>and Development</w:t>
      </w:r>
      <w:r w:rsidR="008351B5">
        <w:rPr>
          <w:i/>
        </w:rPr>
        <w:t>(</w:t>
      </w:r>
      <w:r w:rsidR="00926B43">
        <w:rPr>
          <w:i/>
        </w:rPr>
        <w:t>BMIH5005</w:t>
      </w:r>
      <w:r w:rsidR="008351B5">
        <w:rPr>
          <w:i/>
        </w:rPr>
        <w:t>)</w:t>
      </w:r>
    </w:p>
    <w:p w14:paraId="0A882D15" w14:textId="6DD73742" w:rsidR="0032280C" w:rsidRDefault="00A94AEF" w:rsidP="00A32026">
      <w:pPr>
        <w:jc w:val="left"/>
        <w:rPr>
          <w:rFonts w:ascii="Bahnschrift SemiCondensed" w:hAnsi="Bahnschrift SemiCondensed"/>
          <w:i/>
          <w:sz w:val="36"/>
          <w:szCs w:val="36"/>
        </w:rPr>
      </w:pPr>
      <w:r>
        <w:rPr>
          <w:i/>
        </w:rPr>
        <w:t>Lecturer’s name:</w:t>
      </w:r>
      <w:r w:rsidR="00194C85">
        <w:rPr>
          <w:i/>
        </w:rPr>
        <w:t>Emma Rober</w:t>
      </w:r>
      <w:r w:rsidR="00700671">
        <w:rPr>
          <w:i/>
        </w:rPr>
        <w:t>ts</w:t>
      </w:r>
    </w:p>
    <w:p w14:paraId="494A0ADA" w14:textId="77777777" w:rsidR="008C584D" w:rsidRDefault="008C584D">
      <w:pPr>
        <w:jc w:val="left"/>
        <w:rPr>
          <w:rFonts w:cs="Arial"/>
          <w:szCs w:val="24"/>
        </w:rPr>
      </w:pPr>
      <w:r>
        <w:rPr>
          <w:rFonts w:cs="Arial"/>
          <w:szCs w:val="24"/>
        </w:rPr>
        <w:br w:type="page"/>
      </w:r>
    </w:p>
    <w:sdt>
      <w:sdtPr>
        <w:rPr>
          <w:rFonts w:ascii="Arial" w:eastAsiaTheme="minorHAnsi" w:hAnsi="Arial" w:cstheme="minorBidi"/>
          <w:color w:val="auto"/>
          <w:sz w:val="24"/>
          <w:szCs w:val="22"/>
        </w:rPr>
        <w:id w:val="-1564025775"/>
        <w:docPartObj>
          <w:docPartGallery w:val="Table of Contents"/>
          <w:docPartUnique/>
        </w:docPartObj>
      </w:sdtPr>
      <w:sdtEndPr>
        <w:rPr>
          <w:b/>
          <w:bCs/>
          <w:noProof/>
        </w:rPr>
      </w:sdtEndPr>
      <w:sdtContent>
        <w:p w14:paraId="5ED22AB1" w14:textId="7EB95A6B" w:rsidR="00BE17FB" w:rsidRDefault="00BE17FB">
          <w:pPr>
            <w:pStyle w:val="TOCHeading"/>
          </w:pPr>
          <w:r>
            <w:t>Table of Contents</w:t>
          </w:r>
        </w:p>
        <w:p w14:paraId="0A05FD85" w14:textId="75C003E7" w:rsidR="00BE17FB" w:rsidRDefault="00BE17FB">
          <w:pPr>
            <w:pStyle w:val="TOC1"/>
            <w:tabs>
              <w:tab w:val="right" w:leader="dot" w:pos="9350"/>
            </w:tabs>
            <w:rPr>
              <w:noProof/>
            </w:rPr>
          </w:pPr>
          <w:r>
            <w:fldChar w:fldCharType="begin"/>
          </w:r>
          <w:r>
            <w:instrText xml:space="preserve"> TOC \o "1-3" \h \z \u </w:instrText>
          </w:r>
          <w:r>
            <w:fldChar w:fldCharType="separate"/>
          </w:r>
          <w:hyperlink w:anchor="_Toc116860512" w:history="1">
            <w:r w:rsidRPr="00EC7C26">
              <w:rPr>
                <w:rStyle w:val="Hyperlink"/>
                <w:noProof/>
              </w:rPr>
              <w:t>Introduction</w:t>
            </w:r>
            <w:r>
              <w:rPr>
                <w:noProof/>
                <w:webHidden/>
              </w:rPr>
              <w:tab/>
            </w:r>
            <w:r>
              <w:rPr>
                <w:noProof/>
                <w:webHidden/>
              </w:rPr>
              <w:fldChar w:fldCharType="begin"/>
            </w:r>
            <w:r>
              <w:rPr>
                <w:noProof/>
                <w:webHidden/>
              </w:rPr>
              <w:instrText xml:space="preserve"> PAGEREF _Toc116860512 \h </w:instrText>
            </w:r>
            <w:r>
              <w:rPr>
                <w:noProof/>
                <w:webHidden/>
              </w:rPr>
            </w:r>
            <w:r>
              <w:rPr>
                <w:noProof/>
                <w:webHidden/>
              </w:rPr>
              <w:fldChar w:fldCharType="separate"/>
            </w:r>
            <w:r>
              <w:rPr>
                <w:noProof/>
                <w:webHidden/>
              </w:rPr>
              <w:t>3</w:t>
            </w:r>
            <w:r>
              <w:rPr>
                <w:noProof/>
                <w:webHidden/>
              </w:rPr>
              <w:fldChar w:fldCharType="end"/>
            </w:r>
          </w:hyperlink>
        </w:p>
        <w:p w14:paraId="22DB9835" w14:textId="388F8323" w:rsidR="00BE17FB" w:rsidRDefault="00C810F0">
          <w:pPr>
            <w:pStyle w:val="TOC1"/>
            <w:tabs>
              <w:tab w:val="right" w:leader="dot" w:pos="9350"/>
            </w:tabs>
            <w:rPr>
              <w:noProof/>
            </w:rPr>
          </w:pPr>
          <w:hyperlink w:anchor="_Toc116860513" w:history="1">
            <w:r w:rsidR="00BE17FB" w:rsidRPr="00EC7C26">
              <w:rPr>
                <w:rStyle w:val="Hyperlink"/>
                <w:noProof/>
              </w:rPr>
              <w:t>How to engage employees throughout the employee lifecycle</w:t>
            </w:r>
            <w:r w:rsidR="00BE17FB">
              <w:rPr>
                <w:noProof/>
                <w:webHidden/>
              </w:rPr>
              <w:tab/>
            </w:r>
            <w:r w:rsidR="00BE17FB">
              <w:rPr>
                <w:noProof/>
                <w:webHidden/>
              </w:rPr>
              <w:fldChar w:fldCharType="begin"/>
            </w:r>
            <w:r w:rsidR="00BE17FB">
              <w:rPr>
                <w:noProof/>
                <w:webHidden/>
              </w:rPr>
              <w:instrText xml:space="preserve"> PAGEREF _Toc116860513 \h </w:instrText>
            </w:r>
            <w:r w:rsidR="00BE17FB">
              <w:rPr>
                <w:noProof/>
                <w:webHidden/>
              </w:rPr>
            </w:r>
            <w:r w:rsidR="00BE17FB">
              <w:rPr>
                <w:noProof/>
                <w:webHidden/>
              </w:rPr>
              <w:fldChar w:fldCharType="separate"/>
            </w:r>
            <w:r w:rsidR="00BE17FB">
              <w:rPr>
                <w:noProof/>
                <w:webHidden/>
              </w:rPr>
              <w:t>3</w:t>
            </w:r>
            <w:r w:rsidR="00BE17FB">
              <w:rPr>
                <w:noProof/>
                <w:webHidden/>
              </w:rPr>
              <w:fldChar w:fldCharType="end"/>
            </w:r>
          </w:hyperlink>
        </w:p>
        <w:p w14:paraId="5D6AE844" w14:textId="22F83104" w:rsidR="00BE17FB" w:rsidRDefault="00C810F0">
          <w:pPr>
            <w:pStyle w:val="TOC1"/>
            <w:tabs>
              <w:tab w:val="right" w:leader="dot" w:pos="9350"/>
            </w:tabs>
            <w:rPr>
              <w:noProof/>
            </w:rPr>
          </w:pPr>
          <w:hyperlink w:anchor="_Toc116860514" w:history="1">
            <w:r w:rsidR="00BE17FB" w:rsidRPr="00EC7C26">
              <w:rPr>
                <w:rStyle w:val="Hyperlink"/>
                <w:noProof/>
              </w:rPr>
              <w:t>Conclusion</w:t>
            </w:r>
            <w:r w:rsidR="00BE17FB">
              <w:rPr>
                <w:noProof/>
                <w:webHidden/>
              </w:rPr>
              <w:tab/>
            </w:r>
            <w:r w:rsidR="00BE17FB">
              <w:rPr>
                <w:noProof/>
                <w:webHidden/>
              </w:rPr>
              <w:fldChar w:fldCharType="begin"/>
            </w:r>
            <w:r w:rsidR="00BE17FB">
              <w:rPr>
                <w:noProof/>
                <w:webHidden/>
              </w:rPr>
              <w:instrText xml:space="preserve"> PAGEREF _Toc116860514 \h </w:instrText>
            </w:r>
            <w:r w:rsidR="00BE17FB">
              <w:rPr>
                <w:noProof/>
                <w:webHidden/>
              </w:rPr>
            </w:r>
            <w:r w:rsidR="00BE17FB">
              <w:rPr>
                <w:noProof/>
                <w:webHidden/>
              </w:rPr>
              <w:fldChar w:fldCharType="separate"/>
            </w:r>
            <w:r w:rsidR="00BE17FB">
              <w:rPr>
                <w:noProof/>
                <w:webHidden/>
              </w:rPr>
              <w:t>10</w:t>
            </w:r>
            <w:r w:rsidR="00BE17FB">
              <w:rPr>
                <w:noProof/>
                <w:webHidden/>
              </w:rPr>
              <w:fldChar w:fldCharType="end"/>
            </w:r>
          </w:hyperlink>
        </w:p>
        <w:p w14:paraId="695D6FB0" w14:textId="6AE938FF" w:rsidR="00BE17FB" w:rsidRDefault="00C810F0">
          <w:pPr>
            <w:pStyle w:val="TOC1"/>
            <w:tabs>
              <w:tab w:val="right" w:leader="dot" w:pos="9350"/>
            </w:tabs>
            <w:rPr>
              <w:noProof/>
            </w:rPr>
          </w:pPr>
          <w:hyperlink w:anchor="_Toc116860515" w:history="1">
            <w:r w:rsidR="00BE17FB" w:rsidRPr="00EC7C26">
              <w:rPr>
                <w:rStyle w:val="Hyperlink"/>
                <w:noProof/>
              </w:rPr>
              <w:t>References</w:t>
            </w:r>
            <w:r w:rsidR="00BE17FB">
              <w:rPr>
                <w:noProof/>
                <w:webHidden/>
              </w:rPr>
              <w:tab/>
            </w:r>
            <w:r w:rsidR="00BE17FB">
              <w:rPr>
                <w:noProof/>
                <w:webHidden/>
              </w:rPr>
              <w:fldChar w:fldCharType="begin"/>
            </w:r>
            <w:r w:rsidR="00BE17FB">
              <w:rPr>
                <w:noProof/>
                <w:webHidden/>
              </w:rPr>
              <w:instrText xml:space="preserve"> PAGEREF _Toc116860515 \h </w:instrText>
            </w:r>
            <w:r w:rsidR="00BE17FB">
              <w:rPr>
                <w:noProof/>
                <w:webHidden/>
              </w:rPr>
            </w:r>
            <w:r w:rsidR="00BE17FB">
              <w:rPr>
                <w:noProof/>
                <w:webHidden/>
              </w:rPr>
              <w:fldChar w:fldCharType="separate"/>
            </w:r>
            <w:r w:rsidR="00BE17FB">
              <w:rPr>
                <w:noProof/>
                <w:webHidden/>
              </w:rPr>
              <w:t>11</w:t>
            </w:r>
            <w:r w:rsidR="00BE17FB">
              <w:rPr>
                <w:noProof/>
                <w:webHidden/>
              </w:rPr>
              <w:fldChar w:fldCharType="end"/>
            </w:r>
          </w:hyperlink>
        </w:p>
        <w:p w14:paraId="3FBCA151" w14:textId="103C91FD" w:rsidR="00BE17FB" w:rsidRDefault="00BE17FB">
          <w:r>
            <w:rPr>
              <w:b/>
              <w:bCs/>
              <w:noProof/>
            </w:rPr>
            <w:fldChar w:fldCharType="end"/>
          </w:r>
        </w:p>
      </w:sdtContent>
    </w:sdt>
    <w:p w14:paraId="0DF6D09D" w14:textId="77777777" w:rsidR="00BE17FB" w:rsidRDefault="00BE17FB">
      <w:pPr>
        <w:spacing w:before="0" w:after="200"/>
        <w:jc w:val="left"/>
        <w:rPr>
          <w:rFonts w:eastAsiaTheme="majorEastAsia" w:cstheme="majorBidi"/>
          <w:b/>
          <w:bCs/>
          <w:color w:val="000000" w:themeColor="text1"/>
          <w:sz w:val="32"/>
          <w:szCs w:val="28"/>
        </w:rPr>
      </w:pPr>
      <w:r>
        <w:br w:type="page"/>
      </w:r>
    </w:p>
    <w:p w14:paraId="4E50E08A" w14:textId="73A4A264" w:rsidR="00BE17FB" w:rsidRDefault="00BE17FB" w:rsidP="00BE17FB">
      <w:pPr>
        <w:pStyle w:val="Heading1"/>
      </w:pPr>
      <w:bookmarkStart w:id="0" w:name="_Toc116860512"/>
      <w:r>
        <w:t>Introduction</w:t>
      </w:r>
      <w:bookmarkEnd w:id="0"/>
    </w:p>
    <w:p w14:paraId="092B3CA7" w14:textId="77777777" w:rsidR="00BE17FB" w:rsidRDefault="00B53AB5" w:rsidP="00BE17FB">
      <w:pPr>
        <w:spacing w:line="360" w:lineRule="auto"/>
        <w:rPr>
          <w:rFonts w:cs="Arial"/>
          <w:szCs w:val="24"/>
        </w:rPr>
      </w:pPr>
      <w:r w:rsidRPr="00DC4741">
        <w:rPr>
          <w:rFonts w:cs="Arial"/>
          <w:szCs w:val="24"/>
        </w:rPr>
        <w:t>Employee engagement can be defined as the degree to which employees invest their time, energy, and enthusiasm into the success of the company. When workers care about their jobs and their company, they go the extra mile to ensure success. Happy employees may not necessarily work for companies that value employee engagement. This essay depicts the role of HR in employee engagement and also the benefits of employee engagement in a hotel like Hyatt Hotel. Also how to engage the employee in a hotel like Hyatt are also depicted. The employee engagement model is also used in this essay and also employee lifecycle is also used in this essay to understand the employee engagement.</w:t>
      </w:r>
    </w:p>
    <w:p w14:paraId="151D7909" w14:textId="4B72AB87" w:rsidR="00BE17FB" w:rsidRDefault="00BE17FB" w:rsidP="00BE17FB">
      <w:pPr>
        <w:pStyle w:val="Heading1"/>
        <w:rPr>
          <w:rFonts w:cs="Arial"/>
          <w:szCs w:val="24"/>
        </w:rPr>
      </w:pPr>
      <w:bookmarkStart w:id="1" w:name="_Toc116860513"/>
      <w:r w:rsidRPr="0032280C">
        <w:t>How to engage em</w:t>
      </w:r>
      <w:r>
        <w:t>ployees throughout the employee</w:t>
      </w:r>
      <w:r w:rsidRPr="0032280C">
        <w:t xml:space="preserve"> lifecycle</w:t>
      </w:r>
      <w:bookmarkEnd w:id="1"/>
    </w:p>
    <w:p w14:paraId="29DF967C" w14:textId="63CB8BBD" w:rsidR="0032280C" w:rsidRPr="00DC4741" w:rsidRDefault="008111D4" w:rsidP="00DC4741">
      <w:pPr>
        <w:spacing w:line="360" w:lineRule="auto"/>
        <w:rPr>
          <w:rFonts w:cs="Arial"/>
          <w:szCs w:val="24"/>
        </w:rPr>
      </w:pPr>
      <w:r w:rsidRPr="00DC4741">
        <w:rPr>
          <w:rFonts w:cs="Arial"/>
          <w:szCs w:val="24"/>
        </w:rPr>
        <w:t>Human resources departments and companies alike are concerned about employee engagement. Understanding this helps us understand why the United States-based research firm Gallup finds that employee engagement is so low. The annual business study on employee engagement found that only 15% of staff worldwide were fully committed to their professions</w:t>
      </w:r>
      <w:r w:rsidR="006E1EBE" w:rsidRPr="00DC4741">
        <w:rPr>
          <w:rFonts w:cs="Arial"/>
          <w:szCs w:val="24"/>
        </w:rPr>
        <w:t xml:space="preserve"> (</w:t>
      </w:r>
      <w:proofErr w:type="spellStart"/>
      <w:r w:rsidR="006E1EBE" w:rsidRPr="00DC4741">
        <w:rPr>
          <w:rFonts w:cs="Arial"/>
          <w:szCs w:val="24"/>
        </w:rPr>
        <w:t>Mcgee</w:t>
      </w:r>
      <w:proofErr w:type="spellEnd"/>
      <w:r w:rsidR="006E1EBE" w:rsidRPr="00DC4741">
        <w:rPr>
          <w:rFonts w:cs="Arial"/>
          <w:szCs w:val="24"/>
        </w:rPr>
        <w:t>, 2012)</w:t>
      </w:r>
      <w:r w:rsidRPr="00DC4741">
        <w:rPr>
          <w:rFonts w:cs="Arial"/>
          <w:szCs w:val="24"/>
        </w:rPr>
        <w:t>. In the UK, the numbers are even lower. Only approximately one in ten (11%) British workers are satisfied with their jobs, according to the 2017 'State of the Global Workforce' study. The United States has a much higher rate of employee involvement, at 33%.At every level of an organization, the role of human resources is crucial to fostering active participation from the workforce. The idea of employee engagement should be on the mind of every HR professional, even though there are specific roles and initiatives designed to increase motivation. Having one's aims and objectives aligned with those of the firm, obtaining proper training, being treated fairly, and having supportive management are just a few of the many reasons why employees stay with a company</w:t>
      </w:r>
      <w:r w:rsidR="009D3FFB" w:rsidRPr="00DC4741">
        <w:rPr>
          <w:rFonts w:cs="Arial"/>
          <w:szCs w:val="24"/>
        </w:rPr>
        <w:t xml:space="preserve"> like Hyatt Hotel</w:t>
      </w:r>
      <w:r w:rsidRPr="00DC4741">
        <w:rPr>
          <w:rFonts w:cs="Arial"/>
          <w:szCs w:val="24"/>
        </w:rPr>
        <w:t xml:space="preserve">. </w:t>
      </w:r>
      <w:r w:rsidR="009D3FFB" w:rsidRPr="00DC4741">
        <w:rPr>
          <w:rFonts w:cs="Arial"/>
          <w:szCs w:val="24"/>
        </w:rPr>
        <w:t xml:space="preserve">To put it plainly, if the </w:t>
      </w:r>
      <w:r w:rsidR="006E1EBE" w:rsidRPr="00DC4741">
        <w:rPr>
          <w:rFonts w:cs="Arial"/>
          <w:szCs w:val="24"/>
        </w:rPr>
        <w:t>manager wants</w:t>
      </w:r>
      <w:r w:rsidRPr="00DC4741">
        <w:rPr>
          <w:rFonts w:cs="Arial"/>
          <w:szCs w:val="24"/>
        </w:rPr>
        <w:t xml:space="preserve"> to see high le</w:t>
      </w:r>
      <w:r w:rsidR="009D3FFB" w:rsidRPr="00DC4741">
        <w:rPr>
          <w:rFonts w:cs="Arial"/>
          <w:szCs w:val="24"/>
        </w:rPr>
        <w:t>vels of employee engagement, he</w:t>
      </w:r>
      <w:r w:rsidRPr="00DC4741">
        <w:rPr>
          <w:rFonts w:cs="Arial"/>
          <w:szCs w:val="24"/>
        </w:rPr>
        <w:t xml:space="preserve"> need</w:t>
      </w:r>
      <w:r w:rsidR="009D3FFB" w:rsidRPr="00DC4741">
        <w:rPr>
          <w:rFonts w:cs="Arial"/>
          <w:szCs w:val="24"/>
        </w:rPr>
        <w:t>s</w:t>
      </w:r>
      <w:r w:rsidRPr="00DC4741">
        <w:rPr>
          <w:rFonts w:cs="Arial"/>
          <w:szCs w:val="24"/>
        </w:rPr>
        <w:t xml:space="preserve"> to nail the fundamentals of human resources</w:t>
      </w:r>
      <w:r w:rsidR="000D6C9D" w:rsidRPr="00DC4741">
        <w:rPr>
          <w:rFonts w:cs="Arial"/>
          <w:szCs w:val="24"/>
        </w:rPr>
        <w:t xml:space="preserve"> (Martín and Puig, 2019)</w:t>
      </w:r>
      <w:r w:rsidRPr="00DC4741">
        <w:rPr>
          <w:rFonts w:cs="Arial"/>
          <w:szCs w:val="24"/>
        </w:rPr>
        <w:t>. Human resources must take a broad view of the employment agreement in order to effectively engage workers. Human resources must guarantee that workers have access to adequate training, equipment, and working conditions so that they can accomplish their goals. And HR needs to continuously training workers to keep them interested. Get rid of any ambiguity regarding people's potential next steps in their careers. Employees</w:t>
      </w:r>
      <w:r w:rsidR="009D3FFB" w:rsidRPr="00DC4741">
        <w:rPr>
          <w:rFonts w:cs="Arial"/>
          <w:szCs w:val="24"/>
        </w:rPr>
        <w:t xml:space="preserve"> of Hyatt Hotel</w:t>
      </w:r>
      <w:r w:rsidRPr="00DC4741">
        <w:rPr>
          <w:rFonts w:cs="Arial"/>
          <w:szCs w:val="24"/>
        </w:rPr>
        <w:t xml:space="preserve"> who are invested in their work understand their responsibilities. They are working for both individual and group objectives.</w:t>
      </w:r>
      <w:r w:rsidR="000520C7" w:rsidRPr="00DC4741">
        <w:rPr>
          <w:rFonts w:cs="Arial"/>
          <w:szCs w:val="24"/>
        </w:rPr>
        <w:t xml:space="preserve"> Human resources </w:t>
      </w:r>
      <w:r w:rsidR="009D3FFB" w:rsidRPr="00DC4741">
        <w:rPr>
          <w:rFonts w:cs="Arial"/>
          <w:szCs w:val="24"/>
        </w:rPr>
        <w:t>have</w:t>
      </w:r>
      <w:r w:rsidR="000520C7" w:rsidRPr="00DC4741">
        <w:rPr>
          <w:rFonts w:cs="Arial"/>
          <w:szCs w:val="24"/>
        </w:rPr>
        <w:t xml:space="preserve"> a major responsibility to hire the most qualified person for a vacant position. During the interview process, it is important to consider each candidate's "cultural fit." Human resources departments of flourishing organizations typically oversee the annual performance assessment process. Performance management can be used by HR as a tool for more than just monitoring and changing employee output; it can also be used to inspire greater enthusiasm and commitment by making the big picture and the employee's role more transparent. When companies evolve and virtual teams become the norm, it's easy for employees to feel cut off from the rest of the company. Human Resources is often responsible for making such statements, however they often receive assistance from other departments</w:t>
      </w:r>
      <w:r w:rsidR="009D3FFB" w:rsidRPr="00DC4741">
        <w:rPr>
          <w:rFonts w:cs="Arial"/>
          <w:szCs w:val="24"/>
        </w:rPr>
        <w:t xml:space="preserve"> of Hyatt Hotel</w:t>
      </w:r>
      <w:r w:rsidR="000D6C9D" w:rsidRPr="00DC4741">
        <w:rPr>
          <w:rFonts w:cs="Arial"/>
          <w:szCs w:val="24"/>
        </w:rPr>
        <w:t xml:space="preserve"> </w:t>
      </w:r>
      <w:r w:rsidR="00513583" w:rsidRPr="00DC4741">
        <w:rPr>
          <w:rFonts w:cs="Arial"/>
          <w:szCs w:val="24"/>
        </w:rPr>
        <w:t>(Cowan, 2019</w:t>
      </w:r>
      <w:r w:rsidR="000D6C9D" w:rsidRPr="00DC4741">
        <w:rPr>
          <w:rFonts w:cs="Arial"/>
          <w:szCs w:val="24"/>
        </w:rPr>
        <w:t>)</w:t>
      </w:r>
      <w:r w:rsidR="000520C7" w:rsidRPr="00DC4741">
        <w:rPr>
          <w:rFonts w:cs="Arial"/>
          <w:szCs w:val="24"/>
        </w:rPr>
        <w:t>. Even if only a fraction of executives and managers put appreciation for workers into practice on a daily basis, doing so will pay dividends for the company as a whole. When employees are routinely thanked for their contributions and efforts, morale is enhanced and output is increased. The Human Resources team can help employees learn to appreciate and recognize the contributions of their coworkers.</w:t>
      </w:r>
    </w:p>
    <w:p w14:paraId="019CD7C3" w14:textId="77777777" w:rsidR="003430D3" w:rsidRPr="00DC4741" w:rsidRDefault="003430D3" w:rsidP="00DC4741">
      <w:pPr>
        <w:spacing w:line="360" w:lineRule="auto"/>
        <w:rPr>
          <w:rFonts w:cs="Arial"/>
          <w:szCs w:val="24"/>
        </w:rPr>
      </w:pPr>
      <w:r w:rsidRPr="00DC4741">
        <w:rPr>
          <w:rFonts w:cs="Arial"/>
          <w:szCs w:val="24"/>
        </w:rPr>
        <w:t>Motivating workers is effective. Managers can build rapport with their staff by asking personal questions about their lives outside of work. Say hi and initiate a conversation about how you're doing. This simple gesture can go a long way toward boosting morale in the workplace</w:t>
      </w:r>
      <w:r w:rsidR="009D3FFB" w:rsidRPr="00DC4741">
        <w:rPr>
          <w:rFonts w:cs="Arial"/>
          <w:szCs w:val="24"/>
        </w:rPr>
        <w:t xml:space="preserve"> of Hyatt Hotel</w:t>
      </w:r>
      <w:r w:rsidR="00513583" w:rsidRPr="00DC4741">
        <w:rPr>
          <w:rFonts w:cs="Arial"/>
          <w:szCs w:val="24"/>
        </w:rPr>
        <w:t xml:space="preserve"> (Thomas, 2019)</w:t>
      </w:r>
      <w:r w:rsidRPr="00DC4741">
        <w:rPr>
          <w:rFonts w:cs="Arial"/>
          <w:szCs w:val="24"/>
        </w:rPr>
        <w:t>. They decide the direction of the company. They need to be aware of the company's successes, worries, and issues for them to truly care. Share the company's successes and failures with your personnel. By sharing this information, you can help your team be more proactive in areas that are succeeding and generate new ideas to improve those that are underperforming. Huge victories are cause for celebration among players and fans. The workplace is similar to. When a major client chooses you, it provides everyone on the team a sense of accomplishment. Motivating employees to collaborate on a company-wide project and benefiting from their varied perspectives to better serve customers is a win-win. In turn, this fosters a climate of mutual respect, cooperation, and kindness. Attend to the feedback of both customers and employees</w:t>
      </w:r>
      <w:r w:rsidR="00513583" w:rsidRPr="00DC4741">
        <w:rPr>
          <w:rFonts w:cs="Arial"/>
          <w:szCs w:val="24"/>
        </w:rPr>
        <w:t xml:space="preserve"> (Thomas, 2019)</w:t>
      </w:r>
      <w:r w:rsidRPr="00DC4741">
        <w:rPr>
          <w:rFonts w:cs="Arial"/>
          <w:szCs w:val="24"/>
        </w:rPr>
        <w:t>. Employee participation is maintained through regular meetings to discuss ways to better the workplace. Staff members have a say in how their employer operates through surveys and monthly meetings. When leadership fails to address an issue, employees become disheartened. If upper management shows interest and is willing to hear them out, employees are more likely to remain engaged. Companies that focus on results are plenty. Employee participation is crucial in such an anxious and uncertain setting</w:t>
      </w:r>
      <w:r w:rsidR="00513583" w:rsidRPr="00DC4741">
        <w:rPr>
          <w:rFonts w:cs="Arial"/>
          <w:szCs w:val="24"/>
        </w:rPr>
        <w:t xml:space="preserve"> (</w:t>
      </w:r>
      <w:proofErr w:type="spellStart"/>
      <w:r w:rsidR="00513583" w:rsidRPr="00DC4741">
        <w:rPr>
          <w:rFonts w:cs="Arial"/>
          <w:szCs w:val="24"/>
        </w:rPr>
        <w:t>Kocherlakota</w:t>
      </w:r>
      <w:proofErr w:type="spellEnd"/>
      <w:r w:rsidR="00513583" w:rsidRPr="00DC4741">
        <w:rPr>
          <w:rFonts w:cs="Arial"/>
          <w:szCs w:val="24"/>
        </w:rPr>
        <w:t>, 2017)</w:t>
      </w:r>
      <w:r w:rsidRPr="00DC4741">
        <w:rPr>
          <w:rFonts w:cs="Arial"/>
          <w:szCs w:val="24"/>
        </w:rPr>
        <w:t>. Making decisions on one's own is a career high point. There is a risk of failure anxiety spreading in performance-based societies. Most people work for monetary gain. This doesn't happen because we have competent employees. There could be employees that share this viewpoint. Facilitating these employees' internal transfers drives growth and aids in retention, both of which may boost engagement</w:t>
      </w:r>
      <w:r w:rsidR="00513583" w:rsidRPr="00DC4741">
        <w:rPr>
          <w:rFonts w:cs="Arial"/>
          <w:szCs w:val="24"/>
        </w:rPr>
        <w:t xml:space="preserve"> (</w:t>
      </w:r>
      <w:proofErr w:type="spellStart"/>
      <w:r w:rsidR="00513583" w:rsidRPr="00DC4741">
        <w:rPr>
          <w:rFonts w:cs="Arial"/>
          <w:szCs w:val="24"/>
        </w:rPr>
        <w:t>Kocherlakota</w:t>
      </w:r>
      <w:proofErr w:type="spellEnd"/>
      <w:r w:rsidR="00513583" w:rsidRPr="00DC4741">
        <w:rPr>
          <w:rFonts w:cs="Arial"/>
          <w:szCs w:val="24"/>
        </w:rPr>
        <w:t>, 2017)</w:t>
      </w:r>
      <w:r w:rsidRPr="00DC4741">
        <w:rPr>
          <w:rFonts w:cs="Arial"/>
          <w:szCs w:val="24"/>
        </w:rPr>
        <w:t>.</w:t>
      </w:r>
    </w:p>
    <w:p w14:paraId="790DF69A" w14:textId="77777777" w:rsidR="005B75DF" w:rsidRPr="00DC4741" w:rsidRDefault="005B75DF" w:rsidP="00DC4741">
      <w:pPr>
        <w:spacing w:line="360" w:lineRule="auto"/>
        <w:rPr>
          <w:rFonts w:cs="Arial"/>
          <w:szCs w:val="24"/>
        </w:rPr>
      </w:pPr>
      <w:r w:rsidRPr="00DC4741">
        <w:rPr>
          <w:rFonts w:cs="Arial"/>
          <w:szCs w:val="24"/>
        </w:rPr>
        <w:t>When employees care about their work and their community, they pay closer attention to the details around them. Actively engaged workplaces, such as hotels, reduce safety incidents by 70%. Premier Inn hotel is a reflection of the fact that employees who are invested in their work are less likely to be distracted by worries about their future with the firm or the approval of their employer</w:t>
      </w:r>
      <w:r w:rsidR="00ED130E" w:rsidRPr="00DC4741">
        <w:rPr>
          <w:rFonts w:cs="Arial"/>
          <w:szCs w:val="24"/>
        </w:rPr>
        <w:t xml:space="preserve"> (Hanwell, 2019)</w:t>
      </w:r>
      <w:r w:rsidRPr="00DC4741">
        <w:rPr>
          <w:rFonts w:cs="Arial"/>
          <w:szCs w:val="24"/>
        </w:rPr>
        <w:t>. When firms care about their employees, workers are more likely to take care of themselves. Think about organizing company-sponsored races, providing healthy snack options in the break room, and giving workers more discretion in their work schedules. The bottom line of any business sees significant improvement when its employees are in good health</w:t>
      </w:r>
      <w:r w:rsidR="00ED130E" w:rsidRPr="00DC4741">
        <w:rPr>
          <w:rFonts w:cs="Arial"/>
          <w:szCs w:val="24"/>
        </w:rPr>
        <w:t xml:space="preserve"> (Hanwell, 2019)</w:t>
      </w:r>
      <w:r w:rsidRPr="00DC4741">
        <w:rPr>
          <w:rFonts w:cs="Arial"/>
          <w:szCs w:val="24"/>
        </w:rPr>
        <w:t>. The term "happy worker" can be used interchangeably with "actively involved worker," however there is a difference. The goal of employee engagement is to increase productivity even further than is possible by simply increasing employee pleasure. It is still necessary to work for employee satisfaction, though, so that's something to keep in mind. The Mariott International Hotel reflects this. Workers who care deeply about their work and the success of their team routinely go above and beyond what is expected of them. In light of this, it is safe to expect that they will be present at work today</w:t>
      </w:r>
      <w:r w:rsidR="00ED130E" w:rsidRPr="00DC4741">
        <w:rPr>
          <w:rFonts w:cs="Arial"/>
          <w:szCs w:val="24"/>
        </w:rPr>
        <w:t xml:space="preserve"> (Allen, 2018)</w:t>
      </w:r>
      <w:r w:rsidRPr="00DC4741">
        <w:rPr>
          <w:rFonts w:cs="Arial"/>
          <w:szCs w:val="24"/>
        </w:rPr>
        <w:t>. Employees who are fully invested in the success of the firm are more likely to show up for work each day ready to do their best. A full 41 percentage points less absenteeism was seen in highly engaged businesses. So many hotels, including the Grand Hampton, mirror this trend</w:t>
      </w:r>
      <w:r w:rsidR="00ED130E" w:rsidRPr="00DC4741">
        <w:rPr>
          <w:rFonts w:cs="Arial"/>
          <w:szCs w:val="24"/>
        </w:rPr>
        <w:t xml:space="preserve"> (Allen, 2018)</w:t>
      </w:r>
      <w:r w:rsidRPr="00DC4741">
        <w:rPr>
          <w:rFonts w:cs="Arial"/>
          <w:szCs w:val="24"/>
        </w:rPr>
        <w:t>.</w:t>
      </w:r>
    </w:p>
    <w:p w14:paraId="27BA7CF1" w14:textId="77777777" w:rsidR="00EB7C8B" w:rsidRPr="00DC4741" w:rsidRDefault="005B75DF" w:rsidP="00DC4741">
      <w:pPr>
        <w:spacing w:line="360" w:lineRule="auto"/>
        <w:rPr>
          <w:rFonts w:cs="Arial"/>
          <w:szCs w:val="24"/>
        </w:rPr>
      </w:pPr>
      <w:r w:rsidRPr="00DC4741">
        <w:rPr>
          <w:rFonts w:cs="Arial"/>
          <w:szCs w:val="24"/>
        </w:rPr>
        <w:t xml:space="preserve">As a new </w:t>
      </w:r>
      <w:r w:rsidR="00ED130E" w:rsidRPr="00DC4741">
        <w:rPr>
          <w:rFonts w:cs="Arial"/>
          <w:szCs w:val="24"/>
        </w:rPr>
        <w:t>generation enters the workforce</w:t>
      </w:r>
      <w:r w:rsidRPr="00DC4741">
        <w:rPr>
          <w:rFonts w:cs="Arial"/>
          <w:szCs w:val="24"/>
        </w:rPr>
        <w:t xml:space="preserve"> the concept of employee loyalty shifts. Having unshakeable dedication to the goals of an organization is now more generally perceived as a tit-for-tat exchange. Even more disconcerting is the reality that almost half of all workers would quit if given the opportunity</w:t>
      </w:r>
      <w:r w:rsidR="003C0472" w:rsidRPr="00DC4741">
        <w:rPr>
          <w:rFonts w:cs="Arial"/>
          <w:szCs w:val="24"/>
        </w:rPr>
        <w:t xml:space="preserve"> (Phillips., 2016)</w:t>
      </w:r>
      <w:r w:rsidRPr="00DC4741">
        <w:rPr>
          <w:rFonts w:cs="Arial"/>
          <w:szCs w:val="24"/>
        </w:rPr>
        <w:t>. Even if a person isn't actively looking for a new job, they nevertheless might leave if a better offer comes along. However, when employees are dedicated to their jobs, they are less likely to leave. Employees are less inclined to leave a firm if they feel like they have a stake in its success and are being given opportunities to grow professionally. Providing excellent service to customers is more important than ever in the current era of increasing retail automation and do-it-yourself initiatives. Employees that enjoy what they do are more likely to provide a positive experience for customers. Staff members that care about their work show it and their customers benefit. The good news for your business is that if you provide excellent customer service, seven out of ten clients will increase their spending by 13%</w:t>
      </w:r>
      <w:r w:rsidR="003C0472" w:rsidRPr="00DC4741">
        <w:rPr>
          <w:rFonts w:cs="Arial"/>
          <w:szCs w:val="24"/>
        </w:rPr>
        <w:t xml:space="preserve"> (Phillips., 2016)</w:t>
      </w:r>
      <w:r w:rsidRPr="00DC4741">
        <w:rPr>
          <w:rFonts w:cs="Arial"/>
          <w:szCs w:val="24"/>
        </w:rPr>
        <w:t>. Employers are getting resourceful in their pursuit of higher output, with strategies ranging from the adoption of wearable activity trackers to the development of verdant jungles in the office. However, the obvious solution that they are missing is getting employees involved. On average, a 17% increase in output can be seen when workers are genuinely invested in their work. Highly motivated employees are more likely to take initiative and think beyond the box, leading to increased output</w:t>
      </w:r>
      <w:r w:rsidR="003C0472" w:rsidRPr="00DC4741">
        <w:rPr>
          <w:rFonts w:cs="Arial"/>
          <w:szCs w:val="24"/>
        </w:rPr>
        <w:t xml:space="preserve"> (Kwon and Park, 2019)</w:t>
      </w:r>
      <w:r w:rsidRPr="00DC4741">
        <w:rPr>
          <w:rFonts w:cs="Arial"/>
          <w:szCs w:val="24"/>
        </w:rPr>
        <w:t>. The Mariott International Hotel reflects this.</w:t>
      </w:r>
    </w:p>
    <w:p w14:paraId="3857E678" w14:textId="77777777" w:rsidR="00EB7C8B" w:rsidRPr="00DC4741" w:rsidRDefault="00EB7C8B" w:rsidP="00DC4741">
      <w:pPr>
        <w:spacing w:line="360" w:lineRule="auto"/>
        <w:rPr>
          <w:rFonts w:cs="Arial"/>
          <w:szCs w:val="24"/>
        </w:rPr>
      </w:pPr>
      <w:r w:rsidRPr="00DC4741">
        <w:rPr>
          <w:rFonts w:cs="Arial"/>
          <w:szCs w:val="24"/>
        </w:rPr>
        <w:t>Attraction happens before recruitment, often while the potential employee is still just a potential prospect</w:t>
      </w:r>
      <w:r w:rsidR="003C0472" w:rsidRPr="00DC4741">
        <w:rPr>
          <w:rFonts w:cs="Arial"/>
          <w:szCs w:val="24"/>
        </w:rPr>
        <w:t xml:space="preserve"> (Kwon and Park, 2019)</w:t>
      </w:r>
      <w:r w:rsidRPr="00DC4741">
        <w:rPr>
          <w:rFonts w:cs="Arial"/>
          <w:szCs w:val="24"/>
        </w:rPr>
        <w:t xml:space="preserve">. At this point, the candidate is checking out online workplace review sites like Glassdoor and LinkedIn to learn more about the company and its culture. There is also the interpersonal factor to consider: they are probably inquiring among their friends, family, and colleagues about the company's reputation and whether or not any of them have had any dealings with the company as employees, business partners, or customers. </w:t>
      </w:r>
      <w:r w:rsidR="00235A05" w:rsidRPr="00DC4741">
        <w:rPr>
          <w:rFonts w:cs="Arial"/>
          <w:szCs w:val="24"/>
        </w:rPr>
        <w:t>Candidate retention is a human-intensive procedure</w:t>
      </w:r>
      <w:r w:rsidR="003C0472" w:rsidRPr="00DC4741">
        <w:rPr>
          <w:rFonts w:cs="Arial"/>
          <w:szCs w:val="24"/>
        </w:rPr>
        <w:t>(Kwon and Park, 2019)</w:t>
      </w:r>
      <w:r w:rsidR="00235A05" w:rsidRPr="00DC4741">
        <w:rPr>
          <w:rFonts w:cs="Arial"/>
          <w:szCs w:val="24"/>
        </w:rPr>
        <w:t>. Therefore, it takes more than just talking to prospects to keep their interest and make the recruitment process a pleasant one for them. The underlying theme here is, once again, the need of seeing and caring about the human dimension of each and every candidate's experience</w:t>
      </w:r>
      <w:r w:rsidR="003C0472" w:rsidRPr="00DC4741">
        <w:rPr>
          <w:rFonts w:cs="Arial"/>
          <w:szCs w:val="24"/>
        </w:rPr>
        <w:t xml:space="preserve"> (Norris, 2006)</w:t>
      </w:r>
      <w:r w:rsidR="00235A05" w:rsidRPr="00DC4741">
        <w:rPr>
          <w:rFonts w:cs="Arial"/>
          <w:szCs w:val="24"/>
        </w:rPr>
        <w:t>. Candidates expect and need consistent communication throughout the recruitment process so that they don't feel "left hanging" at any moment. Doing so demonstrates caring for their candidates, makes a good impression, and leads to more successful hiring. It goes without saying that in order to maximize engagement and, in turn, improve employee experience</w:t>
      </w:r>
      <w:r w:rsidR="003C0472" w:rsidRPr="00DC4741">
        <w:rPr>
          <w:rFonts w:cs="Arial"/>
          <w:szCs w:val="24"/>
        </w:rPr>
        <w:t xml:space="preserve"> (Norris, 2006)</w:t>
      </w:r>
      <w:r w:rsidR="00235A05" w:rsidRPr="00DC4741">
        <w:rPr>
          <w:rFonts w:cs="Arial"/>
          <w:szCs w:val="24"/>
        </w:rPr>
        <w:t>, Hyatt Hotel desperately requires a comprehensive system that successfully connects the management to your new workers. In a word, this is the solution to the problem of premature employee turnover among new hires. For a company to have a successful engagement onboarding process, it takes more than just completing new employee checklists, induction papers, or submitting to the compliance gods. The goal of the employee onboarding process at Hyatt Hotel is to provide new hires with an exciting and memorable experience</w:t>
      </w:r>
      <w:r w:rsidR="003450F2" w:rsidRPr="00DC4741">
        <w:rPr>
          <w:rFonts w:cs="Arial"/>
          <w:szCs w:val="24"/>
        </w:rPr>
        <w:t xml:space="preserve"> (Peter, 2022)</w:t>
      </w:r>
      <w:r w:rsidR="00235A05" w:rsidRPr="00DC4741">
        <w:rPr>
          <w:rFonts w:cs="Arial"/>
          <w:szCs w:val="24"/>
        </w:rPr>
        <w:t>. Employees learn and grow as professionals while working on your team. When workers are offered "opportunity for personal development," they are more likely to remain with the organization. Because of the many benefits it brings beyond monetary remuneration, learning something new and useful makes people happy and engaged. Increasing employee loyalty has been demonstrated to be largely dependent on the quality of the interactions between workers and the rest of their teams and the company as a whole. While incentives at work can be enticing, genuine employee acknowledgment is the key to a successful retention strategy. There are many ways to express thanks in the workplace, but they all have the same underlying meaning: "Please accept my sincere appreciation for your consideration. We truly value your efforts and want you to know how much we appreciate them</w:t>
      </w:r>
      <w:r w:rsidR="003450F2" w:rsidRPr="00DC4741">
        <w:rPr>
          <w:rFonts w:cs="Arial"/>
          <w:szCs w:val="24"/>
        </w:rPr>
        <w:t xml:space="preserve"> (Peter, 2022)</w:t>
      </w:r>
      <w:r w:rsidR="00235A05" w:rsidRPr="00DC4741">
        <w:rPr>
          <w:rFonts w:cs="Arial"/>
          <w:szCs w:val="24"/>
        </w:rPr>
        <w:t>. What you mean to us is of utmost significance." The fact that a departing worker wants to stay involved with the firm after they've left is a good indicator, even if it isn't immediately obvious. Perhaps most significantly, happy employees (or former employees) are a great source of new hires (as we mentioned earlier). Workers who have graduated from an organization's program are more likely to recommend and refer others for jobs because they have a larger network of current and past coworkers, friends, and family members.</w:t>
      </w:r>
    </w:p>
    <w:p w14:paraId="1F3156EC" w14:textId="77777777" w:rsidR="00235A05" w:rsidRPr="00DC4741" w:rsidRDefault="00235A05" w:rsidP="00DC4741">
      <w:pPr>
        <w:spacing w:line="360" w:lineRule="auto"/>
        <w:jc w:val="center"/>
        <w:rPr>
          <w:rFonts w:cs="Arial"/>
          <w:szCs w:val="24"/>
        </w:rPr>
      </w:pPr>
      <w:r w:rsidRPr="00DC4741">
        <w:rPr>
          <w:rFonts w:cs="Arial"/>
          <w:noProof/>
          <w:szCs w:val="24"/>
        </w:rPr>
        <w:drawing>
          <wp:inline distT="0" distB="0" distL="0" distR="0" wp14:anchorId="4E591DA7" wp14:editId="4BD36BE8">
            <wp:extent cx="2952750" cy="3074320"/>
            <wp:effectExtent l="0" t="0" r="0" b="0"/>
            <wp:docPr id="1" name="Picture 1" descr="Building Engagement Throughout the Employee Life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uilding Engagement Throughout the Employee Lifecy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52855" cy="3074429"/>
                    </a:xfrm>
                    <a:prstGeom prst="rect">
                      <a:avLst/>
                    </a:prstGeom>
                    <a:noFill/>
                    <a:ln>
                      <a:noFill/>
                    </a:ln>
                  </pic:spPr>
                </pic:pic>
              </a:graphicData>
            </a:graphic>
          </wp:inline>
        </w:drawing>
      </w:r>
    </w:p>
    <w:p w14:paraId="42E06098" w14:textId="77777777" w:rsidR="00235A05" w:rsidRPr="00DC4741" w:rsidRDefault="00B53AB5" w:rsidP="00DC4741">
      <w:pPr>
        <w:spacing w:line="360" w:lineRule="auto"/>
        <w:jc w:val="center"/>
        <w:rPr>
          <w:rFonts w:cs="Arial"/>
          <w:szCs w:val="24"/>
        </w:rPr>
      </w:pPr>
      <w:r w:rsidRPr="00DC4741">
        <w:rPr>
          <w:rFonts w:cs="Arial"/>
          <w:b/>
          <w:szCs w:val="24"/>
        </w:rPr>
        <w:t xml:space="preserve">Figure01: </w:t>
      </w:r>
      <w:r w:rsidRPr="00DC4741">
        <w:rPr>
          <w:rFonts w:cs="Arial"/>
          <w:szCs w:val="24"/>
        </w:rPr>
        <w:t>The employee Lifecycle</w:t>
      </w:r>
      <w:r w:rsidR="003450F2" w:rsidRPr="00DC4741">
        <w:rPr>
          <w:rFonts w:cs="Arial"/>
          <w:szCs w:val="24"/>
        </w:rPr>
        <w:t xml:space="preserve"> (Thompsen, 2020)</w:t>
      </w:r>
    </w:p>
    <w:p w14:paraId="34E67E49" w14:textId="77777777" w:rsidR="00235A05" w:rsidRPr="00DC4741" w:rsidRDefault="00235A05" w:rsidP="00DC4741">
      <w:pPr>
        <w:spacing w:line="360" w:lineRule="auto"/>
        <w:rPr>
          <w:rFonts w:cs="Arial"/>
          <w:szCs w:val="24"/>
        </w:rPr>
      </w:pPr>
    </w:p>
    <w:p w14:paraId="098792E9" w14:textId="77777777" w:rsidR="00A94AEF" w:rsidRPr="00DC4741" w:rsidRDefault="005B75DF" w:rsidP="00DC4741">
      <w:pPr>
        <w:spacing w:line="360" w:lineRule="auto"/>
        <w:rPr>
          <w:rFonts w:cs="Arial"/>
          <w:szCs w:val="24"/>
        </w:rPr>
      </w:pPr>
      <w:r w:rsidRPr="00DC4741">
        <w:rPr>
          <w:rFonts w:cs="Arial"/>
          <w:szCs w:val="24"/>
        </w:rPr>
        <w:t xml:space="preserve">Aon Hewitt </w:t>
      </w:r>
      <w:r w:rsidR="00235A05" w:rsidRPr="00DC4741">
        <w:rPr>
          <w:rFonts w:cs="Arial"/>
          <w:szCs w:val="24"/>
        </w:rPr>
        <w:t xml:space="preserve">model </w:t>
      </w:r>
      <w:r w:rsidRPr="00DC4741">
        <w:rPr>
          <w:rFonts w:cs="Arial"/>
          <w:szCs w:val="24"/>
        </w:rPr>
        <w:t>engagement outcomes</w:t>
      </w:r>
      <w:r w:rsidR="003450F2" w:rsidRPr="00DC4741">
        <w:rPr>
          <w:rFonts w:cs="Arial"/>
          <w:szCs w:val="24"/>
        </w:rPr>
        <w:t>’</w:t>
      </w:r>
      <w:r w:rsidRPr="00DC4741">
        <w:rPr>
          <w:rFonts w:cs="Arial"/>
          <w:szCs w:val="24"/>
        </w:rPr>
        <w:t xml:space="preserve"> link organizational objectives to employee motivation. These metrics can be used by managers to gauge employee commitment. The three effects of dedicated work can be summed up in three simple acronyms: say, remain, and strive</w:t>
      </w:r>
      <w:r w:rsidR="00DC4741" w:rsidRPr="00DC4741">
        <w:rPr>
          <w:rFonts w:cs="Arial"/>
          <w:szCs w:val="24"/>
        </w:rPr>
        <w:t xml:space="preserve"> (Akland, 2018)</w:t>
      </w:r>
      <w:r w:rsidRPr="00DC4741">
        <w:rPr>
          <w:rFonts w:cs="Arial"/>
          <w:szCs w:val="24"/>
        </w:rPr>
        <w:t>. A variety of characterizations of the employed worker are provided: An involved worker is an advocate for the business in the eyes of their peers, friends, and family. More importantly, the worker has expressed a desire to remain in their current position</w:t>
      </w:r>
      <w:r w:rsidR="00AB5C9F" w:rsidRPr="00DC4741">
        <w:rPr>
          <w:rFonts w:cs="Arial"/>
          <w:szCs w:val="24"/>
        </w:rPr>
        <w:t xml:space="preserve"> in Hyatt Hotel</w:t>
      </w:r>
      <w:r w:rsidR="00DC4741" w:rsidRPr="00DC4741">
        <w:rPr>
          <w:rFonts w:cs="Arial"/>
          <w:szCs w:val="24"/>
        </w:rPr>
        <w:t xml:space="preserve"> (Akland, 2018)</w:t>
      </w:r>
      <w:r w:rsidRPr="00DC4741">
        <w:rPr>
          <w:rFonts w:cs="Arial"/>
          <w:szCs w:val="24"/>
        </w:rPr>
        <w:t>. As a result, they are dedicated to the success of the company, their colleagues, and the impact they have on the world</w:t>
      </w:r>
      <w:r w:rsidR="00DC4741" w:rsidRPr="00DC4741">
        <w:rPr>
          <w:rFonts w:cs="Arial"/>
          <w:szCs w:val="24"/>
        </w:rPr>
        <w:t xml:space="preserve"> (</w:t>
      </w:r>
      <w:proofErr w:type="spellStart"/>
      <w:r w:rsidR="00DC4741" w:rsidRPr="00DC4741">
        <w:rPr>
          <w:rFonts w:cs="Arial"/>
          <w:szCs w:val="24"/>
        </w:rPr>
        <w:t>Coulaty</w:t>
      </w:r>
      <w:proofErr w:type="spellEnd"/>
      <w:r w:rsidR="00DC4741" w:rsidRPr="00DC4741">
        <w:rPr>
          <w:rFonts w:cs="Arial"/>
          <w:szCs w:val="24"/>
        </w:rPr>
        <w:t>, 2016)</w:t>
      </w:r>
      <w:r w:rsidRPr="00DC4741">
        <w:rPr>
          <w:rFonts w:cs="Arial"/>
          <w:szCs w:val="24"/>
        </w:rPr>
        <w:t>. Employees that are inspired to do their best consistently go above and beyond. They are willing to sacrifice everything for the causes they believe in. Employee engagement surveys need to look at these factors. Check the stats and see how they stack up against the company's overall KPIs. Contact</w:t>
      </w:r>
      <w:r w:rsidR="00AB5C9F" w:rsidRPr="00DC4741">
        <w:rPr>
          <w:rFonts w:cs="Arial"/>
          <w:szCs w:val="24"/>
        </w:rPr>
        <w:t xml:space="preserve"> </w:t>
      </w:r>
      <w:r w:rsidRPr="00DC4741">
        <w:rPr>
          <w:rFonts w:cs="Arial"/>
          <w:szCs w:val="24"/>
        </w:rPr>
        <w:t>Monkey's Employee Engagement App could be useful for hotels in monitoring eNPS (Employee Net Promoter Score). One way to achieve business and employee engagement goals is to adjust six operational "levers" that form an organization's culture</w:t>
      </w:r>
      <w:r w:rsidR="00DC4741" w:rsidRPr="00DC4741">
        <w:rPr>
          <w:rFonts w:cs="Arial"/>
          <w:szCs w:val="24"/>
        </w:rPr>
        <w:t xml:space="preserve"> (</w:t>
      </w:r>
      <w:proofErr w:type="spellStart"/>
      <w:r w:rsidR="00DC4741" w:rsidRPr="00DC4741">
        <w:rPr>
          <w:rFonts w:cs="Arial"/>
          <w:szCs w:val="24"/>
        </w:rPr>
        <w:t>Coulaty</w:t>
      </w:r>
      <w:proofErr w:type="spellEnd"/>
      <w:r w:rsidR="00DC4741" w:rsidRPr="00DC4741">
        <w:rPr>
          <w:rFonts w:cs="Arial"/>
          <w:szCs w:val="24"/>
        </w:rPr>
        <w:t>, 2016)</w:t>
      </w:r>
      <w:r w:rsidRPr="00DC4741">
        <w:rPr>
          <w:rFonts w:cs="Arial"/>
          <w:szCs w:val="24"/>
        </w:rPr>
        <w:t>. These are the "foundations" or "differentiators" in Aon Hewitt's terminology. The organizational structure encourages participation. Every hotel must have these features for its guests' comfort: If the hotel doesn't cater to the demands of its employees, it will lose them. Employee morale can be boosted by providing perks like job stability, fair compensation, a secure workplace, and time off when needed. One of the best ways to show your appreciation for your workers is to follow the hotel's policies regarding communication, staffing, tools, and diversity and inclusion. Examining and improving them for the greater good of society. Finally, the work itself needs to be modified to increase participation. Make your employees work hard, and promote freedom and teamwork. Differentiating factors, such as the hotels' USPs and the fact that your company is an employer of choice, are engagement drivers that HR should prioritize if it wants to keep employees, inspire them to give their all, and generate positive word of mouth. In addition to customers, the brand affects many others. The personnel of a hotel that cares about the environment are more likely to stay there. Reputation management is crucial for boosting "say" participation. Credibility relies heavily on strong leadership</w:t>
      </w:r>
      <w:r w:rsidR="00DC4741" w:rsidRPr="00DC4741">
        <w:rPr>
          <w:rFonts w:cs="Arial"/>
          <w:szCs w:val="24"/>
        </w:rPr>
        <w:t xml:space="preserve"> (Finnegan, 2015)</w:t>
      </w:r>
      <w:r w:rsidRPr="00DC4741">
        <w:rPr>
          <w:rFonts w:cs="Arial"/>
          <w:szCs w:val="24"/>
        </w:rPr>
        <w:t>. Leaders may make the most of this situation by prioritizing employee happiness on the work, listening to their concerns, and investing in their development. When employees value their employment, they put forth extra effort. Employee engagement increases when there are opportunities for advancement, public acknowledgement, and learning and growth. Look for patterns in engagement results and compare them to the performance of the organization if HR wants to know how well the engagement drivers are operating.</w:t>
      </w:r>
    </w:p>
    <w:p w14:paraId="311BA6B3" w14:textId="77777777" w:rsidR="00AB5C9F" w:rsidRPr="00DC4741" w:rsidRDefault="00AB5C9F" w:rsidP="00DC4741">
      <w:pPr>
        <w:spacing w:line="360" w:lineRule="auto"/>
        <w:jc w:val="center"/>
        <w:rPr>
          <w:rFonts w:cs="Arial"/>
          <w:szCs w:val="24"/>
        </w:rPr>
      </w:pPr>
      <w:r w:rsidRPr="00DC4741">
        <w:rPr>
          <w:rFonts w:cs="Arial"/>
          <w:noProof/>
          <w:szCs w:val="24"/>
        </w:rPr>
        <w:drawing>
          <wp:inline distT="0" distB="0" distL="0" distR="0" wp14:anchorId="08DF6DC3" wp14:editId="7E829A71">
            <wp:extent cx="3429000" cy="2087734"/>
            <wp:effectExtent l="0" t="0" r="0" b="8255"/>
            <wp:docPr id="2" name="Picture 2" descr="Aon Middle East в Twitter: „Our #EmployeeEngagement model is built to  identify work experience to most impact engagement http://t.co/CVI5vWIwhy  http://t.co/8mSj73yoy1“ / Twi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on Middle East в Twitter: „Our #EmployeeEngagement model is built to  identify work experience to most impact engagement http://t.co/CVI5vWIwhy  http://t.co/8mSj73yoy1“ / Twitte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29312" cy="2087924"/>
                    </a:xfrm>
                    <a:prstGeom prst="rect">
                      <a:avLst/>
                    </a:prstGeom>
                    <a:noFill/>
                    <a:ln>
                      <a:noFill/>
                    </a:ln>
                  </pic:spPr>
                </pic:pic>
              </a:graphicData>
            </a:graphic>
          </wp:inline>
        </w:drawing>
      </w:r>
    </w:p>
    <w:p w14:paraId="0CD6E165" w14:textId="77777777" w:rsidR="00AB5C9F" w:rsidRPr="00DC4741" w:rsidRDefault="00AB5C9F" w:rsidP="00DC4741">
      <w:pPr>
        <w:spacing w:line="360" w:lineRule="auto"/>
        <w:jc w:val="center"/>
        <w:rPr>
          <w:rFonts w:cs="Arial"/>
          <w:szCs w:val="24"/>
        </w:rPr>
      </w:pPr>
      <w:r w:rsidRPr="00DC4741">
        <w:rPr>
          <w:rFonts w:cs="Arial"/>
          <w:b/>
          <w:szCs w:val="24"/>
        </w:rPr>
        <w:t>Figure</w:t>
      </w:r>
      <w:r w:rsidR="00B53AB5" w:rsidRPr="00DC4741">
        <w:rPr>
          <w:rFonts w:cs="Arial"/>
          <w:b/>
          <w:szCs w:val="24"/>
        </w:rPr>
        <w:t>02</w:t>
      </w:r>
      <w:r w:rsidRPr="00DC4741">
        <w:rPr>
          <w:rFonts w:cs="Arial"/>
          <w:b/>
          <w:szCs w:val="24"/>
        </w:rPr>
        <w:t>:</w:t>
      </w:r>
      <w:r w:rsidRPr="00DC4741">
        <w:rPr>
          <w:rFonts w:cs="Arial"/>
          <w:szCs w:val="24"/>
        </w:rPr>
        <w:t xml:space="preserve"> </w:t>
      </w:r>
      <w:r w:rsidR="00B53AB5" w:rsidRPr="00DC4741">
        <w:rPr>
          <w:rFonts w:cs="Arial"/>
          <w:szCs w:val="24"/>
        </w:rPr>
        <w:t xml:space="preserve"> Engagement model for employees</w:t>
      </w:r>
      <w:r w:rsidR="00DC4741" w:rsidRPr="00DC4741">
        <w:rPr>
          <w:rFonts w:cs="Arial"/>
          <w:szCs w:val="24"/>
        </w:rPr>
        <w:t xml:space="preserve"> (Finnegan, 2015)</w:t>
      </w:r>
    </w:p>
    <w:p w14:paraId="3499EAD9" w14:textId="06FDE3A5" w:rsidR="00BE17FB" w:rsidRDefault="00BE17FB" w:rsidP="00BE17FB">
      <w:pPr>
        <w:pStyle w:val="Heading1"/>
      </w:pPr>
      <w:bookmarkStart w:id="2" w:name="_Toc116860514"/>
      <w:r>
        <w:t>Conclusion</w:t>
      </w:r>
      <w:bookmarkEnd w:id="2"/>
    </w:p>
    <w:p w14:paraId="2A91944B" w14:textId="45143DF6" w:rsidR="000846AC" w:rsidRPr="00DC4741" w:rsidRDefault="000846AC" w:rsidP="00DC4741">
      <w:pPr>
        <w:spacing w:line="360" w:lineRule="auto"/>
        <w:rPr>
          <w:rFonts w:cs="Arial"/>
          <w:szCs w:val="24"/>
        </w:rPr>
      </w:pPr>
      <w:r w:rsidRPr="00DC4741">
        <w:rPr>
          <w:rFonts w:cs="Arial"/>
          <w:szCs w:val="24"/>
        </w:rPr>
        <w:t xml:space="preserve">HR professionals should consider employee engagement even though there are roles and initiatives to enhance morale. In successful companies, HR conducts annual performance reviews. Performance management can enhance morale and productivity by defining the big picture and the worker's role. Morale boosts productivity. Managers can initiate conversations with employees about their hobbies and interests outside of work. Start a conversation about yourself. This modest gesture might boost Hyatt Hotel staff morale. They control the company's fate. Keep investors informed about the company's successes, challenges, and issues. Share the company's ups and downs with personnel. Prideful workers are more likely to help clients. When employees care about their work, clients are satisfied. Each stage of an employee's lifecycle affects the next. An ex-employee who liked the company may recommend a friend or colleague for a job. Referred workers are also more loyal and fulfilled. Aon Hewitt's engagement technique links company goals to employee motivation. </w:t>
      </w:r>
    </w:p>
    <w:p w14:paraId="2DF2C85B" w14:textId="77777777" w:rsidR="00DC4741" w:rsidRPr="00DC4741" w:rsidRDefault="00DC4741" w:rsidP="00DC4741">
      <w:pPr>
        <w:spacing w:line="360" w:lineRule="auto"/>
        <w:rPr>
          <w:rFonts w:cs="Arial"/>
          <w:szCs w:val="24"/>
        </w:rPr>
      </w:pPr>
    </w:p>
    <w:p w14:paraId="55FD0CFF" w14:textId="77777777" w:rsidR="00DC4741" w:rsidRPr="00DC4741" w:rsidRDefault="00DC4741" w:rsidP="00DC4741">
      <w:pPr>
        <w:spacing w:line="360" w:lineRule="auto"/>
        <w:rPr>
          <w:rFonts w:cs="Arial"/>
          <w:szCs w:val="24"/>
        </w:rPr>
      </w:pPr>
    </w:p>
    <w:p w14:paraId="2F34EF7E" w14:textId="419489F0" w:rsidR="00DC4741" w:rsidRPr="00BE17FB" w:rsidRDefault="00BE17FB" w:rsidP="00BE17FB">
      <w:pPr>
        <w:pStyle w:val="Heading1"/>
      </w:pPr>
      <w:bookmarkStart w:id="3" w:name="_Toc116860515"/>
      <w:r>
        <w:t>R</w:t>
      </w:r>
      <w:r w:rsidR="00DC4741" w:rsidRPr="00DC4741">
        <w:t>eferences</w:t>
      </w:r>
      <w:bookmarkEnd w:id="3"/>
    </w:p>
    <w:p w14:paraId="1CD4938F" w14:textId="77777777" w:rsidR="00DC4741" w:rsidRPr="00DC4741" w:rsidRDefault="00DC4741" w:rsidP="00DC4741">
      <w:pPr>
        <w:pStyle w:val="NormalWeb"/>
        <w:spacing w:before="0" w:beforeAutospacing="0" w:after="240" w:afterAutospacing="0" w:line="360" w:lineRule="auto"/>
        <w:jc w:val="both"/>
        <w:rPr>
          <w:rFonts w:ascii="Arial" w:hAnsi="Arial" w:cs="Arial"/>
        </w:rPr>
      </w:pPr>
      <w:r w:rsidRPr="00DC4741">
        <w:rPr>
          <w:rFonts w:ascii="Arial" w:hAnsi="Arial" w:cs="Arial"/>
        </w:rPr>
        <w:t xml:space="preserve">Akland, G. (2018). Engagement model. </w:t>
      </w:r>
      <w:r w:rsidRPr="00DC4741">
        <w:rPr>
          <w:rFonts w:ascii="Arial" w:hAnsi="Arial" w:cs="Arial"/>
          <w:iCs/>
        </w:rPr>
        <w:t>Journal of Community Engagement and Scholarship</w:t>
      </w:r>
      <w:r w:rsidRPr="00DC4741">
        <w:rPr>
          <w:rFonts w:ascii="Arial" w:hAnsi="Arial" w:cs="Arial"/>
        </w:rPr>
        <w:t>, 4(1).</w:t>
      </w:r>
    </w:p>
    <w:p w14:paraId="222DA62C" w14:textId="77777777" w:rsidR="00DC4741" w:rsidRPr="00DC4741" w:rsidRDefault="00DC4741" w:rsidP="00DC4741">
      <w:pPr>
        <w:pStyle w:val="NormalWeb"/>
        <w:spacing w:before="0" w:beforeAutospacing="0" w:after="240" w:afterAutospacing="0" w:line="360" w:lineRule="auto"/>
        <w:jc w:val="both"/>
        <w:rPr>
          <w:rFonts w:ascii="Arial" w:hAnsi="Arial" w:cs="Arial"/>
        </w:rPr>
      </w:pPr>
      <w:r w:rsidRPr="00DC4741">
        <w:rPr>
          <w:rFonts w:ascii="Arial" w:hAnsi="Arial" w:cs="Arial"/>
        </w:rPr>
        <w:t xml:space="preserve">Allen, J. (2018). Employee Performance and Engagement for Performance Improvement. </w:t>
      </w:r>
      <w:r w:rsidRPr="00DC4741">
        <w:rPr>
          <w:rFonts w:ascii="Arial" w:hAnsi="Arial" w:cs="Arial"/>
          <w:iCs/>
        </w:rPr>
        <w:t>Performance Improvement Quarterly</w:t>
      </w:r>
      <w:r w:rsidRPr="00DC4741">
        <w:rPr>
          <w:rFonts w:ascii="Arial" w:hAnsi="Arial" w:cs="Arial"/>
        </w:rPr>
        <w:t>, 30(4), pp.225–230.</w:t>
      </w:r>
    </w:p>
    <w:p w14:paraId="4C4CBBED" w14:textId="77777777" w:rsidR="00DC4741" w:rsidRPr="00DC4741" w:rsidRDefault="00DC4741" w:rsidP="00DC4741">
      <w:pPr>
        <w:pStyle w:val="NormalWeb"/>
        <w:spacing w:before="0" w:beforeAutospacing="0" w:after="240" w:afterAutospacing="0" w:line="360" w:lineRule="auto"/>
        <w:jc w:val="both"/>
        <w:rPr>
          <w:rFonts w:ascii="Arial" w:hAnsi="Arial" w:cs="Arial"/>
        </w:rPr>
      </w:pPr>
      <w:r w:rsidRPr="00DC4741">
        <w:rPr>
          <w:rFonts w:ascii="Arial" w:hAnsi="Arial" w:cs="Arial"/>
        </w:rPr>
        <w:t xml:space="preserve">Beltrán-Martín, I. and Roca-Puig, V. (2019). Promoting Employee Flexibility Through HR Practices. </w:t>
      </w:r>
      <w:r w:rsidRPr="00DC4741">
        <w:rPr>
          <w:rFonts w:ascii="Arial" w:hAnsi="Arial" w:cs="Arial"/>
          <w:iCs/>
        </w:rPr>
        <w:t>Human Resource Management</w:t>
      </w:r>
      <w:r w:rsidRPr="00DC4741">
        <w:rPr>
          <w:rFonts w:ascii="Arial" w:hAnsi="Arial" w:cs="Arial"/>
        </w:rPr>
        <w:t>, 52(5), pp.645–674.</w:t>
      </w:r>
    </w:p>
    <w:p w14:paraId="36D25A0D" w14:textId="77777777" w:rsidR="00DC4741" w:rsidRPr="00DC4741" w:rsidRDefault="00DC4741" w:rsidP="00DC4741">
      <w:pPr>
        <w:pStyle w:val="NormalWeb"/>
        <w:spacing w:before="0" w:beforeAutospacing="0" w:after="240" w:afterAutospacing="0" w:line="360" w:lineRule="auto"/>
        <w:jc w:val="both"/>
        <w:rPr>
          <w:rFonts w:ascii="Arial" w:hAnsi="Arial" w:cs="Arial"/>
        </w:rPr>
      </w:pPr>
      <w:proofErr w:type="spellStart"/>
      <w:r w:rsidRPr="00DC4741">
        <w:rPr>
          <w:rFonts w:ascii="Arial" w:hAnsi="Arial" w:cs="Arial"/>
        </w:rPr>
        <w:t>Coulaty</w:t>
      </w:r>
      <w:proofErr w:type="spellEnd"/>
      <w:r w:rsidRPr="00DC4741">
        <w:rPr>
          <w:rFonts w:ascii="Arial" w:hAnsi="Arial" w:cs="Arial"/>
        </w:rPr>
        <w:t xml:space="preserve">, B. (2016). </w:t>
      </w:r>
      <w:r w:rsidRPr="00DC4741">
        <w:rPr>
          <w:rFonts w:ascii="Arial" w:hAnsi="Arial" w:cs="Arial"/>
          <w:iCs/>
        </w:rPr>
        <w:t>Employee engagement model</w:t>
      </w:r>
      <w:r w:rsidRPr="00DC4741">
        <w:rPr>
          <w:rFonts w:ascii="Arial" w:hAnsi="Arial" w:cs="Arial"/>
        </w:rPr>
        <w:t xml:space="preserve">. 7th ed. Singapore: </w:t>
      </w:r>
      <w:proofErr w:type="spellStart"/>
      <w:r w:rsidRPr="00DC4741">
        <w:rPr>
          <w:rFonts w:ascii="Arial" w:hAnsi="Arial" w:cs="Arial"/>
        </w:rPr>
        <w:t>Mcgraw-Hill</w:t>
      </w:r>
      <w:proofErr w:type="spellEnd"/>
      <w:r w:rsidRPr="00DC4741">
        <w:rPr>
          <w:rFonts w:ascii="Arial" w:hAnsi="Arial" w:cs="Arial"/>
        </w:rPr>
        <w:t xml:space="preserve"> Education (Asia.</w:t>
      </w:r>
    </w:p>
    <w:p w14:paraId="3ED56E3A" w14:textId="77777777" w:rsidR="00DC4741" w:rsidRPr="00DC4741" w:rsidRDefault="00DC4741" w:rsidP="00DC4741">
      <w:pPr>
        <w:pStyle w:val="NormalWeb"/>
        <w:spacing w:before="0" w:beforeAutospacing="0" w:after="240" w:afterAutospacing="0" w:line="360" w:lineRule="auto"/>
        <w:jc w:val="both"/>
        <w:rPr>
          <w:rFonts w:ascii="Arial" w:hAnsi="Arial" w:cs="Arial"/>
        </w:rPr>
      </w:pPr>
      <w:r w:rsidRPr="00DC4741">
        <w:rPr>
          <w:rFonts w:ascii="Arial" w:hAnsi="Arial" w:cs="Arial"/>
        </w:rPr>
        <w:t xml:space="preserve">Cowan, D. (2019). </w:t>
      </w:r>
      <w:r w:rsidRPr="00DC4741">
        <w:rPr>
          <w:rFonts w:ascii="Arial" w:hAnsi="Arial" w:cs="Arial"/>
          <w:iCs/>
        </w:rPr>
        <w:t>Strategic internal communication : how to build employee engagement and performance</w:t>
      </w:r>
      <w:r w:rsidRPr="00DC4741">
        <w:rPr>
          <w:rFonts w:ascii="Arial" w:hAnsi="Arial" w:cs="Arial"/>
        </w:rPr>
        <w:t>. 5th ed. London.</w:t>
      </w:r>
    </w:p>
    <w:p w14:paraId="1CF2882E" w14:textId="77777777" w:rsidR="00DC4741" w:rsidRPr="00DC4741" w:rsidRDefault="00DC4741" w:rsidP="00DC4741">
      <w:pPr>
        <w:pStyle w:val="NormalWeb"/>
        <w:spacing w:before="0" w:beforeAutospacing="0" w:after="240" w:afterAutospacing="0" w:line="360" w:lineRule="auto"/>
        <w:jc w:val="both"/>
        <w:rPr>
          <w:rFonts w:ascii="Arial" w:hAnsi="Arial" w:cs="Arial"/>
        </w:rPr>
      </w:pPr>
      <w:r w:rsidRPr="00DC4741">
        <w:rPr>
          <w:rFonts w:ascii="Arial" w:hAnsi="Arial" w:cs="Arial"/>
        </w:rPr>
        <w:t xml:space="preserve">Finnegan, R.P. (2015). </w:t>
      </w:r>
      <w:r w:rsidRPr="00DC4741">
        <w:rPr>
          <w:rFonts w:ascii="Arial" w:hAnsi="Arial" w:cs="Arial"/>
          <w:iCs/>
        </w:rPr>
        <w:t xml:space="preserve">Engaging model in the </w:t>
      </w:r>
      <w:proofErr w:type="spellStart"/>
      <w:r w:rsidRPr="00DC4741">
        <w:rPr>
          <w:rFonts w:ascii="Arial" w:hAnsi="Arial" w:cs="Arial"/>
          <w:iCs/>
        </w:rPr>
        <w:t>organisation</w:t>
      </w:r>
      <w:proofErr w:type="spellEnd"/>
      <w:r w:rsidRPr="00DC4741">
        <w:rPr>
          <w:rFonts w:ascii="Arial" w:hAnsi="Arial" w:cs="Arial"/>
        </w:rPr>
        <w:t>. 9th ed. Alexandria, Virginia.: Human Resource Management.</w:t>
      </w:r>
    </w:p>
    <w:p w14:paraId="1F5F0FC6" w14:textId="77777777" w:rsidR="00DC4741" w:rsidRPr="00DC4741" w:rsidRDefault="00DC4741" w:rsidP="00DC4741">
      <w:pPr>
        <w:pStyle w:val="NormalWeb"/>
        <w:spacing w:before="0" w:beforeAutospacing="0" w:after="240" w:afterAutospacing="0" w:line="360" w:lineRule="auto"/>
        <w:jc w:val="both"/>
        <w:rPr>
          <w:rFonts w:ascii="Arial" w:hAnsi="Arial" w:cs="Arial"/>
        </w:rPr>
      </w:pPr>
      <w:r w:rsidRPr="00DC4741">
        <w:rPr>
          <w:rFonts w:ascii="Arial" w:hAnsi="Arial" w:cs="Arial"/>
        </w:rPr>
        <w:t xml:space="preserve">Hanwell, M. (2019). </w:t>
      </w:r>
      <w:r w:rsidRPr="00DC4741">
        <w:rPr>
          <w:rFonts w:ascii="Arial" w:hAnsi="Arial" w:cs="Arial"/>
          <w:iCs/>
        </w:rPr>
        <w:t>The workplace community : a guide to releasing human potential and engaging employees</w:t>
      </w:r>
      <w:r w:rsidRPr="00DC4741">
        <w:rPr>
          <w:rFonts w:ascii="Arial" w:hAnsi="Arial" w:cs="Arial"/>
        </w:rPr>
        <w:t xml:space="preserve">. 9th ed. </w:t>
      </w:r>
      <w:proofErr w:type="spellStart"/>
      <w:r w:rsidRPr="00DC4741">
        <w:rPr>
          <w:rFonts w:ascii="Arial" w:hAnsi="Arial" w:cs="Arial"/>
        </w:rPr>
        <w:t>Houndmills</w:t>
      </w:r>
      <w:proofErr w:type="spellEnd"/>
      <w:r w:rsidRPr="00DC4741">
        <w:rPr>
          <w:rFonts w:ascii="Arial" w:hAnsi="Arial" w:cs="Arial"/>
        </w:rPr>
        <w:t xml:space="preserve">: </w:t>
      </w:r>
      <w:proofErr w:type="spellStart"/>
      <w:r w:rsidRPr="00DC4741">
        <w:rPr>
          <w:rFonts w:ascii="Arial" w:hAnsi="Arial" w:cs="Arial"/>
        </w:rPr>
        <w:t>Palgrave</w:t>
      </w:r>
      <w:proofErr w:type="spellEnd"/>
      <w:r w:rsidRPr="00DC4741">
        <w:rPr>
          <w:rFonts w:ascii="Arial" w:hAnsi="Arial" w:cs="Arial"/>
        </w:rPr>
        <w:t xml:space="preserve"> Macmillan.</w:t>
      </w:r>
    </w:p>
    <w:p w14:paraId="1CECE836" w14:textId="77777777" w:rsidR="00DC4741" w:rsidRPr="00DC4741" w:rsidRDefault="00DC4741" w:rsidP="00DC4741">
      <w:pPr>
        <w:pStyle w:val="NormalWeb"/>
        <w:spacing w:before="0" w:beforeAutospacing="0" w:after="240" w:afterAutospacing="0" w:line="360" w:lineRule="auto"/>
        <w:jc w:val="both"/>
        <w:rPr>
          <w:rFonts w:ascii="Arial" w:hAnsi="Arial" w:cs="Arial"/>
        </w:rPr>
      </w:pPr>
      <w:proofErr w:type="spellStart"/>
      <w:r w:rsidRPr="00DC4741">
        <w:rPr>
          <w:rFonts w:ascii="Arial" w:hAnsi="Arial" w:cs="Arial"/>
        </w:rPr>
        <w:t>Kocherlakota</w:t>
      </w:r>
      <w:proofErr w:type="spellEnd"/>
      <w:r w:rsidRPr="00DC4741">
        <w:rPr>
          <w:rFonts w:ascii="Arial" w:hAnsi="Arial" w:cs="Arial"/>
        </w:rPr>
        <w:t xml:space="preserve">, S.D. (2017). Employee Commitment: A Giant Leap in Employee Engagement. </w:t>
      </w:r>
      <w:r w:rsidRPr="00DC4741">
        <w:rPr>
          <w:rFonts w:ascii="Arial" w:hAnsi="Arial" w:cs="Arial"/>
          <w:iCs/>
        </w:rPr>
        <w:t>OPUS: HR Journal</w:t>
      </w:r>
      <w:r w:rsidRPr="00DC4741">
        <w:rPr>
          <w:rFonts w:ascii="Arial" w:hAnsi="Arial" w:cs="Arial"/>
        </w:rPr>
        <w:t>, 6(1), p.6.</w:t>
      </w:r>
    </w:p>
    <w:p w14:paraId="47952BD2" w14:textId="77777777" w:rsidR="00DC4741" w:rsidRPr="00DC4741" w:rsidRDefault="00DC4741" w:rsidP="00DC4741">
      <w:pPr>
        <w:pStyle w:val="NormalWeb"/>
        <w:spacing w:before="0" w:beforeAutospacing="0" w:after="240" w:afterAutospacing="0" w:line="360" w:lineRule="auto"/>
        <w:jc w:val="both"/>
        <w:rPr>
          <w:rFonts w:ascii="Arial" w:hAnsi="Arial" w:cs="Arial"/>
        </w:rPr>
      </w:pPr>
      <w:r w:rsidRPr="00DC4741">
        <w:rPr>
          <w:rFonts w:ascii="Arial" w:hAnsi="Arial" w:cs="Arial"/>
        </w:rPr>
        <w:t xml:space="preserve">Kwon, K. and Park, J. (2019). The Life Cycle of Employee Engagement Theory. </w:t>
      </w:r>
      <w:r w:rsidRPr="00DC4741">
        <w:rPr>
          <w:rFonts w:ascii="Arial" w:hAnsi="Arial" w:cs="Arial"/>
          <w:iCs/>
        </w:rPr>
        <w:t>Advances in Developing Human Resources</w:t>
      </w:r>
      <w:r w:rsidRPr="00DC4741">
        <w:rPr>
          <w:rFonts w:ascii="Arial" w:hAnsi="Arial" w:cs="Arial"/>
        </w:rPr>
        <w:t>, 21(3).</w:t>
      </w:r>
    </w:p>
    <w:p w14:paraId="40BEE6B7" w14:textId="77777777" w:rsidR="00DC4741" w:rsidRPr="00DC4741" w:rsidRDefault="00DC4741" w:rsidP="00DC4741">
      <w:pPr>
        <w:pStyle w:val="NormalWeb"/>
        <w:spacing w:before="0" w:beforeAutospacing="0" w:after="240" w:afterAutospacing="0" w:line="360" w:lineRule="auto"/>
        <w:jc w:val="both"/>
        <w:rPr>
          <w:rFonts w:ascii="Arial" w:hAnsi="Arial" w:cs="Arial"/>
        </w:rPr>
      </w:pPr>
      <w:proofErr w:type="spellStart"/>
      <w:r w:rsidRPr="00DC4741">
        <w:rPr>
          <w:rFonts w:ascii="Arial" w:hAnsi="Arial" w:cs="Arial"/>
        </w:rPr>
        <w:t>Mcgee</w:t>
      </w:r>
      <w:proofErr w:type="spellEnd"/>
      <w:r w:rsidRPr="00DC4741">
        <w:rPr>
          <w:rFonts w:ascii="Arial" w:hAnsi="Arial" w:cs="Arial"/>
        </w:rPr>
        <w:t xml:space="preserve">, R. (2012). </w:t>
      </w:r>
      <w:r w:rsidRPr="00DC4741">
        <w:rPr>
          <w:rFonts w:ascii="Arial" w:hAnsi="Arial" w:cs="Arial"/>
          <w:iCs/>
        </w:rPr>
        <w:t>Employee engagement.</w:t>
      </w:r>
      <w:r w:rsidRPr="00DC4741">
        <w:rPr>
          <w:rFonts w:ascii="Arial" w:hAnsi="Arial" w:cs="Arial"/>
        </w:rPr>
        <w:t xml:space="preserve"> 6th ed. Chartered Institute Of Personnel And Development.</w:t>
      </w:r>
    </w:p>
    <w:p w14:paraId="76A5C2A2" w14:textId="77777777" w:rsidR="00DC4741" w:rsidRPr="00DC4741" w:rsidRDefault="00DC4741" w:rsidP="00DC4741">
      <w:pPr>
        <w:pStyle w:val="NormalWeb"/>
        <w:spacing w:before="0" w:beforeAutospacing="0" w:after="240" w:afterAutospacing="0" w:line="360" w:lineRule="auto"/>
        <w:jc w:val="both"/>
        <w:rPr>
          <w:rFonts w:ascii="Arial" w:hAnsi="Arial" w:cs="Arial"/>
        </w:rPr>
      </w:pPr>
      <w:r w:rsidRPr="00DC4741">
        <w:rPr>
          <w:rFonts w:ascii="Arial" w:hAnsi="Arial" w:cs="Arial"/>
        </w:rPr>
        <w:t xml:space="preserve">Norris, G.A. (2006). Employee Life Cycle. </w:t>
      </w:r>
      <w:r w:rsidRPr="00DC4741">
        <w:rPr>
          <w:rFonts w:ascii="Arial" w:hAnsi="Arial" w:cs="Arial"/>
          <w:iCs/>
        </w:rPr>
        <w:t>The International Journal of Life Cycle Assessment</w:t>
      </w:r>
      <w:r w:rsidRPr="00DC4741">
        <w:rPr>
          <w:rFonts w:ascii="Arial" w:hAnsi="Arial" w:cs="Arial"/>
        </w:rPr>
        <w:t>, 11(S1), pp.97–104.</w:t>
      </w:r>
    </w:p>
    <w:p w14:paraId="5028BDFB" w14:textId="77777777" w:rsidR="00DC4741" w:rsidRPr="00DC4741" w:rsidRDefault="00DC4741" w:rsidP="00DC4741">
      <w:pPr>
        <w:pStyle w:val="NormalWeb"/>
        <w:spacing w:before="0" w:beforeAutospacing="0" w:after="240" w:afterAutospacing="0" w:line="360" w:lineRule="auto"/>
        <w:jc w:val="both"/>
        <w:rPr>
          <w:rFonts w:ascii="Arial" w:hAnsi="Arial" w:cs="Arial"/>
        </w:rPr>
      </w:pPr>
      <w:r w:rsidRPr="00DC4741">
        <w:rPr>
          <w:rFonts w:ascii="Arial" w:hAnsi="Arial" w:cs="Arial"/>
        </w:rPr>
        <w:t xml:space="preserve">Peter, A. (2022). Employee life cycle. </w:t>
      </w:r>
      <w:r w:rsidRPr="00DC4741">
        <w:rPr>
          <w:rFonts w:ascii="Arial" w:hAnsi="Arial" w:cs="Arial"/>
          <w:iCs/>
        </w:rPr>
        <w:t>The International Journal of Life Cycle Assessment</w:t>
      </w:r>
      <w:r w:rsidRPr="00DC4741">
        <w:rPr>
          <w:rFonts w:ascii="Arial" w:hAnsi="Arial" w:cs="Arial"/>
        </w:rPr>
        <w:t>.</w:t>
      </w:r>
    </w:p>
    <w:p w14:paraId="460D2D36" w14:textId="77777777" w:rsidR="00DC4741" w:rsidRPr="00DC4741" w:rsidRDefault="00DC4741" w:rsidP="00DC4741">
      <w:pPr>
        <w:pStyle w:val="NormalWeb"/>
        <w:spacing w:before="0" w:beforeAutospacing="0" w:after="240" w:afterAutospacing="0" w:line="360" w:lineRule="auto"/>
        <w:jc w:val="both"/>
        <w:rPr>
          <w:rFonts w:ascii="Arial" w:hAnsi="Arial" w:cs="Arial"/>
        </w:rPr>
      </w:pPr>
      <w:r w:rsidRPr="00DC4741">
        <w:rPr>
          <w:rFonts w:ascii="Arial" w:hAnsi="Arial" w:cs="Arial"/>
        </w:rPr>
        <w:t xml:space="preserve">Phillips., K.E. (2016). </w:t>
      </w:r>
      <w:r w:rsidRPr="00DC4741">
        <w:rPr>
          <w:rFonts w:ascii="Arial" w:hAnsi="Arial" w:cs="Arial"/>
          <w:iCs/>
        </w:rPr>
        <w:t>Employee Engagement</w:t>
      </w:r>
      <w:r w:rsidRPr="00DC4741">
        <w:rPr>
          <w:rFonts w:ascii="Arial" w:hAnsi="Arial" w:cs="Arial"/>
        </w:rPr>
        <w:t>. 6th ed. Business Expert Press.</w:t>
      </w:r>
    </w:p>
    <w:p w14:paraId="028C4118" w14:textId="77777777" w:rsidR="00DC4741" w:rsidRPr="00DC4741" w:rsidRDefault="00DC4741" w:rsidP="00DC4741">
      <w:pPr>
        <w:pStyle w:val="NormalWeb"/>
        <w:spacing w:before="0" w:beforeAutospacing="0" w:after="240" w:afterAutospacing="0" w:line="360" w:lineRule="auto"/>
        <w:jc w:val="both"/>
        <w:rPr>
          <w:rFonts w:ascii="Arial" w:hAnsi="Arial" w:cs="Arial"/>
        </w:rPr>
      </w:pPr>
      <w:r w:rsidRPr="00DC4741">
        <w:rPr>
          <w:rFonts w:ascii="Arial" w:hAnsi="Arial" w:cs="Arial"/>
        </w:rPr>
        <w:t xml:space="preserve">Thomas, K. (2019). </w:t>
      </w:r>
      <w:r w:rsidRPr="00DC4741">
        <w:rPr>
          <w:rFonts w:ascii="Arial" w:hAnsi="Arial" w:cs="Arial"/>
          <w:iCs/>
        </w:rPr>
        <w:t>Intrinsic motivation at work : what really drives employee engagement</w:t>
      </w:r>
      <w:r w:rsidRPr="00DC4741">
        <w:rPr>
          <w:rFonts w:ascii="Arial" w:hAnsi="Arial" w:cs="Arial"/>
        </w:rPr>
        <w:t>. 8th ed. San Francisco: Berrett-Koehler Publishers.</w:t>
      </w:r>
    </w:p>
    <w:p w14:paraId="59A9EC57" w14:textId="77777777" w:rsidR="00DC4741" w:rsidRPr="00DC4741" w:rsidRDefault="00DC4741" w:rsidP="00DC4741">
      <w:pPr>
        <w:pStyle w:val="NormalWeb"/>
        <w:spacing w:before="0" w:beforeAutospacing="0" w:after="240" w:afterAutospacing="0" w:line="360" w:lineRule="auto"/>
        <w:jc w:val="both"/>
        <w:rPr>
          <w:rFonts w:ascii="Arial" w:hAnsi="Arial" w:cs="Arial"/>
        </w:rPr>
      </w:pPr>
      <w:r w:rsidRPr="00DC4741">
        <w:rPr>
          <w:rFonts w:ascii="Arial" w:hAnsi="Arial" w:cs="Arial"/>
        </w:rPr>
        <w:t xml:space="preserve">Thompsen, J.A. (2020). </w:t>
      </w:r>
      <w:r w:rsidRPr="00DC4741">
        <w:rPr>
          <w:rFonts w:ascii="Arial" w:hAnsi="Arial" w:cs="Arial"/>
          <w:iCs/>
        </w:rPr>
        <w:t>Managing the employee lifecycle</w:t>
      </w:r>
      <w:r w:rsidRPr="00DC4741">
        <w:rPr>
          <w:rFonts w:ascii="Arial" w:hAnsi="Arial" w:cs="Arial"/>
        </w:rPr>
        <w:t>. 6th ed. London: Routledge.</w:t>
      </w:r>
    </w:p>
    <w:p w14:paraId="66DCAF68" w14:textId="77777777" w:rsidR="00DC4741" w:rsidRPr="00DC4741" w:rsidRDefault="00DC4741" w:rsidP="00DC4741">
      <w:pPr>
        <w:spacing w:line="360" w:lineRule="auto"/>
        <w:rPr>
          <w:rFonts w:cs="Arial"/>
          <w:szCs w:val="24"/>
        </w:rPr>
      </w:pPr>
    </w:p>
    <w:p w14:paraId="3B42058B" w14:textId="77777777" w:rsidR="00DC4741" w:rsidRPr="00DC4741" w:rsidRDefault="00DC4741" w:rsidP="00DC4741">
      <w:pPr>
        <w:spacing w:line="360" w:lineRule="auto"/>
        <w:rPr>
          <w:rFonts w:cs="Arial"/>
          <w:szCs w:val="24"/>
        </w:rPr>
      </w:pPr>
    </w:p>
    <w:p w14:paraId="6EDB7A63" w14:textId="77777777" w:rsidR="00DC4741" w:rsidRPr="00DC4741" w:rsidRDefault="00DC4741" w:rsidP="00DC4741">
      <w:pPr>
        <w:spacing w:line="360" w:lineRule="auto"/>
        <w:rPr>
          <w:rFonts w:cs="Arial"/>
          <w:szCs w:val="24"/>
        </w:rPr>
      </w:pPr>
    </w:p>
    <w:p w14:paraId="74F32072" w14:textId="77777777" w:rsidR="00DC4741" w:rsidRPr="00DC4741" w:rsidRDefault="00DC4741" w:rsidP="00DC4741">
      <w:pPr>
        <w:spacing w:line="360" w:lineRule="auto"/>
        <w:rPr>
          <w:rFonts w:cs="Arial"/>
          <w:szCs w:val="24"/>
        </w:rPr>
      </w:pPr>
    </w:p>
    <w:p w14:paraId="2E30B89D" w14:textId="77777777" w:rsidR="00DC4741" w:rsidRPr="00DC4741" w:rsidRDefault="00DC4741" w:rsidP="00DC4741">
      <w:pPr>
        <w:spacing w:line="360" w:lineRule="auto"/>
        <w:rPr>
          <w:rFonts w:cs="Arial"/>
          <w:szCs w:val="24"/>
        </w:rPr>
      </w:pPr>
    </w:p>
    <w:p w14:paraId="1E273AF9" w14:textId="77777777" w:rsidR="00DC4741" w:rsidRPr="00DC4741" w:rsidRDefault="00DC4741" w:rsidP="00DC4741">
      <w:pPr>
        <w:spacing w:line="360" w:lineRule="auto"/>
        <w:rPr>
          <w:rFonts w:cs="Arial"/>
          <w:szCs w:val="24"/>
        </w:rPr>
      </w:pPr>
    </w:p>
    <w:sectPr w:rsidR="00DC4741" w:rsidRPr="00DC47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52067" w14:textId="77777777" w:rsidR="00C5343B" w:rsidRDefault="00C5343B" w:rsidP="008C584D">
      <w:pPr>
        <w:spacing w:after="0" w:line="240" w:lineRule="auto"/>
      </w:pPr>
      <w:r>
        <w:separator/>
      </w:r>
    </w:p>
  </w:endnote>
  <w:endnote w:type="continuationSeparator" w:id="0">
    <w:p w14:paraId="7790FD40" w14:textId="77777777" w:rsidR="00C5343B" w:rsidRDefault="00C5343B" w:rsidP="008C5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Bahnschrift SemiCondensed">
    <w:panose1 w:val="020B0502040204020203"/>
    <w:charset w:val="00"/>
    <w:family w:val="swiss"/>
    <w:pitch w:val="variable"/>
    <w:sig w:usb0="A00002C7"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D31241" w14:textId="77777777" w:rsidR="00C5343B" w:rsidRDefault="00C5343B" w:rsidP="008C584D">
      <w:pPr>
        <w:spacing w:after="0" w:line="240" w:lineRule="auto"/>
      </w:pPr>
      <w:r>
        <w:separator/>
      </w:r>
    </w:p>
  </w:footnote>
  <w:footnote w:type="continuationSeparator" w:id="0">
    <w:p w14:paraId="4B2D408A" w14:textId="77777777" w:rsidR="00C5343B" w:rsidRDefault="00C5343B" w:rsidP="008C584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xtLQ0MzQ3NjYxszBT0lEKTi0uzszPAykwrAUA60rqwSwAAAA="/>
  </w:docVars>
  <w:rsids>
    <w:rsidRoot w:val="00FF3DFE"/>
    <w:rsid w:val="000520C7"/>
    <w:rsid w:val="000846AC"/>
    <w:rsid w:val="000D6C9D"/>
    <w:rsid w:val="00194C85"/>
    <w:rsid w:val="00235A05"/>
    <w:rsid w:val="002A62D6"/>
    <w:rsid w:val="0032280C"/>
    <w:rsid w:val="003430D3"/>
    <w:rsid w:val="003450F2"/>
    <w:rsid w:val="00397220"/>
    <w:rsid w:val="003C0472"/>
    <w:rsid w:val="00513583"/>
    <w:rsid w:val="005B75DF"/>
    <w:rsid w:val="006405CA"/>
    <w:rsid w:val="006A6B64"/>
    <w:rsid w:val="006E1EBE"/>
    <w:rsid w:val="00700671"/>
    <w:rsid w:val="008111D4"/>
    <w:rsid w:val="008351B5"/>
    <w:rsid w:val="008C584D"/>
    <w:rsid w:val="00926B43"/>
    <w:rsid w:val="00972509"/>
    <w:rsid w:val="00975ACC"/>
    <w:rsid w:val="009D3FFB"/>
    <w:rsid w:val="00A32026"/>
    <w:rsid w:val="00A94AEF"/>
    <w:rsid w:val="00AB5C9F"/>
    <w:rsid w:val="00AE3FA2"/>
    <w:rsid w:val="00AF7695"/>
    <w:rsid w:val="00B53AB5"/>
    <w:rsid w:val="00B56FE9"/>
    <w:rsid w:val="00BE17FB"/>
    <w:rsid w:val="00C4239B"/>
    <w:rsid w:val="00C5343B"/>
    <w:rsid w:val="00C810F0"/>
    <w:rsid w:val="00D141F0"/>
    <w:rsid w:val="00DC4741"/>
    <w:rsid w:val="00E437B1"/>
    <w:rsid w:val="00EB7C8B"/>
    <w:rsid w:val="00EC5D0B"/>
    <w:rsid w:val="00ED130E"/>
    <w:rsid w:val="00FE0A21"/>
    <w:rsid w:val="00FF3D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BABA4"/>
  <w15:docId w15:val="{B44A256F-A0E9-4EBB-8306-39C231703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17FB"/>
    <w:pPr>
      <w:spacing w:before="120" w:after="320"/>
      <w:jc w:val="both"/>
    </w:pPr>
    <w:rPr>
      <w:rFonts w:ascii="Arial" w:hAnsi="Arial"/>
      <w:sz w:val="24"/>
    </w:rPr>
  </w:style>
  <w:style w:type="paragraph" w:styleId="Heading1">
    <w:name w:val="heading 1"/>
    <w:basedOn w:val="Normal"/>
    <w:next w:val="Normal"/>
    <w:link w:val="Heading1Char"/>
    <w:uiPriority w:val="9"/>
    <w:qFormat/>
    <w:rsid w:val="00BE17FB"/>
    <w:pPr>
      <w:keepNext/>
      <w:keepLines/>
      <w:spacing w:before="720" w:after="240"/>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uiPriority w:val="9"/>
    <w:semiHidden/>
    <w:unhideWhenUsed/>
    <w:qFormat/>
    <w:rsid w:val="0032280C"/>
    <w:pPr>
      <w:keepNext/>
      <w:keepLines/>
      <w:spacing w:before="200" w:after="0"/>
      <w:outlineLvl w:val="1"/>
    </w:pPr>
    <w:rPr>
      <w:rFonts w:eastAsiaTheme="majorEastAsia" w:cstheme="majorBidi"/>
      <w:b/>
      <w:bCs/>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17FB"/>
    <w:rPr>
      <w:rFonts w:ascii="Arial" w:eastAsiaTheme="majorEastAsia" w:hAnsi="Arial" w:cstheme="majorBidi"/>
      <w:b/>
      <w:bCs/>
      <w:color w:val="000000" w:themeColor="text1"/>
      <w:sz w:val="32"/>
      <w:szCs w:val="28"/>
    </w:rPr>
  </w:style>
  <w:style w:type="character" w:customStyle="1" w:styleId="Heading2Char">
    <w:name w:val="Heading 2 Char"/>
    <w:basedOn w:val="DefaultParagraphFont"/>
    <w:link w:val="Heading2"/>
    <w:uiPriority w:val="9"/>
    <w:semiHidden/>
    <w:rsid w:val="0032280C"/>
    <w:rPr>
      <w:rFonts w:ascii="Arial" w:eastAsiaTheme="majorEastAsia" w:hAnsi="Arial" w:cstheme="majorBidi"/>
      <w:b/>
      <w:bCs/>
      <w:color w:val="000000" w:themeColor="text1"/>
      <w:sz w:val="28"/>
      <w:szCs w:val="26"/>
    </w:rPr>
  </w:style>
  <w:style w:type="paragraph" w:styleId="BalloonText">
    <w:name w:val="Balloon Text"/>
    <w:basedOn w:val="Normal"/>
    <w:link w:val="BalloonTextChar"/>
    <w:uiPriority w:val="99"/>
    <w:semiHidden/>
    <w:unhideWhenUsed/>
    <w:rsid w:val="00235A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35A05"/>
    <w:rPr>
      <w:rFonts w:ascii="Tahoma" w:hAnsi="Tahoma" w:cs="Tahoma"/>
      <w:sz w:val="16"/>
      <w:szCs w:val="16"/>
    </w:rPr>
  </w:style>
  <w:style w:type="paragraph" w:styleId="NormalWeb">
    <w:name w:val="Normal (Web)"/>
    <w:basedOn w:val="Normal"/>
    <w:uiPriority w:val="99"/>
    <w:semiHidden/>
    <w:unhideWhenUsed/>
    <w:rsid w:val="00DC4741"/>
    <w:pPr>
      <w:spacing w:before="100" w:beforeAutospacing="1" w:after="100" w:afterAutospacing="1" w:line="240" w:lineRule="auto"/>
      <w:jc w:val="left"/>
    </w:pPr>
    <w:rPr>
      <w:rFonts w:ascii="Times New Roman" w:eastAsia="Times New Roman" w:hAnsi="Times New Roman" w:cs="Times New Roman"/>
      <w:szCs w:val="24"/>
    </w:rPr>
  </w:style>
  <w:style w:type="paragraph" w:styleId="Title">
    <w:name w:val="Title"/>
    <w:basedOn w:val="Normal"/>
    <w:next w:val="Normal"/>
    <w:link w:val="TitleChar"/>
    <w:uiPriority w:val="10"/>
    <w:qFormat/>
    <w:rsid w:val="008C584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584D"/>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C58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84D"/>
    <w:rPr>
      <w:rFonts w:ascii="Arial" w:hAnsi="Arial"/>
      <w:sz w:val="24"/>
    </w:rPr>
  </w:style>
  <w:style w:type="paragraph" w:styleId="Footer">
    <w:name w:val="footer"/>
    <w:basedOn w:val="Normal"/>
    <w:link w:val="FooterChar"/>
    <w:uiPriority w:val="99"/>
    <w:unhideWhenUsed/>
    <w:rsid w:val="008C58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84D"/>
    <w:rPr>
      <w:rFonts w:ascii="Arial" w:hAnsi="Arial"/>
      <w:sz w:val="24"/>
    </w:rPr>
  </w:style>
  <w:style w:type="paragraph" w:styleId="TOCHeading">
    <w:name w:val="TOC Heading"/>
    <w:basedOn w:val="Heading1"/>
    <w:next w:val="Normal"/>
    <w:uiPriority w:val="39"/>
    <w:unhideWhenUsed/>
    <w:qFormat/>
    <w:rsid w:val="00BE17FB"/>
    <w:pPr>
      <w:spacing w:before="240" w:after="0" w:line="259" w:lineRule="auto"/>
      <w:jc w:val="left"/>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BE17FB"/>
    <w:pPr>
      <w:spacing w:after="100"/>
    </w:pPr>
  </w:style>
  <w:style w:type="character" w:styleId="Hyperlink">
    <w:name w:val="Hyperlink"/>
    <w:basedOn w:val="DefaultParagraphFont"/>
    <w:uiPriority w:val="99"/>
    <w:unhideWhenUsed/>
    <w:rsid w:val="00BE17F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895737">
      <w:bodyDiv w:val="1"/>
      <w:marLeft w:val="0"/>
      <w:marRight w:val="0"/>
      <w:marTop w:val="0"/>
      <w:marBottom w:val="0"/>
      <w:divBdr>
        <w:top w:val="none" w:sz="0" w:space="0" w:color="auto"/>
        <w:left w:val="none" w:sz="0" w:space="0" w:color="auto"/>
        <w:bottom w:val="none" w:sz="0" w:space="0" w:color="auto"/>
        <w:right w:val="none" w:sz="0" w:space="0" w:color="auto"/>
      </w:divBdr>
      <w:divsChild>
        <w:div w:id="17511578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F1174C-0874-43F1-8CDC-3936E10EDDF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Pages>
  <Words>2870</Words>
  <Characters>16363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Alexandra Craescu (2111926)</cp:lastModifiedBy>
  <cp:revision>15</cp:revision>
  <dcterms:created xsi:type="dcterms:W3CDTF">2022-10-16T16:13:00Z</dcterms:created>
  <dcterms:modified xsi:type="dcterms:W3CDTF">2022-10-25T01:34:00Z</dcterms:modified>
</cp:coreProperties>
</file>