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643" w:rsidRPr="00CF086D" w:rsidRDefault="00CF086D" w:rsidP="00CF086D">
      <w:pPr>
        <w:jc w:val="right"/>
        <w:rPr>
          <w:rFonts w:ascii="Perpetua Titling MT" w:hAnsi="Perpetua Titling MT"/>
          <w:sz w:val="24"/>
        </w:rPr>
      </w:pPr>
      <w:r w:rsidRPr="00CF086D">
        <w:rPr>
          <w:rFonts w:ascii="Perpetua Titling MT" w:hAnsi="Perpetua Titling MT"/>
          <w:sz w:val="24"/>
        </w:rPr>
        <w:t>CSEN</w:t>
      </w:r>
      <w:r>
        <w:rPr>
          <w:rFonts w:ascii="Perpetua Titling MT" w:hAnsi="Perpetua Titling MT"/>
          <w:sz w:val="24"/>
        </w:rPr>
        <w:t xml:space="preserve"> </w:t>
      </w:r>
      <w:proofErr w:type="gramStart"/>
      <w:r w:rsidRPr="00CF086D">
        <w:rPr>
          <w:rFonts w:ascii="Perpetua Titling MT" w:hAnsi="Perpetua Titling MT"/>
          <w:sz w:val="24"/>
        </w:rPr>
        <w:t>4011</w:t>
      </w:r>
      <w:r w:rsidRPr="00CF086D">
        <w:rPr>
          <w:rFonts w:ascii="Perpetua Titling MT" w:hAnsi="Perpetua Titling MT"/>
          <w:sz w:val="24"/>
        </w:rPr>
        <w:t xml:space="preserve">  </w:t>
      </w:r>
      <w:r w:rsidRPr="00CF086D">
        <w:rPr>
          <w:rFonts w:ascii="Perpetua Titling MT" w:hAnsi="Perpetua Titling MT"/>
          <w:sz w:val="24"/>
        </w:rPr>
        <w:t>Ways</w:t>
      </w:r>
      <w:proofErr w:type="gramEnd"/>
      <w:r w:rsidRPr="00CF086D">
        <w:rPr>
          <w:rFonts w:ascii="Perpetua Titling MT" w:hAnsi="Perpetua Titling MT"/>
          <w:sz w:val="24"/>
        </w:rPr>
        <w:t xml:space="preserve"> of Reading</w:t>
      </w:r>
    </w:p>
    <w:p w:rsidR="00CF086D" w:rsidRPr="00CF086D" w:rsidRDefault="00CF086D">
      <w:pPr>
        <w:rPr>
          <w:rFonts w:ascii="Garamond" w:hAnsi="Garamond"/>
        </w:rPr>
      </w:pPr>
      <w:r w:rsidRPr="00CF086D">
        <w:rPr>
          <w:rFonts w:ascii="Garamond" w:hAnsi="Garamond"/>
        </w:rPr>
        <w:t xml:space="preserve">Section 2: </w:t>
      </w:r>
      <w:r>
        <w:rPr>
          <w:rFonts w:ascii="Garamond" w:hAnsi="Garamond"/>
        </w:rPr>
        <w:t>Ways of Reading Poetry</w:t>
      </w:r>
    </w:p>
    <w:p w:rsidR="00CF086D" w:rsidRDefault="00CF086D" w:rsidP="00CF086D">
      <w:pPr>
        <w:pStyle w:val="NoSpacing"/>
        <w:rPr>
          <w:rFonts w:ascii="Garamond" w:hAnsi="Garamond"/>
          <w:sz w:val="24"/>
        </w:rPr>
      </w:pPr>
    </w:p>
    <w:tbl>
      <w:tblPr>
        <w:tblStyle w:val="TableGrid"/>
        <w:tblW w:w="8789" w:type="dxa"/>
        <w:tblInd w:w="-176" w:type="dxa"/>
        <w:tblLook w:val="04A0" w:firstRow="1" w:lastRow="0" w:firstColumn="1" w:lastColumn="0" w:noHBand="0" w:noVBand="1"/>
      </w:tblPr>
      <w:tblGrid>
        <w:gridCol w:w="575"/>
        <w:gridCol w:w="3678"/>
        <w:gridCol w:w="4536"/>
      </w:tblGrid>
      <w:tr w:rsidR="00CF086D" w:rsidTr="00DD3378">
        <w:tc>
          <w:tcPr>
            <w:tcW w:w="575" w:type="dxa"/>
          </w:tcPr>
          <w:p w:rsidR="00CF086D" w:rsidRPr="00BC2118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18"/>
                <w:szCs w:val="20"/>
              </w:rPr>
            </w:pPr>
            <w:r w:rsidRPr="00BC2118">
              <w:rPr>
                <w:rFonts w:ascii="Garamond" w:hAnsi="Garamond"/>
                <w:i/>
                <w:sz w:val="18"/>
                <w:szCs w:val="20"/>
              </w:rPr>
              <w:t>Week</w:t>
            </w:r>
          </w:p>
        </w:tc>
        <w:tc>
          <w:tcPr>
            <w:tcW w:w="3678" w:type="dxa"/>
          </w:tcPr>
          <w:p w:rsidR="00CF086D" w:rsidRPr="00BC2118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18"/>
              </w:rPr>
            </w:pPr>
            <w:r w:rsidRPr="00BC2118">
              <w:rPr>
                <w:rFonts w:ascii="Garamond" w:hAnsi="Garamond"/>
                <w:i/>
                <w:sz w:val="18"/>
              </w:rPr>
              <w:t>Approaches</w:t>
            </w:r>
          </w:p>
        </w:tc>
        <w:tc>
          <w:tcPr>
            <w:tcW w:w="4536" w:type="dxa"/>
          </w:tcPr>
          <w:p w:rsidR="00CF086D" w:rsidRPr="007B2987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0"/>
              </w:rPr>
            </w:pPr>
            <w:r w:rsidRPr="007B2987">
              <w:rPr>
                <w:rFonts w:ascii="Garamond" w:hAnsi="Garamond"/>
                <w:i/>
                <w:sz w:val="20"/>
              </w:rPr>
              <w:t>Poems</w:t>
            </w:r>
            <w:r>
              <w:rPr>
                <w:rFonts w:ascii="Garamond" w:hAnsi="Garamond"/>
                <w:i/>
                <w:sz w:val="20"/>
              </w:rPr>
              <w:t xml:space="preserve"> </w:t>
            </w:r>
            <w:r w:rsidRPr="00CF086D">
              <w:rPr>
                <w:rFonts w:ascii="Garamond" w:hAnsi="Garamond"/>
                <w:sz w:val="20"/>
                <w:u w:val="single"/>
              </w:rPr>
              <w:t>could</w:t>
            </w:r>
            <w:r>
              <w:rPr>
                <w:rFonts w:ascii="Garamond" w:hAnsi="Garamond"/>
                <w:i/>
                <w:sz w:val="20"/>
              </w:rPr>
              <w:t xml:space="preserve"> include</w:t>
            </w:r>
          </w:p>
        </w:tc>
      </w:tr>
      <w:tr w:rsidR="00CF086D" w:rsidTr="00DD3378">
        <w:tc>
          <w:tcPr>
            <w:tcW w:w="575" w:type="dxa"/>
          </w:tcPr>
          <w:p w:rsidR="00CF086D" w:rsidRPr="00995F1F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0"/>
                <w:szCs w:val="20"/>
              </w:rPr>
            </w:pPr>
            <w:r w:rsidRPr="00995F1F">
              <w:rPr>
                <w:rFonts w:ascii="Garamond" w:hAnsi="Garamond"/>
                <w:i/>
                <w:sz w:val="20"/>
                <w:szCs w:val="20"/>
              </w:rPr>
              <w:t>7</w:t>
            </w:r>
          </w:p>
        </w:tc>
        <w:tc>
          <w:tcPr>
            <w:tcW w:w="3678" w:type="dxa"/>
          </w:tcPr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</w:rPr>
              <w:t xml:space="preserve">VICTORIAN POETRY &amp; THE NOVEL </w:t>
            </w:r>
          </w:p>
          <w:p w:rsidR="00CF086D" w:rsidRPr="007B2987" w:rsidRDefault="00CF086D" w:rsidP="00DD3378">
            <w:pPr>
              <w:pStyle w:val="NoSpacing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Isabel Armstrong’s ‘belated’ poet: subjectivity, representation and gender; the double poem; the d</w:t>
            </w:r>
            <w:r w:rsidRPr="007B2987">
              <w:rPr>
                <w:rFonts w:ascii="Garamond" w:hAnsi="Garamond"/>
              </w:rPr>
              <w:t>ramatic monologue</w:t>
            </w:r>
            <w:r>
              <w:rPr>
                <w:rFonts w:ascii="Garamond" w:hAnsi="Garamond"/>
              </w:rPr>
              <w:t xml:space="preserve">; </w:t>
            </w:r>
          </w:p>
        </w:tc>
        <w:tc>
          <w:tcPr>
            <w:tcW w:w="4536" w:type="dxa"/>
          </w:tcPr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 xml:space="preserve">Christina </w:t>
            </w:r>
            <w:proofErr w:type="spellStart"/>
            <w:r w:rsidRPr="00BC2118">
              <w:rPr>
                <w:rFonts w:ascii="Garamond" w:hAnsi="Garamond"/>
                <w:sz w:val="20"/>
                <w:u w:val="single"/>
              </w:rPr>
              <w:t>Rosetti</w:t>
            </w:r>
            <w:proofErr w:type="spellEnd"/>
            <w:r w:rsidRPr="00BC2118">
              <w:rPr>
                <w:rFonts w:ascii="Garamond" w:hAnsi="Garamond"/>
                <w:sz w:val="20"/>
                <w:u w:val="single"/>
              </w:rPr>
              <w:t>,</w:t>
            </w:r>
            <w:r w:rsidRPr="00BC2118">
              <w:rPr>
                <w:rFonts w:ascii="Garamond" w:hAnsi="Garamond"/>
                <w:sz w:val="20"/>
              </w:rPr>
              <w:t xml:space="preserve"> </w:t>
            </w:r>
            <w:r w:rsidRPr="00BC2118">
              <w:rPr>
                <w:rFonts w:ascii="Garamond" w:hAnsi="Garamond"/>
                <w:i/>
                <w:sz w:val="20"/>
              </w:rPr>
              <w:t>Goblin Market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 xml:space="preserve">Elizabeth Barrett Browning: </w:t>
            </w:r>
            <w:r w:rsidRPr="00BC2118">
              <w:rPr>
                <w:rFonts w:ascii="Garamond" w:hAnsi="Garamond"/>
                <w:sz w:val="20"/>
              </w:rPr>
              <w:t xml:space="preserve">‘The Runaway Slave at Pilgrim’s Point’, ‘Lord Walter’s </w:t>
            </w:r>
            <w:bookmarkStart w:id="0" w:name="_GoBack"/>
            <w:bookmarkEnd w:id="0"/>
            <w:r w:rsidRPr="00BC2118">
              <w:rPr>
                <w:rFonts w:ascii="Garamond" w:hAnsi="Garamond"/>
                <w:sz w:val="20"/>
              </w:rPr>
              <w:t>Wife’, ‘</w:t>
            </w:r>
            <w:proofErr w:type="spellStart"/>
            <w:r w:rsidRPr="00BC2118">
              <w:rPr>
                <w:rFonts w:ascii="Garamond" w:hAnsi="Garamond"/>
                <w:sz w:val="20"/>
              </w:rPr>
              <w:t>Caterina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 to </w:t>
            </w:r>
            <w:proofErr w:type="spellStart"/>
            <w:r w:rsidRPr="00BC2118">
              <w:rPr>
                <w:rFonts w:ascii="Garamond" w:hAnsi="Garamond"/>
                <w:sz w:val="20"/>
              </w:rPr>
              <w:t>Camoens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’, ‘Bianca Among the Nightingales’ 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Robert Browning</w:t>
            </w:r>
            <w:r w:rsidRPr="00BC2118">
              <w:rPr>
                <w:rFonts w:ascii="Garamond" w:hAnsi="Garamond"/>
                <w:sz w:val="20"/>
              </w:rPr>
              <w:t xml:space="preserve">, ‘Porphyria’s Lover’, ‘My Last Duchess’; ‘The Bishop Orders His Tomb at Saint </w:t>
            </w:r>
            <w:proofErr w:type="spellStart"/>
            <w:r w:rsidRPr="00BC2118">
              <w:rPr>
                <w:rFonts w:ascii="Garamond" w:hAnsi="Garamond"/>
                <w:sz w:val="20"/>
              </w:rPr>
              <w:t>Praxed's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 Church’ ‘Love in a Life’; ‘Two in the </w:t>
            </w:r>
            <w:proofErr w:type="spellStart"/>
            <w:r w:rsidRPr="00BC2118">
              <w:rPr>
                <w:rFonts w:ascii="Garamond" w:hAnsi="Garamond"/>
                <w:sz w:val="20"/>
              </w:rPr>
              <w:t>Campagna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’  </w:t>
            </w:r>
            <w:r>
              <w:rPr>
                <w:rFonts w:ascii="Garamond" w:hAnsi="Garamond"/>
                <w:sz w:val="20"/>
              </w:rPr>
              <w:t>‘Childe Roland to the Dark Tower Came’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Alfred Tennyson</w:t>
            </w:r>
            <w:r w:rsidRPr="00BC2118">
              <w:rPr>
                <w:rFonts w:ascii="Garamond" w:hAnsi="Garamond"/>
                <w:sz w:val="20"/>
              </w:rPr>
              <w:t>, ‘</w:t>
            </w:r>
            <w:proofErr w:type="spellStart"/>
            <w:r w:rsidRPr="00BC2118">
              <w:rPr>
                <w:rFonts w:ascii="Garamond" w:hAnsi="Garamond"/>
                <w:sz w:val="20"/>
              </w:rPr>
              <w:t>Tithonus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’ ‘The Lotus Easters’; ‘St. Simon </w:t>
            </w:r>
            <w:proofErr w:type="spellStart"/>
            <w:r w:rsidRPr="00BC2118">
              <w:rPr>
                <w:rFonts w:ascii="Garamond" w:hAnsi="Garamond"/>
                <w:sz w:val="20"/>
              </w:rPr>
              <w:t>Stylites</w:t>
            </w:r>
            <w:proofErr w:type="spellEnd"/>
            <w:r w:rsidRPr="00BC2118">
              <w:rPr>
                <w:rFonts w:ascii="Garamond" w:hAnsi="Garamond"/>
                <w:sz w:val="20"/>
              </w:rPr>
              <w:t>,’</w:t>
            </w:r>
          </w:p>
        </w:tc>
      </w:tr>
      <w:tr w:rsidR="00CF086D" w:rsidTr="00DD3378">
        <w:tc>
          <w:tcPr>
            <w:tcW w:w="575" w:type="dxa"/>
          </w:tcPr>
          <w:p w:rsidR="00CF086D" w:rsidRPr="00995F1F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0"/>
                <w:szCs w:val="20"/>
              </w:rPr>
            </w:pPr>
            <w:r w:rsidRPr="00995F1F">
              <w:rPr>
                <w:rFonts w:ascii="Garamond" w:hAnsi="Garamond"/>
                <w:i/>
                <w:sz w:val="20"/>
                <w:szCs w:val="20"/>
              </w:rPr>
              <w:t>8</w:t>
            </w:r>
          </w:p>
        </w:tc>
        <w:tc>
          <w:tcPr>
            <w:tcW w:w="3678" w:type="dxa"/>
          </w:tcPr>
          <w:p w:rsidR="00CF086D" w:rsidRPr="007B2987" w:rsidRDefault="00CF086D" w:rsidP="00DD3378">
            <w:pPr>
              <w:pStyle w:val="NoSpacing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The narrative poem: writing the self (re)writing history and myth;  reflection on the nature of art/writing</w:t>
            </w:r>
          </w:p>
        </w:tc>
        <w:tc>
          <w:tcPr>
            <w:tcW w:w="4536" w:type="dxa"/>
          </w:tcPr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 xml:space="preserve">Christina </w:t>
            </w:r>
            <w:proofErr w:type="spellStart"/>
            <w:r w:rsidRPr="00BC2118">
              <w:rPr>
                <w:rFonts w:ascii="Garamond" w:hAnsi="Garamond"/>
                <w:sz w:val="20"/>
                <w:u w:val="single"/>
              </w:rPr>
              <w:t>Rosetti</w:t>
            </w:r>
            <w:proofErr w:type="spellEnd"/>
            <w:r w:rsidRPr="00BC2118">
              <w:rPr>
                <w:rFonts w:ascii="Garamond" w:hAnsi="Garamond"/>
                <w:sz w:val="20"/>
                <w:u w:val="single"/>
              </w:rPr>
              <w:t>,</w:t>
            </w:r>
            <w:r w:rsidRPr="00BC2118">
              <w:rPr>
                <w:rFonts w:ascii="Garamond" w:hAnsi="Garamond"/>
                <w:sz w:val="20"/>
              </w:rPr>
              <w:t xml:space="preserve"> ‘Song: When I am Dead’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 xml:space="preserve">Elizabeth Barrett Browning: </w:t>
            </w:r>
            <w:r w:rsidRPr="00BC2118">
              <w:rPr>
                <w:rFonts w:ascii="Garamond" w:hAnsi="Garamond"/>
                <w:i/>
                <w:sz w:val="20"/>
              </w:rPr>
              <w:t>Aurora Leigh</w:t>
            </w:r>
            <w:r w:rsidRPr="00BC2118">
              <w:rPr>
                <w:rFonts w:ascii="Garamond" w:hAnsi="Garamond"/>
                <w:sz w:val="20"/>
              </w:rPr>
              <w:t xml:space="preserve"> (extracts); ‘Hector in the Garden’, ‘The Lost Bower’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Robert Browning</w:t>
            </w:r>
            <w:r w:rsidRPr="00BC2118">
              <w:rPr>
                <w:rFonts w:ascii="Garamond" w:hAnsi="Garamond"/>
                <w:sz w:val="20"/>
              </w:rPr>
              <w:t>,, ‘</w:t>
            </w:r>
            <w:proofErr w:type="spellStart"/>
            <w:r w:rsidRPr="00BC2118">
              <w:rPr>
                <w:rFonts w:ascii="Garamond" w:hAnsi="Garamond"/>
                <w:sz w:val="20"/>
              </w:rPr>
              <w:t>Caliban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 Upon </w:t>
            </w:r>
            <w:proofErr w:type="spellStart"/>
            <w:r w:rsidRPr="00BC2118">
              <w:rPr>
                <w:rFonts w:ascii="Garamond" w:hAnsi="Garamond"/>
                <w:sz w:val="20"/>
              </w:rPr>
              <w:t>Setebos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’; ‘Fra </w:t>
            </w:r>
            <w:proofErr w:type="spellStart"/>
            <w:r w:rsidRPr="00BC2118">
              <w:rPr>
                <w:rFonts w:ascii="Garamond" w:hAnsi="Garamond"/>
                <w:sz w:val="20"/>
              </w:rPr>
              <w:t>Lippo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 Lippi’; ‘An Epistle Containing the Strange Medical Experience of </w:t>
            </w:r>
            <w:proofErr w:type="spellStart"/>
            <w:r w:rsidRPr="00BC2118">
              <w:rPr>
                <w:rFonts w:ascii="Garamond" w:hAnsi="Garamond"/>
                <w:sz w:val="20"/>
              </w:rPr>
              <w:t>Karshish</w:t>
            </w:r>
            <w:proofErr w:type="spellEnd"/>
            <w:r w:rsidRPr="00BC2118">
              <w:rPr>
                <w:rFonts w:ascii="Garamond" w:hAnsi="Garamond"/>
                <w:sz w:val="20"/>
              </w:rPr>
              <w:t>, the Arab Physician’;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Alfred Tennyson</w:t>
            </w:r>
            <w:r w:rsidRPr="00BC2118">
              <w:rPr>
                <w:rFonts w:ascii="Garamond" w:hAnsi="Garamond"/>
                <w:sz w:val="20"/>
              </w:rPr>
              <w:t xml:space="preserve"> ‘The Lady of </w:t>
            </w:r>
            <w:proofErr w:type="spellStart"/>
            <w:r w:rsidRPr="00BC2118">
              <w:rPr>
                <w:rFonts w:ascii="Garamond" w:hAnsi="Garamond"/>
                <w:sz w:val="20"/>
              </w:rPr>
              <w:t>Shalott</w:t>
            </w:r>
            <w:proofErr w:type="spellEnd"/>
            <w:r w:rsidRPr="00BC2118">
              <w:rPr>
                <w:rFonts w:ascii="Garamond" w:hAnsi="Garamond"/>
                <w:sz w:val="20"/>
              </w:rPr>
              <w:t>’;</w:t>
            </w:r>
            <w:r w:rsidRPr="00BC2118">
              <w:rPr>
                <w:sz w:val="20"/>
              </w:rPr>
              <w:t xml:space="preserve"> </w:t>
            </w:r>
            <w:r w:rsidRPr="00BC2118">
              <w:rPr>
                <w:rFonts w:ascii="Garamond" w:hAnsi="Garamond"/>
                <w:sz w:val="20"/>
              </w:rPr>
              <w:t>‘Locksley Hall’</w:t>
            </w:r>
          </w:p>
        </w:tc>
      </w:tr>
      <w:tr w:rsidR="00CF086D" w:rsidTr="00DD3378">
        <w:tc>
          <w:tcPr>
            <w:tcW w:w="575" w:type="dxa"/>
          </w:tcPr>
          <w:p w:rsidR="00CF086D" w:rsidRPr="00995F1F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0"/>
                <w:szCs w:val="20"/>
              </w:rPr>
            </w:pPr>
            <w:r w:rsidRPr="00995F1F">
              <w:rPr>
                <w:rFonts w:ascii="Garamond" w:hAnsi="Garamond"/>
                <w:i/>
                <w:sz w:val="20"/>
                <w:szCs w:val="20"/>
              </w:rPr>
              <w:t>9</w:t>
            </w:r>
          </w:p>
        </w:tc>
        <w:tc>
          <w:tcPr>
            <w:tcW w:w="3678" w:type="dxa"/>
          </w:tcPr>
          <w:p w:rsidR="00CF086D" w:rsidRDefault="00CF086D" w:rsidP="00DD3378">
            <w:pPr>
              <w:pStyle w:val="NoSpacing"/>
              <w:rPr>
                <w:rFonts w:ascii="Garamond" w:hAnsi="Garamond"/>
              </w:rPr>
            </w:pPr>
            <w:r w:rsidRPr="00BC2118">
              <w:rPr>
                <w:rFonts w:ascii="Garamond" w:hAnsi="Garamond"/>
                <w:sz w:val="20"/>
              </w:rPr>
              <w:t xml:space="preserve">MODERNIST POETRY’S REJECTIONS &amp; REVISIONS: </w:t>
            </w:r>
          </w:p>
          <w:p w:rsidR="00CF086D" w:rsidRPr="007B2987" w:rsidRDefault="00CF086D" w:rsidP="00DD3378">
            <w:pPr>
              <w:pStyle w:val="NoSpacing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Shifting </w:t>
            </w:r>
            <w:r w:rsidRPr="00214539">
              <w:rPr>
                <w:rFonts w:ascii="Garamond" w:hAnsi="Garamond"/>
              </w:rPr>
              <w:t xml:space="preserve">subjectivity, representation and gender; </w:t>
            </w:r>
            <w:r>
              <w:rPr>
                <w:rFonts w:ascii="Garamond" w:hAnsi="Garamond"/>
              </w:rPr>
              <w:t xml:space="preserve">fracturing </w:t>
            </w:r>
            <w:r w:rsidRPr="00214539">
              <w:rPr>
                <w:rFonts w:ascii="Garamond" w:hAnsi="Garamond"/>
              </w:rPr>
              <w:t>the dramatic monologue;</w:t>
            </w:r>
            <w:r>
              <w:rPr>
                <w:rFonts w:ascii="Garamond" w:hAnsi="Garamond"/>
              </w:rPr>
              <w:t xml:space="preserve"> Imagism</w:t>
            </w:r>
          </w:p>
        </w:tc>
        <w:tc>
          <w:tcPr>
            <w:tcW w:w="4536" w:type="dxa"/>
          </w:tcPr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HD</w:t>
            </w:r>
            <w:r w:rsidRPr="00BC2118">
              <w:rPr>
                <w:rFonts w:ascii="Garamond" w:hAnsi="Garamond"/>
                <w:sz w:val="20"/>
              </w:rPr>
              <w:t>, ‘</w:t>
            </w:r>
            <w:proofErr w:type="spellStart"/>
            <w:r w:rsidRPr="00BC2118">
              <w:rPr>
                <w:rFonts w:ascii="Garamond" w:hAnsi="Garamond"/>
                <w:sz w:val="20"/>
              </w:rPr>
              <w:t>Oread</w:t>
            </w:r>
            <w:proofErr w:type="spellEnd"/>
            <w:r w:rsidRPr="00BC2118">
              <w:rPr>
                <w:rFonts w:ascii="Garamond" w:hAnsi="Garamond"/>
                <w:sz w:val="20"/>
              </w:rPr>
              <w:t>’; ‘Sea Rose’;</w:t>
            </w:r>
            <w:r w:rsidRPr="00BC2118">
              <w:rPr>
                <w:sz w:val="20"/>
              </w:rPr>
              <w:t xml:space="preserve"> ‘</w:t>
            </w:r>
            <w:r w:rsidRPr="00BC2118">
              <w:rPr>
                <w:rFonts w:ascii="Garamond" w:hAnsi="Garamond"/>
                <w:sz w:val="20"/>
              </w:rPr>
              <w:t>Sheltered Garden’; ‘Helen’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proofErr w:type="spellStart"/>
            <w:r w:rsidRPr="00BC2118">
              <w:rPr>
                <w:rFonts w:ascii="Garamond" w:hAnsi="Garamond"/>
                <w:sz w:val="20"/>
                <w:u w:val="single"/>
              </w:rPr>
              <w:t>T.S.Eliot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, ‘The </w:t>
            </w:r>
            <w:proofErr w:type="spellStart"/>
            <w:r w:rsidRPr="00BC2118">
              <w:rPr>
                <w:rFonts w:ascii="Garamond" w:hAnsi="Garamond"/>
                <w:sz w:val="20"/>
              </w:rPr>
              <w:t>Lovesong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 of </w:t>
            </w:r>
            <w:proofErr w:type="spellStart"/>
            <w:r w:rsidRPr="00BC2118">
              <w:rPr>
                <w:rFonts w:ascii="Garamond" w:hAnsi="Garamond"/>
                <w:sz w:val="20"/>
              </w:rPr>
              <w:t>J.Alfred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 </w:t>
            </w:r>
            <w:proofErr w:type="spellStart"/>
            <w:r w:rsidRPr="00BC2118">
              <w:rPr>
                <w:rFonts w:ascii="Garamond" w:hAnsi="Garamond"/>
                <w:sz w:val="20"/>
              </w:rPr>
              <w:t>Prufrock</w:t>
            </w:r>
            <w:proofErr w:type="spellEnd"/>
            <w:r w:rsidRPr="00BC2118">
              <w:rPr>
                <w:rFonts w:ascii="Garamond" w:hAnsi="Garamond"/>
                <w:sz w:val="20"/>
              </w:rPr>
              <w:t>’; ‘</w:t>
            </w:r>
            <w:proofErr w:type="spellStart"/>
            <w:r w:rsidRPr="00BC2118">
              <w:rPr>
                <w:rFonts w:ascii="Garamond" w:hAnsi="Garamond"/>
                <w:sz w:val="20"/>
              </w:rPr>
              <w:t>Gerontion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’ 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Ezra Pound</w:t>
            </w:r>
            <w:r w:rsidRPr="00BC2118">
              <w:rPr>
                <w:rFonts w:ascii="Garamond" w:hAnsi="Garamond"/>
                <w:sz w:val="20"/>
              </w:rPr>
              <w:t>, ‘In a Station at the Metro’,</w:t>
            </w:r>
          </w:p>
        </w:tc>
      </w:tr>
      <w:tr w:rsidR="00CF086D" w:rsidTr="00DD3378">
        <w:tc>
          <w:tcPr>
            <w:tcW w:w="575" w:type="dxa"/>
          </w:tcPr>
          <w:p w:rsidR="00CF086D" w:rsidRPr="00995F1F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0"/>
                <w:szCs w:val="20"/>
              </w:rPr>
            </w:pPr>
            <w:r w:rsidRPr="00995F1F">
              <w:rPr>
                <w:rFonts w:ascii="Garamond" w:hAnsi="Garamond"/>
                <w:i/>
                <w:sz w:val="20"/>
                <w:szCs w:val="20"/>
              </w:rPr>
              <w:t>10</w:t>
            </w:r>
          </w:p>
        </w:tc>
        <w:tc>
          <w:tcPr>
            <w:tcW w:w="3678" w:type="dxa"/>
          </w:tcPr>
          <w:p w:rsidR="00CF086D" w:rsidRPr="007B2987" w:rsidRDefault="00CF086D" w:rsidP="00DD3378">
            <w:pPr>
              <w:pStyle w:val="NoSpacing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Rewriting the </w:t>
            </w:r>
            <w:r w:rsidRPr="00F30ED2">
              <w:rPr>
                <w:rFonts w:ascii="Garamond" w:hAnsi="Garamond"/>
              </w:rPr>
              <w:t xml:space="preserve">narrative poem: writing the self (re)writing history and myth;  </w:t>
            </w:r>
            <w:r>
              <w:rPr>
                <w:rFonts w:ascii="Garamond" w:hAnsi="Garamond"/>
              </w:rPr>
              <w:t>writing and translation</w:t>
            </w:r>
          </w:p>
        </w:tc>
        <w:tc>
          <w:tcPr>
            <w:tcW w:w="4536" w:type="dxa"/>
          </w:tcPr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r w:rsidRPr="00BC2118">
              <w:rPr>
                <w:rFonts w:ascii="Garamond" w:hAnsi="Garamond"/>
                <w:sz w:val="20"/>
                <w:u w:val="single"/>
              </w:rPr>
              <w:t>Ezra Pound</w:t>
            </w:r>
            <w:r w:rsidRPr="00BC2118">
              <w:rPr>
                <w:rFonts w:ascii="Garamond" w:hAnsi="Garamond"/>
                <w:sz w:val="20"/>
              </w:rPr>
              <w:t xml:space="preserve">, ‘Near </w:t>
            </w:r>
            <w:proofErr w:type="spellStart"/>
            <w:r w:rsidRPr="00BC2118">
              <w:rPr>
                <w:rFonts w:ascii="Garamond" w:hAnsi="Garamond"/>
                <w:sz w:val="20"/>
              </w:rPr>
              <w:t>Perigord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’; ‘The Seafarer’; </w:t>
            </w:r>
            <w:r w:rsidRPr="00BC2118">
              <w:rPr>
                <w:rFonts w:ascii="Garamond" w:hAnsi="Garamond"/>
                <w:i/>
                <w:sz w:val="20"/>
              </w:rPr>
              <w:t>Cathay</w:t>
            </w:r>
            <w:r w:rsidRPr="00BC2118">
              <w:rPr>
                <w:rFonts w:ascii="Garamond" w:hAnsi="Garamond"/>
                <w:sz w:val="20"/>
              </w:rPr>
              <w:t xml:space="preserve">; ‘Hugh Selwyn </w:t>
            </w:r>
            <w:proofErr w:type="spellStart"/>
            <w:r w:rsidRPr="00BC2118">
              <w:rPr>
                <w:rFonts w:ascii="Garamond" w:hAnsi="Garamond"/>
                <w:sz w:val="20"/>
              </w:rPr>
              <w:t>Mauberley</w:t>
            </w:r>
            <w:proofErr w:type="spellEnd"/>
            <w:r w:rsidRPr="00BC2118">
              <w:rPr>
                <w:rFonts w:ascii="Garamond" w:hAnsi="Garamond"/>
                <w:sz w:val="20"/>
              </w:rPr>
              <w:t>’</w:t>
            </w:r>
          </w:p>
          <w:p w:rsidR="00CF086D" w:rsidRPr="00BC2118" w:rsidRDefault="00CF086D" w:rsidP="00DD3378">
            <w:pPr>
              <w:pStyle w:val="NoSpacing"/>
              <w:rPr>
                <w:rFonts w:ascii="Garamond" w:hAnsi="Garamond"/>
                <w:sz w:val="20"/>
              </w:rPr>
            </w:pPr>
            <w:proofErr w:type="spellStart"/>
            <w:r w:rsidRPr="00BC2118">
              <w:rPr>
                <w:rFonts w:ascii="Garamond" w:hAnsi="Garamond"/>
                <w:sz w:val="20"/>
                <w:u w:val="single"/>
              </w:rPr>
              <w:t>T.S.Eliot</w:t>
            </w:r>
            <w:proofErr w:type="spellEnd"/>
            <w:r w:rsidRPr="00BC2118">
              <w:rPr>
                <w:rFonts w:ascii="Garamond" w:hAnsi="Garamond"/>
                <w:sz w:val="20"/>
              </w:rPr>
              <w:t xml:space="preserve">, </w:t>
            </w:r>
            <w:r w:rsidRPr="00BC2118">
              <w:rPr>
                <w:rFonts w:ascii="Garamond" w:hAnsi="Garamond"/>
                <w:i/>
                <w:sz w:val="20"/>
              </w:rPr>
              <w:t>The Waste Land; Ash Wednesday</w:t>
            </w:r>
          </w:p>
        </w:tc>
      </w:tr>
      <w:tr w:rsidR="00CF086D" w:rsidTr="00DD3378">
        <w:tc>
          <w:tcPr>
            <w:tcW w:w="575" w:type="dxa"/>
          </w:tcPr>
          <w:p w:rsidR="00CF086D" w:rsidRPr="00995F1F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0"/>
                <w:szCs w:val="20"/>
              </w:rPr>
            </w:pPr>
            <w:r w:rsidRPr="00995F1F">
              <w:rPr>
                <w:rFonts w:ascii="Garamond" w:hAnsi="Garamond"/>
                <w:i/>
                <w:sz w:val="20"/>
                <w:szCs w:val="20"/>
              </w:rPr>
              <w:t>11</w:t>
            </w:r>
          </w:p>
        </w:tc>
        <w:tc>
          <w:tcPr>
            <w:tcW w:w="8214" w:type="dxa"/>
            <w:gridSpan w:val="2"/>
          </w:tcPr>
          <w:p w:rsidR="00CF086D" w:rsidRPr="007B2987" w:rsidRDefault="00CF086D" w:rsidP="00CF086D">
            <w:pPr>
              <w:pStyle w:val="NoSpacing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REPRISE</w:t>
            </w:r>
          </w:p>
        </w:tc>
      </w:tr>
      <w:tr w:rsidR="00CF086D" w:rsidTr="00CF086D">
        <w:trPr>
          <w:trHeight w:val="494"/>
        </w:trPr>
        <w:tc>
          <w:tcPr>
            <w:tcW w:w="8789" w:type="dxa"/>
            <w:gridSpan w:val="3"/>
          </w:tcPr>
          <w:p w:rsidR="00CF086D" w:rsidRPr="00CF086D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10"/>
              </w:rPr>
            </w:pPr>
          </w:p>
          <w:p w:rsidR="00CF086D" w:rsidRPr="007B2987" w:rsidRDefault="00CF086D" w:rsidP="00DD3378">
            <w:pPr>
              <w:pStyle w:val="NoSpacing"/>
              <w:jc w:val="center"/>
              <w:rPr>
                <w:rFonts w:ascii="Garamond" w:hAnsi="Garamond"/>
                <w:i/>
                <w:sz w:val="24"/>
              </w:rPr>
            </w:pPr>
            <w:r w:rsidRPr="007B2987">
              <w:rPr>
                <w:rFonts w:ascii="Garamond" w:hAnsi="Garamond"/>
                <w:i/>
                <w:sz w:val="20"/>
              </w:rPr>
              <w:t>Second assessment due</w:t>
            </w:r>
          </w:p>
        </w:tc>
      </w:tr>
    </w:tbl>
    <w:p w:rsidR="00CF086D" w:rsidRDefault="00CF086D" w:rsidP="00CF086D">
      <w:pPr>
        <w:pStyle w:val="NoSpacing"/>
        <w:rPr>
          <w:rFonts w:ascii="Garamond" w:hAnsi="Garamond"/>
          <w:sz w:val="24"/>
        </w:rPr>
      </w:pPr>
    </w:p>
    <w:p w:rsidR="00CF086D" w:rsidRPr="00CF086D" w:rsidRDefault="00CF086D" w:rsidP="00CF086D">
      <w:pPr>
        <w:pStyle w:val="NoSpacing"/>
        <w:rPr>
          <w:rFonts w:ascii="Garamond" w:hAnsi="Garamond"/>
        </w:rPr>
      </w:pPr>
    </w:p>
    <w:p w:rsidR="00CF086D" w:rsidRPr="00CF086D" w:rsidRDefault="00CF086D" w:rsidP="00CF086D">
      <w:pPr>
        <w:pStyle w:val="NoSpacing"/>
        <w:rPr>
          <w:rFonts w:ascii="Garamond" w:hAnsi="Garamond"/>
          <w:b/>
        </w:rPr>
      </w:pPr>
      <w:r w:rsidRPr="00CF086D">
        <w:rPr>
          <w:rFonts w:ascii="Garamond" w:hAnsi="Garamond"/>
          <w:b/>
        </w:rPr>
        <w:t xml:space="preserve">Example question: </w:t>
      </w:r>
    </w:p>
    <w:p w:rsidR="00CF086D" w:rsidRPr="00CF086D" w:rsidRDefault="00CF086D" w:rsidP="00CF086D">
      <w:pPr>
        <w:pStyle w:val="NoSpacing"/>
        <w:rPr>
          <w:rFonts w:ascii="Garamond" w:hAnsi="Garamond"/>
        </w:rPr>
      </w:pPr>
    </w:p>
    <w:p w:rsidR="00CF086D" w:rsidRPr="00CF086D" w:rsidRDefault="00CF086D" w:rsidP="00CF086D">
      <w:pPr>
        <w:pStyle w:val="NoSpacing"/>
        <w:rPr>
          <w:rFonts w:ascii="Garamond" w:hAnsi="Garamond"/>
        </w:rPr>
      </w:pPr>
      <w:r w:rsidRPr="00CF086D">
        <w:rPr>
          <w:rFonts w:ascii="Garamond" w:hAnsi="Garamond"/>
        </w:rPr>
        <w:t>‘By seeing utterance as both subject and object it was possible for the poet to explore expressive psychological forms simultaneously as psychological conditions and as constructs’ (Armstrong) Discuss a range of either Victorian or Modernist poems in the light of this comment.</w:t>
      </w:r>
    </w:p>
    <w:sectPr w:rsidR="00CF086D" w:rsidRPr="00CF0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86D"/>
    <w:rsid w:val="00CF086D"/>
    <w:rsid w:val="00F7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086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F0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CF0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086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F0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CF0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</dc:creator>
  <cp:lastModifiedBy>jeni</cp:lastModifiedBy>
  <cp:revision>1</cp:revision>
  <dcterms:created xsi:type="dcterms:W3CDTF">2013-08-08T17:07:00Z</dcterms:created>
  <dcterms:modified xsi:type="dcterms:W3CDTF">2013-08-08T17:12:00Z</dcterms:modified>
</cp:coreProperties>
</file>