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B44010B" w:rsidP="3F93D4C7" w:rsidRDefault="3B44010B" w14:paraId="08C3AE99" w14:textId="46C240C4">
      <w:pPr>
        <w:pStyle w:val="Normal"/>
        <w:rPr>
          <w:rFonts w:ascii="Arial" w:hAnsi="Arial" w:eastAsia="Arial" w:cs="Arial"/>
          <w:b w:val="0"/>
          <w:bCs w:val="0"/>
          <w:i w:val="0"/>
          <w:iCs w:val="0"/>
          <w:noProof w:val="0"/>
          <w:color w:val="auto"/>
          <w:sz w:val="22"/>
          <w:szCs w:val="22"/>
          <w:lang w:val="en-GB"/>
        </w:rPr>
      </w:pPr>
      <w:bookmarkStart w:name="_GoBack" w:id="0"/>
      <w:bookmarkEnd w:id="0"/>
      <w:r w:rsidRPr="3F93D4C7" w:rsidR="3F93D4C7">
        <w:rPr>
          <w:rFonts w:ascii="Arial" w:hAnsi="Arial" w:eastAsia="Arial" w:cs="Arial"/>
          <w:sz w:val="24"/>
          <w:szCs w:val="24"/>
        </w:rPr>
        <w:t>This assignment is going to be written about an article that has a critical examination on the minimum sentencing for murder in England and Wales. It is called a critical examination 10 years after the Criminal Justice Act 2003. In 2003 the UK parliament introduced a presumptive sentence for anyone who committed the offence of murder. It is known as S21 of the Criminal Justice Act 2003; this article critically analyses whether or not this minimum sentence actually works when sentencing an individual with the offence of murder. Although this schedule has now been in place for over a decade there is limited research on examining its practice. In 2011 due to it being so under researched in practice it was decided by the ministry of justice that they needed to consider the viability of the minimum sentence of murder in England and Wales. This article describes the concerns from the Ministry of Justice and also whether or not it needs to be changed. The interesting points made in this article is how long they took actually argue that this sentencing and legislation was “ill-thought out and had an over prescriptive policy (). The Author of this article is Kate Fitz-Gibbon and she is the director of the Monash Gender and Family Violence Prevention and she is also a professor in Criminology, she is a research fellow in the School of Law and Social Justice University (Monach University, 2020). The author uses relevant sources such as the Ministry of Justice and actual statistics to back her argument about sentencing. She also conducted an interview with 83 members of three jurisdictions, in depth interviews conducted in England which all had at least 24 months experience within the criminal justice system including either one being in the role of a judge or legal counsel in murder cases. All audios were audio-taped and the all lasted between 30-90 minutes each, although the interview that took place England was the most in depth there were also interviews that took place in Leeds, Birmingham, Manchester and Liverpool. 20 of these respondents were practicing criminal barrister who have acted in both prosecution and defence counselling within homicide cases previously, out of these 20 4 were female and 16 were male making up the total of 85% to male respondents. It was all conducted professionally and they had to sign a confidentiality agreement and also analysed the responses with data software called NVivo. The results to the data that was provided had a good insight into the impact of this legislation. Bauldwin (2008) stated This has meant that to date, ‘this distaste for research has not altogether prevented criminologists from involving sentencers in their inquiries, although it has invariably been lay magistrates rather than professional judges who have participated”. The death penalty was abolished in 1965 which led to the mandatory maximum term ‘of life’ coming into practice. This article states that the courts must also determine what the minimum imprisonment that they have to serve before they are eligible to be released on licence. The length of the minimum imprisonment to serve depends on the seriousness of the offence committed (Mitchell and Roberts, 2012). This article looks at how the judge makes the decision by imposing the relevant starting points based on the characteristics of the individual. In England and Wales there are five stated starting minimum points and these are 12, 15, 25, 30 and whole life imprisonment. It is stated that the points of if the offence is committed by a person under the age of 18 then it is 12 years starting point, if the person is over 18 years of age when the crime was committed then it will be 15 years starting point. If the offender is seen as intending to commit this offence by taking a knife or any form of weapon to the scene and is over 18 then the starting point will be 25 years imprisonment depending if nothing else that happened on scene falls into the starting points of 30 or whole life (Criminal Justice Act, 2003). The 2003 act to support a judge's decision on sentencing a person has to look at the non-exhaustive mitigating and aggravating factors, other considerations when making a decision is taken into place depending upon an individual criminal history, whether a plea was entered and whether the person who committed the offence was on bail whilst committing the offence. This article has shown that it has been stated that the sentencing and the legislation and even the way the judge basis their decision has said to be ridiculous, insane and causing very serious problems within the criminal justice system. It is believed that something as inflexible as this sentencing will cause problems. The article does well in researching the topics of murder charges, it examines the critiques of the sentencing alongside other critiques such as the role that legislation has played in increasing sentences imposed for murder. This article also shows that the number of responses believed that the starting points of the murders is unruly and is largely set on numerical values, the respondents stated that it is too high and have increased a lot more than when it was the old law (Ashworth and Player, 2005). It is said that in some cases the sentence given has been way too high for the crimes that have been made it was argued in this article from one judge that “</w:t>
      </w:r>
      <w:r w:rsidRPr="3F93D4C7" w:rsidR="3F93D4C7">
        <w:rPr>
          <w:rFonts w:ascii="Arial" w:hAnsi="Arial" w:eastAsia="Arial" w:cs="Arial"/>
          <w:b w:val="0"/>
          <w:bCs w:val="0"/>
          <w:i w:val="0"/>
          <w:iCs w:val="0"/>
          <w:noProof w:val="0"/>
          <w:color w:val="auto"/>
          <w:sz w:val="22"/>
          <w:szCs w:val="22"/>
          <w:lang w:val="en-GB"/>
        </w:rPr>
        <w:t xml:space="preserve">One of the consequences of the tariffs set by Parliament for murder has been to ratchet up the sentencing for attempted murder and manslaughter for this very reason. I’m not sure that that ratcheting up is necessarily good. I’m not sure </w:t>
      </w:r>
      <w:proofErr w:type="gramStart"/>
      <w:r w:rsidRPr="3F93D4C7" w:rsidR="3F93D4C7">
        <w:rPr>
          <w:rFonts w:ascii="Arial" w:hAnsi="Arial" w:eastAsia="Arial" w:cs="Arial"/>
          <w:b w:val="0"/>
          <w:bCs w:val="0"/>
          <w:i w:val="0"/>
          <w:iCs w:val="0"/>
          <w:noProof w:val="0"/>
          <w:color w:val="auto"/>
          <w:sz w:val="22"/>
          <w:szCs w:val="22"/>
          <w:lang w:val="en-GB"/>
        </w:rPr>
        <w:t>it</w:t>
      </w:r>
      <w:proofErr w:type="gramEnd"/>
      <w:r w:rsidRPr="3F93D4C7" w:rsidR="3F93D4C7">
        <w:rPr>
          <w:rFonts w:ascii="Arial" w:hAnsi="Arial" w:eastAsia="Arial" w:cs="Arial"/>
          <w:b w:val="0"/>
          <w:bCs w:val="0"/>
          <w:i w:val="0"/>
          <w:iCs w:val="0"/>
          <w:noProof w:val="0"/>
          <w:color w:val="auto"/>
          <w:sz w:val="22"/>
          <w:szCs w:val="22"/>
          <w:lang w:val="en-GB"/>
        </w:rPr>
        <w:t xml:space="preserve"> benefit’s society at large”. Bearman (2013) argues that it is problematic maintaining the minimum sentences as through research it has not shown any decline in the fact that these offenders keep re-offending. It is not benefitting the system in any way and has little deterrent value at the end of it. Due to the starting points of the judgement, it is hard to base decision as a woman may have been a victim of domestic violence and self-defence and it needs to take into consideration, it is also important to consider how to better legislate the sentence for murder and this article explains why, it is a good source as it has used a lot of research methods and interviews with many different people within the criminal justice system. Ashworth (2008) explains that there needs to be an alternative approach that will be considerably effective to help these inmates from re-offending when they leave, sentencing guidelines in England and Wales were introduced in 1998. Even though the council to date still have not used a definitive guideline to murder it does include other serious offences such as assault, burglary, drug offences and sexual offences all have a step-to-step guide. </w:t>
      </w:r>
    </w:p>
    <w:p w:rsidR="3B44010B" w:rsidP="48047E2F" w:rsidRDefault="3B44010B" w14:paraId="0B3ABED3" w14:textId="755795CD">
      <w:pPr>
        <w:pStyle w:val="Normal"/>
        <w:rPr>
          <w:rFonts w:ascii="Arial" w:hAnsi="Arial" w:eastAsia="Arial" w:cs="Arial"/>
          <w:b w:val="0"/>
          <w:bCs w:val="0"/>
          <w:i w:val="0"/>
          <w:iCs w:val="0"/>
          <w:noProof w:val="0"/>
          <w:color w:val="auto"/>
          <w:sz w:val="22"/>
          <w:szCs w:val="22"/>
          <w:lang w:val="en-GB"/>
        </w:rPr>
      </w:pPr>
      <w:r w:rsidRPr="48047E2F" w:rsidR="48047E2F">
        <w:rPr>
          <w:rFonts w:ascii="Arial" w:hAnsi="Arial" w:eastAsia="Arial" w:cs="Arial"/>
          <w:b w:val="0"/>
          <w:bCs w:val="0"/>
          <w:i w:val="0"/>
          <w:iCs w:val="0"/>
          <w:noProof w:val="0"/>
          <w:color w:val="auto"/>
          <w:sz w:val="22"/>
          <w:szCs w:val="22"/>
          <w:lang w:val="en-GB"/>
        </w:rPr>
        <w:t xml:space="preserve">In conclusion despite the fact that there has been many critics about the criminal justice system and how the sentencing is not good this article uses a really good range of sources and also research methods used to find out the key points of others opinions within the system, the good and the bad. Although there has been a lot of critique on the topic there still has been no implementation to date. </w:t>
      </w:r>
    </w:p>
    <w:p w:rsidR="3B44010B" w:rsidP="3F93D4C7" w:rsidRDefault="3B44010B" w14:paraId="2303E6E6" w14:textId="4014AC5A">
      <w:pPr>
        <w:pStyle w:val="Normal"/>
        <w:rPr>
          <w:rFonts w:ascii="Arial" w:hAnsi="Arial" w:eastAsia="Arial" w:cs="Arial"/>
          <w:b w:val="1"/>
          <w:bCs w:val="1"/>
          <w:sz w:val="24"/>
          <w:szCs w:val="24"/>
          <w:u w:val="single"/>
        </w:rPr>
      </w:pPr>
    </w:p>
    <w:p w:rsidR="3B44010B" w:rsidP="3F93D4C7" w:rsidRDefault="3B44010B" w14:paraId="324C469F" w14:textId="060B1FED">
      <w:pPr>
        <w:pStyle w:val="Normal"/>
        <w:rPr>
          <w:rFonts w:ascii="Arial" w:hAnsi="Arial" w:eastAsia="Arial" w:cs="Arial"/>
          <w:b w:val="1"/>
          <w:bCs w:val="1"/>
          <w:sz w:val="24"/>
          <w:szCs w:val="24"/>
          <w:u w:val="single"/>
        </w:rPr>
      </w:pPr>
    </w:p>
    <w:p w:rsidR="3B44010B" w:rsidP="3F93D4C7" w:rsidRDefault="3B44010B" w14:paraId="13202FE0" w14:textId="15733533">
      <w:pPr>
        <w:pStyle w:val="Normal"/>
        <w:rPr>
          <w:rFonts w:ascii="Arial" w:hAnsi="Arial" w:eastAsia="Arial" w:cs="Arial"/>
          <w:b w:val="1"/>
          <w:bCs w:val="1"/>
          <w:sz w:val="24"/>
          <w:szCs w:val="24"/>
          <w:u w:val="single"/>
        </w:rPr>
      </w:pPr>
    </w:p>
    <w:p w:rsidR="3B44010B" w:rsidP="3F93D4C7" w:rsidRDefault="3B44010B" w14:paraId="41576FB8" w14:textId="07AF1A51">
      <w:pPr>
        <w:pStyle w:val="Normal"/>
        <w:rPr>
          <w:rFonts w:ascii="Arial" w:hAnsi="Arial" w:eastAsia="Arial" w:cs="Arial"/>
          <w:b w:val="1"/>
          <w:bCs w:val="1"/>
          <w:sz w:val="24"/>
          <w:szCs w:val="24"/>
          <w:u w:val="single"/>
        </w:rPr>
      </w:pPr>
    </w:p>
    <w:p w:rsidR="48047E2F" w:rsidP="48047E2F" w:rsidRDefault="48047E2F" w14:paraId="5CD31E46" w14:textId="03F4253F">
      <w:pPr>
        <w:pStyle w:val="Normal"/>
        <w:rPr>
          <w:rFonts w:ascii="Arial" w:hAnsi="Arial" w:eastAsia="Arial" w:cs="Arial"/>
          <w:b w:val="1"/>
          <w:bCs w:val="1"/>
          <w:sz w:val="24"/>
          <w:szCs w:val="24"/>
          <w:u w:val="single"/>
        </w:rPr>
      </w:pPr>
    </w:p>
    <w:p w:rsidR="48047E2F" w:rsidP="48047E2F" w:rsidRDefault="48047E2F" w14:paraId="626663C1" w14:textId="41B01A9D">
      <w:pPr>
        <w:pStyle w:val="Normal"/>
        <w:rPr>
          <w:rFonts w:ascii="Arial" w:hAnsi="Arial" w:eastAsia="Arial" w:cs="Arial"/>
          <w:b w:val="1"/>
          <w:bCs w:val="1"/>
          <w:sz w:val="24"/>
          <w:szCs w:val="24"/>
          <w:u w:val="single"/>
        </w:rPr>
      </w:pPr>
    </w:p>
    <w:p w:rsidR="48047E2F" w:rsidP="48047E2F" w:rsidRDefault="48047E2F" w14:paraId="45EAA36D" w14:textId="11F743E0">
      <w:pPr>
        <w:pStyle w:val="Normal"/>
        <w:rPr>
          <w:rFonts w:ascii="Arial" w:hAnsi="Arial" w:eastAsia="Arial" w:cs="Arial"/>
          <w:b w:val="1"/>
          <w:bCs w:val="1"/>
          <w:sz w:val="24"/>
          <w:szCs w:val="24"/>
          <w:u w:val="single"/>
        </w:rPr>
      </w:pPr>
    </w:p>
    <w:p w:rsidR="3B44010B" w:rsidP="3B44010B" w:rsidRDefault="3B44010B" w14:paraId="5BB6AF06" w14:textId="21F6ACA5">
      <w:pPr>
        <w:pStyle w:val="Normal"/>
        <w:rPr>
          <w:rFonts w:ascii="Arial" w:hAnsi="Arial" w:eastAsia="Arial" w:cs="Arial"/>
          <w:b w:val="1"/>
          <w:bCs w:val="1"/>
          <w:sz w:val="24"/>
          <w:szCs w:val="24"/>
          <w:u w:val="single"/>
        </w:rPr>
      </w:pPr>
      <w:r w:rsidRPr="3F93D4C7" w:rsidR="3F93D4C7">
        <w:rPr>
          <w:rFonts w:ascii="Arial" w:hAnsi="Arial" w:eastAsia="Arial" w:cs="Arial"/>
          <w:b w:val="1"/>
          <w:bCs w:val="1"/>
          <w:sz w:val="24"/>
          <w:szCs w:val="24"/>
          <w:u w:val="single"/>
        </w:rPr>
        <w:t>References</w:t>
      </w:r>
    </w:p>
    <w:p w:rsidR="3B44010B" w:rsidP="3F93D4C7" w:rsidRDefault="3B44010B" w14:paraId="3E9397C2" w14:textId="34C8D597">
      <w:pPr>
        <w:pStyle w:val="Normal"/>
        <w:rPr>
          <w:rFonts w:ascii="Arial" w:hAnsi="Arial" w:eastAsia="Arial" w:cs="Arial"/>
          <w:b w:val="0"/>
          <w:bCs w:val="0"/>
          <w:i w:val="0"/>
          <w:iCs w:val="0"/>
          <w:noProof w:val="0"/>
          <w:color w:val="auto"/>
          <w:sz w:val="24"/>
          <w:szCs w:val="24"/>
          <w:lang w:val="en-GB"/>
        </w:rPr>
      </w:pPr>
      <w:r w:rsidRPr="3F93D4C7" w:rsidR="3F93D4C7">
        <w:rPr>
          <w:rFonts w:ascii="Arial" w:hAnsi="Arial" w:eastAsia="Arial" w:cs="Arial"/>
          <w:b w:val="0"/>
          <w:bCs w:val="0"/>
          <w:i w:val="0"/>
          <w:iCs w:val="0"/>
          <w:noProof w:val="0"/>
          <w:color w:val="auto"/>
          <w:sz w:val="24"/>
          <w:szCs w:val="24"/>
          <w:lang w:val="en-GB"/>
        </w:rPr>
        <w:t>Ashworth, A, Player, E (2005) Criminal Justice Act 2003: The sentencing provisions. Modern Law Review 68(5): 822–838.</w:t>
      </w:r>
    </w:p>
    <w:p w:rsidR="3B44010B" w:rsidP="3F93D4C7" w:rsidRDefault="3B44010B" w14:paraId="6A991E18" w14:textId="0DC1E6EC">
      <w:pPr>
        <w:pStyle w:val="Normal"/>
        <w:rPr>
          <w:rFonts w:ascii="Arial" w:hAnsi="Arial" w:eastAsia="Arial" w:cs="Arial"/>
          <w:sz w:val="24"/>
          <w:szCs w:val="24"/>
        </w:rPr>
      </w:pPr>
      <w:r w:rsidRPr="3F93D4C7" w:rsidR="3F93D4C7">
        <w:rPr>
          <w:rFonts w:ascii="Arial" w:hAnsi="Arial" w:eastAsia="Arial" w:cs="Arial"/>
          <w:sz w:val="24"/>
          <w:szCs w:val="24"/>
        </w:rPr>
        <w:t xml:space="preserve">Monarch University (2020) Kate Fitz-Gibbon, Available at: </w:t>
      </w:r>
      <w:hyperlink r:id="Rd04354e2c5724c14">
        <w:r w:rsidRPr="3F93D4C7" w:rsidR="3F93D4C7">
          <w:rPr>
            <w:rStyle w:val="Hyperlink"/>
            <w:rFonts w:ascii="Arial" w:hAnsi="Arial" w:eastAsia="Arial" w:cs="Arial"/>
            <w:sz w:val="24"/>
            <w:szCs w:val="24"/>
          </w:rPr>
          <w:t>https://research.monash.edu/en/persons/kate-fitz-gibbon</w:t>
        </w:r>
      </w:hyperlink>
      <w:r w:rsidRPr="3F93D4C7" w:rsidR="3F93D4C7">
        <w:rPr>
          <w:rFonts w:ascii="Arial" w:hAnsi="Arial" w:eastAsia="Arial" w:cs="Arial"/>
          <w:sz w:val="24"/>
          <w:szCs w:val="24"/>
        </w:rPr>
        <w:t xml:space="preserve"> Accessed on: 14/11/2020.</w:t>
      </w:r>
    </w:p>
    <w:p w:rsidR="3B44010B" w:rsidP="3B44010B" w:rsidRDefault="3B44010B" w14:paraId="195AA389" w14:textId="12BBC28C">
      <w:pPr>
        <w:pStyle w:val="Normal"/>
        <w:rPr>
          <w:rFonts w:ascii="Arial" w:hAnsi="Arial" w:eastAsia="Arial" w:cs="Arial"/>
          <w:sz w:val="24"/>
          <w:szCs w:val="24"/>
        </w:rPr>
      </w:pPr>
      <w:r w:rsidRPr="3F93D4C7" w:rsidR="3F93D4C7">
        <w:rPr>
          <w:rFonts w:ascii="Arial" w:hAnsi="Arial" w:eastAsia="Arial" w:cs="Arial"/>
          <w:sz w:val="24"/>
          <w:szCs w:val="24"/>
        </w:rPr>
        <w:t xml:space="preserve"> </w:t>
      </w:r>
    </w:p>
    <w:tbl>
      <w:tblPr>
        <w:tblStyle w:val="TableGrid"/>
        <w:tblW w:w="0" w:type="auto"/>
        <w:tblLayout w:type="fixed"/>
        <w:tblLook w:val="06A0" w:firstRow="1" w:lastRow="0" w:firstColumn="1" w:lastColumn="0" w:noHBand="1" w:noVBand="1"/>
      </w:tblPr>
      <w:tblGrid>
        <w:gridCol w:w="8985"/>
      </w:tblGrid>
      <w:tr w:rsidR="3F93D4C7" w:rsidTr="3F93D4C7" w14:paraId="2A3B8DDC">
        <w:trPr>
          <w:trHeight w:val="705"/>
        </w:trPr>
        <w:tc>
          <w:tcPr>
            <w:tcW w:w="8985" w:type="dxa"/>
            <w:tcMar/>
          </w:tcPr>
          <w:p w:rsidR="3F93D4C7" w:rsidP="3F93D4C7" w:rsidRDefault="3F93D4C7" w14:paraId="2CA29D88" w14:textId="38297914">
            <w:pPr>
              <w:spacing w:line="300" w:lineRule="exact"/>
            </w:pPr>
            <w:r w:rsidRPr="3F93D4C7" w:rsidR="3F93D4C7">
              <w:rPr>
                <w:rFonts w:ascii="Arial" w:hAnsi="Arial" w:eastAsia="Arial" w:cs="Arial"/>
                <w:b w:val="0"/>
                <w:bCs w:val="0"/>
                <w:i w:val="0"/>
                <w:iCs w:val="0"/>
                <w:color w:val="auto"/>
                <w:sz w:val="24"/>
                <w:szCs w:val="24"/>
              </w:rPr>
              <w:t>Bearman, G, Dar, A (2013) Prison Population Statistics SN/SG/4334, UK Parliament: House of Commons Library</w:t>
            </w:r>
          </w:p>
        </w:tc>
      </w:tr>
    </w:tbl>
    <w:p w:rsidR="3B44010B" w:rsidP="3F93D4C7" w:rsidRDefault="3B44010B" w14:paraId="12819AF8" w14:textId="640716ED">
      <w:pPr>
        <w:pStyle w:val="Normal"/>
        <w:rPr>
          <w:rFonts w:ascii="Arial" w:hAnsi="Arial" w:eastAsia="Arial" w:cs="Arial"/>
          <w:b w:val="0"/>
          <w:bCs w:val="0"/>
          <w:i w:val="0"/>
          <w:iCs w:val="0"/>
          <w:noProof w:val="0"/>
          <w:color w:val="auto"/>
          <w:sz w:val="24"/>
          <w:szCs w:val="24"/>
          <w:lang w:val="en-GB"/>
        </w:rPr>
      </w:pPr>
      <w:r w:rsidRPr="3F93D4C7" w:rsidR="3F93D4C7">
        <w:rPr>
          <w:rFonts w:ascii="Arial" w:hAnsi="Arial" w:eastAsia="Arial" w:cs="Arial"/>
          <w:b w:val="0"/>
          <w:bCs w:val="0"/>
          <w:i w:val="0"/>
          <w:iCs w:val="0"/>
          <w:noProof w:val="0"/>
          <w:color w:val="auto"/>
          <w:sz w:val="24"/>
          <w:szCs w:val="24"/>
          <w:lang w:val="en-GB"/>
        </w:rPr>
        <w:t>Mitchell, B, Roberts, J (2012) Sentencing for murder: Exploring public knowledge and public opinion in England and Wales. British Journal of Criminology 52(1): 141–158.</w:t>
      </w:r>
    </w:p>
    <w:p w:rsidR="3F93D4C7" w:rsidP="3F93D4C7" w:rsidRDefault="3F93D4C7" w14:paraId="3949BA6B" w14:textId="18244CF6">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26EF1AC"/>
  <w15:docId w15:val="{39276506-ffae-4f31-acca-4fdda552b5db}"/>
  <w:rsids>
    <w:rsidRoot w:val="726EF1AC"/>
    <w:rsid w:val="3B44010B"/>
    <w:rsid w:val="3F93D4C7"/>
    <w:rsid w:val="48047E2F"/>
    <w:rsid w:val="726EF1A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research.monash.edu/en/persons/kate-fitz-gibbon" TargetMode="External" Id="Rd04354e2c5724c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kacey sweetland</dc:creator>
  <keywords/>
  <dc:description/>
  <lastModifiedBy>kacey sweetland</lastModifiedBy>
  <revision>4</revision>
  <dcterms:created xsi:type="dcterms:W3CDTF">2020-11-20T18:07:48.2104631Z</dcterms:created>
  <dcterms:modified xsi:type="dcterms:W3CDTF">2020-11-20T21:30:47.5906359Z</dcterms:modified>
</coreProperties>
</file>