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rPr>
          <w:rFonts w:ascii="Arial" w:hAnsi="Arial" w:eastAsia="Calibri" w:cs="Arial"/>
          <w:color w:val="5B9BD5"/>
          <w:szCs w:val="22"/>
        </w:rPr>
        <w:id w:val="161133327"/>
        <w:docPartObj>
          <w:docPartGallery w:val="Cover Pages"/>
          <w:docPartUnique/>
        </w:docPartObj>
      </w:sdtPr>
      <w:sdtEndPr>
        <w:rPr>
          <w:color w:val="auto"/>
        </w:rPr>
      </w:sdtEndPr>
      <w:sdtContent>
        <w:p w:rsidRPr="002E19AF" w:rsidR="002E19AF" w:rsidP="002E19AF" w:rsidRDefault="002E19AF" w14:paraId="37DAAB4A" w14:textId="0E74CEE1">
          <w:pPr>
            <w:spacing w:before="1540" w:after="240" w:line="240" w:lineRule="auto"/>
            <w:ind w:left="0" w:firstLine="0"/>
            <w:rPr>
              <w:rFonts w:ascii="Arial" w:hAnsi="Arial" w:eastAsia="Calibri" w:cs="Arial"/>
              <w:color w:val="5B9BD5"/>
              <w:szCs w:val="22"/>
            </w:rPr>
          </w:pPr>
        </w:p>
        <w:sdt>
          <w:sdtPr>
            <w:rPr>
              <w:rFonts w:ascii="Arial" w:hAnsi="Arial" w:cs="Arial"/>
              <w:caps/>
              <w:color w:val="5B9BD5"/>
              <w:sz w:val="56"/>
              <w:szCs w:val="72"/>
            </w:rPr>
            <w:alias w:val="Title"/>
            <w:tag w:val=""/>
            <w:id w:val="1735040861"/>
            <w:placeholder>
              <w:docPart w:val="9418C1E96AEB406EAA5D224193952095"/>
            </w:placeholder>
            <w:dataBinding w:prefixMappings="xmlns:ns0='http://purl.org/dc/elements/1.1/' xmlns:ns1='http://schemas.openxmlformats.org/package/2006/metadata/core-properties' " w:xpath="/ns1:coreProperties[1]/ns0:title[1]" w:storeItemID="{6C3C8BC8-F283-45AE-878A-BAB7291924A1}"/>
            <w:text/>
          </w:sdtPr>
          <w:sdtContent>
            <w:p w:rsidRPr="002E19AF" w:rsidR="002E19AF" w:rsidP="002E19AF" w:rsidRDefault="002E19AF" w14:paraId="5AEA0229" w14:textId="60C511A1">
              <w:pPr>
                <w:pBdr>
                  <w:top w:val="single" w:color="5B9BD5" w:sz="6" w:space="6"/>
                  <w:bottom w:val="single" w:color="5B9BD5" w:sz="6" w:space="6"/>
                </w:pBdr>
                <w:spacing w:after="240" w:line="240" w:lineRule="auto"/>
                <w:ind w:left="0" w:firstLine="0"/>
                <w:jc w:val="center"/>
                <w:rPr>
                  <w:rFonts w:ascii="Arial" w:hAnsi="Arial" w:cs="Arial"/>
                  <w:caps/>
                  <w:color w:val="5B9BD5"/>
                  <w:sz w:val="56"/>
                  <w:szCs w:val="72"/>
                </w:rPr>
              </w:pPr>
              <w:r w:rsidRPr="00F12C13">
                <w:rPr>
                  <w:rFonts w:ascii="Arial" w:hAnsi="Arial" w:cs="Arial"/>
                  <w:caps/>
                  <w:color w:val="5B9BD5"/>
                  <w:sz w:val="56"/>
                  <w:szCs w:val="72"/>
                </w:rPr>
                <w:t>MARRIOTT INTERNATIONAL, INC</w:t>
              </w:r>
            </w:p>
          </w:sdtContent>
        </w:sdt>
        <w:sdt>
          <w:sdtPr>
            <w:rPr>
              <w:rFonts w:ascii="Arial" w:hAnsi="Arial" w:cs="Arial"/>
              <w:color w:val="5B9BD5"/>
              <w:sz w:val="28"/>
              <w:szCs w:val="28"/>
            </w:rPr>
            <w:alias w:val="Subtitle"/>
            <w:tag w:val=""/>
            <w:id w:val="328029620"/>
            <w:placeholder>
              <w:docPart w:val="64F47540C316434E938673573D4933AE"/>
            </w:placeholder>
            <w:dataBinding w:prefixMappings="xmlns:ns0='http://purl.org/dc/elements/1.1/' xmlns:ns1='http://schemas.openxmlformats.org/package/2006/metadata/core-properties' " w:xpath="/ns1:coreProperties[1]/ns0:subject[1]" w:storeItemID="{6C3C8BC8-F283-45AE-878A-BAB7291924A1}"/>
            <w:text/>
          </w:sdtPr>
          <w:sdtContent>
            <w:p w:rsidRPr="002E19AF" w:rsidR="002E19AF" w:rsidP="002E19AF" w:rsidRDefault="002E19AF" w14:paraId="5E61B549" w14:textId="70F3B62A">
              <w:pPr>
                <w:spacing w:line="240" w:lineRule="auto"/>
                <w:ind w:left="0" w:firstLine="0"/>
                <w:jc w:val="center"/>
                <w:rPr>
                  <w:rFonts w:ascii="Arial" w:hAnsi="Arial" w:cs="Arial"/>
                  <w:color w:val="5B9BD5"/>
                  <w:sz w:val="28"/>
                  <w:szCs w:val="28"/>
                </w:rPr>
              </w:pPr>
              <w:r>
                <w:rPr>
                  <w:rFonts w:ascii="Arial" w:hAnsi="Arial" w:cs="Arial"/>
                  <w:color w:val="5B9BD5"/>
                  <w:sz w:val="28"/>
                  <w:szCs w:val="28"/>
                </w:rPr>
                <w:t>Ratio Analysis</w:t>
              </w:r>
            </w:p>
          </w:sdtContent>
        </w:sdt>
        <w:p w:rsidRPr="002E19AF" w:rsidR="002E19AF" w:rsidP="2741F56E" w:rsidRDefault="00000000" w14:paraId="71047F99" w14:textId="3089C902">
          <w:pPr>
            <w:spacing w:before="480" w:line="240" w:lineRule="auto"/>
            <w:ind w:left="0" w:firstLine="0"/>
            <w:jc w:val="center"/>
            <w:rPr>
              <w:rFonts w:ascii="Arial" w:hAnsi="Arial" w:cs="Arial"/>
              <w:color w:val="5B9BD5" w:themeColor="accent5" w:themeTint="FF" w:themeShade="FF"/>
              <w:sz w:val="22"/>
              <w:szCs w:val="22"/>
            </w:rPr>
          </w:pPr>
          <w:r w:rsidRPr="002E19AF" w:rsidR="002E19AF">
            <w:rPr>
              <w:rFonts w:ascii="Arial" w:hAnsi="Arial" w:cs="Arial"/>
              <w:noProof/>
              <w:color w:val="5B9BD5"/>
              <w:sz w:val="22"/>
              <w:szCs w:val="22"/>
            </w:rPr>
            <w:drawing>
              <wp:inline distT="0" distB="0" distL="0" distR="0" wp14:anchorId="4AE6055B" wp14:editId="756856F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rsidR="002E19AF" w:rsidP="2741F56E" w:rsidRDefault="002E19AF" w14:paraId="0C33FB15" w14:textId="77777777" w14:noSpellErr="1">
      <w:pPr>
        <w:rPr>
          <w:color w:val="2E74B5" w:themeColor="accent5" w:themeTint="FF" w:themeShade="BF"/>
        </w:rPr>
      </w:pPr>
    </w:p>
    <w:p w:rsidRPr="00962450" w:rsidR="00DF7404" w:rsidP="2741F56E" w:rsidRDefault="00DF7404" w14:paraId="21B643DC" w14:textId="2BDD315D">
      <w:pPr>
        <w:pStyle w:val="Normal"/>
        <w:ind w:left="720"/>
        <w:jc w:val="center"/>
        <w:rPr>
          <w:rFonts w:ascii="Arial" w:hAnsi="Arial" w:eastAsia="Arial" w:cs="Arial"/>
          <w:b w:val="0"/>
          <w:bCs w:val="0"/>
          <w:i w:val="0"/>
          <w:iCs w:val="0"/>
          <w:caps w:val="0"/>
          <w:smallCaps w:val="0"/>
          <w:noProof w:val="0"/>
          <w:color w:val="2E74B5" w:themeColor="accent5" w:themeTint="FF" w:themeShade="BF"/>
          <w:lang w:val="en-US"/>
        </w:rPr>
      </w:pPr>
      <w:r w:rsidRPr="2741F56E" w:rsidR="2741F56E">
        <w:rPr>
          <w:rFonts w:ascii="Arial" w:hAnsi="Arial" w:eastAsia="Arial" w:cs="Arial"/>
          <w:b w:val="0"/>
          <w:bCs w:val="0"/>
          <w:i w:val="0"/>
          <w:iCs w:val="0"/>
          <w:caps w:val="0"/>
          <w:smallCaps w:val="0"/>
          <w:noProof w:val="0"/>
          <w:color w:val="2E74B5" w:themeColor="accent5" w:themeTint="FF" w:themeShade="BF"/>
          <w:lang w:val="en-US"/>
        </w:rPr>
        <w:t xml:space="preserve">Module: Financial Management for the Hotel Industry </w:t>
      </w:r>
    </w:p>
    <w:p w:rsidRPr="00962450" w:rsidR="00DF7404" w:rsidP="2741F56E" w:rsidRDefault="00DF7404" w14:paraId="4D5FC77A" w14:textId="2436E2A6">
      <w:pPr>
        <w:pStyle w:val="Normal"/>
        <w:ind w:left="720"/>
        <w:jc w:val="center"/>
        <w:rPr>
          <w:rFonts w:ascii="Arial" w:hAnsi="Arial" w:eastAsia="Arial" w:cs="Arial"/>
          <w:b w:val="0"/>
          <w:bCs w:val="0"/>
          <w:i w:val="0"/>
          <w:iCs w:val="0"/>
          <w:caps w:val="0"/>
          <w:smallCaps w:val="0"/>
          <w:noProof w:val="0"/>
          <w:color w:val="2E74B5" w:themeColor="accent5" w:themeTint="FF" w:themeShade="BF"/>
          <w:lang w:val="en-US"/>
        </w:rPr>
      </w:pPr>
      <w:r w:rsidRPr="2741F56E" w:rsidR="2741F56E">
        <w:rPr>
          <w:rFonts w:ascii="Arial" w:hAnsi="Arial" w:eastAsia="Arial" w:cs="Arial"/>
          <w:b w:val="0"/>
          <w:bCs w:val="0"/>
          <w:i w:val="0"/>
          <w:iCs w:val="0"/>
          <w:caps w:val="0"/>
          <w:smallCaps w:val="0"/>
          <w:noProof w:val="0"/>
          <w:color w:val="2E74B5" w:themeColor="accent5" w:themeTint="FF" w:themeShade="BF"/>
          <w:lang w:val="en-US"/>
        </w:rPr>
        <w:t xml:space="preserve">Module Code: BMIH5007 </w:t>
      </w:r>
    </w:p>
    <w:p w:rsidRPr="00962450" w:rsidR="00DF7404" w:rsidP="2741F56E" w:rsidRDefault="00DF7404" w14:paraId="0AEF5D35" w14:textId="1D86DABE">
      <w:pPr>
        <w:pStyle w:val="Normal"/>
        <w:ind w:left="720"/>
        <w:jc w:val="center"/>
        <w:rPr>
          <w:rFonts w:ascii="Arial" w:hAnsi="Arial" w:eastAsia="Arial" w:cs="Arial"/>
          <w:b w:val="0"/>
          <w:bCs w:val="0"/>
          <w:i w:val="0"/>
          <w:iCs w:val="0"/>
          <w:caps w:val="0"/>
          <w:smallCaps w:val="0"/>
          <w:noProof w:val="0"/>
          <w:color w:val="2E74B5" w:themeColor="accent5" w:themeTint="FF" w:themeShade="BF"/>
          <w:lang w:val="en-US"/>
        </w:rPr>
      </w:pPr>
      <w:r w:rsidRPr="2741F56E" w:rsidR="2741F56E">
        <w:rPr>
          <w:rFonts w:ascii="Arial" w:hAnsi="Arial" w:eastAsia="Arial" w:cs="Arial"/>
          <w:b w:val="0"/>
          <w:bCs w:val="0"/>
          <w:i w:val="0"/>
          <w:iCs w:val="0"/>
          <w:caps w:val="0"/>
          <w:smallCaps w:val="0"/>
          <w:noProof w:val="0"/>
          <w:color w:val="2E74B5" w:themeColor="accent5" w:themeTint="FF" w:themeShade="BF"/>
          <w:lang w:val="en-US"/>
        </w:rPr>
        <w:t xml:space="preserve">December 2022 </w:t>
      </w:r>
    </w:p>
    <w:p w:rsidRPr="00962450" w:rsidR="00DF7404" w:rsidP="2741F56E" w:rsidRDefault="00DF7404" w14:paraId="24816F19" w14:textId="498FD311">
      <w:pPr>
        <w:pStyle w:val="Normal"/>
        <w:ind w:left="720"/>
        <w:jc w:val="center"/>
        <w:rPr>
          <w:rFonts w:ascii="Arial" w:hAnsi="Arial" w:eastAsia="Arial" w:cs="Arial"/>
          <w:noProof w:val="0"/>
          <w:color w:val="2E74B5" w:themeColor="accent5" w:themeTint="FF" w:themeShade="BF"/>
          <w:sz w:val="24"/>
          <w:szCs w:val="24"/>
          <w:lang w:val="en-US"/>
        </w:rPr>
      </w:pPr>
      <w:r w:rsidRPr="2741F56E" w:rsidR="2741F56E">
        <w:rPr>
          <w:rFonts w:ascii="Arial" w:hAnsi="Arial" w:eastAsia="Arial" w:cs="Arial"/>
          <w:b w:val="0"/>
          <w:bCs w:val="0"/>
          <w:i w:val="0"/>
          <w:iCs w:val="0"/>
          <w:caps w:val="0"/>
          <w:smallCaps w:val="0"/>
          <w:noProof w:val="0"/>
          <w:color w:val="2E74B5" w:themeColor="accent5" w:themeTint="FF" w:themeShade="BF"/>
          <w:lang w:val="en-US"/>
        </w:rPr>
        <w:t>UNIVERSITY OF WALES TRINITY SAINT DAVID</w:t>
      </w:r>
    </w:p>
    <w:p w:rsidRPr="00962450" w:rsidR="00DF7404" w:rsidP="2741F56E" w:rsidRDefault="00DF7404" w14:paraId="705F6B32" w14:textId="03A690AE">
      <w:pPr>
        <w:pStyle w:val="Normal"/>
        <w:ind w:left="720"/>
        <w:jc w:val="center"/>
        <w:rPr>
          <w:rFonts w:ascii="Arial" w:hAnsi="Arial" w:eastAsia="Arial" w:cs="Arial"/>
          <w:b w:val="0"/>
          <w:bCs w:val="0"/>
          <w:i w:val="0"/>
          <w:iCs w:val="0"/>
          <w:caps w:val="0"/>
          <w:smallCaps w:val="0"/>
          <w:noProof w:val="0"/>
          <w:color w:val="2E74B5" w:themeColor="accent5" w:themeTint="FF" w:themeShade="BF"/>
          <w:lang w:val="en-US"/>
        </w:rPr>
      </w:pPr>
      <w:r w:rsidRPr="2741F56E" w:rsidR="2741F56E">
        <w:rPr>
          <w:rFonts w:ascii="Arial" w:hAnsi="Arial" w:eastAsia="Arial" w:cs="Arial"/>
          <w:b w:val="0"/>
          <w:bCs w:val="0"/>
          <w:i w:val="0"/>
          <w:iCs w:val="0"/>
          <w:caps w:val="0"/>
          <w:smallCaps w:val="0"/>
          <w:noProof w:val="0"/>
          <w:color w:val="2E74B5" w:themeColor="accent5" w:themeTint="FF" w:themeShade="BF"/>
          <w:lang w:val="en-US"/>
        </w:rPr>
        <w:t xml:space="preserve">Student </w:t>
      </w:r>
      <w:r w:rsidRPr="2741F56E" w:rsidR="2741F56E">
        <w:rPr>
          <w:rFonts w:ascii="Arial" w:hAnsi="Arial" w:eastAsia="Arial" w:cs="Arial"/>
          <w:b w:val="0"/>
          <w:bCs w:val="0"/>
          <w:i w:val="0"/>
          <w:iCs w:val="0"/>
          <w:caps w:val="0"/>
          <w:smallCaps w:val="0"/>
          <w:noProof w:val="0"/>
          <w:color w:val="2E74B5" w:themeColor="accent5" w:themeTint="FF" w:themeShade="BF"/>
          <w:lang w:val="en-US"/>
        </w:rPr>
        <w:t>name: Masuma</w:t>
      </w:r>
      <w:r w:rsidRPr="2741F56E" w:rsidR="2741F56E">
        <w:rPr>
          <w:rFonts w:ascii="Arial" w:hAnsi="Arial" w:eastAsia="Arial" w:cs="Arial"/>
          <w:b w:val="0"/>
          <w:bCs w:val="0"/>
          <w:i w:val="0"/>
          <w:iCs w:val="0"/>
          <w:caps w:val="0"/>
          <w:smallCaps w:val="0"/>
          <w:noProof w:val="0"/>
          <w:color w:val="2E74B5" w:themeColor="accent5" w:themeTint="FF" w:themeShade="BF"/>
          <w:lang w:val="en-US"/>
        </w:rPr>
        <w:t xml:space="preserve"> </w:t>
      </w:r>
      <w:r w:rsidRPr="2741F56E" w:rsidR="2741F56E">
        <w:rPr>
          <w:rFonts w:ascii="Arial" w:hAnsi="Arial" w:eastAsia="Arial" w:cs="Arial"/>
          <w:b w:val="0"/>
          <w:bCs w:val="0"/>
          <w:i w:val="0"/>
          <w:iCs w:val="0"/>
          <w:caps w:val="0"/>
          <w:smallCaps w:val="0"/>
          <w:noProof w:val="0"/>
          <w:color w:val="2E74B5" w:themeColor="accent5" w:themeTint="FF" w:themeShade="BF"/>
          <w:lang w:val="en-US"/>
        </w:rPr>
        <w:t>Yesmi</w:t>
      </w:r>
      <w:r w:rsidRPr="2741F56E" w:rsidR="2741F56E">
        <w:rPr>
          <w:rFonts w:ascii="Arial" w:hAnsi="Arial" w:eastAsia="Arial" w:cs="Arial"/>
          <w:b w:val="0"/>
          <w:bCs w:val="0"/>
          <w:i w:val="0"/>
          <w:iCs w:val="0"/>
          <w:caps w:val="0"/>
          <w:smallCaps w:val="0"/>
          <w:noProof w:val="0"/>
          <w:color w:val="2E74B5" w:themeColor="accent5" w:themeTint="FF" w:themeShade="BF"/>
          <w:lang w:val="en-US"/>
        </w:rPr>
        <w:t>n</w:t>
      </w:r>
    </w:p>
    <w:p w:rsidRPr="00962450" w:rsidR="00DF7404" w:rsidP="2741F56E" w:rsidRDefault="00DF7404" w14:paraId="1C904AC7" w14:textId="74CF60DB">
      <w:pPr>
        <w:pStyle w:val="Normal"/>
        <w:ind w:left="720"/>
        <w:jc w:val="center"/>
        <w:rPr>
          <w:rFonts w:ascii="Arial" w:hAnsi="Arial" w:eastAsia="Arial" w:cs="Arial"/>
          <w:b w:val="0"/>
          <w:bCs w:val="0"/>
          <w:i w:val="0"/>
          <w:iCs w:val="0"/>
          <w:caps w:val="0"/>
          <w:smallCaps w:val="0"/>
          <w:noProof w:val="0"/>
          <w:color w:val="2E74B5" w:themeColor="accent5" w:themeTint="FF" w:themeShade="BF"/>
          <w:lang w:val="en-US"/>
        </w:rPr>
      </w:pPr>
      <w:r w:rsidRPr="2741F56E" w:rsidR="2741F56E">
        <w:rPr>
          <w:rFonts w:ascii="Arial" w:hAnsi="Arial" w:eastAsia="Arial" w:cs="Arial"/>
          <w:b w:val="0"/>
          <w:bCs w:val="0"/>
          <w:i w:val="0"/>
          <w:iCs w:val="0"/>
          <w:caps w:val="0"/>
          <w:smallCaps w:val="0"/>
          <w:noProof w:val="0"/>
          <w:color w:val="2E74B5" w:themeColor="accent5" w:themeTint="FF" w:themeShade="BF"/>
          <w:lang w:val="en-US"/>
        </w:rPr>
        <w:t>Student ID: 2028061</w:t>
      </w:r>
    </w:p>
    <w:p w:rsidRPr="00962450" w:rsidR="00DF7404" w:rsidP="2741F56E" w:rsidRDefault="00DF7404" w14:paraId="351C64CF" w14:textId="1837CFEF">
      <w:pPr>
        <w:pStyle w:val="Normal"/>
        <w:ind w:left="720"/>
        <w:jc w:val="center"/>
        <w:rPr>
          <w:rFonts w:ascii="Arial" w:hAnsi="Arial" w:eastAsia="Arial" w:cs="Arial"/>
          <w:b w:val="0"/>
          <w:bCs w:val="0"/>
          <w:i w:val="0"/>
          <w:iCs w:val="0"/>
          <w:caps w:val="0"/>
          <w:smallCaps w:val="0"/>
          <w:noProof w:val="0"/>
          <w:color w:val="2E74B5" w:themeColor="accent5" w:themeTint="FF" w:themeShade="BF"/>
          <w:lang w:val="en-US"/>
        </w:rPr>
      </w:pPr>
      <w:r w:rsidRPr="2741F56E" w:rsidR="2741F56E">
        <w:rPr>
          <w:rFonts w:ascii="Arial" w:hAnsi="Arial" w:eastAsia="Arial" w:cs="Arial"/>
          <w:b w:val="0"/>
          <w:bCs w:val="0"/>
          <w:i w:val="0"/>
          <w:iCs w:val="0"/>
          <w:caps w:val="0"/>
          <w:smallCaps w:val="0"/>
          <w:noProof w:val="0"/>
          <w:color w:val="2E74B5" w:themeColor="accent5" w:themeTint="FF" w:themeShade="BF"/>
          <w:lang w:val="en-US"/>
        </w:rPr>
        <w:t>Lecturer name: Christopher Wilkins</w:t>
      </w:r>
    </w:p>
    <w:p w:rsidRPr="00962450" w:rsidR="00DF7404" w:rsidP="2741F56E" w:rsidRDefault="00DF7404" w14:paraId="0A425B8F" w14:textId="4C3E49B9">
      <w:pPr/>
      <w:r>
        <w:br w:type="page"/>
      </w:r>
    </w:p>
    <w:p w:rsidRPr="00962450" w:rsidR="00DF7404" w:rsidP="2741F56E" w:rsidRDefault="00DF7404" w14:paraId="018B90D9" w14:textId="2DCE02F9">
      <w:pPr>
        <w:pStyle w:val="Normal"/>
        <w:ind w:left="720"/>
        <w:jc w:val="center"/>
        <w:rPr>
          <w:rFonts w:ascii="Arial" w:hAnsi="Arial" w:eastAsia="Arial" w:cs="Arial"/>
          <w:b w:val="0"/>
          <w:bCs w:val="0"/>
          <w:i w:val="0"/>
          <w:iCs w:val="0"/>
          <w:caps w:val="0"/>
          <w:smallCaps w:val="0"/>
          <w:noProof w:val="0"/>
          <w:color w:val="2E74B5" w:themeColor="accent5" w:themeTint="FF" w:themeShade="BF"/>
          <w:lang w:val="en-US"/>
        </w:rPr>
      </w:pPr>
    </w:p>
    <w:p w:rsidRPr="00962450" w:rsidR="00DF7404" w:rsidP="00962450" w:rsidRDefault="00DF7404" w14:paraId="0D1A6EEE" w14:textId="5B803B5E">
      <w:pPr>
        <w:pStyle w:val="Heading1"/>
      </w:pPr>
      <w:bookmarkStart w:name="_Toc118833697" w:id="0"/>
      <w:bookmarkStart w:name="_Toc118836052" w:id="1"/>
      <w:r w:rsidR="2741F56E">
        <w:rPr/>
        <w:t>Executive Summary</w:t>
      </w:r>
      <w:bookmarkEnd w:id="0"/>
      <w:bookmarkEnd w:id="1"/>
      <w:r w:rsidR="2741F56E">
        <w:rPr/>
        <w:t xml:space="preserve"> </w:t>
      </w:r>
    </w:p>
    <w:p w:rsidR="00294DFD" w:rsidP="009264F0" w:rsidRDefault="00E86FB9" w14:paraId="749E6E44" w14:textId="0A088ADC">
      <w:pPr>
        <w:ind w:left="0" w:firstLine="0"/>
      </w:pPr>
      <w:r w:rsidRPr="00E86FB9">
        <w:t>Marriott International, one of the largest international hospitality companies, is analyzed in the report. First</w:t>
      </w:r>
      <w:r w:rsidR="0044769E">
        <w:t>ly</w:t>
      </w:r>
      <w:r w:rsidRPr="00E86FB9">
        <w:t>, the research was introduced. Profitability, liquidity, and gearing ratios were computed.</w:t>
      </w:r>
      <w:r>
        <w:t xml:space="preserve"> The key trend in the profitability ratio is that the profitability of Marriott has improved significantly in every respect.</w:t>
      </w:r>
      <w:r w:rsidRPr="00E86FB9">
        <w:t xml:space="preserve"> </w:t>
      </w:r>
      <w:r>
        <w:t xml:space="preserve">The profit situation is good in 2021 but </w:t>
      </w:r>
      <w:r w:rsidR="00751F40">
        <w:t xml:space="preserve">the </w:t>
      </w:r>
      <w:r>
        <w:t>liquidity situation is bad for both years. Leverage ratios show that the overall leverage is very high. Though the situation has improved in 2021 the improvement is not very much significant.</w:t>
      </w:r>
    </w:p>
    <w:p w:rsidR="00294DFD" w:rsidRDefault="00294DFD" w14:paraId="04C3DBDD" w14:textId="77777777">
      <w:r>
        <w:br w:type="page"/>
      </w:r>
    </w:p>
    <w:p w:rsidR="009264F0" w:rsidP="009264F0" w:rsidRDefault="009264F0" w14:paraId="5AAF16BF" w14:textId="77777777">
      <w:pPr>
        <w:ind w:left="0" w:firstLine="0"/>
      </w:pPr>
    </w:p>
    <w:sdt>
      <w:sdtPr>
        <w:rPr>
          <w:rFonts w:ascii="Times New Roman" w:hAnsi="Times New Roman" w:eastAsia="Times New Roman" w:cs="Times New Roman"/>
          <w:color w:val="auto"/>
          <w:sz w:val="24"/>
          <w:szCs w:val="24"/>
        </w:rPr>
        <w:id w:val="-2076345756"/>
        <w:docPartObj>
          <w:docPartGallery w:val="Table of Contents"/>
          <w:docPartUnique/>
        </w:docPartObj>
      </w:sdtPr>
      <w:sdtEndPr>
        <w:rPr>
          <w:b/>
          <w:bCs/>
          <w:noProof/>
        </w:rPr>
      </w:sdtEndPr>
      <w:sdtContent>
        <w:p w:rsidRPr="00294DFD" w:rsidR="00294DFD" w:rsidP="00294DFD" w:rsidRDefault="00294DFD" w14:paraId="4D015FF9" w14:textId="57F737A8">
          <w:pPr>
            <w:pStyle w:val="TOCHeading"/>
            <w:jc w:val="center"/>
            <w:rPr>
              <w:b/>
              <w:bCs/>
            </w:rPr>
          </w:pPr>
          <w:r w:rsidRPr="00294DFD">
            <w:rPr>
              <w:b/>
              <w:bCs/>
            </w:rPr>
            <w:t>Table of Contents</w:t>
          </w:r>
        </w:p>
        <w:p w:rsidR="00962450" w:rsidRDefault="00294DFD" w14:paraId="0B9B1455" w14:textId="59A7A336">
          <w:pPr>
            <w:pStyle w:val="TOC1"/>
            <w:tabs>
              <w:tab w:val="right" w:leader="dot" w:pos="9350"/>
            </w:tabs>
            <w:rPr>
              <w:rFonts w:asciiTheme="minorHAnsi" w:hAnsiTheme="minorHAnsi" w:eastAsiaTheme="minorEastAsia" w:cstheme="minorBidi"/>
              <w:noProof/>
              <w:sz w:val="22"/>
              <w:szCs w:val="22"/>
            </w:rPr>
          </w:pPr>
          <w:r>
            <w:fldChar w:fldCharType="begin"/>
          </w:r>
          <w:r>
            <w:instrText xml:space="preserve"> TOC \o "1-3" \h \z \u </w:instrText>
          </w:r>
          <w:r>
            <w:fldChar w:fldCharType="separate"/>
          </w:r>
          <w:hyperlink w:history="1" w:anchor="_Toc118836052">
            <w:r w:rsidRPr="00DC4F4E" w:rsidR="00962450">
              <w:rPr>
                <w:rStyle w:val="Hyperlink"/>
                <w:noProof/>
              </w:rPr>
              <w:t>Executive Summary</w:t>
            </w:r>
            <w:r w:rsidR="00962450">
              <w:rPr>
                <w:noProof/>
                <w:webHidden/>
              </w:rPr>
              <w:tab/>
            </w:r>
            <w:r w:rsidR="00962450">
              <w:rPr>
                <w:noProof/>
                <w:webHidden/>
              </w:rPr>
              <w:fldChar w:fldCharType="begin"/>
            </w:r>
            <w:r w:rsidR="00962450">
              <w:rPr>
                <w:noProof/>
                <w:webHidden/>
              </w:rPr>
              <w:instrText xml:space="preserve"> PAGEREF _Toc118836052 \h </w:instrText>
            </w:r>
            <w:r w:rsidR="00962450">
              <w:rPr>
                <w:noProof/>
                <w:webHidden/>
              </w:rPr>
            </w:r>
            <w:r w:rsidR="00962450">
              <w:rPr>
                <w:noProof/>
                <w:webHidden/>
              </w:rPr>
              <w:fldChar w:fldCharType="separate"/>
            </w:r>
            <w:r w:rsidR="00962450">
              <w:rPr>
                <w:noProof/>
                <w:webHidden/>
              </w:rPr>
              <w:t>1</w:t>
            </w:r>
            <w:r w:rsidR="00962450">
              <w:rPr>
                <w:noProof/>
                <w:webHidden/>
              </w:rPr>
              <w:fldChar w:fldCharType="end"/>
            </w:r>
          </w:hyperlink>
        </w:p>
        <w:p w:rsidR="00962450" w:rsidRDefault="00000000" w14:paraId="5767B028" w14:textId="5552E132">
          <w:pPr>
            <w:pStyle w:val="TOC1"/>
            <w:tabs>
              <w:tab w:val="right" w:leader="dot" w:pos="9350"/>
            </w:tabs>
            <w:rPr>
              <w:rFonts w:asciiTheme="minorHAnsi" w:hAnsiTheme="minorHAnsi" w:eastAsiaTheme="minorEastAsia" w:cstheme="minorBidi"/>
              <w:noProof/>
              <w:sz w:val="22"/>
              <w:szCs w:val="22"/>
            </w:rPr>
          </w:pPr>
          <w:hyperlink w:history="1" w:anchor="_Toc118836053">
            <w:r w:rsidRPr="00DC4F4E" w:rsidR="00962450">
              <w:rPr>
                <w:rStyle w:val="Hyperlink"/>
                <w:noProof/>
              </w:rPr>
              <w:t>Introduction</w:t>
            </w:r>
            <w:r w:rsidR="00962450">
              <w:rPr>
                <w:noProof/>
                <w:webHidden/>
              </w:rPr>
              <w:tab/>
            </w:r>
            <w:r w:rsidR="00962450">
              <w:rPr>
                <w:noProof/>
                <w:webHidden/>
              </w:rPr>
              <w:fldChar w:fldCharType="begin"/>
            </w:r>
            <w:r w:rsidR="00962450">
              <w:rPr>
                <w:noProof/>
                <w:webHidden/>
              </w:rPr>
              <w:instrText xml:space="preserve"> PAGEREF _Toc118836053 \h </w:instrText>
            </w:r>
            <w:r w:rsidR="00962450">
              <w:rPr>
                <w:noProof/>
                <w:webHidden/>
              </w:rPr>
            </w:r>
            <w:r w:rsidR="00962450">
              <w:rPr>
                <w:noProof/>
                <w:webHidden/>
              </w:rPr>
              <w:fldChar w:fldCharType="separate"/>
            </w:r>
            <w:r w:rsidR="00962450">
              <w:rPr>
                <w:noProof/>
                <w:webHidden/>
              </w:rPr>
              <w:t>3</w:t>
            </w:r>
            <w:r w:rsidR="00962450">
              <w:rPr>
                <w:noProof/>
                <w:webHidden/>
              </w:rPr>
              <w:fldChar w:fldCharType="end"/>
            </w:r>
          </w:hyperlink>
        </w:p>
        <w:p w:rsidR="00962450" w:rsidRDefault="00000000" w14:paraId="3FDDDFF9" w14:textId="071D5198">
          <w:pPr>
            <w:pStyle w:val="TOC1"/>
            <w:tabs>
              <w:tab w:val="right" w:leader="dot" w:pos="9350"/>
            </w:tabs>
            <w:rPr>
              <w:rFonts w:asciiTheme="minorHAnsi" w:hAnsiTheme="minorHAnsi" w:eastAsiaTheme="minorEastAsia" w:cstheme="minorBidi"/>
              <w:noProof/>
              <w:sz w:val="22"/>
              <w:szCs w:val="22"/>
            </w:rPr>
          </w:pPr>
          <w:hyperlink w:history="1" w:anchor="_Toc118836054">
            <w:r w:rsidRPr="00DC4F4E" w:rsidR="00962450">
              <w:rPr>
                <w:rStyle w:val="Hyperlink"/>
                <w:noProof/>
              </w:rPr>
              <w:t>Interpreting Ratios</w:t>
            </w:r>
            <w:r w:rsidR="00962450">
              <w:rPr>
                <w:noProof/>
                <w:webHidden/>
              </w:rPr>
              <w:tab/>
            </w:r>
            <w:r w:rsidR="00962450">
              <w:rPr>
                <w:noProof/>
                <w:webHidden/>
              </w:rPr>
              <w:fldChar w:fldCharType="begin"/>
            </w:r>
            <w:r w:rsidR="00962450">
              <w:rPr>
                <w:noProof/>
                <w:webHidden/>
              </w:rPr>
              <w:instrText xml:space="preserve"> PAGEREF _Toc118836054 \h </w:instrText>
            </w:r>
            <w:r w:rsidR="00962450">
              <w:rPr>
                <w:noProof/>
                <w:webHidden/>
              </w:rPr>
            </w:r>
            <w:r w:rsidR="00962450">
              <w:rPr>
                <w:noProof/>
                <w:webHidden/>
              </w:rPr>
              <w:fldChar w:fldCharType="separate"/>
            </w:r>
            <w:r w:rsidR="00962450">
              <w:rPr>
                <w:noProof/>
                <w:webHidden/>
              </w:rPr>
              <w:t>3</w:t>
            </w:r>
            <w:r w:rsidR="00962450">
              <w:rPr>
                <w:noProof/>
                <w:webHidden/>
              </w:rPr>
              <w:fldChar w:fldCharType="end"/>
            </w:r>
          </w:hyperlink>
        </w:p>
        <w:p w:rsidR="00962450" w:rsidRDefault="00000000" w14:paraId="3DE62D72" w14:textId="6642FA76">
          <w:pPr>
            <w:pStyle w:val="TOC2"/>
            <w:tabs>
              <w:tab w:val="right" w:leader="dot" w:pos="9350"/>
            </w:tabs>
            <w:rPr>
              <w:rFonts w:asciiTheme="minorHAnsi" w:hAnsiTheme="minorHAnsi" w:eastAsiaTheme="minorEastAsia" w:cstheme="minorBidi"/>
              <w:noProof/>
              <w:sz w:val="22"/>
              <w:szCs w:val="22"/>
            </w:rPr>
          </w:pPr>
          <w:hyperlink w:history="1" w:anchor="_Toc118836055">
            <w:r w:rsidRPr="00DC4F4E" w:rsidR="00962450">
              <w:rPr>
                <w:rStyle w:val="Hyperlink"/>
                <w:noProof/>
              </w:rPr>
              <w:t>Profitability Ratios</w:t>
            </w:r>
            <w:r w:rsidR="00962450">
              <w:rPr>
                <w:noProof/>
                <w:webHidden/>
              </w:rPr>
              <w:tab/>
            </w:r>
            <w:r w:rsidR="00962450">
              <w:rPr>
                <w:noProof/>
                <w:webHidden/>
              </w:rPr>
              <w:fldChar w:fldCharType="begin"/>
            </w:r>
            <w:r w:rsidR="00962450">
              <w:rPr>
                <w:noProof/>
                <w:webHidden/>
              </w:rPr>
              <w:instrText xml:space="preserve"> PAGEREF _Toc118836055 \h </w:instrText>
            </w:r>
            <w:r w:rsidR="00962450">
              <w:rPr>
                <w:noProof/>
                <w:webHidden/>
              </w:rPr>
            </w:r>
            <w:r w:rsidR="00962450">
              <w:rPr>
                <w:noProof/>
                <w:webHidden/>
              </w:rPr>
              <w:fldChar w:fldCharType="separate"/>
            </w:r>
            <w:r w:rsidR="00962450">
              <w:rPr>
                <w:noProof/>
                <w:webHidden/>
              </w:rPr>
              <w:t>3</w:t>
            </w:r>
            <w:r w:rsidR="00962450">
              <w:rPr>
                <w:noProof/>
                <w:webHidden/>
              </w:rPr>
              <w:fldChar w:fldCharType="end"/>
            </w:r>
          </w:hyperlink>
        </w:p>
        <w:p w:rsidR="00962450" w:rsidRDefault="00000000" w14:paraId="426A4E06" w14:textId="443DD965">
          <w:pPr>
            <w:pStyle w:val="TOC2"/>
            <w:tabs>
              <w:tab w:val="right" w:leader="dot" w:pos="9350"/>
            </w:tabs>
            <w:rPr>
              <w:rFonts w:asciiTheme="minorHAnsi" w:hAnsiTheme="minorHAnsi" w:eastAsiaTheme="minorEastAsia" w:cstheme="minorBidi"/>
              <w:noProof/>
              <w:sz w:val="22"/>
              <w:szCs w:val="22"/>
            </w:rPr>
          </w:pPr>
          <w:hyperlink w:history="1" w:anchor="_Toc118836056">
            <w:r w:rsidRPr="00DC4F4E" w:rsidR="00962450">
              <w:rPr>
                <w:rStyle w:val="Hyperlink"/>
                <w:noProof/>
              </w:rPr>
              <w:t>Liquidity ratio</w:t>
            </w:r>
            <w:r w:rsidR="00962450">
              <w:rPr>
                <w:noProof/>
                <w:webHidden/>
              </w:rPr>
              <w:tab/>
            </w:r>
            <w:r w:rsidR="00962450">
              <w:rPr>
                <w:noProof/>
                <w:webHidden/>
              </w:rPr>
              <w:fldChar w:fldCharType="begin"/>
            </w:r>
            <w:r w:rsidR="00962450">
              <w:rPr>
                <w:noProof/>
                <w:webHidden/>
              </w:rPr>
              <w:instrText xml:space="preserve"> PAGEREF _Toc118836056 \h </w:instrText>
            </w:r>
            <w:r w:rsidR="00962450">
              <w:rPr>
                <w:noProof/>
                <w:webHidden/>
              </w:rPr>
            </w:r>
            <w:r w:rsidR="00962450">
              <w:rPr>
                <w:noProof/>
                <w:webHidden/>
              </w:rPr>
              <w:fldChar w:fldCharType="separate"/>
            </w:r>
            <w:r w:rsidR="00962450">
              <w:rPr>
                <w:noProof/>
                <w:webHidden/>
              </w:rPr>
              <w:t>4</w:t>
            </w:r>
            <w:r w:rsidR="00962450">
              <w:rPr>
                <w:noProof/>
                <w:webHidden/>
              </w:rPr>
              <w:fldChar w:fldCharType="end"/>
            </w:r>
          </w:hyperlink>
        </w:p>
        <w:p w:rsidR="00962450" w:rsidRDefault="00000000" w14:paraId="03400D55" w14:textId="40E83B09">
          <w:pPr>
            <w:pStyle w:val="TOC2"/>
            <w:tabs>
              <w:tab w:val="right" w:leader="dot" w:pos="9350"/>
            </w:tabs>
            <w:rPr>
              <w:rFonts w:asciiTheme="minorHAnsi" w:hAnsiTheme="minorHAnsi" w:eastAsiaTheme="minorEastAsia" w:cstheme="minorBidi"/>
              <w:noProof/>
              <w:sz w:val="22"/>
              <w:szCs w:val="22"/>
            </w:rPr>
          </w:pPr>
          <w:hyperlink w:history="1" w:anchor="_Toc118836057">
            <w:r w:rsidRPr="00DC4F4E" w:rsidR="00962450">
              <w:rPr>
                <w:rStyle w:val="Hyperlink"/>
                <w:noProof/>
              </w:rPr>
              <w:t>Leverage Ratios</w:t>
            </w:r>
            <w:r w:rsidR="00962450">
              <w:rPr>
                <w:noProof/>
                <w:webHidden/>
              </w:rPr>
              <w:tab/>
            </w:r>
            <w:r w:rsidR="00962450">
              <w:rPr>
                <w:noProof/>
                <w:webHidden/>
              </w:rPr>
              <w:fldChar w:fldCharType="begin"/>
            </w:r>
            <w:r w:rsidR="00962450">
              <w:rPr>
                <w:noProof/>
                <w:webHidden/>
              </w:rPr>
              <w:instrText xml:space="preserve"> PAGEREF _Toc118836057 \h </w:instrText>
            </w:r>
            <w:r w:rsidR="00962450">
              <w:rPr>
                <w:noProof/>
                <w:webHidden/>
              </w:rPr>
            </w:r>
            <w:r w:rsidR="00962450">
              <w:rPr>
                <w:noProof/>
                <w:webHidden/>
              </w:rPr>
              <w:fldChar w:fldCharType="separate"/>
            </w:r>
            <w:r w:rsidR="00962450">
              <w:rPr>
                <w:noProof/>
                <w:webHidden/>
              </w:rPr>
              <w:t>5</w:t>
            </w:r>
            <w:r w:rsidR="00962450">
              <w:rPr>
                <w:noProof/>
                <w:webHidden/>
              </w:rPr>
              <w:fldChar w:fldCharType="end"/>
            </w:r>
          </w:hyperlink>
        </w:p>
        <w:p w:rsidR="00962450" w:rsidRDefault="00000000" w14:paraId="4B4C1E7D" w14:textId="7888CB29">
          <w:pPr>
            <w:pStyle w:val="TOC1"/>
            <w:tabs>
              <w:tab w:val="right" w:leader="dot" w:pos="9350"/>
            </w:tabs>
            <w:rPr>
              <w:rFonts w:asciiTheme="minorHAnsi" w:hAnsiTheme="minorHAnsi" w:eastAsiaTheme="minorEastAsia" w:cstheme="minorBidi"/>
              <w:noProof/>
              <w:sz w:val="22"/>
              <w:szCs w:val="22"/>
            </w:rPr>
          </w:pPr>
          <w:hyperlink w:history="1" w:anchor="_Toc118836058">
            <w:r w:rsidRPr="00DC4F4E" w:rsidR="00962450">
              <w:rPr>
                <w:rStyle w:val="Hyperlink"/>
                <w:noProof/>
              </w:rPr>
              <w:t>Key Trends In Ratios</w:t>
            </w:r>
            <w:r w:rsidR="00962450">
              <w:rPr>
                <w:noProof/>
                <w:webHidden/>
              </w:rPr>
              <w:tab/>
            </w:r>
            <w:r w:rsidR="00962450">
              <w:rPr>
                <w:noProof/>
                <w:webHidden/>
              </w:rPr>
              <w:fldChar w:fldCharType="begin"/>
            </w:r>
            <w:r w:rsidR="00962450">
              <w:rPr>
                <w:noProof/>
                <w:webHidden/>
              </w:rPr>
              <w:instrText xml:space="preserve"> PAGEREF _Toc118836058 \h </w:instrText>
            </w:r>
            <w:r w:rsidR="00962450">
              <w:rPr>
                <w:noProof/>
                <w:webHidden/>
              </w:rPr>
            </w:r>
            <w:r w:rsidR="00962450">
              <w:rPr>
                <w:noProof/>
                <w:webHidden/>
              </w:rPr>
              <w:fldChar w:fldCharType="separate"/>
            </w:r>
            <w:r w:rsidR="00962450">
              <w:rPr>
                <w:noProof/>
                <w:webHidden/>
              </w:rPr>
              <w:t>6</w:t>
            </w:r>
            <w:r w:rsidR="00962450">
              <w:rPr>
                <w:noProof/>
                <w:webHidden/>
              </w:rPr>
              <w:fldChar w:fldCharType="end"/>
            </w:r>
          </w:hyperlink>
        </w:p>
        <w:p w:rsidR="00962450" w:rsidRDefault="00000000" w14:paraId="423A8C7C" w14:textId="5F170169">
          <w:pPr>
            <w:pStyle w:val="TOC2"/>
            <w:tabs>
              <w:tab w:val="right" w:leader="dot" w:pos="9350"/>
            </w:tabs>
            <w:rPr>
              <w:rFonts w:asciiTheme="minorHAnsi" w:hAnsiTheme="minorHAnsi" w:eastAsiaTheme="minorEastAsia" w:cstheme="minorBidi"/>
              <w:noProof/>
              <w:sz w:val="22"/>
              <w:szCs w:val="22"/>
            </w:rPr>
          </w:pPr>
          <w:hyperlink w:history="1" w:anchor="_Toc118836059">
            <w:r w:rsidRPr="00DC4F4E" w:rsidR="00962450">
              <w:rPr>
                <w:rStyle w:val="Hyperlink"/>
                <w:noProof/>
              </w:rPr>
              <w:t>Profitability</w:t>
            </w:r>
            <w:r w:rsidR="00962450">
              <w:rPr>
                <w:noProof/>
                <w:webHidden/>
              </w:rPr>
              <w:tab/>
            </w:r>
            <w:r w:rsidR="00962450">
              <w:rPr>
                <w:noProof/>
                <w:webHidden/>
              </w:rPr>
              <w:fldChar w:fldCharType="begin"/>
            </w:r>
            <w:r w:rsidR="00962450">
              <w:rPr>
                <w:noProof/>
                <w:webHidden/>
              </w:rPr>
              <w:instrText xml:space="preserve"> PAGEREF _Toc118836059 \h </w:instrText>
            </w:r>
            <w:r w:rsidR="00962450">
              <w:rPr>
                <w:noProof/>
                <w:webHidden/>
              </w:rPr>
            </w:r>
            <w:r w:rsidR="00962450">
              <w:rPr>
                <w:noProof/>
                <w:webHidden/>
              </w:rPr>
              <w:fldChar w:fldCharType="separate"/>
            </w:r>
            <w:r w:rsidR="00962450">
              <w:rPr>
                <w:noProof/>
                <w:webHidden/>
              </w:rPr>
              <w:t>6</w:t>
            </w:r>
            <w:r w:rsidR="00962450">
              <w:rPr>
                <w:noProof/>
                <w:webHidden/>
              </w:rPr>
              <w:fldChar w:fldCharType="end"/>
            </w:r>
          </w:hyperlink>
        </w:p>
        <w:p w:rsidR="00962450" w:rsidRDefault="00000000" w14:paraId="5B2C512E" w14:textId="19178159">
          <w:pPr>
            <w:pStyle w:val="TOC2"/>
            <w:tabs>
              <w:tab w:val="right" w:leader="dot" w:pos="9350"/>
            </w:tabs>
            <w:rPr>
              <w:rFonts w:asciiTheme="minorHAnsi" w:hAnsiTheme="minorHAnsi" w:eastAsiaTheme="minorEastAsia" w:cstheme="minorBidi"/>
              <w:noProof/>
              <w:sz w:val="22"/>
              <w:szCs w:val="22"/>
            </w:rPr>
          </w:pPr>
          <w:hyperlink w:history="1" w:anchor="_Toc118836060">
            <w:r w:rsidRPr="00DC4F4E" w:rsidR="00962450">
              <w:rPr>
                <w:rStyle w:val="Hyperlink"/>
                <w:noProof/>
              </w:rPr>
              <w:t>Liquidity</w:t>
            </w:r>
            <w:r w:rsidR="00962450">
              <w:rPr>
                <w:noProof/>
                <w:webHidden/>
              </w:rPr>
              <w:tab/>
            </w:r>
            <w:r w:rsidR="00962450">
              <w:rPr>
                <w:noProof/>
                <w:webHidden/>
              </w:rPr>
              <w:fldChar w:fldCharType="begin"/>
            </w:r>
            <w:r w:rsidR="00962450">
              <w:rPr>
                <w:noProof/>
                <w:webHidden/>
              </w:rPr>
              <w:instrText xml:space="preserve"> PAGEREF _Toc118836060 \h </w:instrText>
            </w:r>
            <w:r w:rsidR="00962450">
              <w:rPr>
                <w:noProof/>
                <w:webHidden/>
              </w:rPr>
            </w:r>
            <w:r w:rsidR="00962450">
              <w:rPr>
                <w:noProof/>
                <w:webHidden/>
              </w:rPr>
              <w:fldChar w:fldCharType="separate"/>
            </w:r>
            <w:r w:rsidR="00962450">
              <w:rPr>
                <w:noProof/>
                <w:webHidden/>
              </w:rPr>
              <w:t>6</w:t>
            </w:r>
            <w:r w:rsidR="00962450">
              <w:rPr>
                <w:noProof/>
                <w:webHidden/>
              </w:rPr>
              <w:fldChar w:fldCharType="end"/>
            </w:r>
          </w:hyperlink>
        </w:p>
        <w:p w:rsidR="00962450" w:rsidRDefault="00000000" w14:paraId="4E332D46" w14:textId="1EA8395D">
          <w:pPr>
            <w:pStyle w:val="TOC2"/>
            <w:tabs>
              <w:tab w:val="right" w:leader="dot" w:pos="9350"/>
            </w:tabs>
            <w:rPr>
              <w:rFonts w:asciiTheme="minorHAnsi" w:hAnsiTheme="minorHAnsi" w:eastAsiaTheme="minorEastAsia" w:cstheme="minorBidi"/>
              <w:noProof/>
              <w:sz w:val="22"/>
              <w:szCs w:val="22"/>
            </w:rPr>
          </w:pPr>
          <w:hyperlink w:history="1" w:anchor="_Toc118836061">
            <w:r w:rsidRPr="00DC4F4E" w:rsidR="00962450">
              <w:rPr>
                <w:rStyle w:val="Hyperlink"/>
                <w:noProof/>
              </w:rPr>
              <w:t>Leverage</w:t>
            </w:r>
            <w:r w:rsidR="00962450">
              <w:rPr>
                <w:noProof/>
                <w:webHidden/>
              </w:rPr>
              <w:tab/>
            </w:r>
            <w:r w:rsidR="00962450">
              <w:rPr>
                <w:noProof/>
                <w:webHidden/>
              </w:rPr>
              <w:fldChar w:fldCharType="begin"/>
            </w:r>
            <w:r w:rsidR="00962450">
              <w:rPr>
                <w:noProof/>
                <w:webHidden/>
              </w:rPr>
              <w:instrText xml:space="preserve"> PAGEREF _Toc118836061 \h </w:instrText>
            </w:r>
            <w:r w:rsidR="00962450">
              <w:rPr>
                <w:noProof/>
                <w:webHidden/>
              </w:rPr>
            </w:r>
            <w:r w:rsidR="00962450">
              <w:rPr>
                <w:noProof/>
                <w:webHidden/>
              </w:rPr>
              <w:fldChar w:fldCharType="separate"/>
            </w:r>
            <w:r w:rsidR="00962450">
              <w:rPr>
                <w:noProof/>
                <w:webHidden/>
              </w:rPr>
              <w:t>7</w:t>
            </w:r>
            <w:r w:rsidR="00962450">
              <w:rPr>
                <w:noProof/>
                <w:webHidden/>
              </w:rPr>
              <w:fldChar w:fldCharType="end"/>
            </w:r>
          </w:hyperlink>
        </w:p>
        <w:p w:rsidR="00962450" w:rsidRDefault="00000000" w14:paraId="1C5CAEEC" w14:textId="359557B1">
          <w:pPr>
            <w:pStyle w:val="TOC1"/>
            <w:tabs>
              <w:tab w:val="right" w:leader="dot" w:pos="9350"/>
            </w:tabs>
            <w:rPr>
              <w:rFonts w:asciiTheme="minorHAnsi" w:hAnsiTheme="minorHAnsi" w:eastAsiaTheme="minorEastAsia" w:cstheme="minorBidi"/>
              <w:noProof/>
              <w:sz w:val="22"/>
              <w:szCs w:val="22"/>
            </w:rPr>
          </w:pPr>
          <w:hyperlink w:history="1" w:anchor="_Toc118836062">
            <w:r w:rsidRPr="00DC4F4E" w:rsidR="00962450">
              <w:rPr>
                <w:rStyle w:val="Hyperlink"/>
                <w:noProof/>
              </w:rPr>
              <w:t>Why An Understanding Of Ratios And Their Fluctuations Is Essential</w:t>
            </w:r>
            <w:r w:rsidR="00962450">
              <w:rPr>
                <w:noProof/>
                <w:webHidden/>
              </w:rPr>
              <w:tab/>
            </w:r>
            <w:r w:rsidR="00962450">
              <w:rPr>
                <w:noProof/>
                <w:webHidden/>
              </w:rPr>
              <w:fldChar w:fldCharType="begin"/>
            </w:r>
            <w:r w:rsidR="00962450">
              <w:rPr>
                <w:noProof/>
                <w:webHidden/>
              </w:rPr>
              <w:instrText xml:space="preserve"> PAGEREF _Toc118836062 \h </w:instrText>
            </w:r>
            <w:r w:rsidR="00962450">
              <w:rPr>
                <w:noProof/>
                <w:webHidden/>
              </w:rPr>
            </w:r>
            <w:r w:rsidR="00962450">
              <w:rPr>
                <w:noProof/>
                <w:webHidden/>
              </w:rPr>
              <w:fldChar w:fldCharType="separate"/>
            </w:r>
            <w:r w:rsidR="00962450">
              <w:rPr>
                <w:noProof/>
                <w:webHidden/>
              </w:rPr>
              <w:t>7</w:t>
            </w:r>
            <w:r w:rsidR="00962450">
              <w:rPr>
                <w:noProof/>
                <w:webHidden/>
              </w:rPr>
              <w:fldChar w:fldCharType="end"/>
            </w:r>
          </w:hyperlink>
        </w:p>
        <w:p w:rsidR="00962450" w:rsidRDefault="00000000" w14:paraId="2AAF5B11" w14:textId="0A05E951">
          <w:pPr>
            <w:pStyle w:val="TOC1"/>
            <w:tabs>
              <w:tab w:val="right" w:leader="dot" w:pos="9350"/>
            </w:tabs>
            <w:rPr>
              <w:rFonts w:asciiTheme="minorHAnsi" w:hAnsiTheme="minorHAnsi" w:eastAsiaTheme="minorEastAsia" w:cstheme="minorBidi"/>
              <w:noProof/>
              <w:sz w:val="22"/>
              <w:szCs w:val="22"/>
            </w:rPr>
          </w:pPr>
          <w:hyperlink w:history="1" w:anchor="_Toc118836063">
            <w:r w:rsidRPr="00DC4F4E" w:rsidR="00962450">
              <w:rPr>
                <w:rStyle w:val="Hyperlink"/>
                <w:noProof/>
              </w:rPr>
              <w:t>Importance of Using Ratio Analysis for Decision Making</w:t>
            </w:r>
            <w:r w:rsidR="00962450">
              <w:rPr>
                <w:noProof/>
                <w:webHidden/>
              </w:rPr>
              <w:tab/>
            </w:r>
            <w:r w:rsidR="00962450">
              <w:rPr>
                <w:noProof/>
                <w:webHidden/>
              </w:rPr>
              <w:fldChar w:fldCharType="begin"/>
            </w:r>
            <w:r w:rsidR="00962450">
              <w:rPr>
                <w:noProof/>
                <w:webHidden/>
              </w:rPr>
              <w:instrText xml:space="preserve"> PAGEREF _Toc118836063 \h </w:instrText>
            </w:r>
            <w:r w:rsidR="00962450">
              <w:rPr>
                <w:noProof/>
                <w:webHidden/>
              </w:rPr>
            </w:r>
            <w:r w:rsidR="00962450">
              <w:rPr>
                <w:noProof/>
                <w:webHidden/>
              </w:rPr>
              <w:fldChar w:fldCharType="separate"/>
            </w:r>
            <w:r w:rsidR="00962450">
              <w:rPr>
                <w:noProof/>
                <w:webHidden/>
              </w:rPr>
              <w:t>8</w:t>
            </w:r>
            <w:r w:rsidR="00962450">
              <w:rPr>
                <w:noProof/>
                <w:webHidden/>
              </w:rPr>
              <w:fldChar w:fldCharType="end"/>
            </w:r>
          </w:hyperlink>
        </w:p>
        <w:p w:rsidR="00962450" w:rsidRDefault="00000000" w14:paraId="24457205" w14:textId="38AD1B8B">
          <w:pPr>
            <w:pStyle w:val="TOC1"/>
            <w:tabs>
              <w:tab w:val="right" w:leader="dot" w:pos="9350"/>
            </w:tabs>
            <w:rPr>
              <w:rFonts w:asciiTheme="minorHAnsi" w:hAnsiTheme="minorHAnsi" w:eastAsiaTheme="minorEastAsia" w:cstheme="minorBidi"/>
              <w:noProof/>
              <w:sz w:val="22"/>
              <w:szCs w:val="22"/>
            </w:rPr>
          </w:pPr>
          <w:hyperlink w:history="1" w:anchor="_Toc118836064">
            <w:r w:rsidRPr="00DC4F4E" w:rsidR="00962450">
              <w:rPr>
                <w:rStyle w:val="Hyperlink"/>
                <w:noProof/>
              </w:rPr>
              <w:t>Limitations of Ratio Analysis</w:t>
            </w:r>
            <w:r w:rsidR="00962450">
              <w:rPr>
                <w:noProof/>
                <w:webHidden/>
              </w:rPr>
              <w:tab/>
            </w:r>
            <w:r w:rsidR="00962450">
              <w:rPr>
                <w:noProof/>
                <w:webHidden/>
              </w:rPr>
              <w:fldChar w:fldCharType="begin"/>
            </w:r>
            <w:r w:rsidR="00962450">
              <w:rPr>
                <w:noProof/>
                <w:webHidden/>
              </w:rPr>
              <w:instrText xml:space="preserve"> PAGEREF _Toc118836064 \h </w:instrText>
            </w:r>
            <w:r w:rsidR="00962450">
              <w:rPr>
                <w:noProof/>
                <w:webHidden/>
              </w:rPr>
            </w:r>
            <w:r w:rsidR="00962450">
              <w:rPr>
                <w:noProof/>
                <w:webHidden/>
              </w:rPr>
              <w:fldChar w:fldCharType="separate"/>
            </w:r>
            <w:r w:rsidR="00962450">
              <w:rPr>
                <w:noProof/>
                <w:webHidden/>
              </w:rPr>
              <w:t>8</w:t>
            </w:r>
            <w:r w:rsidR="00962450">
              <w:rPr>
                <w:noProof/>
                <w:webHidden/>
              </w:rPr>
              <w:fldChar w:fldCharType="end"/>
            </w:r>
          </w:hyperlink>
        </w:p>
        <w:p w:rsidR="00962450" w:rsidRDefault="00000000" w14:paraId="1733F14D" w14:textId="674E060F">
          <w:pPr>
            <w:pStyle w:val="TOC1"/>
            <w:tabs>
              <w:tab w:val="right" w:leader="dot" w:pos="9350"/>
            </w:tabs>
            <w:rPr>
              <w:rFonts w:asciiTheme="minorHAnsi" w:hAnsiTheme="minorHAnsi" w:eastAsiaTheme="minorEastAsia" w:cstheme="minorBidi"/>
              <w:noProof/>
              <w:sz w:val="22"/>
              <w:szCs w:val="22"/>
            </w:rPr>
          </w:pPr>
          <w:hyperlink w:history="1" w:anchor="_Toc118836065">
            <w:r w:rsidRPr="00DC4F4E" w:rsidR="00962450">
              <w:rPr>
                <w:rStyle w:val="Hyperlink"/>
                <w:noProof/>
              </w:rPr>
              <w:t>Conclusion</w:t>
            </w:r>
            <w:r w:rsidR="00962450">
              <w:rPr>
                <w:noProof/>
                <w:webHidden/>
              </w:rPr>
              <w:tab/>
            </w:r>
            <w:r w:rsidR="00962450">
              <w:rPr>
                <w:noProof/>
                <w:webHidden/>
              </w:rPr>
              <w:fldChar w:fldCharType="begin"/>
            </w:r>
            <w:r w:rsidR="00962450">
              <w:rPr>
                <w:noProof/>
                <w:webHidden/>
              </w:rPr>
              <w:instrText xml:space="preserve"> PAGEREF _Toc118836065 \h </w:instrText>
            </w:r>
            <w:r w:rsidR="00962450">
              <w:rPr>
                <w:noProof/>
                <w:webHidden/>
              </w:rPr>
            </w:r>
            <w:r w:rsidR="00962450">
              <w:rPr>
                <w:noProof/>
                <w:webHidden/>
              </w:rPr>
              <w:fldChar w:fldCharType="separate"/>
            </w:r>
            <w:r w:rsidR="00962450">
              <w:rPr>
                <w:noProof/>
                <w:webHidden/>
              </w:rPr>
              <w:t>9</w:t>
            </w:r>
            <w:r w:rsidR="00962450">
              <w:rPr>
                <w:noProof/>
                <w:webHidden/>
              </w:rPr>
              <w:fldChar w:fldCharType="end"/>
            </w:r>
          </w:hyperlink>
        </w:p>
        <w:p w:rsidR="00962450" w:rsidRDefault="00000000" w14:paraId="3EBCD563" w14:textId="62532181">
          <w:pPr>
            <w:pStyle w:val="TOC1"/>
            <w:tabs>
              <w:tab w:val="right" w:leader="dot" w:pos="9350"/>
            </w:tabs>
            <w:rPr>
              <w:rFonts w:asciiTheme="minorHAnsi" w:hAnsiTheme="minorHAnsi" w:eastAsiaTheme="minorEastAsia" w:cstheme="minorBidi"/>
              <w:noProof/>
              <w:sz w:val="22"/>
              <w:szCs w:val="22"/>
            </w:rPr>
          </w:pPr>
          <w:hyperlink w:history="1" w:anchor="_Toc118836066">
            <w:r w:rsidRPr="00DC4F4E" w:rsidR="00962450">
              <w:rPr>
                <w:rStyle w:val="Hyperlink"/>
                <w:noProof/>
              </w:rPr>
              <w:t>References</w:t>
            </w:r>
            <w:r w:rsidR="00962450">
              <w:rPr>
                <w:noProof/>
                <w:webHidden/>
              </w:rPr>
              <w:tab/>
            </w:r>
            <w:r w:rsidR="00962450">
              <w:rPr>
                <w:noProof/>
                <w:webHidden/>
              </w:rPr>
              <w:fldChar w:fldCharType="begin"/>
            </w:r>
            <w:r w:rsidR="00962450">
              <w:rPr>
                <w:noProof/>
                <w:webHidden/>
              </w:rPr>
              <w:instrText xml:space="preserve"> PAGEREF _Toc118836066 \h </w:instrText>
            </w:r>
            <w:r w:rsidR="00962450">
              <w:rPr>
                <w:noProof/>
                <w:webHidden/>
              </w:rPr>
            </w:r>
            <w:r w:rsidR="00962450">
              <w:rPr>
                <w:noProof/>
                <w:webHidden/>
              </w:rPr>
              <w:fldChar w:fldCharType="separate"/>
            </w:r>
            <w:r w:rsidR="00962450">
              <w:rPr>
                <w:noProof/>
                <w:webHidden/>
              </w:rPr>
              <w:t>9</w:t>
            </w:r>
            <w:r w:rsidR="00962450">
              <w:rPr>
                <w:noProof/>
                <w:webHidden/>
              </w:rPr>
              <w:fldChar w:fldCharType="end"/>
            </w:r>
          </w:hyperlink>
        </w:p>
        <w:p w:rsidR="00962450" w:rsidRDefault="00000000" w14:paraId="6D531C91" w14:textId="70B2AE83">
          <w:pPr>
            <w:pStyle w:val="TOC1"/>
            <w:tabs>
              <w:tab w:val="right" w:leader="dot" w:pos="9350"/>
            </w:tabs>
            <w:rPr>
              <w:rFonts w:asciiTheme="minorHAnsi" w:hAnsiTheme="minorHAnsi" w:eastAsiaTheme="minorEastAsia" w:cstheme="minorBidi"/>
              <w:noProof/>
              <w:sz w:val="22"/>
              <w:szCs w:val="22"/>
            </w:rPr>
          </w:pPr>
          <w:hyperlink w:history="1" w:anchor="_Toc118836067">
            <w:r w:rsidRPr="00DC4F4E" w:rsidR="00962450">
              <w:rPr>
                <w:rStyle w:val="Hyperlink"/>
                <w:noProof/>
              </w:rPr>
              <w:t>Appendix</w:t>
            </w:r>
            <w:r w:rsidR="00962450">
              <w:rPr>
                <w:noProof/>
                <w:webHidden/>
              </w:rPr>
              <w:tab/>
            </w:r>
            <w:r w:rsidR="00962450">
              <w:rPr>
                <w:noProof/>
                <w:webHidden/>
              </w:rPr>
              <w:fldChar w:fldCharType="begin"/>
            </w:r>
            <w:r w:rsidR="00962450">
              <w:rPr>
                <w:noProof/>
                <w:webHidden/>
              </w:rPr>
              <w:instrText xml:space="preserve"> PAGEREF _Toc118836067 \h </w:instrText>
            </w:r>
            <w:r w:rsidR="00962450">
              <w:rPr>
                <w:noProof/>
                <w:webHidden/>
              </w:rPr>
            </w:r>
            <w:r w:rsidR="00962450">
              <w:rPr>
                <w:noProof/>
                <w:webHidden/>
              </w:rPr>
              <w:fldChar w:fldCharType="separate"/>
            </w:r>
            <w:r w:rsidR="00962450">
              <w:rPr>
                <w:noProof/>
                <w:webHidden/>
              </w:rPr>
              <w:t>11</w:t>
            </w:r>
            <w:r w:rsidR="00962450">
              <w:rPr>
                <w:noProof/>
                <w:webHidden/>
              </w:rPr>
              <w:fldChar w:fldCharType="end"/>
            </w:r>
          </w:hyperlink>
        </w:p>
        <w:p w:rsidR="00962450" w:rsidRDefault="00000000" w14:paraId="287BCC35" w14:textId="074A7175">
          <w:pPr>
            <w:pStyle w:val="TOC2"/>
            <w:tabs>
              <w:tab w:val="right" w:leader="dot" w:pos="9350"/>
            </w:tabs>
            <w:rPr>
              <w:rFonts w:asciiTheme="minorHAnsi" w:hAnsiTheme="minorHAnsi" w:eastAsiaTheme="minorEastAsia" w:cstheme="minorBidi"/>
              <w:noProof/>
              <w:sz w:val="22"/>
              <w:szCs w:val="22"/>
            </w:rPr>
          </w:pPr>
          <w:hyperlink w:history="1" w:anchor="_Toc118836068">
            <w:r w:rsidRPr="00DC4F4E" w:rsidR="00962450">
              <w:rPr>
                <w:rStyle w:val="Hyperlink"/>
                <w:noProof/>
              </w:rPr>
              <w:t>Given Ratios</w:t>
            </w:r>
            <w:r w:rsidR="00962450">
              <w:rPr>
                <w:noProof/>
                <w:webHidden/>
              </w:rPr>
              <w:tab/>
            </w:r>
            <w:r w:rsidR="00962450">
              <w:rPr>
                <w:noProof/>
                <w:webHidden/>
              </w:rPr>
              <w:fldChar w:fldCharType="begin"/>
            </w:r>
            <w:r w:rsidR="00962450">
              <w:rPr>
                <w:noProof/>
                <w:webHidden/>
              </w:rPr>
              <w:instrText xml:space="preserve"> PAGEREF _Toc118836068 \h </w:instrText>
            </w:r>
            <w:r w:rsidR="00962450">
              <w:rPr>
                <w:noProof/>
                <w:webHidden/>
              </w:rPr>
            </w:r>
            <w:r w:rsidR="00962450">
              <w:rPr>
                <w:noProof/>
                <w:webHidden/>
              </w:rPr>
              <w:fldChar w:fldCharType="separate"/>
            </w:r>
            <w:r w:rsidR="00962450">
              <w:rPr>
                <w:noProof/>
                <w:webHidden/>
              </w:rPr>
              <w:t>11</w:t>
            </w:r>
            <w:r w:rsidR="00962450">
              <w:rPr>
                <w:noProof/>
                <w:webHidden/>
              </w:rPr>
              <w:fldChar w:fldCharType="end"/>
            </w:r>
          </w:hyperlink>
        </w:p>
        <w:p w:rsidR="00962450" w:rsidRDefault="00294DFD" w14:paraId="74CF7F28" w14:textId="77777777">
          <w:pPr>
            <w:rPr>
              <w:noProof/>
            </w:rPr>
          </w:pPr>
          <w:r>
            <w:rPr>
              <w:b/>
              <w:bCs/>
              <w:noProof/>
            </w:rPr>
            <w:fldChar w:fldCharType="end"/>
          </w:r>
          <w:r w:rsidR="00962450">
            <w:rPr>
              <w:b/>
              <w:bCs/>
              <w:noProof/>
            </w:rPr>
            <w:fldChar w:fldCharType="begin"/>
          </w:r>
          <w:r w:rsidR="00962450">
            <w:rPr>
              <w:b/>
              <w:bCs/>
              <w:noProof/>
            </w:rPr>
            <w:instrText xml:space="preserve"> TOC \h \z \c "Table" </w:instrText>
          </w:r>
          <w:r w:rsidR="00962450">
            <w:rPr>
              <w:b/>
              <w:bCs/>
              <w:noProof/>
            </w:rPr>
            <w:fldChar w:fldCharType="separate"/>
          </w:r>
        </w:p>
        <w:p w:rsidR="00962450" w:rsidRDefault="00000000" w14:paraId="574E2362" w14:textId="0720BD83">
          <w:pPr>
            <w:pStyle w:val="TableofFigures"/>
            <w:tabs>
              <w:tab w:val="right" w:leader="dot" w:pos="9350"/>
            </w:tabs>
            <w:rPr>
              <w:noProof/>
            </w:rPr>
          </w:pPr>
          <w:hyperlink w:history="1" w:anchor="_Toc118836073">
            <w:r w:rsidRPr="009075C8" w:rsidR="00962450">
              <w:rPr>
                <w:rStyle w:val="Hyperlink"/>
                <w:rFonts w:eastAsiaTheme="majorEastAsia"/>
                <w:noProof/>
              </w:rPr>
              <w:t>Table 1Trends In profitability Ratios</w:t>
            </w:r>
            <w:r w:rsidR="00962450">
              <w:rPr>
                <w:noProof/>
                <w:webHidden/>
              </w:rPr>
              <w:tab/>
            </w:r>
            <w:r w:rsidR="00962450">
              <w:rPr>
                <w:noProof/>
                <w:webHidden/>
              </w:rPr>
              <w:fldChar w:fldCharType="begin"/>
            </w:r>
            <w:r w:rsidR="00962450">
              <w:rPr>
                <w:noProof/>
                <w:webHidden/>
              </w:rPr>
              <w:instrText xml:space="preserve"> PAGEREF _Toc118836073 \h </w:instrText>
            </w:r>
            <w:r w:rsidR="00962450">
              <w:rPr>
                <w:noProof/>
                <w:webHidden/>
              </w:rPr>
            </w:r>
            <w:r w:rsidR="00962450">
              <w:rPr>
                <w:noProof/>
                <w:webHidden/>
              </w:rPr>
              <w:fldChar w:fldCharType="separate"/>
            </w:r>
            <w:r w:rsidR="00962450">
              <w:rPr>
                <w:noProof/>
                <w:webHidden/>
              </w:rPr>
              <w:t>7</w:t>
            </w:r>
            <w:r w:rsidR="00962450">
              <w:rPr>
                <w:noProof/>
                <w:webHidden/>
              </w:rPr>
              <w:fldChar w:fldCharType="end"/>
            </w:r>
          </w:hyperlink>
        </w:p>
        <w:p w:rsidR="00962450" w:rsidRDefault="00000000" w14:paraId="6BB03832" w14:textId="2A542FF6">
          <w:pPr>
            <w:pStyle w:val="TableofFigures"/>
            <w:tabs>
              <w:tab w:val="right" w:leader="dot" w:pos="9350"/>
            </w:tabs>
            <w:rPr>
              <w:noProof/>
            </w:rPr>
          </w:pPr>
          <w:hyperlink w:history="1" w:anchor="_Toc118836074">
            <w:r w:rsidRPr="009075C8" w:rsidR="00962450">
              <w:rPr>
                <w:rStyle w:val="Hyperlink"/>
                <w:rFonts w:eastAsiaTheme="majorEastAsia"/>
                <w:noProof/>
              </w:rPr>
              <w:t>Table 2 Trends in Liquidity</w:t>
            </w:r>
            <w:r w:rsidR="00962450">
              <w:rPr>
                <w:noProof/>
                <w:webHidden/>
              </w:rPr>
              <w:tab/>
            </w:r>
            <w:r w:rsidR="00962450">
              <w:rPr>
                <w:noProof/>
                <w:webHidden/>
              </w:rPr>
              <w:fldChar w:fldCharType="begin"/>
            </w:r>
            <w:r w:rsidR="00962450">
              <w:rPr>
                <w:noProof/>
                <w:webHidden/>
              </w:rPr>
              <w:instrText xml:space="preserve"> PAGEREF _Toc118836074 \h </w:instrText>
            </w:r>
            <w:r w:rsidR="00962450">
              <w:rPr>
                <w:noProof/>
                <w:webHidden/>
              </w:rPr>
            </w:r>
            <w:r w:rsidR="00962450">
              <w:rPr>
                <w:noProof/>
                <w:webHidden/>
              </w:rPr>
              <w:fldChar w:fldCharType="separate"/>
            </w:r>
            <w:r w:rsidR="00962450">
              <w:rPr>
                <w:noProof/>
                <w:webHidden/>
              </w:rPr>
              <w:t>7</w:t>
            </w:r>
            <w:r w:rsidR="00962450">
              <w:rPr>
                <w:noProof/>
                <w:webHidden/>
              </w:rPr>
              <w:fldChar w:fldCharType="end"/>
            </w:r>
          </w:hyperlink>
        </w:p>
        <w:p w:rsidR="00962450" w:rsidRDefault="00000000" w14:paraId="6268CEF2" w14:textId="79389241">
          <w:pPr>
            <w:pStyle w:val="TableofFigures"/>
            <w:tabs>
              <w:tab w:val="right" w:leader="dot" w:pos="9350"/>
            </w:tabs>
            <w:rPr>
              <w:noProof/>
            </w:rPr>
          </w:pPr>
          <w:hyperlink w:history="1" w:anchor="_Toc118836075">
            <w:r w:rsidRPr="009075C8" w:rsidR="00962450">
              <w:rPr>
                <w:rStyle w:val="Hyperlink"/>
                <w:rFonts w:eastAsiaTheme="majorEastAsia"/>
                <w:noProof/>
              </w:rPr>
              <w:t>Table 3 Key Trends in Leverage</w:t>
            </w:r>
            <w:r w:rsidR="00962450">
              <w:rPr>
                <w:noProof/>
                <w:webHidden/>
              </w:rPr>
              <w:tab/>
            </w:r>
            <w:r w:rsidR="00962450">
              <w:rPr>
                <w:noProof/>
                <w:webHidden/>
              </w:rPr>
              <w:fldChar w:fldCharType="begin"/>
            </w:r>
            <w:r w:rsidR="00962450">
              <w:rPr>
                <w:noProof/>
                <w:webHidden/>
              </w:rPr>
              <w:instrText xml:space="preserve"> PAGEREF _Toc118836075 \h </w:instrText>
            </w:r>
            <w:r w:rsidR="00962450">
              <w:rPr>
                <w:noProof/>
                <w:webHidden/>
              </w:rPr>
            </w:r>
            <w:r w:rsidR="00962450">
              <w:rPr>
                <w:noProof/>
                <w:webHidden/>
              </w:rPr>
              <w:fldChar w:fldCharType="separate"/>
            </w:r>
            <w:r w:rsidR="00962450">
              <w:rPr>
                <w:noProof/>
                <w:webHidden/>
              </w:rPr>
              <w:t>8</w:t>
            </w:r>
            <w:r w:rsidR="00962450">
              <w:rPr>
                <w:noProof/>
                <w:webHidden/>
              </w:rPr>
              <w:fldChar w:fldCharType="end"/>
            </w:r>
          </w:hyperlink>
        </w:p>
        <w:p w:rsidR="00294DFD" w:rsidRDefault="00962450" w14:paraId="48CBAE6B" w14:textId="51884BC4">
          <w:r>
            <w:rPr>
              <w:b/>
              <w:bCs/>
              <w:noProof/>
            </w:rPr>
            <w:fldChar w:fldCharType="end"/>
          </w:r>
        </w:p>
      </w:sdtContent>
    </w:sdt>
    <w:p w:rsidR="00294DFD" w:rsidP="009264F0" w:rsidRDefault="00294DFD" w14:paraId="59026C4B" w14:textId="77777777">
      <w:pPr>
        <w:ind w:left="0" w:firstLine="0"/>
      </w:pPr>
    </w:p>
    <w:p w:rsidR="00294DFD" w:rsidRDefault="00294DFD" w14:paraId="56342BFF" w14:textId="77777777">
      <w:pPr>
        <w:rPr>
          <w:rFonts w:eastAsiaTheme="majorEastAsia" w:cstheme="majorBidi"/>
          <w:b/>
          <w:sz w:val="32"/>
          <w:szCs w:val="32"/>
        </w:rPr>
      </w:pPr>
      <w:bookmarkStart w:name="_Toc118833698" w:id="2"/>
      <w:r>
        <w:br w:type="page"/>
      </w:r>
    </w:p>
    <w:p w:rsidR="009264F0" w:rsidP="009264F0" w:rsidRDefault="009264F0" w14:paraId="7B95F833" w14:textId="54BF9E99">
      <w:pPr>
        <w:pStyle w:val="Heading1"/>
      </w:pPr>
      <w:bookmarkStart w:name="_Toc118836053" w:id="3"/>
      <w:r>
        <w:lastRenderedPageBreak/>
        <w:t>Introduction</w:t>
      </w:r>
      <w:bookmarkEnd w:id="2"/>
      <w:bookmarkEnd w:id="3"/>
    </w:p>
    <w:p w:rsidRPr="009264F0" w:rsidR="009264F0" w:rsidP="00451640" w:rsidRDefault="00451640" w14:paraId="32083617" w14:textId="76B163E2">
      <w:pPr>
        <w:ind w:left="0" w:firstLine="0"/>
      </w:pPr>
      <w:r>
        <w:t>The information from the financial statement is random. Ratio analysis is needed to understand the core of the information.</w:t>
      </w:r>
      <w:r w:rsidRPr="00451640">
        <w:t xml:space="preserve"> </w:t>
      </w:r>
      <w:r w:rsidR="00264DFF">
        <w:t>analysis of ratio</w:t>
      </w:r>
      <w:r w:rsidR="005E4751">
        <w:t>s</w:t>
      </w:r>
      <w:r w:rsidR="00264DFF">
        <w:t xml:space="preserve"> is considered one of the key and most useful tools for financial management.</w:t>
      </w:r>
      <w:r w:rsidR="005E4751">
        <w:t xml:space="preserve"> </w:t>
      </w:r>
      <w:r>
        <w:t xml:space="preserve">This tool is very much to use and can give </w:t>
      </w:r>
      <w:r w:rsidR="00751F40">
        <w:t xml:space="preserve">a </w:t>
      </w:r>
      <w:r>
        <w:t>proper indication</w:t>
      </w:r>
      <w:r w:rsidRPr="0044742D" w:rsidR="0044742D">
        <w:t>(</w:t>
      </w:r>
      <w:proofErr w:type="spellStart"/>
      <w:r w:rsidRPr="0044742D" w:rsidR="0044742D">
        <w:t>Phylaktis</w:t>
      </w:r>
      <w:proofErr w:type="spellEnd"/>
      <w:r w:rsidRPr="0044742D" w:rsidR="0044742D">
        <w:t xml:space="preserve"> &amp; Kaye, 2018)</w:t>
      </w:r>
      <w:r>
        <w:t xml:space="preserve">. This report has been prepared based on the given ratios and </w:t>
      </w:r>
      <w:r w:rsidR="00751F40">
        <w:t xml:space="preserve">an </w:t>
      </w:r>
      <w:r>
        <w:t>interpre</w:t>
      </w:r>
      <w:r w:rsidR="00B96904">
        <w:t>t</w:t>
      </w:r>
      <w:r>
        <w:t>ation of th</w:t>
      </w:r>
      <w:r w:rsidR="00751F40">
        <w:t>ese</w:t>
      </w:r>
      <w:r>
        <w:t xml:space="preserve"> ratios has been </w:t>
      </w:r>
      <w:r w:rsidR="0044769E">
        <w:t>given</w:t>
      </w:r>
      <w:r>
        <w:t xml:space="preserve">. The data of </w:t>
      </w:r>
      <w:r w:rsidR="00751F40">
        <w:t xml:space="preserve">the </w:t>
      </w:r>
      <w:r>
        <w:t>financial statement of Marriott have also been used to properly interpret data. The trend in profitability, liquidity</w:t>
      </w:r>
      <w:r w:rsidR="00751F40">
        <w:t>,</w:t>
      </w:r>
      <w:r>
        <w:t xml:space="preserve"> and leverage has been analyzed. the importance of understanding ratio analysis has been provided along with the limitations of ratio analysis.</w:t>
      </w:r>
    </w:p>
    <w:p w:rsidR="00D04BB8" w:rsidP="00D04BB8" w:rsidRDefault="00D04BB8" w14:paraId="71D3B5A5" w14:textId="6C46D676">
      <w:pPr>
        <w:pStyle w:val="Heading1"/>
      </w:pPr>
      <w:bookmarkStart w:name="_Toc118833699" w:id="4"/>
      <w:bookmarkStart w:name="_Toc118836054" w:id="5"/>
      <w:r>
        <w:t>Interpreting Ratios</w:t>
      </w:r>
      <w:bookmarkEnd w:id="4"/>
      <w:bookmarkEnd w:id="5"/>
    </w:p>
    <w:p w:rsidRPr="00D04BB8" w:rsidR="00D04BB8" w:rsidP="00D04BB8" w:rsidRDefault="00D04BB8" w14:paraId="606CAEDA" w14:textId="51417BA1">
      <w:pPr>
        <w:pStyle w:val="Heading2"/>
      </w:pPr>
      <w:bookmarkStart w:name="_Toc118833700" w:id="6"/>
      <w:bookmarkStart w:name="_Toc118836055" w:id="7"/>
      <w:r>
        <w:t>Profitability Ratios</w:t>
      </w:r>
      <w:bookmarkEnd w:id="6"/>
      <w:bookmarkEnd w:id="7"/>
    </w:p>
    <w:p w:rsidR="00033FF2" w:rsidRDefault="00B94F46" w14:paraId="74AE7483" w14:textId="7234E21F">
      <w:pPr>
        <w:rPr>
          <w:b/>
          <w:bCs/>
        </w:rPr>
      </w:pPr>
      <w:r w:rsidRPr="00B94F46">
        <w:rPr>
          <w:b/>
          <w:bCs/>
        </w:rPr>
        <w:t>Gross Profit Margin</w:t>
      </w:r>
    </w:p>
    <w:p w:rsidR="00B94F46" w:rsidP="00B94F46" w:rsidRDefault="00B94F46" w14:paraId="68E72765" w14:textId="5E13BBBF">
      <w:pPr>
        <w:ind w:left="0" w:firstLine="0"/>
      </w:pPr>
      <w:r>
        <w:t xml:space="preserve">Gross Profit ratio of 20% in 2021 and 13% in 2020. The gross profit has increased in 2021. So, it can be said that gross profit as </w:t>
      </w:r>
      <w:r w:rsidR="00B407D2">
        <w:t xml:space="preserve">a </w:t>
      </w:r>
      <w:r>
        <w:t xml:space="preserve">percentage of revenue has increased </w:t>
      </w:r>
      <w:r w:rsidR="00B407D2">
        <w:t>which</w:t>
      </w:r>
      <w:r>
        <w:t xml:space="preserve"> means they had been able to save more money in costs of goods sold because gross profit has increased because of a decrease in the cost of goods sold comparatively. So, it can be said that they have achieved more efficiency in the use and management </w:t>
      </w:r>
      <w:r w:rsidR="00B407D2">
        <w:t xml:space="preserve">of </w:t>
      </w:r>
      <w:r>
        <w:t xml:space="preserve">inventory. It might also </w:t>
      </w:r>
      <w:r w:rsidR="00B407D2">
        <w:t xml:space="preserve">be </w:t>
      </w:r>
      <w:r>
        <w:t>because of collectin</w:t>
      </w:r>
      <w:r w:rsidR="00B03593">
        <w:t>g inventory at advantageous price</w:t>
      </w:r>
      <w:r w:rsidR="00B407D2">
        <w:t>s</w:t>
      </w:r>
      <w:r w:rsidR="00B03593">
        <w:t xml:space="preserve">. </w:t>
      </w:r>
    </w:p>
    <w:p w:rsidR="00413E16" w:rsidP="00B94F46" w:rsidRDefault="00413E16" w14:paraId="0FAE0AAA" w14:textId="7D09FD61">
      <w:pPr>
        <w:ind w:left="0" w:firstLine="0"/>
        <w:rPr>
          <w:b/>
          <w:bCs/>
        </w:rPr>
      </w:pPr>
      <w:r w:rsidRPr="00413E16">
        <w:rPr>
          <w:b/>
          <w:bCs/>
        </w:rPr>
        <w:t>Operating Profit margin</w:t>
      </w:r>
    </w:p>
    <w:p w:rsidR="005E43B7" w:rsidP="00B94F46" w:rsidRDefault="005E4751" w14:paraId="5D893335" w14:textId="30D3ED58">
      <w:pPr>
        <w:ind w:left="0" w:firstLine="0"/>
      </w:pPr>
      <w:r>
        <w:t>The o</w:t>
      </w:r>
      <w:r w:rsidR="00264DFF">
        <w:t>perating Profit margin show</w:t>
      </w:r>
      <w:r>
        <w:t>s</w:t>
      </w:r>
      <w:r w:rsidR="00264DFF">
        <w:t xml:space="preserve"> the operational efficiency of the organization </w:t>
      </w:r>
      <w:r>
        <w:t xml:space="preserve">by </w:t>
      </w:r>
      <w:r w:rsidR="00264DFF">
        <w:t>comparing the operating profit with revenue.</w:t>
      </w:r>
      <w:r w:rsidR="00413E16">
        <w:t xml:space="preserve"> so, </w:t>
      </w:r>
      <w:r w:rsidR="00B407D2">
        <w:t>th</w:t>
      </w:r>
      <w:r w:rsidR="00264DFF">
        <w:t>is ratio demonstrate</w:t>
      </w:r>
      <w:r>
        <w:t>s</w:t>
      </w:r>
      <w:r w:rsidR="00264DFF">
        <w:t xml:space="preserve"> </w:t>
      </w:r>
      <w:r w:rsidR="00B407D2">
        <w:t xml:space="preserve">the </w:t>
      </w:r>
      <w:r w:rsidR="00413E16">
        <w:t>operational capability of an organization. an organization may have good revenue but if they are not efficient in operation they will not have enough profit</w:t>
      </w:r>
      <w:r w:rsidRPr="0044742D" w:rsidR="0044742D">
        <w:t>(Gadgil, 2014)</w:t>
      </w:r>
      <w:r w:rsidR="00413E16">
        <w:t xml:space="preserve">. The operating profit of Marriott is 12.62% </w:t>
      </w:r>
      <w:r w:rsidR="00412FBA">
        <w:t>in 2021 and it was 0.79% in 2020. So, it can be said that they have made very important improvement</w:t>
      </w:r>
      <w:r w:rsidR="00B407D2">
        <w:t>s</w:t>
      </w:r>
      <w:r w:rsidR="00412FBA">
        <w:t xml:space="preserve"> in </w:t>
      </w:r>
      <w:r w:rsidR="00B407D2">
        <w:t xml:space="preserve">the </w:t>
      </w:r>
      <w:r w:rsidR="00412FBA">
        <w:t>case of operation. Operational capability must have increased significantly in</w:t>
      </w:r>
      <w:r w:rsidR="00413E16">
        <w:t xml:space="preserve"> </w:t>
      </w:r>
      <w:r w:rsidR="00412FBA">
        <w:t>20</w:t>
      </w:r>
      <w:r w:rsidR="00942CDE">
        <w:t xml:space="preserve">21 compared to 2020. In 2020 most of its </w:t>
      </w:r>
      <w:r w:rsidR="005E43B7">
        <w:t xml:space="preserve">revenue had to dispense for the costs of goods sold and cogs. </w:t>
      </w:r>
    </w:p>
    <w:p w:rsidR="005E43B7" w:rsidP="00B94F46" w:rsidRDefault="005E43B7" w14:paraId="4F9F11C1" w14:textId="77777777">
      <w:pPr>
        <w:ind w:left="0" w:firstLine="0"/>
      </w:pPr>
    </w:p>
    <w:p w:rsidR="00413E16" w:rsidP="00B94F46" w:rsidRDefault="005E43B7" w14:paraId="034A70A5" w14:textId="7C247457">
      <w:pPr>
        <w:ind w:left="0" w:firstLine="0"/>
        <w:rPr>
          <w:b/>
          <w:bCs/>
        </w:rPr>
      </w:pPr>
      <w:r w:rsidRPr="005E43B7">
        <w:rPr>
          <w:b/>
          <w:bCs/>
        </w:rPr>
        <w:t>Net Profit Margin</w:t>
      </w:r>
      <w:r w:rsidRPr="005E43B7" w:rsidR="00412FBA">
        <w:rPr>
          <w:b/>
          <w:bCs/>
        </w:rPr>
        <w:t xml:space="preserve"> </w:t>
      </w:r>
    </w:p>
    <w:p w:rsidR="00AB6A91" w:rsidP="00B94F46" w:rsidRDefault="00441B19" w14:paraId="1D90335B" w14:textId="2B6930A3">
      <w:pPr>
        <w:ind w:left="0" w:firstLine="0"/>
      </w:pPr>
      <w:r>
        <w:lastRenderedPageBreak/>
        <w:t xml:space="preserve">Net profit is the final profitability ratio where net profit is stated with the net profit. </w:t>
      </w:r>
      <w:r w:rsidR="00AB6A91">
        <w:t>In 202</w:t>
      </w:r>
      <w:r w:rsidR="00DC29A2">
        <w:t xml:space="preserve">1, </w:t>
      </w:r>
      <w:r w:rsidR="00B407D2">
        <w:t xml:space="preserve">the </w:t>
      </w:r>
      <w:r w:rsidR="00DC29A2">
        <w:t xml:space="preserve">net profit margin is 7.93 % which is not very bad but in 2022 the profit margin is -2.52% </w:t>
      </w:r>
      <w:r w:rsidR="00B407D2">
        <w:t>which</w:t>
      </w:r>
      <w:r w:rsidR="00DC29A2">
        <w:t xml:space="preserve"> means there net loss in 2020. So, it can be said that </w:t>
      </w:r>
      <w:r w:rsidR="00B407D2">
        <w:t xml:space="preserve">the </w:t>
      </w:r>
      <w:r w:rsidR="00DC29A2">
        <w:t>profit situation has improved in 2021.</w:t>
      </w:r>
    </w:p>
    <w:p w:rsidR="007E0FA6" w:rsidP="00B94F46" w:rsidRDefault="007E0FA6" w14:paraId="52D9D92E" w14:textId="425AF0C7">
      <w:pPr>
        <w:ind w:left="0" w:firstLine="0"/>
        <w:rPr>
          <w:b/>
          <w:bCs/>
        </w:rPr>
      </w:pPr>
      <w:r w:rsidRPr="007E0FA6">
        <w:rPr>
          <w:b/>
          <w:bCs/>
        </w:rPr>
        <w:t>ROE</w:t>
      </w:r>
    </w:p>
    <w:p w:rsidR="00DE448C" w:rsidP="00DE448C" w:rsidRDefault="007E0FA6" w14:paraId="144D13CD" w14:textId="356F14B2">
      <w:pPr>
        <w:ind w:left="0" w:firstLine="0"/>
      </w:pPr>
      <w:r>
        <w:t xml:space="preserve">ROE means </w:t>
      </w:r>
      <w:r w:rsidR="00B407D2">
        <w:t xml:space="preserve">the </w:t>
      </w:r>
      <w:r>
        <w:t>return on investment capital. It is ca</w:t>
      </w:r>
      <w:r w:rsidR="00B407D2">
        <w:t>l</w:t>
      </w:r>
      <w:r>
        <w:t xml:space="preserve">culated by return as the percentage of equity. If the net income is higher compared to its equity the ROE will be higher. In this case, in 2020 ROE is negative but in 2021 ROE is positive. </w:t>
      </w:r>
      <w:r w:rsidR="00B407D2">
        <w:t>The f</w:t>
      </w:r>
      <w:r>
        <w:t xml:space="preserve">inancial condition of Marriott is better in 2021. It has </w:t>
      </w:r>
      <w:r w:rsidR="00B407D2">
        <w:t xml:space="preserve">an </w:t>
      </w:r>
      <w:r>
        <w:t xml:space="preserve">ROE of </w:t>
      </w:r>
      <w:r w:rsidR="00DE448C">
        <w:t xml:space="preserve">77.72% which is high. The standard ROE is 15-20%. But Marriott has higher ROE that may make its return volatile. </w:t>
      </w:r>
    </w:p>
    <w:p w:rsidRPr="00DE448C" w:rsidR="00DE448C" w:rsidP="00DE448C" w:rsidRDefault="00DE448C" w14:paraId="14042C12" w14:textId="129A5B54">
      <w:pPr>
        <w:ind w:left="0" w:firstLine="0"/>
        <w:rPr>
          <w:b/>
          <w:bCs/>
        </w:rPr>
      </w:pPr>
      <w:r w:rsidRPr="00DE448C">
        <w:rPr>
          <w:b/>
          <w:bCs/>
        </w:rPr>
        <w:t>ROA</w:t>
      </w:r>
    </w:p>
    <w:p w:rsidR="005E43B7" w:rsidP="00B94F46" w:rsidRDefault="00DE448C" w14:paraId="23057D02" w14:textId="494B4947">
      <w:pPr>
        <w:ind w:left="0" w:firstLine="0"/>
      </w:pPr>
      <w:r>
        <w:t xml:space="preserve">ROA is similar to the ROE with one exception. Here, </w:t>
      </w:r>
      <w:r w:rsidR="00B407D2">
        <w:t xml:space="preserve">the </w:t>
      </w:r>
      <w:r>
        <w:t xml:space="preserve">asset is used instead of equity. so, the usefulness of both the asset and equity is identified in this ratio. In </w:t>
      </w:r>
      <w:r w:rsidR="00B407D2">
        <w:t xml:space="preserve">the </w:t>
      </w:r>
      <w:r>
        <w:t>case of ROA, Marriott did better in 2021 compared to 2020</w:t>
      </w:r>
    </w:p>
    <w:p w:rsidR="00DE448C" w:rsidP="00B94F46" w:rsidRDefault="00DE448C" w14:paraId="3D6D31D2" w14:textId="211D2187">
      <w:pPr>
        <w:ind w:left="0" w:firstLine="0"/>
      </w:pPr>
    </w:p>
    <w:p w:rsidRPr="00DE448C" w:rsidR="00DE448C" w:rsidP="00DE448C" w:rsidRDefault="00DE448C" w14:paraId="0F1E211E" w14:textId="11E93E23">
      <w:pPr>
        <w:pStyle w:val="Heading2"/>
      </w:pPr>
      <w:bookmarkStart w:name="_Toc118833701" w:id="8"/>
      <w:bookmarkStart w:name="_Toc118836056" w:id="9"/>
      <w:r>
        <w:t>Liquidity ratio</w:t>
      </w:r>
      <w:bookmarkEnd w:id="8"/>
      <w:bookmarkEnd w:id="9"/>
    </w:p>
    <w:p w:rsidR="00DE448C" w:rsidP="00DE448C" w:rsidRDefault="00DE448C" w14:paraId="4773FA44" w14:textId="4014DFF3">
      <w:pPr>
        <w:rPr>
          <w:b/>
          <w:bCs/>
        </w:rPr>
      </w:pPr>
      <w:r w:rsidRPr="00DE448C">
        <w:rPr>
          <w:b/>
          <w:bCs/>
        </w:rPr>
        <w:t>Current Ratio</w:t>
      </w:r>
    </w:p>
    <w:p w:rsidR="00D60EF9" w:rsidP="00DE448C" w:rsidRDefault="00B407D2" w14:paraId="346CF0A5" w14:textId="4D450C67">
      <w:pPr>
        <w:ind w:left="0" w:firstLine="0"/>
      </w:pPr>
      <w:r>
        <w:t>The c</w:t>
      </w:r>
      <w:r w:rsidR="00DE448C">
        <w:t>urrent ratio</w:t>
      </w:r>
      <w:r w:rsidR="00441B19">
        <w:t>, a significant ratio of liquidity,</w:t>
      </w:r>
      <w:r w:rsidR="00DE448C">
        <w:t xml:space="preserve"> </w:t>
      </w:r>
      <w:r w:rsidR="00441B19">
        <w:t>displays</w:t>
      </w:r>
      <w:r w:rsidR="00DE448C">
        <w:t xml:space="preserve"> the </w:t>
      </w:r>
      <w:r w:rsidR="00441B19">
        <w:t>business’s</w:t>
      </w:r>
      <w:r w:rsidR="00DE448C">
        <w:t xml:space="preserve"> </w:t>
      </w:r>
      <w:r w:rsidR="00441B19">
        <w:t>capability</w:t>
      </w:r>
      <w:r w:rsidR="00DE448C">
        <w:t xml:space="preserve"> to </w:t>
      </w:r>
      <w:r w:rsidR="00441B19">
        <w:t>settle</w:t>
      </w:r>
      <w:r w:rsidR="00DE448C">
        <w:t xml:space="preserve"> the </w:t>
      </w:r>
      <w:r w:rsidR="00441B19">
        <w:t xml:space="preserve">liability short-term </w:t>
      </w:r>
      <w:r w:rsidR="00DE448C">
        <w:t xml:space="preserve">with the current asset. It is one of the most important </w:t>
      </w:r>
      <w:r w:rsidR="00BB37CB">
        <w:t>liquidity ratio</w:t>
      </w:r>
      <w:r>
        <w:t>s</w:t>
      </w:r>
      <w:r w:rsidR="00BB37CB">
        <w:t>. It is calculated by d</w:t>
      </w:r>
      <w:r>
        <w:t>i</w:t>
      </w:r>
      <w:r w:rsidR="00BB37CB">
        <w:t xml:space="preserve">viding the current asset by </w:t>
      </w:r>
      <w:r>
        <w:t xml:space="preserve">the </w:t>
      </w:r>
      <w:r w:rsidR="00BB37CB">
        <w:t>current liability</w:t>
      </w:r>
      <w:r w:rsidRPr="0044742D" w:rsidR="0044742D">
        <w:t>(MILGRAM, 2021)</w:t>
      </w:r>
      <w:r w:rsidR="00BB37CB">
        <w:t xml:space="preserve">. In 2020 the current ratio is 0.49 and 0.56 in 2021. That means the liquidity is </w:t>
      </w:r>
      <w:r>
        <w:t xml:space="preserve">the </w:t>
      </w:r>
      <w:r w:rsidR="00BB37CB">
        <w:t>situation of Marriott is not good in both 2020 and 2021.</w:t>
      </w:r>
      <w:r w:rsidR="00D60EF9">
        <w:t xml:space="preserve"> This ratio should be at least 1. </w:t>
      </w:r>
    </w:p>
    <w:p w:rsidR="00DE448C" w:rsidP="00DE448C" w:rsidRDefault="00441B19" w14:paraId="27DFEA23" w14:textId="04A5F458">
      <w:pPr>
        <w:ind w:left="0" w:firstLine="0"/>
        <w:rPr>
          <w:b/>
          <w:bCs/>
        </w:rPr>
      </w:pPr>
      <w:r w:rsidRPr="00441B19">
        <w:rPr>
          <w:b/>
          <w:bCs/>
        </w:rPr>
        <w:t xml:space="preserve">Per Share </w:t>
      </w:r>
      <w:r w:rsidRPr="00D60EF9" w:rsidR="00D60EF9">
        <w:rPr>
          <w:b/>
          <w:bCs/>
        </w:rPr>
        <w:t xml:space="preserve">Operating Cash flow </w:t>
      </w:r>
    </w:p>
    <w:p w:rsidR="00D60EF9" w:rsidP="00DE448C" w:rsidRDefault="00441B19" w14:paraId="552074B0" w14:textId="43030718">
      <w:pPr>
        <w:ind w:left="0" w:firstLine="0"/>
      </w:pPr>
      <w:r>
        <w:t>P</w:t>
      </w:r>
      <w:r w:rsidRPr="00441B19">
        <w:t xml:space="preserve">er share </w:t>
      </w:r>
      <w:r>
        <w:t>o</w:t>
      </w:r>
      <w:r w:rsidR="00D60EF9">
        <w:t xml:space="preserve">perating cash flow is not good in both 2021 and 2020. In 2020 the </w:t>
      </w:r>
      <w:r w:rsidRPr="00441B19">
        <w:t>per</w:t>
      </w:r>
      <w:r w:rsidR="005E4751">
        <w:t>-</w:t>
      </w:r>
      <w:r w:rsidRPr="00441B19">
        <w:t xml:space="preserve">share </w:t>
      </w:r>
      <w:r w:rsidR="00D60EF9">
        <w:t xml:space="preserve">operating cash flow is very low and </w:t>
      </w:r>
      <w:r w:rsidR="00B407D2">
        <w:t xml:space="preserve">the </w:t>
      </w:r>
      <w:r w:rsidR="00D60EF9">
        <w:t xml:space="preserve">operating cash flow per share in 2021 is negative. </w:t>
      </w:r>
    </w:p>
    <w:p w:rsidR="00D60EF9" w:rsidP="00DE448C" w:rsidRDefault="00D60EF9" w14:paraId="1F04703C" w14:textId="08527A27">
      <w:pPr>
        <w:ind w:left="0" w:firstLine="0"/>
      </w:pPr>
    </w:p>
    <w:p w:rsidRPr="00D60EF9" w:rsidR="00D60EF9" w:rsidP="00DE448C" w:rsidRDefault="00D60EF9" w14:paraId="5F24E12A" w14:textId="2D925883">
      <w:pPr>
        <w:ind w:left="0" w:firstLine="0"/>
        <w:rPr>
          <w:b/>
          <w:bCs/>
        </w:rPr>
      </w:pPr>
      <w:r w:rsidRPr="00D60EF9">
        <w:rPr>
          <w:b/>
          <w:bCs/>
        </w:rPr>
        <w:t>Free Cashflow Per Share</w:t>
      </w:r>
    </w:p>
    <w:p w:rsidR="00D60EF9" w:rsidP="00DE448C" w:rsidRDefault="00D60EF9" w14:paraId="625A6DBC" w14:textId="2E7186BF">
      <w:pPr>
        <w:ind w:left="0" w:firstLine="0"/>
      </w:pPr>
      <w:r>
        <w:t>Free cash</w:t>
      </w:r>
      <w:r w:rsidR="00B407D2">
        <w:t xml:space="preserve"> </w:t>
      </w:r>
      <w:r>
        <w:t>flow per share is</w:t>
      </w:r>
      <w:r w:rsidR="00CB057C">
        <w:t xml:space="preserve"> -2.35 in 2021 and 1.16. so, i</w:t>
      </w:r>
      <w:r w:rsidR="00B407D2">
        <w:t>n</w:t>
      </w:r>
      <w:r w:rsidR="00CB057C">
        <w:t xml:space="preserve"> both year</w:t>
      </w:r>
      <w:r w:rsidR="00B407D2">
        <w:t>s</w:t>
      </w:r>
      <w:r w:rsidR="00CB057C">
        <w:t xml:space="preserve"> the situation is not good but it is worse in 2021. Marriott may need to take short</w:t>
      </w:r>
      <w:r w:rsidR="00B407D2">
        <w:t>-</w:t>
      </w:r>
      <w:r w:rsidR="00CB057C">
        <w:t>term cash shortage</w:t>
      </w:r>
      <w:r w:rsidR="00B407D2">
        <w:t>s</w:t>
      </w:r>
      <w:r w:rsidR="00CB057C">
        <w:t xml:space="preserve"> that may worsen the financial condition of the organization. </w:t>
      </w:r>
      <w:r w:rsidR="00806B01">
        <w:t xml:space="preserve">Marriott should be very cautious about it. </w:t>
      </w:r>
    </w:p>
    <w:p w:rsidR="00806B01" w:rsidP="00DE448C" w:rsidRDefault="00806B01" w14:paraId="4FDA0320" w14:textId="79B6D50A">
      <w:pPr>
        <w:ind w:left="0" w:firstLine="0"/>
      </w:pPr>
    </w:p>
    <w:p w:rsidR="00806B01" w:rsidP="00DE448C" w:rsidRDefault="00806B01" w14:paraId="7617C87B" w14:textId="1BF0988A">
      <w:pPr>
        <w:ind w:left="0" w:firstLine="0"/>
        <w:rPr>
          <w:b/>
          <w:bCs/>
        </w:rPr>
      </w:pPr>
      <w:r w:rsidRPr="00806B01">
        <w:rPr>
          <w:b/>
          <w:bCs/>
        </w:rPr>
        <w:t xml:space="preserve">Days Sales in Receivable </w:t>
      </w:r>
    </w:p>
    <w:p w:rsidR="00806B01" w:rsidP="00DE448C" w:rsidRDefault="00F44CB3" w14:paraId="7818A153" w14:textId="065336B9">
      <w:pPr>
        <w:ind w:left="0" w:firstLine="0"/>
      </w:pPr>
      <w:r>
        <w:lastRenderedPageBreak/>
        <w:t>It expres</w:t>
      </w:r>
      <w:r w:rsidR="00B407D2">
        <w:t>se</w:t>
      </w:r>
      <w:r>
        <w:t xml:space="preserve">s the days needed to get the payment from the customer after selling in credit. It is 52 days in 2021 and 61 days in 2020. It means the operation efficiency of the organization in </w:t>
      </w:r>
      <w:r w:rsidR="00B407D2">
        <w:t xml:space="preserve">the </w:t>
      </w:r>
      <w:r>
        <w:t>case of credit management. they improved in 2021 but the</w:t>
      </w:r>
      <w:r w:rsidR="00B407D2">
        <w:t>y</w:t>
      </w:r>
      <w:r>
        <w:t xml:space="preserve"> should try more to reduce the Days Sales in Receivable further. </w:t>
      </w:r>
    </w:p>
    <w:p w:rsidR="00A21DF5" w:rsidP="00DE448C" w:rsidRDefault="00A21DF5" w14:paraId="058A0BAE" w14:textId="1BEEC072">
      <w:pPr>
        <w:ind w:left="0" w:firstLine="0"/>
      </w:pPr>
    </w:p>
    <w:p w:rsidR="00A21DF5" w:rsidP="00D04BB8" w:rsidRDefault="00A21DF5" w14:paraId="31598BAA" w14:textId="69731AD6">
      <w:pPr>
        <w:pStyle w:val="Heading2"/>
      </w:pPr>
      <w:bookmarkStart w:name="_Toc118833702" w:id="10"/>
      <w:bookmarkStart w:name="_Toc118836057" w:id="11"/>
      <w:r>
        <w:t>Leverage Ratios</w:t>
      </w:r>
      <w:bookmarkEnd w:id="10"/>
      <w:bookmarkEnd w:id="11"/>
    </w:p>
    <w:p w:rsidR="00A21DF5" w:rsidP="00A21DF5" w:rsidRDefault="00A21DF5" w14:paraId="7FD967C5" w14:textId="6F4E0AD5">
      <w:pPr>
        <w:rPr>
          <w:b/>
          <w:bCs/>
        </w:rPr>
      </w:pPr>
      <w:r w:rsidRPr="00A21DF5">
        <w:rPr>
          <w:b/>
          <w:bCs/>
        </w:rPr>
        <w:t>Long</w:t>
      </w:r>
      <w:r w:rsidR="00B407D2">
        <w:rPr>
          <w:b/>
          <w:bCs/>
        </w:rPr>
        <w:t>-</w:t>
      </w:r>
      <w:r w:rsidRPr="00A21DF5">
        <w:rPr>
          <w:b/>
          <w:bCs/>
        </w:rPr>
        <w:t>Term Debt to Capital</w:t>
      </w:r>
    </w:p>
    <w:p w:rsidR="00A21DF5" w:rsidP="000D5486" w:rsidRDefault="00B407D2" w14:paraId="40937840" w14:textId="4224C4D5">
      <w:pPr>
        <w:ind w:left="0" w:firstLine="0"/>
      </w:pPr>
      <w:r>
        <w:t>D</w:t>
      </w:r>
      <w:r w:rsidR="00A21DF5">
        <w:t>ebt capital has both advantage</w:t>
      </w:r>
      <w:r>
        <w:t>s</w:t>
      </w:r>
      <w:r w:rsidR="00A21DF5">
        <w:t xml:space="preserve"> and </w:t>
      </w:r>
      <w:r w:rsidR="000D5486">
        <w:t>disadvantages. According to the Mod</w:t>
      </w:r>
      <w:r>
        <w:t>i</w:t>
      </w:r>
      <w:r w:rsidR="000D5486">
        <w:t>gliani Millar proposition debt with tax increase the value of the firm. But the high level of leverage can increase the risks of the organization</w:t>
      </w:r>
      <w:r w:rsidRPr="0044742D" w:rsidR="0044742D">
        <w:t>(</w:t>
      </w:r>
      <w:proofErr w:type="spellStart"/>
      <w:r w:rsidRPr="0044742D" w:rsidR="0044742D">
        <w:t>Artikis</w:t>
      </w:r>
      <w:proofErr w:type="spellEnd"/>
      <w:r w:rsidRPr="0044742D" w:rsidR="0044742D">
        <w:t>, 2014)</w:t>
      </w:r>
      <w:r w:rsidR="000D5486">
        <w:t>. so, it should be optimized. Long</w:t>
      </w:r>
      <w:r>
        <w:t>-</w:t>
      </w:r>
      <w:r w:rsidR="000D5486">
        <w:t xml:space="preserve">term debt to capital is 0.86 in 2021 and it is 0.955 in 2020. That means the leverage is moderate to high. So, this level of leverage will not be a problem for Marriott if they can manage the leverage efficiently. </w:t>
      </w:r>
    </w:p>
    <w:p w:rsidR="000D5486" w:rsidP="000D5486" w:rsidRDefault="000D5486" w14:paraId="6A1469EF" w14:textId="2C30E0AC">
      <w:pPr>
        <w:ind w:left="0" w:firstLine="0"/>
      </w:pPr>
    </w:p>
    <w:p w:rsidR="000D5486" w:rsidP="000D5486" w:rsidRDefault="000D5486" w14:paraId="6A280112" w14:textId="2232513D">
      <w:pPr>
        <w:ind w:left="0" w:firstLine="0"/>
        <w:rPr>
          <w:b/>
          <w:bCs/>
        </w:rPr>
      </w:pPr>
      <w:r w:rsidRPr="000D5486">
        <w:rPr>
          <w:b/>
          <w:bCs/>
        </w:rPr>
        <w:t>Debt to Equity Ratio</w:t>
      </w:r>
    </w:p>
    <w:p w:rsidR="000D5486" w:rsidP="000D5486" w:rsidRDefault="00B407D2" w14:paraId="7F6358CA" w14:textId="30BBE166">
      <w:pPr>
        <w:ind w:left="0" w:firstLine="0"/>
      </w:pPr>
      <w:r>
        <w:t>The d</w:t>
      </w:r>
      <w:r w:rsidR="000D5486">
        <w:t>ebt</w:t>
      </w:r>
      <w:r>
        <w:t>-to-</w:t>
      </w:r>
      <w:r w:rsidR="000D5486">
        <w:t>equity ratio</w:t>
      </w:r>
      <w:r w:rsidR="00441B19">
        <w:t>, a significant measure of long</w:t>
      </w:r>
      <w:r w:rsidR="005E4751">
        <w:t>-</w:t>
      </w:r>
      <w:r w:rsidR="00441B19">
        <w:t xml:space="preserve">term capital structure, </w:t>
      </w:r>
      <w:r w:rsidR="000D5486">
        <w:t xml:space="preserve"> </w:t>
      </w:r>
      <w:r w:rsidR="00441B19">
        <w:t xml:space="preserve">works as </w:t>
      </w:r>
      <w:r w:rsidR="005E4751">
        <w:t xml:space="preserve">a </w:t>
      </w:r>
      <w:r w:rsidR="000D5486">
        <w:t xml:space="preserve">measure of the gearing or leverage of the organization. the debt to equity ratio of Marriott is 7.16 in 2021 which </w:t>
      </w:r>
      <w:r>
        <w:t xml:space="preserve">is </w:t>
      </w:r>
      <w:r w:rsidR="000D5486">
        <w:t>very risky. It can create the risk of bankruptcy. The organization may fail to pay its long</w:t>
      </w:r>
      <w:r>
        <w:t>-</w:t>
      </w:r>
      <w:r w:rsidR="000D5486">
        <w:t xml:space="preserve">term liability. The </w:t>
      </w:r>
      <w:r>
        <w:t xml:space="preserve">situation was worse in 2020 when the debt-to-equity ratio was 24.13. the situation of </w:t>
      </w:r>
      <w:r w:rsidR="002007A5">
        <w:t xml:space="preserve">this </w:t>
      </w:r>
      <w:r>
        <w:t xml:space="preserve">ratio improved in 2021 but they should try </w:t>
      </w:r>
      <w:r w:rsidRPr="00B407D2">
        <w:t xml:space="preserve">more </w:t>
      </w:r>
      <w:r>
        <w:t>minimize the leverage.</w:t>
      </w:r>
    </w:p>
    <w:p w:rsidR="002007A5" w:rsidP="000D5486" w:rsidRDefault="002007A5" w14:paraId="49561548" w14:textId="067B56E8">
      <w:pPr>
        <w:ind w:left="0" w:firstLine="0"/>
      </w:pPr>
    </w:p>
    <w:p w:rsidRPr="002007A5" w:rsidR="002007A5" w:rsidP="000D5486" w:rsidRDefault="002007A5" w14:paraId="44C1BD66" w14:textId="74DD154C">
      <w:pPr>
        <w:ind w:left="0" w:firstLine="0"/>
        <w:rPr>
          <w:b/>
          <w:bCs/>
        </w:rPr>
      </w:pPr>
      <w:r w:rsidRPr="002007A5">
        <w:rPr>
          <w:b/>
          <w:bCs/>
        </w:rPr>
        <w:t>Book Value Per Share</w:t>
      </w:r>
    </w:p>
    <w:p w:rsidR="002007A5" w:rsidP="000D5486" w:rsidRDefault="002007A5" w14:paraId="06187155" w14:textId="692F0937">
      <w:pPr>
        <w:ind w:left="0" w:firstLine="0"/>
      </w:pPr>
      <w:r w:rsidRPr="002007A5">
        <w:t xml:space="preserve">A useful technique to assess a company's financial health is to look at its book value per share. </w:t>
      </w:r>
      <w:r w:rsidR="00751F40">
        <w:t>T</w:t>
      </w:r>
      <w:r w:rsidRPr="002007A5">
        <w:t>he balance sheet, reveals the amount of equity the business has. The better off the firm is, the greater the book value per share</w:t>
      </w:r>
      <w:r w:rsidRPr="0044742D" w:rsidR="0044742D">
        <w:t>(Philip, 2019)</w:t>
      </w:r>
      <w:r w:rsidRPr="002007A5">
        <w:t>.</w:t>
      </w:r>
      <w:r>
        <w:t xml:space="preserve"> The book Value of both the year</w:t>
      </w:r>
      <w:r w:rsidR="00751F40">
        <w:t>s</w:t>
      </w:r>
      <w:r>
        <w:t xml:space="preserve"> 2021 and 2020 is good and it is better in 2021. The book value per share reached 4.33 in 2021. </w:t>
      </w:r>
    </w:p>
    <w:p w:rsidR="00D04BB8" w:rsidP="000D5486" w:rsidRDefault="00D04BB8" w14:paraId="7AF5F366" w14:textId="48878923">
      <w:pPr>
        <w:ind w:left="0" w:firstLine="0"/>
      </w:pPr>
    </w:p>
    <w:p w:rsidR="00D04BB8" w:rsidP="00D04BB8" w:rsidRDefault="00D04BB8" w14:paraId="12A4F1F0" w14:textId="3E72E192">
      <w:pPr>
        <w:pStyle w:val="Heading1"/>
      </w:pPr>
      <w:bookmarkStart w:name="_Toc118833703" w:id="12"/>
      <w:bookmarkStart w:name="_Toc118836058" w:id="13"/>
      <w:r>
        <w:lastRenderedPageBreak/>
        <w:t>Key Trends In Ratios</w:t>
      </w:r>
      <w:bookmarkEnd w:id="12"/>
      <w:bookmarkEnd w:id="13"/>
    </w:p>
    <w:p w:rsidR="0044742D" w:rsidP="00D04BB8" w:rsidRDefault="0044742D" w14:paraId="760B3639" w14:textId="77777777">
      <w:pPr>
        <w:pStyle w:val="Heading2"/>
      </w:pPr>
      <w:bookmarkStart w:name="_Toc118833704" w:id="14"/>
    </w:p>
    <w:p w:rsidR="00D04BB8" w:rsidP="00D04BB8" w:rsidRDefault="00D04BB8" w14:paraId="58446093" w14:textId="620BB427">
      <w:pPr>
        <w:pStyle w:val="Heading2"/>
      </w:pPr>
      <w:bookmarkStart w:name="_Toc118836059" w:id="15"/>
      <w:r>
        <w:t>Profitability</w:t>
      </w:r>
      <w:bookmarkEnd w:id="14"/>
      <w:bookmarkEnd w:id="15"/>
      <w:r>
        <w:t xml:space="preserve"> </w:t>
      </w:r>
    </w:p>
    <w:tbl>
      <w:tblPr>
        <w:tblW w:w="8660" w:type="dxa"/>
        <w:tblInd w:w="113" w:type="dxa"/>
        <w:tblLook w:val="04A0" w:firstRow="1" w:lastRow="0" w:firstColumn="1" w:lastColumn="0" w:noHBand="0" w:noVBand="1"/>
      </w:tblPr>
      <w:tblGrid>
        <w:gridCol w:w="4020"/>
        <w:gridCol w:w="1200"/>
        <w:gridCol w:w="1200"/>
        <w:gridCol w:w="2240"/>
      </w:tblGrid>
      <w:tr w:rsidRPr="00B869FE" w:rsidR="00B869FE" w:rsidTr="00B869FE" w14:paraId="0F1F125D" w14:textId="77777777">
        <w:trPr>
          <w:trHeight w:val="315"/>
        </w:trPr>
        <w:tc>
          <w:tcPr>
            <w:tcW w:w="4020" w:type="dxa"/>
            <w:tcBorders>
              <w:top w:val="single" w:color="auto" w:sz="4" w:space="0"/>
              <w:left w:val="single" w:color="auto" w:sz="4" w:space="0"/>
              <w:bottom w:val="single" w:color="auto" w:sz="4" w:space="0"/>
              <w:right w:val="single" w:color="auto" w:sz="4" w:space="0"/>
            </w:tcBorders>
            <w:shd w:val="clear" w:color="000000" w:fill="00B050"/>
            <w:noWrap/>
            <w:vAlign w:val="center"/>
            <w:hideMark/>
          </w:tcPr>
          <w:p w:rsidRPr="00B869FE" w:rsidR="00B869FE" w:rsidP="00B869FE" w:rsidRDefault="00B869FE" w14:paraId="7E223AD9" w14:textId="77777777">
            <w:pPr>
              <w:spacing w:line="240" w:lineRule="auto"/>
              <w:ind w:left="0" w:firstLine="0"/>
              <w:jc w:val="center"/>
              <w:rPr>
                <w:color w:val="FFFFFF"/>
              </w:rPr>
            </w:pPr>
            <w:r w:rsidRPr="00B869FE">
              <w:rPr>
                <w:color w:val="FFFFFF"/>
              </w:rPr>
              <w:t>Ratios</w:t>
            </w:r>
          </w:p>
        </w:tc>
        <w:tc>
          <w:tcPr>
            <w:tcW w:w="1200" w:type="dxa"/>
            <w:tcBorders>
              <w:top w:val="single" w:color="auto" w:sz="4" w:space="0"/>
              <w:left w:val="nil"/>
              <w:bottom w:val="single" w:color="auto" w:sz="4" w:space="0"/>
              <w:right w:val="single" w:color="auto" w:sz="4" w:space="0"/>
            </w:tcBorders>
            <w:shd w:val="clear" w:color="000000" w:fill="00B050"/>
            <w:noWrap/>
            <w:vAlign w:val="center"/>
            <w:hideMark/>
          </w:tcPr>
          <w:p w:rsidRPr="00B869FE" w:rsidR="00B869FE" w:rsidP="00B869FE" w:rsidRDefault="00B869FE" w14:paraId="02388940" w14:textId="77777777">
            <w:pPr>
              <w:spacing w:line="240" w:lineRule="auto"/>
              <w:ind w:left="0" w:firstLine="0"/>
              <w:jc w:val="center"/>
              <w:rPr>
                <w:color w:val="FFFFFF"/>
              </w:rPr>
            </w:pPr>
            <w:r w:rsidRPr="00B869FE">
              <w:rPr>
                <w:color w:val="FFFFFF"/>
              </w:rPr>
              <w:t>2021</w:t>
            </w:r>
          </w:p>
        </w:tc>
        <w:tc>
          <w:tcPr>
            <w:tcW w:w="1200" w:type="dxa"/>
            <w:tcBorders>
              <w:top w:val="single" w:color="auto" w:sz="4" w:space="0"/>
              <w:left w:val="nil"/>
              <w:bottom w:val="single" w:color="auto" w:sz="4" w:space="0"/>
              <w:right w:val="single" w:color="auto" w:sz="4" w:space="0"/>
            </w:tcBorders>
            <w:shd w:val="clear" w:color="000000" w:fill="00B050"/>
            <w:noWrap/>
            <w:vAlign w:val="center"/>
            <w:hideMark/>
          </w:tcPr>
          <w:p w:rsidRPr="00B869FE" w:rsidR="00B869FE" w:rsidP="00B869FE" w:rsidRDefault="00B869FE" w14:paraId="4DF61DD0" w14:textId="77777777">
            <w:pPr>
              <w:spacing w:line="240" w:lineRule="auto"/>
              <w:ind w:left="0" w:firstLine="0"/>
              <w:jc w:val="center"/>
              <w:rPr>
                <w:color w:val="FFFFFF"/>
              </w:rPr>
            </w:pPr>
            <w:r w:rsidRPr="00B869FE">
              <w:rPr>
                <w:color w:val="FFFFFF"/>
              </w:rPr>
              <w:t>2020</w:t>
            </w:r>
          </w:p>
        </w:tc>
        <w:tc>
          <w:tcPr>
            <w:tcW w:w="2240" w:type="dxa"/>
            <w:tcBorders>
              <w:top w:val="single" w:color="auto" w:sz="4" w:space="0"/>
              <w:left w:val="nil"/>
              <w:bottom w:val="single" w:color="auto" w:sz="4" w:space="0"/>
              <w:right w:val="single" w:color="auto" w:sz="4" w:space="0"/>
            </w:tcBorders>
            <w:shd w:val="clear" w:color="000000" w:fill="00B050"/>
            <w:noWrap/>
            <w:vAlign w:val="center"/>
            <w:hideMark/>
          </w:tcPr>
          <w:p w:rsidRPr="00B869FE" w:rsidR="00B869FE" w:rsidP="00B869FE" w:rsidRDefault="00B869FE" w14:paraId="75E28BEE" w14:textId="7E764020">
            <w:pPr>
              <w:spacing w:line="240" w:lineRule="auto"/>
              <w:ind w:left="0" w:firstLine="0"/>
              <w:jc w:val="center"/>
              <w:rPr>
                <w:color w:val="FFFFFF"/>
              </w:rPr>
            </w:pPr>
            <w:r w:rsidRPr="00B869FE">
              <w:rPr>
                <w:color w:val="FFFFFF"/>
              </w:rPr>
              <w:t>Percentage Change</w:t>
            </w:r>
          </w:p>
        </w:tc>
      </w:tr>
      <w:tr w:rsidRPr="00B869FE" w:rsidR="00B869FE" w:rsidTr="00B869FE" w14:paraId="471F177C" w14:textId="77777777">
        <w:trPr>
          <w:trHeight w:val="315"/>
        </w:trPr>
        <w:tc>
          <w:tcPr>
            <w:tcW w:w="4020" w:type="dxa"/>
            <w:tcBorders>
              <w:top w:val="nil"/>
              <w:left w:val="single" w:color="auto" w:sz="4" w:space="0"/>
              <w:bottom w:val="single" w:color="auto" w:sz="4" w:space="0"/>
              <w:right w:val="single" w:color="auto" w:sz="4" w:space="0"/>
            </w:tcBorders>
            <w:shd w:val="clear" w:color="auto" w:fill="auto"/>
            <w:noWrap/>
            <w:vAlign w:val="center"/>
            <w:hideMark/>
          </w:tcPr>
          <w:p w:rsidRPr="00B869FE" w:rsidR="00B869FE" w:rsidP="00B869FE" w:rsidRDefault="00B869FE" w14:paraId="361038A7" w14:textId="77777777">
            <w:pPr>
              <w:spacing w:line="240" w:lineRule="auto"/>
              <w:ind w:left="0" w:firstLine="0"/>
              <w:jc w:val="center"/>
              <w:rPr>
                <w:color w:val="000000"/>
              </w:rPr>
            </w:pPr>
            <w:r w:rsidRPr="00B869FE">
              <w:rPr>
                <w:color w:val="000000"/>
              </w:rPr>
              <w:t>Gross Margin</w:t>
            </w:r>
          </w:p>
        </w:tc>
        <w:tc>
          <w:tcPr>
            <w:tcW w:w="120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275A215B" w14:textId="77777777">
            <w:pPr>
              <w:spacing w:line="240" w:lineRule="auto"/>
              <w:ind w:left="0" w:firstLine="0"/>
              <w:jc w:val="center"/>
              <w:rPr>
                <w:color w:val="000000"/>
              </w:rPr>
            </w:pPr>
            <w:r w:rsidRPr="00B869FE">
              <w:rPr>
                <w:color w:val="000000"/>
              </w:rPr>
              <w:t>20.2136</w:t>
            </w:r>
          </w:p>
        </w:tc>
        <w:tc>
          <w:tcPr>
            <w:tcW w:w="120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47BE6CDC" w14:textId="77777777">
            <w:pPr>
              <w:spacing w:line="240" w:lineRule="auto"/>
              <w:ind w:left="0" w:firstLine="0"/>
              <w:jc w:val="center"/>
              <w:rPr>
                <w:color w:val="000000"/>
              </w:rPr>
            </w:pPr>
            <w:r w:rsidRPr="00B869FE">
              <w:rPr>
                <w:color w:val="000000"/>
              </w:rPr>
              <w:t>13.8019</w:t>
            </w:r>
          </w:p>
        </w:tc>
        <w:tc>
          <w:tcPr>
            <w:tcW w:w="224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6F6314BA" w14:textId="77777777">
            <w:pPr>
              <w:spacing w:line="240" w:lineRule="auto"/>
              <w:ind w:left="0" w:firstLine="0"/>
              <w:jc w:val="center"/>
              <w:rPr>
                <w:color w:val="000000"/>
              </w:rPr>
            </w:pPr>
            <w:r w:rsidRPr="00B869FE">
              <w:rPr>
                <w:color w:val="000000"/>
              </w:rPr>
              <w:t>46%</w:t>
            </w:r>
          </w:p>
        </w:tc>
      </w:tr>
      <w:tr w:rsidRPr="00B869FE" w:rsidR="00B869FE" w:rsidTr="00B869FE" w14:paraId="4F277605" w14:textId="77777777">
        <w:trPr>
          <w:trHeight w:val="315"/>
        </w:trPr>
        <w:tc>
          <w:tcPr>
            <w:tcW w:w="4020" w:type="dxa"/>
            <w:tcBorders>
              <w:top w:val="nil"/>
              <w:left w:val="single" w:color="auto" w:sz="4" w:space="0"/>
              <w:bottom w:val="single" w:color="auto" w:sz="4" w:space="0"/>
              <w:right w:val="single" w:color="auto" w:sz="4" w:space="0"/>
            </w:tcBorders>
            <w:shd w:val="clear" w:color="auto" w:fill="auto"/>
            <w:noWrap/>
            <w:vAlign w:val="center"/>
            <w:hideMark/>
          </w:tcPr>
          <w:p w:rsidRPr="00B869FE" w:rsidR="00B869FE" w:rsidP="00B869FE" w:rsidRDefault="00B869FE" w14:paraId="0ED4C9E4" w14:textId="77777777">
            <w:pPr>
              <w:spacing w:line="240" w:lineRule="auto"/>
              <w:ind w:left="0" w:firstLine="0"/>
              <w:jc w:val="center"/>
              <w:rPr>
                <w:color w:val="000000"/>
              </w:rPr>
            </w:pPr>
            <w:r w:rsidRPr="00B869FE">
              <w:rPr>
                <w:color w:val="000000"/>
              </w:rPr>
              <w:t>Operating Margin</w:t>
            </w:r>
          </w:p>
        </w:tc>
        <w:tc>
          <w:tcPr>
            <w:tcW w:w="120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1451DB24" w14:textId="77777777">
            <w:pPr>
              <w:spacing w:line="240" w:lineRule="auto"/>
              <w:ind w:left="0" w:firstLine="0"/>
              <w:jc w:val="center"/>
              <w:rPr>
                <w:color w:val="000000"/>
              </w:rPr>
            </w:pPr>
            <w:r w:rsidRPr="00B869FE">
              <w:rPr>
                <w:color w:val="000000"/>
              </w:rPr>
              <w:t>12.629</w:t>
            </w:r>
          </w:p>
        </w:tc>
        <w:tc>
          <w:tcPr>
            <w:tcW w:w="120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2350A71B" w14:textId="77777777">
            <w:pPr>
              <w:spacing w:line="240" w:lineRule="auto"/>
              <w:ind w:left="0" w:firstLine="0"/>
              <w:jc w:val="center"/>
              <w:rPr>
                <w:color w:val="000000"/>
              </w:rPr>
            </w:pPr>
            <w:r w:rsidRPr="00B869FE">
              <w:rPr>
                <w:color w:val="000000"/>
              </w:rPr>
              <w:t>0.7946</w:t>
            </w:r>
          </w:p>
        </w:tc>
        <w:tc>
          <w:tcPr>
            <w:tcW w:w="224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68278508" w14:textId="77777777">
            <w:pPr>
              <w:spacing w:line="240" w:lineRule="auto"/>
              <w:ind w:left="0" w:firstLine="0"/>
              <w:jc w:val="center"/>
              <w:rPr>
                <w:color w:val="000000"/>
              </w:rPr>
            </w:pPr>
            <w:r w:rsidRPr="00B869FE">
              <w:rPr>
                <w:color w:val="000000"/>
              </w:rPr>
              <w:t>1489%</w:t>
            </w:r>
          </w:p>
        </w:tc>
      </w:tr>
      <w:tr w:rsidRPr="00B869FE" w:rsidR="00B869FE" w:rsidTr="00B869FE" w14:paraId="65E4B084" w14:textId="77777777">
        <w:trPr>
          <w:trHeight w:val="315"/>
        </w:trPr>
        <w:tc>
          <w:tcPr>
            <w:tcW w:w="4020" w:type="dxa"/>
            <w:tcBorders>
              <w:top w:val="nil"/>
              <w:left w:val="single" w:color="auto" w:sz="4" w:space="0"/>
              <w:bottom w:val="single" w:color="auto" w:sz="4" w:space="0"/>
              <w:right w:val="single" w:color="auto" w:sz="4" w:space="0"/>
            </w:tcBorders>
            <w:shd w:val="clear" w:color="auto" w:fill="auto"/>
            <w:noWrap/>
            <w:vAlign w:val="center"/>
            <w:hideMark/>
          </w:tcPr>
          <w:p w:rsidRPr="00B869FE" w:rsidR="00B869FE" w:rsidP="00B869FE" w:rsidRDefault="00B869FE" w14:paraId="37E79028" w14:textId="77777777">
            <w:pPr>
              <w:spacing w:line="240" w:lineRule="auto"/>
              <w:ind w:left="0" w:firstLine="0"/>
              <w:jc w:val="center"/>
              <w:rPr>
                <w:color w:val="000000"/>
              </w:rPr>
            </w:pPr>
            <w:r w:rsidRPr="00B869FE">
              <w:rPr>
                <w:color w:val="000000"/>
              </w:rPr>
              <w:t>Net Profit Margin</w:t>
            </w:r>
          </w:p>
        </w:tc>
        <w:tc>
          <w:tcPr>
            <w:tcW w:w="120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49922F6A" w14:textId="77777777">
            <w:pPr>
              <w:spacing w:line="240" w:lineRule="auto"/>
              <w:ind w:left="0" w:firstLine="0"/>
              <w:jc w:val="center"/>
              <w:rPr>
                <w:color w:val="000000"/>
              </w:rPr>
            </w:pPr>
            <w:r w:rsidRPr="00B869FE">
              <w:rPr>
                <w:color w:val="000000"/>
              </w:rPr>
              <w:t>7.931</w:t>
            </w:r>
          </w:p>
        </w:tc>
        <w:tc>
          <w:tcPr>
            <w:tcW w:w="120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0831CA08" w14:textId="77777777">
            <w:pPr>
              <w:spacing w:line="240" w:lineRule="auto"/>
              <w:ind w:left="0" w:firstLine="0"/>
              <w:jc w:val="center"/>
              <w:rPr>
                <w:color w:val="000000"/>
              </w:rPr>
            </w:pPr>
            <w:r w:rsidRPr="00B869FE">
              <w:rPr>
                <w:color w:val="000000"/>
              </w:rPr>
              <w:t>-2.5258</w:t>
            </w:r>
          </w:p>
        </w:tc>
        <w:tc>
          <w:tcPr>
            <w:tcW w:w="224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7920442F" w14:textId="77777777">
            <w:pPr>
              <w:spacing w:line="240" w:lineRule="auto"/>
              <w:ind w:left="0" w:firstLine="0"/>
              <w:jc w:val="center"/>
              <w:rPr>
                <w:color w:val="000000"/>
              </w:rPr>
            </w:pPr>
            <w:r w:rsidRPr="00B869FE">
              <w:rPr>
                <w:color w:val="000000"/>
              </w:rPr>
              <w:t>-414%</w:t>
            </w:r>
          </w:p>
        </w:tc>
      </w:tr>
      <w:tr w:rsidRPr="00B869FE" w:rsidR="00B869FE" w:rsidTr="00B869FE" w14:paraId="0E6E3FC7" w14:textId="77777777">
        <w:trPr>
          <w:trHeight w:val="315"/>
        </w:trPr>
        <w:tc>
          <w:tcPr>
            <w:tcW w:w="4020" w:type="dxa"/>
            <w:tcBorders>
              <w:top w:val="nil"/>
              <w:left w:val="single" w:color="auto" w:sz="4" w:space="0"/>
              <w:bottom w:val="single" w:color="auto" w:sz="4" w:space="0"/>
              <w:right w:val="single" w:color="auto" w:sz="4" w:space="0"/>
            </w:tcBorders>
            <w:shd w:val="clear" w:color="auto" w:fill="auto"/>
            <w:noWrap/>
            <w:vAlign w:val="center"/>
            <w:hideMark/>
          </w:tcPr>
          <w:p w:rsidRPr="00B869FE" w:rsidR="00B869FE" w:rsidP="00B869FE" w:rsidRDefault="00B869FE" w14:paraId="11549218" w14:textId="77777777">
            <w:pPr>
              <w:spacing w:line="240" w:lineRule="auto"/>
              <w:ind w:left="0" w:firstLine="0"/>
              <w:jc w:val="center"/>
              <w:rPr>
                <w:color w:val="000000"/>
              </w:rPr>
            </w:pPr>
            <w:r w:rsidRPr="00B869FE">
              <w:rPr>
                <w:color w:val="000000"/>
              </w:rPr>
              <w:t>ROE - Return On Equity</w:t>
            </w:r>
          </w:p>
        </w:tc>
        <w:tc>
          <w:tcPr>
            <w:tcW w:w="120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747569E6" w14:textId="77777777">
            <w:pPr>
              <w:spacing w:line="240" w:lineRule="auto"/>
              <w:ind w:left="0" w:firstLine="0"/>
              <w:jc w:val="center"/>
              <w:rPr>
                <w:color w:val="000000"/>
              </w:rPr>
            </w:pPr>
            <w:r w:rsidRPr="00B869FE">
              <w:rPr>
                <w:color w:val="000000"/>
              </w:rPr>
              <w:t>77.7228</w:t>
            </w:r>
          </w:p>
        </w:tc>
        <w:tc>
          <w:tcPr>
            <w:tcW w:w="120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576C8BD2" w14:textId="77777777">
            <w:pPr>
              <w:spacing w:line="240" w:lineRule="auto"/>
              <w:ind w:left="0" w:firstLine="0"/>
              <w:jc w:val="center"/>
              <w:rPr>
                <w:color w:val="000000"/>
              </w:rPr>
            </w:pPr>
            <w:r w:rsidRPr="00B869FE">
              <w:rPr>
                <w:color w:val="000000"/>
              </w:rPr>
              <w:t>-62.093</w:t>
            </w:r>
          </w:p>
        </w:tc>
        <w:tc>
          <w:tcPr>
            <w:tcW w:w="224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7A3CED73" w14:textId="77777777">
            <w:pPr>
              <w:spacing w:line="240" w:lineRule="auto"/>
              <w:ind w:left="0" w:firstLine="0"/>
              <w:jc w:val="center"/>
              <w:rPr>
                <w:color w:val="000000"/>
              </w:rPr>
            </w:pPr>
            <w:r w:rsidRPr="00B869FE">
              <w:rPr>
                <w:color w:val="000000"/>
              </w:rPr>
              <w:t>-225%</w:t>
            </w:r>
          </w:p>
        </w:tc>
      </w:tr>
      <w:tr w:rsidRPr="00B869FE" w:rsidR="00B869FE" w:rsidTr="00B869FE" w14:paraId="3476FEDB" w14:textId="77777777">
        <w:trPr>
          <w:trHeight w:val="315"/>
        </w:trPr>
        <w:tc>
          <w:tcPr>
            <w:tcW w:w="4020" w:type="dxa"/>
            <w:tcBorders>
              <w:top w:val="nil"/>
              <w:left w:val="single" w:color="auto" w:sz="4" w:space="0"/>
              <w:bottom w:val="single" w:color="auto" w:sz="4" w:space="0"/>
              <w:right w:val="single" w:color="auto" w:sz="4" w:space="0"/>
            </w:tcBorders>
            <w:shd w:val="clear" w:color="auto" w:fill="auto"/>
            <w:noWrap/>
            <w:vAlign w:val="center"/>
            <w:hideMark/>
          </w:tcPr>
          <w:p w:rsidRPr="00B869FE" w:rsidR="00B869FE" w:rsidP="00B869FE" w:rsidRDefault="00B869FE" w14:paraId="36917775" w14:textId="77777777">
            <w:pPr>
              <w:spacing w:line="240" w:lineRule="auto"/>
              <w:ind w:left="0" w:firstLine="0"/>
              <w:jc w:val="center"/>
              <w:rPr>
                <w:color w:val="000000"/>
              </w:rPr>
            </w:pPr>
            <w:r w:rsidRPr="00B869FE">
              <w:rPr>
                <w:color w:val="000000"/>
              </w:rPr>
              <w:t>ROA- Return On Assets</w:t>
            </w:r>
          </w:p>
        </w:tc>
        <w:tc>
          <w:tcPr>
            <w:tcW w:w="120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05A085E5" w14:textId="77777777">
            <w:pPr>
              <w:spacing w:line="240" w:lineRule="auto"/>
              <w:ind w:left="0" w:firstLine="0"/>
              <w:jc w:val="center"/>
              <w:rPr>
                <w:color w:val="000000"/>
              </w:rPr>
            </w:pPr>
            <w:r w:rsidRPr="00B869FE">
              <w:rPr>
                <w:color w:val="000000"/>
              </w:rPr>
              <w:t>4.3009</w:t>
            </w:r>
          </w:p>
        </w:tc>
        <w:tc>
          <w:tcPr>
            <w:tcW w:w="120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7A3D531E" w14:textId="77777777">
            <w:pPr>
              <w:spacing w:line="240" w:lineRule="auto"/>
              <w:ind w:left="0" w:firstLine="0"/>
              <w:jc w:val="center"/>
              <w:rPr>
                <w:color w:val="000000"/>
              </w:rPr>
            </w:pPr>
            <w:r w:rsidRPr="00B869FE">
              <w:rPr>
                <w:color w:val="000000"/>
              </w:rPr>
              <w:t>-1.0809</w:t>
            </w:r>
          </w:p>
        </w:tc>
        <w:tc>
          <w:tcPr>
            <w:tcW w:w="224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1DAA9731" w14:textId="77777777">
            <w:pPr>
              <w:spacing w:line="240" w:lineRule="auto"/>
              <w:ind w:left="0" w:firstLine="0"/>
              <w:jc w:val="center"/>
              <w:rPr>
                <w:color w:val="000000"/>
              </w:rPr>
            </w:pPr>
            <w:r w:rsidRPr="00B869FE">
              <w:rPr>
                <w:color w:val="000000"/>
              </w:rPr>
              <w:t>-498%</w:t>
            </w:r>
          </w:p>
        </w:tc>
      </w:tr>
    </w:tbl>
    <w:p w:rsidR="004E3A48" w:rsidP="004E3A48" w:rsidRDefault="004E3A48" w14:paraId="6891DBD0" w14:textId="77777777">
      <w:pPr>
        <w:pStyle w:val="Caption"/>
      </w:pPr>
    </w:p>
    <w:p w:rsidRPr="0044742D" w:rsidR="004E3A48" w:rsidP="0044742D" w:rsidRDefault="004E3A48" w14:paraId="21C6E98C" w14:textId="272C24CA">
      <w:pPr>
        <w:pStyle w:val="Caption"/>
        <w:jc w:val="center"/>
        <w:rPr>
          <w:sz w:val="24"/>
          <w:szCs w:val="24"/>
        </w:rPr>
      </w:pPr>
      <w:bookmarkStart w:name="_Toc118836073" w:id="16"/>
      <w:r w:rsidRPr="0044742D">
        <w:rPr>
          <w:sz w:val="24"/>
          <w:szCs w:val="24"/>
        </w:rPr>
        <w:t xml:space="preserve">Table </w:t>
      </w:r>
      <w:r w:rsidRPr="0044742D">
        <w:rPr>
          <w:sz w:val="24"/>
          <w:szCs w:val="24"/>
        </w:rPr>
        <w:fldChar w:fldCharType="begin"/>
      </w:r>
      <w:r w:rsidRPr="0044742D">
        <w:rPr>
          <w:sz w:val="24"/>
          <w:szCs w:val="24"/>
        </w:rPr>
        <w:instrText xml:space="preserve"> SEQ Table \* ARABIC </w:instrText>
      </w:r>
      <w:r w:rsidRPr="0044742D">
        <w:rPr>
          <w:sz w:val="24"/>
          <w:szCs w:val="24"/>
        </w:rPr>
        <w:fldChar w:fldCharType="separate"/>
      </w:r>
      <w:r w:rsidRPr="0044742D" w:rsidR="001A1EE9">
        <w:rPr>
          <w:noProof/>
          <w:sz w:val="24"/>
          <w:szCs w:val="24"/>
        </w:rPr>
        <w:t>1</w:t>
      </w:r>
      <w:r w:rsidRPr="0044742D">
        <w:rPr>
          <w:noProof/>
          <w:sz w:val="24"/>
          <w:szCs w:val="24"/>
        </w:rPr>
        <w:fldChar w:fldCharType="end"/>
      </w:r>
      <w:r w:rsidRPr="0044742D">
        <w:rPr>
          <w:sz w:val="24"/>
          <w:szCs w:val="24"/>
        </w:rPr>
        <w:t>Trends In profitability Ratios</w:t>
      </w:r>
      <w:bookmarkEnd w:id="16"/>
    </w:p>
    <w:p w:rsidRPr="0044742D" w:rsidR="0044742D" w:rsidP="0044742D" w:rsidRDefault="0044742D" w14:paraId="638C2B6D" w14:textId="4D34D3E6">
      <w:pPr>
        <w:jc w:val="center"/>
      </w:pPr>
      <w:r>
        <w:t>Source: Author’s Calculation Based On Given Ratios</w:t>
      </w:r>
    </w:p>
    <w:p w:rsidR="00B869FE" w:rsidP="00B869FE" w:rsidRDefault="00B869FE" w14:paraId="6D92ADB0" w14:textId="09CD74CD">
      <w:pPr>
        <w:ind w:left="0" w:firstLine="0"/>
      </w:pPr>
      <w:r>
        <w:t xml:space="preserve">The key trends in the profitability ratio </w:t>
      </w:r>
      <w:r w:rsidR="00751F40">
        <w:t>are</w:t>
      </w:r>
      <w:r>
        <w:t xml:space="preserve"> that the profitability of Marriott has improved significantly in every respect. </w:t>
      </w:r>
      <w:r w:rsidR="00751F40">
        <w:t>The o</w:t>
      </w:r>
      <w:r>
        <w:t>perating profit margin has improved significantly. There w</w:t>
      </w:r>
      <w:r w:rsidR="00751F40">
        <w:t>as</w:t>
      </w:r>
      <w:r>
        <w:t xml:space="preserve"> </w:t>
      </w:r>
      <w:r w:rsidR="00751F40">
        <w:t xml:space="preserve">a </w:t>
      </w:r>
      <w:r>
        <w:t>net loss in 2020 and there w</w:t>
      </w:r>
      <w:r w:rsidR="00751F40">
        <w:t>as</w:t>
      </w:r>
      <w:r>
        <w:t xml:space="preserve"> </w:t>
      </w:r>
      <w:r w:rsidR="00751F40">
        <w:t xml:space="preserve">a </w:t>
      </w:r>
      <w:r>
        <w:t xml:space="preserve">net profit in 2021. </w:t>
      </w:r>
    </w:p>
    <w:p w:rsidR="00B869FE" w:rsidP="00B869FE" w:rsidRDefault="00B869FE" w14:paraId="1F078814" w14:textId="7EFC259A">
      <w:pPr>
        <w:ind w:left="0" w:firstLine="0"/>
      </w:pPr>
    </w:p>
    <w:p w:rsidR="00B869FE" w:rsidP="00B869FE" w:rsidRDefault="00B869FE" w14:paraId="2A3B89F2" w14:textId="60B03412">
      <w:pPr>
        <w:pStyle w:val="Heading2"/>
      </w:pPr>
      <w:bookmarkStart w:name="_Toc118833705" w:id="17"/>
      <w:bookmarkStart w:name="_Toc118836060" w:id="18"/>
      <w:r>
        <w:t>Liquidity</w:t>
      </w:r>
      <w:bookmarkEnd w:id="17"/>
      <w:bookmarkEnd w:id="18"/>
    </w:p>
    <w:tbl>
      <w:tblPr>
        <w:tblW w:w="8660" w:type="dxa"/>
        <w:tblInd w:w="113" w:type="dxa"/>
        <w:tblLook w:val="04A0" w:firstRow="1" w:lastRow="0" w:firstColumn="1" w:lastColumn="0" w:noHBand="0" w:noVBand="1"/>
      </w:tblPr>
      <w:tblGrid>
        <w:gridCol w:w="4020"/>
        <w:gridCol w:w="1200"/>
        <w:gridCol w:w="1200"/>
        <w:gridCol w:w="2240"/>
      </w:tblGrid>
      <w:tr w:rsidRPr="00B869FE" w:rsidR="00B869FE" w:rsidTr="00B869FE" w14:paraId="02198FB3" w14:textId="77777777">
        <w:trPr>
          <w:trHeight w:val="315"/>
        </w:trPr>
        <w:tc>
          <w:tcPr>
            <w:tcW w:w="4020" w:type="dxa"/>
            <w:tcBorders>
              <w:top w:val="single" w:color="auto" w:sz="4" w:space="0"/>
              <w:left w:val="single" w:color="auto" w:sz="4" w:space="0"/>
              <w:bottom w:val="single" w:color="auto" w:sz="4" w:space="0"/>
              <w:right w:val="single" w:color="auto" w:sz="4" w:space="0"/>
            </w:tcBorders>
            <w:shd w:val="clear" w:color="000000" w:fill="00B050"/>
            <w:noWrap/>
            <w:vAlign w:val="center"/>
            <w:hideMark/>
          </w:tcPr>
          <w:p w:rsidRPr="00B869FE" w:rsidR="00B869FE" w:rsidP="00B869FE" w:rsidRDefault="00B869FE" w14:paraId="0031AD5A" w14:textId="77777777">
            <w:pPr>
              <w:spacing w:line="240" w:lineRule="auto"/>
              <w:ind w:left="0" w:firstLine="0"/>
              <w:jc w:val="center"/>
              <w:rPr>
                <w:color w:val="FFFFFF"/>
              </w:rPr>
            </w:pPr>
            <w:r w:rsidRPr="00B869FE">
              <w:rPr>
                <w:color w:val="FFFFFF"/>
              </w:rPr>
              <w:t>Ratio</w:t>
            </w:r>
          </w:p>
        </w:tc>
        <w:tc>
          <w:tcPr>
            <w:tcW w:w="1200" w:type="dxa"/>
            <w:tcBorders>
              <w:top w:val="single" w:color="auto" w:sz="4" w:space="0"/>
              <w:left w:val="nil"/>
              <w:bottom w:val="single" w:color="auto" w:sz="4" w:space="0"/>
              <w:right w:val="single" w:color="auto" w:sz="4" w:space="0"/>
            </w:tcBorders>
            <w:shd w:val="clear" w:color="000000" w:fill="00B050"/>
            <w:noWrap/>
            <w:vAlign w:val="center"/>
            <w:hideMark/>
          </w:tcPr>
          <w:p w:rsidRPr="00B869FE" w:rsidR="00B869FE" w:rsidP="00B869FE" w:rsidRDefault="00B869FE" w14:paraId="0CD3F59E" w14:textId="77777777">
            <w:pPr>
              <w:spacing w:line="240" w:lineRule="auto"/>
              <w:ind w:left="0" w:firstLine="0"/>
              <w:jc w:val="center"/>
              <w:rPr>
                <w:color w:val="FFFFFF"/>
              </w:rPr>
            </w:pPr>
            <w:r w:rsidRPr="00B869FE">
              <w:rPr>
                <w:color w:val="FFFFFF"/>
              </w:rPr>
              <w:t>2021</w:t>
            </w:r>
          </w:p>
        </w:tc>
        <w:tc>
          <w:tcPr>
            <w:tcW w:w="1200" w:type="dxa"/>
            <w:tcBorders>
              <w:top w:val="single" w:color="auto" w:sz="4" w:space="0"/>
              <w:left w:val="nil"/>
              <w:bottom w:val="single" w:color="auto" w:sz="4" w:space="0"/>
              <w:right w:val="single" w:color="auto" w:sz="4" w:space="0"/>
            </w:tcBorders>
            <w:shd w:val="clear" w:color="000000" w:fill="00B050"/>
            <w:noWrap/>
            <w:vAlign w:val="center"/>
            <w:hideMark/>
          </w:tcPr>
          <w:p w:rsidRPr="00B869FE" w:rsidR="00B869FE" w:rsidP="00B869FE" w:rsidRDefault="00B869FE" w14:paraId="3A82706A" w14:textId="77777777">
            <w:pPr>
              <w:spacing w:line="240" w:lineRule="auto"/>
              <w:ind w:left="0" w:firstLine="0"/>
              <w:jc w:val="center"/>
              <w:rPr>
                <w:color w:val="FFFFFF"/>
              </w:rPr>
            </w:pPr>
            <w:r w:rsidRPr="00B869FE">
              <w:rPr>
                <w:color w:val="FFFFFF"/>
              </w:rPr>
              <w:t>2020</w:t>
            </w:r>
          </w:p>
        </w:tc>
        <w:tc>
          <w:tcPr>
            <w:tcW w:w="2240" w:type="dxa"/>
            <w:tcBorders>
              <w:top w:val="single" w:color="auto" w:sz="4" w:space="0"/>
              <w:left w:val="nil"/>
              <w:bottom w:val="single" w:color="auto" w:sz="4" w:space="0"/>
              <w:right w:val="single" w:color="auto" w:sz="4" w:space="0"/>
            </w:tcBorders>
            <w:shd w:val="clear" w:color="000000" w:fill="00B050"/>
            <w:noWrap/>
            <w:vAlign w:val="center"/>
            <w:hideMark/>
          </w:tcPr>
          <w:p w:rsidRPr="00B869FE" w:rsidR="00B869FE" w:rsidP="00B869FE" w:rsidRDefault="00B869FE" w14:paraId="391F5556" w14:textId="0F8058E3">
            <w:pPr>
              <w:spacing w:line="240" w:lineRule="auto"/>
              <w:ind w:left="0" w:firstLine="0"/>
              <w:jc w:val="center"/>
              <w:rPr>
                <w:color w:val="FFFFFF"/>
              </w:rPr>
            </w:pPr>
            <w:r w:rsidRPr="00B869FE">
              <w:rPr>
                <w:color w:val="FFFFFF"/>
              </w:rPr>
              <w:t>Percentage Change</w:t>
            </w:r>
          </w:p>
        </w:tc>
      </w:tr>
      <w:tr w:rsidRPr="00B869FE" w:rsidR="00B869FE" w:rsidTr="00B869FE" w14:paraId="582F88D8" w14:textId="77777777">
        <w:trPr>
          <w:trHeight w:val="315"/>
        </w:trPr>
        <w:tc>
          <w:tcPr>
            <w:tcW w:w="4020" w:type="dxa"/>
            <w:tcBorders>
              <w:top w:val="nil"/>
              <w:left w:val="single" w:color="auto" w:sz="4" w:space="0"/>
              <w:bottom w:val="single" w:color="auto" w:sz="4" w:space="0"/>
              <w:right w:val="single" w:color="auto" w:sz="4" w:space="0"/>
            </w:tcBorders>
            <w:shd w:val="clear" w:color="auto" w:fill="auto"/>
            <w:noWrap/>
            <w:vAlign w:val="center"/>
            <w:hideMark/>
          </w:tcPr>
          <w:p w:rsidRPr="00B869FE" w:rsidR="00B869FE" w:rsidP="00B869FE" w:rsidRDefault="00B869FE" w14:paraId="29AA7622" w14:textId="77777777">
            <w:pPr>
              <w:spacing w:line="240" w:lineRule="auto"/>
              <w:ind w:left="0" w:firstLine="0"/>
              <w:jc w:val="center"/>
              <w:rPr>
                <w:color w:val="000000"/>
              </w:rPr>
            </w:pPr>
            <w:r w:rsidRPr="00B869FE">
              <w:rPr>
                <w:color w:val="000000"/>
              </w:rPr>
              <w:t>Current Ratio</w:t>
            </w:r>
          </w:p>
        </w:tc>
        <w:tc>
          <w:tcPr>
            <w:tcW w:w="120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0B82C15C" w14:textId="77777777">
            <w:pPr>
              <w:spacing w:line="240" w:lineRule="auto"/>
              <w:ind w:left="0" w:firstLine="0"/>
              <w:jc w:val="center"/>
              <w:rPr>
                <w:color w:val="000000"/>
              </w:rPr>
            </w:pPr>
            <w:r w:rsidRPr="00B869FE">
              <w:rPr>
                <w:color w:val="000000"/>
              </w:rPr>
              <w:t>0.5659</w:t>
            </w:r>
          </w:p>
        </w:tc>
        <w:tc>
          <w:tcPr>
            <w:tcW w:w="120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3240AA15" w14:textId="77777777">
            <w:pPr>
              <w:spacing w:line="240" w:lineRule="auto"/>
              <w:ind w:left="0" w:firstLine="0"/>
              <w:jc w:val="center"/>
              <w:rPr>
                <w:color w:val="000000"/>
              </w:rPr>
            </w:pPr>
            <w:r w:rsidRPr="00B869FE">
              <w:rPr>
                <w:color w:val="000000"/>
              </w:rPr>
              <w:t>0.4911</w:t>
            </w:r>
          </w:p>
        </w:tc>
        <w:tc>
          <w:tcPr>
            <w:tcW w:w="224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75C9C24A" w14:textId="77777777">
            <w:pPr>
              <w:spacing w:line="240" w:lineRule="auto"/>
              <w:ind w:left="0" w:firstLine="0"/>
              <w:jc w:val="center"/>
              <w:rPr>
                <w:color w:val="000000"/>
              </w:rPr>
            </w:pPr>
            <w:r w:rsidRPr="00B869FE">
              <w:rPr>
                <w:color w:val="000000"/>
              </w:rPr>
              <w:t>15%</w:t>
            </w:r>
          </w:p>
        </w:tc>
      </w:tr>
      <w:tr w:rsidRPr="00B869FE" w:rsidR="00B869FE" w:rsidTr="00B869FE" w14:paraId="0D9865E8" w14:textId="77777777">
        <w:trPr>
          <w:trHeight w:val="315"/>
        </w:trPr>
        <w:tc>
          <w:tcPr>
            <w:tcW w:w="4020" w:type="dxa"/>
            <w:tcBorders>
              <w:top w:val="nil"/>
              <w:left w:val="single" w:color="auto" w:sz="4" w:space="0"/>
              <w:bottom w:val="single" w:color="auto" w:sz="4" w:space="0"/>
              <w:right w:val="single" w:color="auto" w:sz="4" w:space="0"/>
            </w:tcBorders>
            <w:shd w:val="clear" w:color="auto" w:fill="auto"/>
            <w:noWrap/>
            <w:vAlign w:val="center"/>
            <w:hideMark/>
          </w:tcPr>
          <w:p w:rsidRPr="00B869FE" w:rsidR="00B869FE" w:rsidP="00B869FE" w:rsidRDefault="00B869FE" w14:paraId="32A198F7" w14:textId="77777777">
            <w:pPr>
              <w:spacing w:line="240" w:lineRule="auto"/>
              <w:ind w:left="0" w:firstLine="0"/>
              <w:jc w:val="center"/>
              <w:rPr>
                <w:color w:val="000000"/>
              </w:rPr>
            </w:pPr>
            <w:r w:rsidRPr="00B869FE">
              <w:rPr>
                <w:color w:val="000000"/>
              </w:rPr>
              <w:t>Operating Cash Flow Per Share</w:t>
            </w:r>
          </w:p>
        </w:tc>
        <w:tc>
          <w:tcPr>
            <w:tcW w:w="120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7C76150B" w14:textId="77777777">
            <w:pPr>
              <w:spacing w:line="240" w:lineRule="auto"/>
              <w:ind w:left="0" w:firstLine="0"/>
              <w:jc w:val="center"/>
              <w:rPr>
                <w:color w:val="000000"/>
              </w:rPr>
            </w:pPr>
            <w:r w:rsidRPr="00B869FE">
              <w:rPr>
                <w:color w:val="000000"/>
              </w:rPr>
              <w:t>-1.4565</w:t>
            </w:r>
          </w:p>
        </w:tc>
        <w:tc>
          <w:tcPr>
            <w:tcW w:w="120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5912349D" w14:textId="77777777">
            <w:pPr>
              <w:spacing w:line="240" w:lineRule="auto"/>
              <w:ind w:left="0" w:firstLine="0"/>
              <w:jc w:val="center"/>
              <w:rPr>
                <w:color w:val="000000"/>
              </w:rPr>
            </w:pPr>
            <w:r w:rsidRPr="00B869FE">
              <w:rPr>
                <w:color w:val="000000"/>
              </w:rPr>
              <w:t>0.0083</w:t>
            </w:r>
          </w:p>
        </w:tc>
        <w:tc>
          <w:tcPr>
            <w:tcW w:w="224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2A796159" w14:textId="77777777">
            <w:pPr>
              <w:spacing w:line="240" w:lineRule="auto"/>
              <w:ind w:left="0" w:firstLine="0"/>
              <w:jc w:val="center"/>
              <w:rPr>
                <w:color w:val="000000"/>
              </w:rPr>
            </w:pPr>
            <w:r w:rsidRPr="00B869FE">
              <w:rPr>
                <w:color w:val="000000"/>
              </w:rPr>
              <w:t>-17648%</w:t>
            </w:r>
          </w:p>
        </w:tc>
      </w:tr>
      <w:tr w:rsidRPr="00B869FE" w:rsidR="00B869FE" w:rsidTr="00B869FE" w14:paraId="54CDFCF7" w14:textId="77777777">
        <w:trPr>
          <w:trHeight w:val="315"/>
        </w:trPr>
        <w:tc>
          <w:tcPr>
            <w:tcW w:w="4020" w:type="dxa"/>
            <w:tcBorders>
              <w:top w:val="nil"/>
              <w:left w:val="single" w:color="auto" w:sz="4" w:space="0"/>
              <w:bottom w:val="single" w:color="auto" w:sz="4" w:space="0"/>
              <w:right w:val="single" w:color="auto" w:sz="4" w:space="0"/>
            </w:tcBorders>
            <w:shd w:val="clear" w:color="auto" w:fill="auto"/>
            <w:noWrap/>
            <w:vAlign w:val="center"/>
            <w:hideMark/>
          </w:tcPr>
          <w:p w:rsidRPr="00B869FE" w:rsidR="00B869FE" w:rsidP="00B869FE" w:rsidRDefault="00B869FE" w14:paraId="2A8A2F34" w14:textId="77777777">
            <w:pPr>
              <w:spacing w:line="240" w:lineRule="auto"/>
              <w:ind w:left="0" w:firstLine="0"/>
              <w:jc w:val="center"/>
              <w:rPr>
                <w:color w:val="000000"/>
              </w:rPr>
            </w:pPr>
            <w:r w:rsidRPr="00B869FE">
              <w:rPr>
                <w:color w:val="000000"/>
              </w:rPr>
              <w:t>Free Cash Flow Per Share</w:t>
            </w:r>
          </w:p>
        </w:tc>
        <w:tc>
          <w:tcPr>
            <w:tcW w:w="120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1241A108" w14:textId="77777777">
            <w:pPr>
              <w:spacing w:line="240" w:lineRule="auto"/>
              <w:ind w:left="0" w:firstLine="0"/>
              <w:jc w:val="center"/>
              <w:rPr>
                <w:color w:val="000000"/>
              </w:rPr>
            </w:pPr>
            <w:r w:rsidRPr="00B869FE">
              <w:rPr>
                <w:color w:val="000000"/>
              </w:rPr>
              <w:t>-2.3594</w:t>
            </w:r>
          </w:p>
        </w:tc>
        <w:tc>
          <w:tcPr>
            <w:tcW w:w="120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7ACB59CA" w14:textId="77777777">
            <w:pPr>
              <w:spacing w:line="240" w:lineRule="auto"/>
              <w:ind w:left="0" w:firstLine="0"/>
              <w:jc w:val="center"/>
              <w:rPr>
                <w:color w:val="000000"/>
              </w:rPr>
            </w:pPr>
            <w:r w:rsidRPr="00B869FE">
              <w:rPr>
                <w:color w:val="000000"/>
              </w:rPr>
              <w:t>1.161</w:t>
            </w:r>
          </w:p>
        </w:tc>
        <w:tc>
          <w:tcPr>
            <w:tcW w:w="224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664088D3" w14:textId="77777777">
            <w:pPr>
              <w:spacing w:line="240" w:lineRule="auto"/>
              <w:ind w:left="0" w:firstLine="0"/>
              <w:jc w:val="center"/>
              <w:rPr>
                <w:color w:val="000000"/>
              </w:rPr>
            </w:pPr>
            <w:r w:rsidRPr="00B869FE">
              <w:rPr>
                <w:color w:val="000000"/>
              </w:rPr>
              <w:t>-303%</w:t>
            </w:r>
          </w:p>
        </w:tc>
      </w:tr>
      <w:tr w:rsidRPr="00B869FE" w:rsidR="00B869FE" w:rsidTr="00B869FE" w14:paraId="0A870BFF" w14:textId="77777777">
        <w:trPr>
          <w:trHeight w:val="315"/>
        </w:trPr>
        <w:tc>
          <w:tcPr>
            <w:tcW w:w="4020" w:type="dxa"/>
            <w:tcBorders>
              <w:top w:val="nil"/>
              <w:left w:val="single" w:color="auto" w:sz="4" w:space="0"/>
              <w:bottom w:val="single" w:color="auto" w:sz="4" w:space="0"/>
              <w:right w:val="single" w:color="auto" w:sz="4" w:space="0"/>
            </w:tcBorders>
            <w:shd w:val="clear" w:color="auto" w:fill="auto"/>
            <w:noWrap/>
            <w:vAlign w:val="center"/>
            <w:hideMark/>
          </w:tcPr>
          <w:p w:rsidRPr="00B869FE" w:rsidR="00B869FE" w:rsidP="00B869FE" w:rsidRDefault="00B869FE" w14:paraId="7D6E624C" w14:textId="77777777">
            <w:pPr>
              <w:spacing w:line="240" w:lineRule="auto"/>
              <w:ind w:left="0" w:firstLine="0"/>
              <w:jc w:val="center"/>
              <w:rPr>
                <w:color w:val="000000"/>
              </w:rPr>
            </w:pPr>
            <w:r w:rsidRPr="00B869FE">
              <w:rPr>
                <w:color w:val="000000"/>
              </w:rPr>
              <w:t>Days Sales In Receivables</w:t>
            </w:r>
          </w:p>
        </w:tc>
        <w:tc>
          <w:tcPr>
            <w:tcW w:w="120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0EBE0442" w14:textId="77777777">
            <w:pPr>
              <w:spacing w:line="240" w:lineRule="auto"/>
              <w:ind w:left="0" w:firstLine="0"/>
              <w:jc w:val="center"/>
              <w:rPr>
                <w:color w:val="000000"/>
              </w:rPr>
            </w:pPr>
            <w:r w:rsidRPr="00B869FE">
              <w:rPr>
                <w:color w:val="000000"/>
              </w:rPr>
              <w:t>52.2068</w:t>
            </w:r>
          </w:p>
        </w:tc>
        <w:tc>
          <w:tcPr>
            <w:tcW w:w="120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2AB61B30" w14:textId="77777777">
            <w:pPr>
              <w:spacing w:line="240" w:lineRule="auto"/>
              <w:ind w:left="0" w:firstLine="0"/>
              <w:jc w:val="center"/>
              <w:rPr>
                <w:color w:val="000000"/>
              </w:rPr>
            </w:pPr>
            <w:r w:rsidRPr="00B869FE">
              <w:rPr>
                <w:color w:val="000000"/>
              </w:rPr>
              <w:t>61.0463</w:t>
            </w:r>
          </w:p>
        </w:tc>
        <w:tc>
          <w:tcPr>
            <w:tcW w:w="2240" w:type="dxa"/>
            <w:tcBorders>
              <w:top w:val="nil"/>
              <w:left w:val="nil"/>
              <w:bottom w:val="single" w:color="auto" w:sz="4" w:space="0"/>
              <w:right w:val="single" w:color="auto" w:sz="4" w:space="0"/>
            </w:tcBorders>
            <w:shd w:val="clear" w:color="auto" w:fill="auto"/>
            <w:noWrap/>
            <w:vAlign w:val="center"/>
            <w:hideMark/>
          </w:tcPr>
          <w:p w:rsidRPr="00B869FE" w:rsidR="00B869FE" w:rsidP="00B869FE" w:rsidRDefault="00B869FE" w14:paraId="273DD7A8" w14:textId="77777777">
            <w:pPr>
              <w:keepNext/>
              <w:spacing w:line="240" w:lineRule="auto"/>
              <w:ind w:left="0" w:firstLine="0"/>
              <w:jc w:val="center"/>
              <w:rPr>
                <w:color w:val="000000"/>
              </w:rPr>
            </w:pPr>
            <w:r w:rsidRPr="00B869FE">
              <w:rPr>
                <w:color w:val="000000"/>
              </w:rPr>
              <w:t>-14%</w:t>
            </w:r>
          </w:p>
        </w:tc>
      </w:tr>
    </w:tbl>
    <w:p w:rsidR="0044742D" w:rsidP="0044742D" w:rsidRDefault="0044742D" w14:paraId="30F999A0" w14:textId="77777777">
      <w:pPr>
        <w:pStyle w:val="Caption"/>
        <w:jc w:val="center"/>
        <w:rPr>
          <w:sz w:val="24"/>
          <w:szCs w:val="24"/>
        </w:rPr>
      </w:pPr>
    </w:p>
    <w:p w:rsidRPr="0044742D" w:rsidR="00B869FE" w:rsidP="0044742D" w:rsidRDefault="00B869FE" w14:paraId="62CA7A7E" w14:textId="01799945">
      <w:pPr>
        <w:pStyle w:val="Caption"/>
        <w:jc w:val="center"/>
        <w:rPr>
          <w:sz w:val="24"/>
          <w:szCs w:val="24"/>
        </w:rPr>
      </w:pPr>
      <w:bookmarkStart w:name="_Toc118836074" w:id="19"/>
      <w:r w:rsidRPr="0044742D">
        <w:rPr>
          <w:sz w:val="24"/>
          <w:szCs w:val="24"/>
        </w:rPr>
        <w:t xml:space="preserve">Table </w:t>
      </w:r>
      <w:r w:rsidRPr="0044742D">
        <w:rPr>
          <w:sz w:val="24"/>
          <w:szCs w:val="24"/>
        </w:rPr>
        <w:fldChar w:fldCharType="begin"/>
      </w:r>
      <w:r w:rsidRPr="0044742D">
        <w:rPr>
          <w:sz w:val="24"/>
          <w:szCs w:val="24"/>
        </w:rPr>
        <w:instrText xml:space="preserve"> SEQ Table \* ARABIC </w:instrText>
      </w:r>
      <w:r w:rsidRPr="0044742D">
        <w:rPr>
          <w:sz w:val="24"/>
          <w:szCs w:val="24"/>
        </w:rPr>
        <w:fldChar w:fldCharType="separate"/>
      </w:r>
      <w:r w:rsidRPr="0044742D" w:rsidR="001A1EE9">
        <w:rPr>
          <w:noProof/>
          <w:sz w:val="24"/>
          <w:szCs w:val="24"/>
        </w:rPr>
        <w:t>2</w:t>
      </w:r>
      <w:r w:rsidRPr="0044742D">
        <w:rPr>
          <w:noProof/>
          <w:sz w:val="24"/>
          <w:szCs w:val="24"/>
        </w:rPr>
        <w:fldChar w:fldCharType="end"/>
      </w:r>
      <w:r w:rsidRPr="0044742D">
        <w:rPr>
          <w:sz w:val="24"/>
          <w:szCs w:val="24"/>
        </w:rPr>
        <w:t xml:space="preserve"> Trends in Liquidity</w:t>
      </w:r>
      <w:bookmarkEnd w:id="19"/>
    </w:p>
    <w:p w:rsidRPr="0044742D" w:rsidR="0044742D" w:rsidP="0044742D" w:rsidRDefault="0044742D" w14:paraId="13D52F46" w14:textId="1C0B8853">
      <w:pPr>
        <w:jc w:val="center"/>
      </w:pPr>
      <w:r w:rsidRPr="0044742D">
        <w:t>Source: Author’s Calculation Based On Given Ratios</w:t>
      </w:r>
    </w:p>
    <w:p w:rsidR="00B869FE" w:rsidP="00294C17" w:rsidRDefault="00B869FE" w14:paraId="14E3A814" w14:textId="14DE6EF9">
      <w:pPr>
        <w:ind w:left="0" w:firstLine="0"/>
      </w:pPr>
      <w:r>
        <w:t xml:space="preserve">The profit situation is good in </w:t>
      </w:r>
      <w:r w:rsidR="00E86FB9">
        <w:t xml:space="preserve">2021 </w:t>
      </w:r>
      <w:r>
        <w:t xml:space="preserve">but </w:t>
      </w:r>
      <w:r w:rsidR="00751F40">
        <w:t xml:space="preserve">the </w:t>
      </w:r>
      <w:r>
        <w:t xml:space="preserve">liquidity situation is bad for both </w:t>
      </w:r>
      <w:r w:rsidR="00294C17">
        <w:t xml:space="preserve">years. Though </w:t>
      </w:r>
      <w:r w:rsidR="00751F40">
        <w:t xml:space="preserve">the </w:t>
      </w:r>
      <w:r w:rsidR="00294C17">
        <w:t>current ratio and days sales in receivables ha</w:t>
      </w:r>
      <w:r w:rsidR="00751F40">
        <w:t>ve</w:t>
      </w:r>
      <w:r w:rsidR="00294C17">
        <w:t xml:space="preserve"> improved in 2021 the improvement is not very significant. In </w:t>
      </w:r>
      <w:r w:rsidR="00751F40">
        <w:t xml:space="preserve">the </w:t>
      </w:r>
      <w:r w:rsidR="00294C17">
        <w:t>case of operating cash</w:t>
      </w:r>
      <w:r w:rsidR="00751F40">
        <w:t xml:space="preserve"> </w:t>
      </w:r>
      <w:r w:rsidR="00294C17">
        <w:t>flow and free cash flow per share was better in 2020 compared to 2021 though the profit situation is reverse</w:t>
      </w:r>
      <w:r w:rsidR="00751F40">
        <w:t>d</w:t>
      </w:r>
      <w:r w:rsidR="00294C17">
        <w:t xml:space="preserve">. It happened because the profit may not always mean to be cash. </w:t>
      </w:r>
      <w:r w:rsidR="00EB23D1">
        <w:t xml:space="preserve">Overall liquidity situation has deteriorated. </w:t>
      </w:r>
    </w:p>
    <w:p w:rsidR="001A1EE9" w:rsidP="00294C17" w:rsidRDefault="001A1EE9" w14:paraId="60740988" w14:textId="5E9E8A82">
      <w:pPr>
        <w:ind w:left="0" w:firstLine="0"/>
      </w:pPr>
    </w:p>
    <w:p w:rsidR="001A1EE9" w:rsidP="001A1EE9" w:rsidRDefault="001A1EE9" w14:paraId="033490D8" w14:textId="43875FAB">
      <w:pPr>
        <w:pStyle w:val="Heading2"/>
      </w:pPr>
      <w:bookmarkStart w:name="_Toc118833706" w:id="20"/>
      <w:bookmarkStart w:name="_Toc118836061" w:id="21"/>
      <w:r>
        <w:lastRenderedPageBreak/>
        <w:t>Leverage</w:t>
      </w:r>
      <w:bookmarkEnd w:id="20"/>
      <w:bookmarkEnd w:id="21"/>
      <w:r>
        <w:t xml:space="preserve"> </w:t>
      </w:r>
    </w:p>
    <w:tbl>
      <w:tblPr>
        <w:tblW w:w="8660" w:type="dxa"/>
        <w:tblInd w:w="113" w:type="dxa"/>
        <w:tblLook w:val="04A0" w:firstRow="1" w:lastRow="0" w:firstColumn="1" w:lastColumn="0" w:noHBand="0" w:noVBand="1"/>
      </w:tblPr>
      <w:tblGrid>
        <w:gridCol w:w="4020"/>
        <w:gridCol w:w="1200"/>
        <w:gridCol w:w="1200"/>
        <w:gridCol w:w="2240"/>
      </w:tblGrid>
      <w:tr w:rsidRPr="001A1EE9" w:rsidR="001A1EE9" w:rsidTr="001A1EE9" w14:paraId="1BCDA206" w14:textId="77777777">
        <w:trPr>
          <w:trHeight w:val="315"/>
        </w:trPr>
        <w:tc>
          <w:tcPr>
            <w:tcW w:w="4020" w:type="dxa"/>
            <w:tcBorders>
              <w:top w:val="single" w:color="auto" w:sz="4" w:space="0"/>
              <w:left w:val="single" w:color="auto" w:sz="4" w:space="0"/>
              <w:bottom w:val="single" w:color="auto" w:sz="4" w:space="0"/>
              <w:right w:val="single" w:color="auto" w:sz="4" w:space="0"/>
            </w:tcBorders>
            <w:shd w:val="clear" w:color="000000" w:fill="00B050"/>
            <w:noWrap/>
            <w:vAlign w:val="center"/>
            <w:hideMark/>
          </w:tcPr>
          <w:p w:rsidRPr="001A1EE9" w:rsidR="001A1EE9" w:rsidP="001A1EE9" w:rsidRDefault="001A1EE9" w14:paraId="708ECCF4" w14:textId="77777777">
            <w:pPr>
              <w:spacing w:line="240" w:lineRule="auto"/>
              <w:ind w:left="0" w:firstLine="0"/>
              <w:jc w:val="center"/>
              <w:rPr>
                <w:color w:val="FFFFFF"/>
              </w:rPr>
            </w:pPr>
            <w:r w:rsidRPr="001A1EE9">
              <w:rPr>
                <w:color w:val="FFFFFF"/>
              </w:rPr>
              <w:t>Ratios</w:t>
            </w:r>
          </w:p>
        </w:tc>
        <w:tc>
          <w:tcPr>
            <w:tcW w:w="1200" w:type="dxa"/>
            <w:tcBorders>
              <w:top w:val="single" w:color="auto" w:sz="4" w:space="0"/>
              <w:left w:val="nil"/>
              <w:bottom w:val="single" w:color="auto" w:sz="4" w:space="0"/>
              <w:right w:val="single" w:color="auto" w:sz="4" w:space="0"/>
            </w:tcBorders>
            <w:shd w:val="clear" w:color="000000" w:fill="00B050"/>
            <w:noWrap/>
            <w:vAlign w:val="center"/>
            <w:hideMark/>
          </w:tcPr>
          <w:p w:rsidRPr="001A1EE9" w:rsidR="001A1EE9" w:rsidP="001A1EE9" w:rsidRDefault="001A1EE9" w14:paraId="31599FA8" w14:textId="77777777">
            <w:pPr>
              <w:spacing w:line="240" w:lineRule="auto"/>
              <w:ind w:left="0" w:firstLine="0"/>
              <w:jc w:val="center"/>
              <w:rPr>
                <w:color w:val="FFFFFF"/>
              </w:rPr>
            </w:pPr>
            <w:r w:rsidRPr="001A1EE9">
              <w:rPr>
                <w:color w:val="FFFFFF"/>
              </w:rPr>
              <w:t>2021</w:t>
            </w:r>
          </w:p>
        </w:tc>
        <w:tc>
          <w:tcPr>
            <w:tcW w:w="1200" w:type="dxa"/>
            <w:tcBorders>
              <w:top w:val="single" w:color="auto" w:sz="4" w:space="0"/>
              <w:left w:val="nil"/>
              <w:bottom w:val="single" w:color="auto" w:sz="4" w:space="0"/>
              <w:right w:val="single" w:color="auto" w:sz="4" w:space="0"/>
            </w:tcBorders>
            <w:shd w:val="clear" w:color="000000" w:fill="00B050"/>
            <w:noWrap/>
            <w:vAlign w:val="center"/>
            <w:hideMark/>
          </w:tcPr>
          <w:p w:rsidRPr="001A1EE9" w:rsidR="001A1EE9" w:rsidP="001A1EE9" w:rsidRDefault="001A1EE9" w14:paraId="564EC2FA" w14:textId="77777777">
            <w:pPr>
              <w:spacing w:line="240" w:lineRule="auto"/>
              <w:ind w:left="0" w:firstLine="0"/>
              <w:jc w:val="center"/>
              <w:rPr>
                <w:color w:val="FFFFFF"/>
              </w:rPr>
            </w:pPr>
            <w:r w:rsidRPr="001A1EE9">
              <w:rPr>
                <w:color w:val="FFFFFF"/>
              </w:rPr>
              <w:t>2020</w:t>
            </w:r>
          </w:p>
        </w:tc>
        <w:tc>
          <w:tcPr>
            <w:tcW w:w="2240" w:type="dxa"/>
            <w:tcBorders>
              <w:top w:val="single" w:color="auto" w:sz="4" w:space="0"/>
              <w:left w:val="nil"/>
              <w:bottom w:val="single" w:color="auto" w:sz="4" w:space="0"/>
              <w:right w:val="single" w:color="auto" w:sz="4" w:space="0"/>
            </w:tcBorders>
            <w:shd w:val="clear" w:color="000000" w:fill="00B050"/>
            <w:noWrap/>
            <w:vAlign w:val="center"/>
            <w:hideMark/>
          </w:tcPr>
          <w:p w:rsidRPr="001A1EE9" w:rsidR="001A1EE9" w:rsidP="001A1EE9" w:rsidRDefault="001A1EE9" w14:paraId="269ACD95" w14:textId="41FF713F">
            <w:pPr>
              <w:spacing w:line="240" w:lineRule="auto"/>
              <w:ind w:left="0" w:firstLine="0"/>
              <w:jc w:val="center"/>
              <w:rPr>
                <w:color w:val="FFFFFF"/>
              </w:rPr>
            </w:pPr>
            <w:r w:rsidRPr="001A1EE9">
              <w:rPr>
                <w:color w:val="FFFFFF"/>
              </w:rPr>
              <w:t>Percentage Change</w:t>
            </w:r>
          </w:p>
        </w:tc>
      </w:tr>
      <w:tr w:rsidRPr="001A1EE9" w:rsidR="001A1EE9" w:rsidTr="001A1EE9" w14:paraId="6B962896" w14:textId="77777777">
        <w:trPr>
          <w:trHeight w:val="315"/>
        </w:trPr>
        <w:tc>
          <w:tcPr>
            <w:tcW w:w="4020" w:type="dxa"/>
            <w:tcBorders>
              <w:top w:val="nil"/>
              <w:left w:val="single" w:color="auto" w:sz="4" w:space="0"/>
              <w:bottom w:val="single" w:color="auto" w:sz="4" w:space="0"/>
              <w:right w:val="single" w:color="auto" w:sz="4" w:space="0"/>
            </w:tcBorders>
            <w:shd w:val="clear" w:color="auto" w:fill="auto"/>
            <w:noWrap/>
            <w:vAlign w:val="center"/>
            <w:hideMark/>
          </w:tcPr>
          <w:p w:rsidRPr="001A1EE9" w:rsidR="001A1EE9" w:rsidP="001A1EE9" w:rsidRDefault="001A1EE9" w14:paraId="3ACD924D" w14:textId="77777777">
            <w:pPr>
              <w:spacing w:line="240" w:lineRule="auto"/>
              <w:ind w:left="0" w:firstLine="0"/>
              <w:jc w:val="center"/>
              <w:rPr>
                <w:color w:val="000000"/>
              </w:rPr>
            </w:pPr>
            <w:r w:rsidRPr="001A1EE9">
              <w:rPr>
                <w:color w:val="000000"/>
              </w:rPr>
              <w:t>Long-term Debt I Capital</w:t>
            </w:r>
          </w:p>
        </w:tc>
        <w:tc>
          <w:tcPr>
            <w:tcW w:w="1200" w:type="dxa"/>
            <w:tcBorders>
              <w:top w:val="nil"/>
              <w:left w:val="nil"/>
              <w:bottom w:val="single" w:color="auto" w:sz="4" w:space="0"/>
              <w:right w:val="single" w:color="auto" w:sz="4" w:space="0"/>
            </w:tcBorders>
            <w:shd w:val="clear" w:color="auto" w:fill="auto"/>
            <w:noWrap/>
            <w:vAlign w:val="center"/>
            <w:hideMark/>
          </w:tcPr>
          <w:p w:rsidRPr="001A1EE9" w:rsidR="001A1EE9" w:rsidP="001A1EE9" w:rsidRDefault="001A1EE9" w14:paraId="7B7270CE" w14:textId="77777777">
            <w:pPr>
              <w:spacing w:line="240" w:lineRule="auto"/>
              <w:ind w:left="0" w:firstLine="0"/>
              <w:jc w:val="center"/>
              <w:rPr>
                <w:color w:val="000000"/>
              </w:rPr>
            </w:pPr>
            <w:r w:rsidRPr="001A1EE9">
              <w:rPr>
                <w:color w:val="000000"/>
              </w:rPr>
              <w:t>0.8684</w:t>
            </w:r>
          </w:p>
        </w:tc>
        <w:tc>
          <w:tcPr>
            <w:tcW w:w="1200" w:type="dxa"/>
            <w:tcBorders>
              <w:top w:val="nil"/>
              <w:left w:val="nil"/>
              <w:bottom w:val="single" w:color="auto" w:sz="4" w:space="0"/>
              <w:right w:val="single" w:color="auto" w:sz="4" w:space="0"/>
            </w:tcBorders>
            <w:shd w:val="clear" w:color="auto" w:fill="auto"/>
            <w:noWrap/>
            <w:vAlign w:val="center"/>
            <w:hideMark/>
          </w:tcPr>
          <w:p w:rsidRPr="001A1EE9" w:rsidR="001A1EE9" w:rsidP="001A1EE9" w:rsidRDefault="001A1EE9" w14:paraId="705E910F" w14:textId="77777777">
            <w:pPr>
              <w:spacing w:line="240" w:lineRule="auto"/>
              <w:ind w:left="0" w:firstLine="0"/>
              <w:jc w:val="center"/>
              <w:rPr>
                <w:color w:val="000000"/>
              </w:rPr>
            </w:pPr>
            <w:r w:rsidRPr="001A1EE9">
              <w:rPr>
                <w:color w:val="000000"/>
              </w:rPr>
              <w:t>0.9554</w:t>
            </w:r>
          </w:p>
        </w:tc>
        <w:tc>
          <w:tcPr>
            <w:tcW w:w="2240" w:type="dxa"/>
            <w:tcBorders>
              <w:top w:val="nil"/>
              <w:left w:val="nil"/>
              <w:bottom w:val="single" w:color="auto" w:sz="4" w:space="0"/>
              <w:right w:val="single" w:color="auto" w:sz="4" w:space="0"/>
            </w:tcBorders>
            <w:shd w:val="clear" w:color="auto" w:fill="auto"/>
            <w:noWrap/>
            <w:vAlign w:val="center"/>
            <w:hideMark/>
          </w:tcPr>
          <w:p w:rsidRPr="001A1EE9" w:rsidR="001A1EE9" w:rsidP="001A1EE9" w:rsidRDefault="001A1EE9" w14:paraId="76EFE0F6" w14:textId="77777777">
            <w:pPr>
              <w:spacing w:line="240" w:lineRule="auto"/>
              <w:ind w:left="0" w:firstLine="0"/>
              <w:jc w:val="center"/>
              <w:rPr>
                <w:color w:val="000000"/>
              </w:rPr>
            </w:pPr>
            <w:r w:rsidRPr="001A1EE9">
              <w:rPr>
                <w:color w:val="000000"/>
              </w:rPr>
              <w:t>-9%</w:t>
            </w:r>
          </w:p>
        </w:tc>
      </w:tr>
      <w:tr w:rsidRPr="001A1EE9" w:rsidR="001A1EE9" w:rsidTr="001A1EE9" w14:paraId="004090D5" w14:textId="77777777">
        <w:trPr>
          <w:trHeight w:val="315"/>
        </w:trPr>
        <w:tc>
          <w:tcPr>
            <w:tcW w:w="4020" w:type="dxa"/>
            <w:tcBorders>
              <w:top w:val="nil"/>
              <w:left w:val="single" w:color="auto" w:sz="4" w:space="0"/>
              <w:bottom w:val="single" w:color="auto" w:sz="4" w:space="0"/>
              <w:right w:val="single" w:color="auto" w:sz="4" w:space="0"/>
            </w:tcBorders>
            <w:shd w:val="clear" w:color="auto" w:fill="auto"/>
            <w:noWrap/>
            <w:vAlign w:val="center"/>
            <w:hideMark/>
          </w:tcPr>
          <w:p w:rsidRPr="001A1EE9" w:rsidR="001A1EE9" w:rsidP="001A1EE9" w:rsidRDefault="001A1EE9" w14:paraId="7A9FFFFE" w14:textId="77777777">
            <w:pPr>
              <w:spacing w:line="240" w:lineRule="auto"/>
              <w:ind w:left="0" w:firstLine="0"/>
              <w:jc w:val="center"/>
              <w:rPr>
                <w:color w:val="000000"/>
              </w:rPr>
            </w:pPr>
            <w:r w:rsidRPr="001A1EE9">
              <w:rPr>
                <w:color w:val="000000"/>
              </w:rPr>
              <w:t>Debt/Equity Ratio</w:t>
            </w:r>
          </w:p>
        </w:tc>
        <w:tc>
          <w:tcPr>
            <w:tcW w:w="1200" w:type="dxa"/>
            <w:tcBorders>
              <w:top w:val="nil"/>
              <w:left w:val="nil"/>
              <w:bottom w:val="single" w:color="auto" w:sz="4" w:space="0"/>
              <w:right w:val="single" w:color="auto" w:sz="4" w:space="0"/>
            </w:tcBorders>
            <w:shd w:val="clear" w:color="auto" w:fill="auto"/>
            <w:noWrap/>
            <w:vAlign w:val="center"/>
            <w:hideMark/>
          </w:tcPr>
          <w:p w:rsidRPr="001A1EE9" w:rsidR="001A1EE9" w:rsidP="001A1EE9" w:rsidRDefault="001A1EE9" w14:paraId="672CBD11" w14:textId="77777777">
            <w:pPr>
              <w:spacing w:line="240" w:lineRule="auto"/>
              <w:ind w:left="0" w:firstLine="0"/>
              <w:jc w:val="center"/>
              <w:rPr>
                <w:color w:val="000000"/>
              </w:rPr>
            </w:pPr>
            <w:r w:rsidRPr="001A1EE9">
              <w:rPr>
                <w:color w:val="000000"/>
              </w:rPr>
              <w:t>7.1697</w:t>
            </w:r>
          </w:p>
        </w:tc>
        <w:tc>
          <w:tcPr>
            <w:tcW w:w="1200" w:type="dxa"/>
            <w:tcBorders>
              <w:top w:val="nil"/>
              <w:left w:val="nil"/>
              <w:bottom w:val="single" w:color="auto" w:sz="4" w:space="0"/>
              <w:right w:val="single" w:color="auto" w:sz="4" w:space="0"/>
            </w:tcBorders>
            <w:shd w:val="clear" w:color="auto" w:fill="auto"/>
            <w:noWrap/>
            <w:vAlign w:val="center"/>
            <w:hideMark/>
          </w:tcPr>
          <w:p w:rsidRPr="001A1EE9" w:rsidR="001A1EE9" w:rsidP="001A1EE9" w:rsidRDefault="001A1EE9" w14:paraId="3A5E1084" w14:textId="77777777">
            <w:pPr>
              <w:spacing w:line="240" w:lineRule="auto"/>
              <w:ind w:left="0" w:firstLine="0"/>
              <w:jc w:val="center"/>
              <w:rPr>
                <w:color w:val="000000"/>
              </w:rPr>
            </w:pPr>
            <w:r w:rsidRPr="001A1EE9">
              <w:rPr>
                <w:color w:val="000000"/>
              </w:rPr>
              <w:t>24.1302</w:t>
            </w:r>
          </w:p>
        </w:tc>
        <w:tc>
          <w:tcPr>
            <w:tcW w:w="2240" w:type="dxa"/>
            <w:tcBorders>
              <w:top w:val="nil"/>
              <w:left w:val="nil"/>
              <w:bottom w:val="single" w:color="auto" w:sz="4" w:space="0"/>
              <w:right w:val="single" w:color="auto" w:sz="4" w:space="0"/>
            </w:tcBorders>
            <w:shd w:val="clear" w:color="auto" w:fill="auto"/>
            <w:noWrap/>
            <w:vAlign w:val="center"/>
            <w:hideMark/>
          </w:tcPr>
          <w:p w:rsidRPr="001A1EE9" w:rsidR="001A1EE9" w:rsidP="001A1EE9" w:rsidRDefault="001A1EE9" w14:paraId="45AC5B8A" w14:textId="77777777">
            <w:pPr>
              <w:spacing w:line="240" w:lineRule="auto"/>
              <w:ind w:left="0" w:firstLine="0"/>
              <w:jc w:val="center"/>
              <w:rPr>
                <w:color w:val="000000"/>
              </w:rPr>
            </w:pPr>
            <w:r w:rsidRPr="001A1EE9">
              <w:rPr>
                <w:color w:val="000000"/>
              </w:rPr>
              <w:t>-70%</w:t>
            </w:r>
          </w:p>
        </w:tc>
      </w:tr>
      <w:tr w:rsidRPr="001A1EE9" w:rsidR="001A1EE9" w:rsidTr="001A1EE9" w14:paraId="62529234" w14:textId="77777777">
        <w:trPr>
          <w:trHeight w:val="315"/>
        </w:trPr>
        <w:tc>
          <w:tcPr>
            <w:tcW w:w="4020" w:type="dxa"/>
            <w:tcBorders>
              <w:top w:val="nil"/>
              <w:left w:val="single" w:color="auto" w:sz="4" w:space="0"/>
              <w:bottom w:val="single" w:color="auto" w:sz="4" w:space="0"/>
              <w:right w:val="single" w:color="auto" w:sz="4" w:space="0"/>
            </w:tcBorders>
            <w:shd w:val="clear" w:color="auto" w:fill="auto"/>
            <w:noWrap/>
            <w:vAlign w:val="center"/>
            <w:hideMark/>
          </w:tcPr>
          <w:p w:rsidRPr="001A1EE9" w:rsidR="001A1EE9" w:rsidP="001A1EE9" w:rsidRDefault="001A1EE9" w14:paraId="4800EABC" w14:textId="77777777">
            <w:pPr>
              <w:spacing w:line="240" w:lineRule="auto"/>
              <w:ind w:left="0" w:firstLine="0"/>
              <w:jc w:val="center"/>
              <w:rPr>
                <w:color w:val="000000"/>
              </w:rPr>
            </w:pPr>
            <w:r w:rsidRPr="001A1EE9">
              <w:rPr>
                <w:color w:val="000000"/>
              </w:rPr>
              <w:t>Book Value Per Share</w:t>
            </w:r>
          </w:p>
        </w:tc>
        <w:tc>
          <w:tcPr>
            <w:tcW w:w="1200" w:type="dxa"/>
            <w:tcBorders>
              <w:top w:val="nil"/>
              <w:left w:val="nil"/>
              <w:bottom w:val="single" w:color="auto" w:sz="4" w:space="0"/>
              <w:right w:val="single" w:color="auto" w:sz="4" w:space="0"/>
            </w:tcBorders>
            <w:shd w:val="clear" w:color="auto" w:fill="auto"/>
            <w:noWrap/>
            <w:vAlign w:val="center"/>
            <w:hideMark/>
          </w:tcPr>
          <w:p w:rsidRPr="001A1EE9" w:rsidR="001A1EE9" w:rsidP="001A1EE9" w:rsidRDefault="001A1EE9" w14:paraId="663A0058" w14:textId="77777777">
            <w:pPr>
              <w:spacing w:line="240" w:lineRule="auto"/>
              <w:ind w:left="0" w:firstLine="0"/>
              <w:jc w:val="center"/>
              <w:rPr>
                <w:color w:val="000000"/>
              </w:rPr>
            </w:pPr>
            <w:r w:rsidRPr="001A1EE9">
              <w:rPr>
                <w:color w:val="000000"/>
              </w:rPr>
              <w:t>4.3334</w:t>
            </w:r>
          </w:p>
        </w:tc>
        <w:tc>
          <w:tcPr>
            <w:tcW w:w="1200" w:type="dxa"/>
            <w:tcBorders>
              <w:top w:val="nil"/>
              <w:left w:val="nil"/>
              <w:bottom w:val="single" w:color="auto" w:sz="4" w:space="0"/>
              <w:right w:val="single" w:color="auto" w:sz="4" w:space="0"/>
            </w:tcBorders>
            <w:shd w:val="clear" w:color="auto" w:fill="auto"/>
            <w:noWrap/>
            <w:vAlign w:val="center"/>
            <w:hideMark/>
          </w:tcPr>
          <w:p w:rsidRPr="001A1EE9" w:rsidR="001A1EE9" w:rsidP="001A1EE9" w:rsidRDefault="001A1EE9" w14:paraId="5A2C1439" w14:textId="77777777">
            <w:pPr>
              <w:spacing w:line="240" w:lineRule="auto"/>
              <w:ind w:left="0" w:firstLine="0"/>
              <w:jc w:val="center"/>
              <w:rPr>
                <w:color w:val="000000"/>
              </w:rPr>
            </w:pPr>
            <w:r w:rsidRPr="001A1EE9">
              <w:rPr>
                <w:color w:val="000000"/>
              </w:rPr>
              <w:t>1.3255</w:t>
            </w:r>
          </w:p>
        </w:tc>
        <w:tc>
          <w:tcPr>
            <w:tcW w:w="2240" w:type="dxa"/>
            <w:tcBorders>
              <w:top w:val="nil"/>
              <w:left w:val="nil"/>
              <w:bottom w:val="single" w:color="auto" w:sz="4" w:space="0"/>
              <w:right w:val="single" w:color="auto" w:sz="4" w:space="0"/>
            </w:tcBorders>
            <w:shd w:val="clear" w:color="auto" w:fill="auto"/>
            <w:noWrap/>
            <w:vAlign w:val="center"/>
            <w:hideMark/>
          </w:tcPr>
          <w:p w:rsidRPr="001A1EE9" w:rsidR="001A1EE9" w:rsidP="001A1EE9" w:rsidRDefault="001A1EE9" w14:paraId="6810A9E5" w14:textId="77777777">
            <w:pPr>
              <w:keepNext/>
              <w:spacing w:line="240" w:lineRule="auto"/>
              <w:ind w:left="0" w:firstLine="0"/>
              <w:jc w:val="center"/>
              <w:rPr>
                <w:color w:val="000000"/>
              </w:rPr>
            </w:pPr>
            <w:r w:rsidRPr="001A1EE9">
              <w:rPr>
                <w:color w:val="000000"/>
              </w:rPr>
              <w:t>227%</w:t>
            </w:r>
          </w:p>
        </w:tc>
      </w:tr>
    </w:tbl>
    <w:p w:rsidRPr="0044742D" w:rsidR="0044742D" w:rsidP="001A1EE9" w:rsidRDefault="0044742D" w14:paraId="4C96CE26" w14:textId="77777777">
      <w:pPr>
        <w:pStyle w:val="Caption"/>
        <w:rPr>
          <w:sz w:val="24"/>
          <w:szCs w:val="24"/>
        </w:rPr>
      </w:pPr>
    </w:p>
    <w:p w:rsidRPr="0044742D" w:rsidR="001A1EE9" w:rsidP="0044742D" w:rsidRDefault="001A1EE9" w14:paraId="3B6E0D72" w14:textId="506F6D7B">
      <w:pPr>
        <w:pStyle w:val="Caption"/>
        <w:jc w:val="center"/>
        <w:rPr>
          <w:sz w:val="24"/>
          <w:szCs w:val="24"/>
        </w:rPr>
      </w:pPr>
      <w:bookmarkStart w:name="_Toc118836075" w:id="22"/>
      <w:r w:rsidRPr="0044742D">
        <w:rPr>
          <w:sz w:val="24"/>
          <w:szCs w:val="24"/>
        </w:rPr>
        <w:t xml:space="preserve">Table </w:t>
      </w:r>
      <w:r w:rsidRPr="0044742D">
        <w:rPr>
          <w:sz w:val="24"/>
          <w:szCs w:val="24"/>
        </w:rPr>
        <w:fldChar w:fldCharType="begin"/>
      </w:r>
      <w:r w:rsidRPr="0044742D">
        <w:rPr>
          <w:sz w:val="24"/>
          <w:szCs w:val="24"/>
        </w:rPr>
        <w:instrText xml:space="preserve"> SEQ Table \* ARABIC </w:instrText>
      </w:r>
      <w:r w:rsidRPr="0044742D">
        <w:rPr>
          <w:sz w:val="24"/>
          <w:szCs w:val="24"/>
        </w:rPr>
        <w:fldChar w:fldCharType="separate"/>
      </w:r>
      <w:r w:rsidRPr="0044742D">
        <w:rPr>
          <w:noProof/>
          <w:sz w:val="24"/>
          <w:szCs w:val="24"/>
        </w:rPr>
        <w:t>3</w:t>
      </w:r>
      <w:r w:rsidRPr="0044742D">
        <w:rPr>
          <w:noProof/>
          <w:sz w:val="24"/>
          <w:szCs w:val="24"/>
        </w:rPr>
        <w:fldChar w:fldCharType="end"/>
      </w:r>
      <w:r w:rsidRPr="0044742D">
        <w:rPr>
          <w:sz w:val="24"/>
          <w:szCs w:val="24"/>
        </w:rPr>
        <w:t xml:space="preserve"> Key Trends in Leverage</w:t>
      </w:r>
      <w:bookmarkEnd w:id="22"/>
    </w:p>
    <w:p w:rsidRPr="0044742D" w:rsidR="0044742D" w:rsidP="0044742D" w:rsidRDefault="0044742D" w14:paraId="5DC7F42E" w14:textId="61328F53">
      <w:pPr>
        <w:jc w:val="center"/>
      </w:pPr>
      <w:r w:rsidRPr="0044742D">
        <w:t>Source: Author’s Calculation Based On Given Ratios</w:t>
      </w:r>
    </w:p>
    <w:p w:rsidRPr="001A1EE9" w:rsidR="001A1EE9" w:rsidP="001A1EE9" w:rsidRDefault="001A1EE9" w14:paraId="6C258F21" w14:textId="2C343F15">
      <w:pPr>
        <w:ind w:left="0" w:firstLine="0"/>
      </w:pPr>
      <w:r>
        <w:t xml:space="preserve">Leverage ratios show that the overall leverage is very high. Though the situation has improved in 2021 the improvement is not very much significant. Marriott International can face the threat of bankruptcy. </w:t>
      </w:r>
    </w:p>
    <w:p w:rsidR="00EB23D1" w:rsidP="00294C17" w:rsidRDefault="00EB23D1" w14:paraId="33D36209" w14:textId="4F64C53E">
      <w:pPr>
        <w:ind w:left="0" w:firstLine="0"/>
      </w:pPr>
    </w:p>
    <w:p w:rsidRPr="00B869FE" w:rsidR="00EB23D1" w:rsidP="00294C17" w:rsidRDefault="00EB23D1" w14:paraId="67EFAA6C" w14:textId="7069D556">
      <w:pPr>
        <w:ind w:left="0" w:firstLine="0"/>
      </w:pPr>
      <w:r>
        <w:t>.</w:t>
      </w:r>
    </w:p>
    <w:p w:rsidRPr="004E3A48" w:rsidR="004E3A48" w:rsidP="004E3A48" w:rsidRDefault="004E3A48" w14:paraId="10AC6848" w14:textId="77777777"/>
    <w:p w:rsidR="002007A5" w:rsidP="000D5486" w:rsidRDefault="002007A5" w14:paraId="6BCD9882" w14:textId="4960A471">
      <w:pPr>
        <w:ind w:left="0" w:firstLine="0"/>
      </w:pPr>
    </w:p>
    <w:p w:rsidR="009E50E1" w:rsidP="009E50E1" w:rsidRDefault="00441B19" w14:paraId="0448CFCB" w14:textId="02AD0C67">
      <w:pPr>
        <w:pStyle w:val="Heading1"/>
        <w:ind w:left="0" w:firstLine="0"/>
      </w:pPr>
      <w:r>
        <w:t>Essentiality of Right Understanding of Ratios along with Their Fluctuations</w:t>
      </w:r>
    </w:p>
    <w:p w:rsidR="009E50E1" w:rsidP="007B309A" w:rsidRDefault="009E50E1" w14:paraId="4F6623AD" w14:textId="3BBF320A">
      <w:pPr>
        <w:ind w:left="0" w:firstLine="0"/>
      </w:pPr>
      <w:r>
        <w:t>The information from the financial statement is random</w:t>
      </w:r>
      <w:r w:rsidR="007B309A">
        <w:t xml:space="preserve">. Ratio analysis is needed to understand the core of the </w:t>
      </w:r>
      <w:r w:rsidR="00766F58">
        <w:t>information</w:t>
      </w:r>
      <w:r w:rsidR="007B309A">
        <w:t>. In this case</w:t>
      </w:r>
      <w:r w:rsidR="00751F40">
        <w:t>,</w:t>
      </w:r>
      <w:r w:rsidR="007B309A">
        <w:t xml:space="preserve"> the fluctuation of ratios means a lot. fluctuation of </w:t>
      </w:r>
      <w:r w:rsidR="00751F40">
        <w:t xml:space="preserve">the </w:t>
      </w:r>
      <w:r w:rsidR="007B309A">
        <w:t>ratio helps to provide a</w:t>
      </w:r>
      <w:r w:rsidR="00751F40">
        <w:t xml:space="preserve"> contrasting view</w:t>
      </w:r>
      <w:r w:rsidRPr="0044742D" w:rsidR="0044742D">
        <w:t>(Stickney, 2014)</w:t>
      </w:r>
      <w:r w:rsidR="007B309A">
        <w:t xml:space="preserve">. For example- Marriott has </w:t>
      </w:r>
      <w:r w:rsidR="00751F40">
        <w:t xml:space="preserve">a </w:t>
      </w:r>
      <w:r w:rsidR="007B309A">
        <w:t xml:space="preserve">current asset of  </w:t>
      </w:r>
      <w:r w:rsidRPr="007B309A" w:rsidR="007B309A">
        <w:t>Marriott total current assets for 2021 were $3.626B</w:t>
      </w:r>
      <w:r w:rsidR="007B309A">
        <w:t>. it signifies nothing if it is not compared with the current liability. The ratio analysis do</w:t>
      </w:r>
      <w:r w:rsidR="00751F40">
        <w:t>es</w:t>
      </w:r>
      <w:r w:rsidR="007B309A">
        <w:t xml:space="preserve"> this work of comparison. </w:t>
      </w:r>
      <w:r w:rsidR="00751F40">
        <w:t>The c</w:t>
      </w:r>
      <w:r w:rsidR="007B309A">
        <w:t>urrent ratio compare</w:t>
      </w:r>
      <w:r w:rsidR="00751F40">
        <w:t>s</w:t>
      </w:r>
      <w:r w:rsidR="007B309A">
        <w:t xml:space="preserve"> the current asset and current liabilities. after comparing with the current liability the current ratio is found 0.49 it is also important to understand the meaning of ratio 0.49</w:t>
      </w:r>
      <w:r w:rsidR="00766F58">
        <w:t>. otherwise</w:t>
      </w:r>
      <w:r w:rsidR="00751F40">
        <w:t>,</w:t>
      </w:r>
      <w:r w:rsidR="00766F58">
        <w:t xml:space="preserve"> it is not possible to take the right decision. Again, w</w:t>
      </w:r>
      <w:r w:rsidR="00751F40">
        <w:t>he</w:t>
      </w:r>
      <w:r w:rsidR="00766F58">
        <w:t>ther the ratio has improved or deteriorated</w:t>
      </w:r>
      <w:r w:rsidR="007B309A">
        <w:t xml:space="preserve"> </w:t>
      </w:r>
      <w:r w:rsidR="00766F58">
        <w:t>can be understood by the analysis of fluctuations of the ratios o</w:t>
      </w:r>
      <w:r w:rsidR="00751F40">
        <w:t>ver</w:t>
      </w:r>
      <w:r w:rsidR="00766F58">
        <w:t xml:space="preserve"> different years. So, understanding the fluctuations and understanding the meaning of the ratio is very much essential to take the right decision in </w:t>
      </w:r>
      <w:r w:rsidR="00751F40">
        <w:t xml:space="preserve">the </w:t>
      </w:r>
      <w:r w:rsidR="00766F58">
        <w:t>organization</w:t>
      </w:r>
      <w:r w:rsidR="001F028C">
        <w:t xml:space="preserve"> some key points are shown below:</w:t>
      </w:r>
    </w:p>
    <w:p w:rsidR="001F028C" w:rsidP="001F028C" w:rsidRDefault="001F028C" w14:paraId="25353DEA" w14:textId="219CDB6B">
      <w:pPr>
        <w:pStyle w:val="ListParagraph"/>
        <w:numPr>
          <w:ilvl w:val="0"/>
          <w:numId w:val="2"/>
        </w:numPr>
      </w:pPr>
      <w:r>
        <w:t xml:space="preserve">It helps to understand the key financial </w:t>
      </w:r>
      <w:r w:rsidR="00B5780C">
        <w:t>information</w:t>
      </w:r>
      <w:r>
        <w:t xml:space="preserve"> of the </w:t>
      </w:r>
      <w:r w:rsidR="00B5780C">
        <w:t>organizations</w:t>
      </w:r>
    </w:p>
    <w:p w:rsidR="001F028C" w:rsidP="001F028C" w:rsidRDefault="001F028C" w14:paraId="552842E4" w14:textId="5D58722B">
      <w:pPr>
        <w:pStyle w:val="ListParagraph"/>
        <w:numPr>
          <w:ilvl w:val="0"/>
          <w:numId w:val="2"/>
        </w:numPr>
      </w:pPr>
      <w:r>
        <w:lastRenderedPageBreak/>
        <w:t xml:space="preserve">Fluctuation of </w:t>
      </w:r>
      <w:r w:rsidR="00751F40">
        <w:t xml:space="preserve">the </w:t>
      </w:r>
      <w:r>
        <w:t xml:space="preserve">ratio indicates improvement and deterioration of the financial situation of the organization. </w:t>
      </w:r>
    </w:p>
    <w:p w:rsidR="001F028C" w:rsidP="001F028C" w:rsidRDefault="001F028C" w14:paraId="08F78A22" w14:textId="4235C1E8">
      <w:pPr>
        <w:pStyle w:val="ListParagraph"/>
        <w:numPr>
          <w:ilvl w:val="0"/>
          <w:numId w:val="2"/>
        </w:numPr>
      </w:pPr>
      <w:r>
        <w:t xml:space="preserve">Understanding ratio analysis and its fluctuation help to understand the </w:t>
      </w:r>
      <w:r w:rsidR="00B5780C">
        <w:t>exact strength and weakness of the organization</w:t>
      </w:r>
      <w:r w:rsidRPr="0044742D" w:rsidR="0044742D">
        <w:t>(Khan &amp; Jain, 2017)</w:t>
      </w:r>
      <w:r w:rsidR="00B5780C">
        <w:t>.</w:t>
      </w:r>
    </w:p>
    <w:p w:rsidR="00B5780C" w:rsidP="00B5780C" w:rsidRDefault="00B5780C" w14:paraId="5905FFD1" w14:textId="45B2C237">
      <w:pPr>
        <w:pStyle w:val="Heading1"/>
      </w:pPr>
      <w:bookmarkStart w:name="_Toc118833708" w:id="23"/>
      <w:bookmarkStart w:name="_Toc118836063" w:id="24"/>
      <w:r w:rsidRPr="00B5780C">
        <w:t>Importance of Using Ratio Analysis</w:t>
      </w:r>
      <w:r w:rsidR="007D4CD3">
        <w:t xml:space="preserve"> for Decision Making</w:t>
      </w:r>
      <w:bookmarkEnd w:id="23"/>
      <w:bookmarkEnd w:id="24"/>
    </w:p>
    <w:p w:rsidR="00B5780C" w:rsidP="007D4CD3" w:rsidRDefault="00B5780C" w14:paraId="3145CA3D" w14:textId="52618345">
      <w:pPr>
        <w:ind w:left="0" w:firstLine="0"/>
      </w:pPr>
      <w:r>
        <w:t>In this highly competitive market</w:t>
      </w:r>
      <w:r w:rsidR="00751F40">
        <w:t>,</w:t>
      </w:r>
      <w:r>
        <w:t xml:space="preserve"> it is very needed </w:t>
      </w:r>
      <w:r w:rsidR="007D4CD3">
        <w:t xml:space="preserve">achieve </w:t>
      </w:r>
      <w:r w:rsidR="00751F40">
        <w:t xml:space="preserve">a </w:t>
      </w:r>
      <w:r w:rsidR="007D4CD3">
        <w:t xml:space="preserve">competitive advantage to survive in the market. to attain </w:t>
      </w:r>
      <w:r w:rsidR="00751F40">
        <w:t>a</w:t>
      </w:r>
      <w:r w:rsidR="007D4CD3">
        <w:t xml:space="preserve"> competitive advantage it is very important to understand the strength and weaknes</w:t>
      </w:r>
      <w:r w:rsidR="00751F40">
        <w:t>se</w:t>
      </w:r>
      <w:r w:rsidR="007D4CD3">
        <w:t>s of the own and the competitors in this regard ratio analysis help a lot</w:t>
      </w:r>
      <w:r w:rsidRPr="0044742D" w:rsidR="0044742D">
        <w:t>(Roode &amp; Leith, 2018)</w:t>
      </w:r>
      <w:r w:rsidR="007D4CD3">
        <w:t xml:space="preserve">. importance ratio analysis </w:t>
      </w:r>
      <w:r w:rsidR="00751F40">
        <w:t xml:space="preserve">is </w:t>
      </w:r>
      <w:r w:rsidR="007D4CD3">
        <w:t xml:space="preserve">shown below. </w:t>
      </w:r>
    </w:p>
    <w:p w:rsidR="003358B1" w:rsidP="007D4CD3" w:rsidRDefault="003358B1" w14:paraId="4823DD5C" w14:textId="3E6E3A30">
      <w:pPr>
        <w:pStyle w:val="ListParagraph"/>
        <w:numPr>
          <w:ilvl w:val="0"/>
          <w:numId w:val="3"/>
        </w:numPr>
      </w:pPr>
      <w:r>
        <w:t>Ratio analysis plays a central role in case of understanding and interpret</w:t>
      </w:r>
      <w:r w:rsidR="005E4751">
        <w:t>ing</w:t>
      </w:r>
      <w:r>
        <w:t xml:space="preserve"> of ratio</w:t>
      </w:r>
      <w:r w:rsidR="005E4751">
        <w:t>s</w:t>
      </w:r>
      <w:r>
        <w:t>.</w:t>
      </w:r>
    </w:p>
    <w:p w:rsidR="007D4CD3" w:rsidP="007D4CD3" w:rsidRDefault="007D4CD3" w14:paraId="72B9380A" w14:textId="72D3F326">
      <w:pPr>
        <w:pStyle w:val="ListParagraph"/>
        <w:numPr>
          <w:ilvl w:val="0"/>
          <w:numId w:val="3"/>
        </w:numPr>
      </w:pPr>
      <w:r>
        <w:t>It helps to understand the operational efficiency, profitability, liquidity</w:t>
      </w:r>
      <w:r w:rsidR="00751F40">
        <w:t>,</w:t>
      </w:r>
      <w:r>
        <w:t xml:space="preserve"> and leverage of the organization.</w:t>
      </w:r>
    </w:p>
    <w:p w:rsidR="007D4CD3" w:rsidP="007D4CD3" w:rsidRDefault="00E72ACE" w14:paraId="4CA61333" w14:textId="676E8F35">
      <w:pPr>
        <w:pStyle w:val="ListParagraph"/>
        <w:numPr>
          <w:ilvl w:val="0"/>
          <w:numId w:val="3"/>
        </w:numPr>
      </w:pPr>
      <w:r>
        <w:t>Ratio analysis provide</w:t>
      </w:r>
      <w:r w:rsidR="00751F40">
        <w:t>s</w:t>
      </w:r>
      <w:r>
        <w:t xml:space="preserve"> </w:t>
      </w:r>
      <w:r w:rsidR="00751F40">
        <w:t xml:space="preserve">a </w:t>
      </w:r>
      <w:r>
        <w:t>signal for the future performance of the organization which is very much helpful in the budgeting of the organization</w:t>
      </w:r>
      <w:r w:rsidRPr="0044742D" w:rsidR="0044742D">
        <w:t>(Karlos, 2022)</w:t>
      </w:r>
      <w:r>
        <w:t xml:space="preserve">. </w:t>
      </w:r>
    </w:p>
    <w:p w:rsidR="00E72ACE" w:rsidP="007D4CD3" w:rsidRDefault="00E72ACE" w14:paraId="477833AD" w14:textId="69001DD8">
      <w:pPr>
        <w:pStyle w:val="ListParagraph"/>
        <w:numPr>
          <w:ilvl w:val="0"/>
          <w:numId w:val="3"/>
        </w:numPr>
      </w:pPr>
      <w:r>
        <w:t>Ratio analysis helps to identify the unforeseen future risks of the organization and Marriott can take proper decision</w:t>
      </w:r>
      <w:r w:rsidR="00751F40">
        <w:t>s</w:t>
      </w:r>
      <w:r>
        <w:t xml:space="preserve"> and can prepare for rainy days. </w:t>
      </w:r>
    </w:p>
    <w:p w:rsidRPr="00B5780C" w:rsidR="00E72ACE" w:rsidP="007D4CD3" w:rsidRDefault="00E72ACE" w14:paraId="246E9202" w14:textId="3E1B7CF9">
      <w:pPr>
        <w:pStyle w:val="ListParagraph"/>
        <w:numPr>
          <w:ilvl w:val="0"/>
          <w:numId w:val="3"/>
        </w:numPr>
      </w:pPr>
      <w:r>
        <w:t xml:space="preserve">Ratio analysis helps to compare two companies </w:t>
      </w:r>
      <w:r w:rsidR="00751F40">
        <w:t>which</w:t>
      </w:r>
      <w:r>
        <w:t xml:space="preserve"> </w:t>
      </w:r>
      <w:r w:rsidR="00751F40">
        <w:t>are</w:t>
      </w:r>
      <w:r>
        <w:t xml:space="preserve"> helpful in </w:t>
      </w:r>
      <w:r w:rsidR="00751F40">
        <w:t xml:space="preserve">the </w:t>
      </w:r>
      <w:r>
        <w:t>case of strategic decision</w:t>
      </w:r>
      <w:r w:rsidR="00751F40">
        <w:t>-</w:t>
      </w:r>
      <w:r>
        <w:t xml:space="preserve">making. </w:t>
      </w:r>
    </w:p>
    <w:p w:rsidR="00B5780C" w:rsidP="00B5780C" w:rsidRDefault="00B5780C" w14:paraId="012819E6" w14:textId="5F299355">
      <w:pPr>
        <w:pStyle w:val="Heading1"/>
      </w:pPr>
      <w:bookmarkStart w:name="_Toc118833709" w:id="25"/>
      <w:bookmarkStart w:name="_Toc118836064" w:id="26"/>
      <w:r>
        <w:t>Limitations of Ratio Analysis</w:t>
      </w:r>
      <w:bookmarkEnd w:id="25"/>
      <w:bookmarkEnd w:id="26"/>
    </w:p>
    <w:p w:rsidR="00B5780C" w:rsidP="00B5780C" w:rsidRDefault="00F7385B" w14:paraId="7A763683" w14:textId="7E44D6B5">
      <w:pPr>
        <w:ind w:left="0" w:firstLine="0"/>
      </w:pPr>
      <w:r>
        <w:t>Ratio analysis</w:t>
      </w:r>
      <w:r w:rsidR="00B5780C">
        <w:t xml:space="preserve"> is very much us</w:t>
      </w:r>
      <w:r>
        <w:t>eful</w:t>
      </w:r>
      <w:r w:rsidR="00B5780C">
        <w:t xml:space="preserve"> and can give </w:t>
      </w:r>
      <w:r w:rsidR="00751F40">
        <w:t xml:space="preserve">a </w:t>
      </w:r>
      <w:r w:rsidR="00B5780C">
        <w:t xml:space="preserve">proper indication. </w:t>
      </w:r>
      <w:r w:rsidR="00751F40">
        <w:t>Despite</w:t>
      </w:r>
      <w:r w:rsidR="00B5780C">
        <w:t xml:space="preserve"> having th</w:t>
      </w:r>
      <w:r w:rsidR="00751F40">
        <w:t>is usefulness</w:t>
      </w:r>
      <w:r w:rsidR="00B5780C">
        <w:t>, ratio analysis ha</w:t>
      </w:r>
      <w:r w:rsidR="00751F40">
        <w:t>s</w:t>
      </w:r>
      <w:r w:rsidR="00B5780C">
        <w:t xml:space="preserve"> some disadvantages too. </w:t>
      </w:r>
    </w:p>
    <w:p w:rsidR="00B5780C" w:rsidP="00B5780C" w:rsidRDefault="00B5780C" w14:paraId="24163501" w14:textId="77777777">
      <w:pPr>
        <w:ind w:left="0" w:firstLine="0"/>
      </w:pPr>
    </w:p>
    <w:p w:rsidR="00B5780C" w:rsidP="00B5780C" w:rsidRDefault="00B5780C" w14:paraId="02FC3EA9" w14:textId="315FE477">
      <w:pPr>
        <w:pStyle w:val="ListParagraph"/>
        <w:numPr>
          <w:ilvl w:val="0"/>
          <w:numId w:val="1"/>
        </w:numPr>
      </w:pPr>
      <w:r>
        <w:t xml:space="preserve">Ratio analysis is fully based on historical data these historical data may not repeat in the future. Sometimes historical data may provide </w:t>
      </w:r>
      <w:r w:rsidR="00751F40">
        <w:t>a</w:t>
      </w:r>
      <w:r>
        <w:t xml:space="preserve"> misleading conclusion because the overall business, industry</w:t>
      </w:r>
      <w:r w:rsidR="00751F40">
        <w:t>,</w:t>
      </w:r>
      <w:r>
        <w:t xml:space="preserve"> and macroeconomic scenario may change. in this case ratio analysis may not work properly. </w:t>
      </w:r>
    </w:p>
    <w:p w:rsidR="00B5780C" w:rsidP="00B5780C" w:rsidRDefault="00B5780C" w14:paraId="21FC7DF6" w14:textId="25BB2AFE">
      <w:pPr>
        <w:pStyle w:val="ListParagraph"/>
        <w:numPr>
          <w:ilvl w:val="0"/>
          <w:numId w:val="1"/>
        </w:numPr>
      </w:pPr>
      <w:r>
        <w:t xml:space="preserve">Ratio analysis </w:t>
      </w:r>
      <w:r w:rsidR="00751F40">
        <w:t xml:space="preserve">is </w:t>
      </w:r>
      <w:r>
        <w:t>simply based on the accounting data and it tr</w:t>
      </w:r>
      <w:r w:rsidR="00751F40">
        <w:t>ies</w:t>
      </w:r>
      <w:r>
        <w:t xml:space="preserve"> to set a universal practice but the policy of the organization varies from organization to organization </w:t>
      </w:r>
      <w:r w:rsidR="00751F40">
        <w:t>which</w:t>
      </w:r>
      <w:r>
        <w:t xml:space="preserve"> can create problem</w:t>
      </w:r>
      <w:r w:rsidR="00751F40">
        <w:t>s</w:t>
      </w:r>
      <w:r>
        <w:t xml:space="preserve"> in </w:t>
      </w:r>
      <w:r w:rsidR="005E4751">
        <w:t xml:space="preserve">the </w:t>
      </w:r>
      <w:r>
        <w:t>case of customized strategy</w:t>
      </w:r>
      <w:r w:rsidRPr="0044742D" w:rsidR="0044742D">
        <w:t>(Roode &amp; Leith, 2018)</w:t>
      </w:r>
      <w:r>
        <w:t xml:space="preserve">. </w:t>
      </w:r>
    </w:p>
    <w:p w:rsidR="00B5780C" w:rsidP="00B5780C" w:rsidRDefault="00B5780C" w14:paraId="6E79126B" w14:textId="3FFE81D2">
      <w:pPr>
        <w:pStyle w:val="ListParagraph"/>
        <w:numPr>
          <w:ilvl w:val="0"/>
          <w:numId w:val="1"/>
        </w:numPr>
      </w:pPr>
      <w:r>
        <w:lastRenderedPageBreak/>
        <w:t xml:space="preserve">Changes in the accounting system may create </w:t>
      </w:r>
      <w:r w:rsidR="00751F40">
        <w:t xml:space="preserve">a </w:t>
      </w:r>
      <w:r>
        <w:t>hazard for the ratio analysis system. If the accounting system changes the ratio of two years is not comparable. In this case</w:t>
      </w:r>
      <w:r w:rsidR="00751F40">
        <w:t>,</w:t>
      </w:r>
      <w:r>
        <w:t xml:space="preserve"> the ratio analysis can show different scenario</w:t>
      </w:r>
      <w:r w:rsidR="00751F40">
        <w:t>s</w:t>
      </w:r>
      <w:r>
        <w:t xml:space="preserve"> with changing actual financial situations.</w:t>
      </w:r>
    </w:p>
    <w:p w:rsidR="00B5780C" w:rsidP="00B5780C" w:rsidRDefault="00B5780C" w14:paraId="35C491BA" w14:textId="02047E07">
      <w:pPr>
        <w:pStyle w:val="ListParagraph"/>
        <w:numPr>
          <w:ilvl w:val="0"/>
          <w:numId w:val="1"/>
        </w:numPr>
      </w:pPr>
      <w:r>
        <w:t>Ratio analysis is based on the accounting data and the accounting data is prepared based on a lot of estimation</w:t>
      </w:r>
      <w:r w:rsidR="00751F40">
        <w:t>s</w:t>
      </w:r>
      <w:r>
        <w:t xml:space="preserve"> and assumption</w:t>
      </w:r>
      <w:r w:rsidR="00751F40">
        <w:t>s</w:t>
      </w:r>
      <w:r>
        <w:t xml:space="preserve"> that can give wrong information. moreover, organization</w:t>
      </w:r>
      <w:r w:rsidR="00751F40">
        <w:t>s</w:t>
      </w:r>
      <w:r>
        <w:t xml:space="preserve"> can intentionally manipulate data</w:t>
      </w:r>
      <w:r w:rsidRPr="0044742D" w:rsidR="0044742D">
        <w:t>(</w:t>
      </w:r>
      <w:proofErr w:type="spellStart"/>
      <w:r w:rsidRPr="0044742D" w:rsidR="0044742D">
        <w:t>Gohor</w:t>
      </w:r>
      <w:proofErr w:type="spellEnd"/>
      <w:r w:rsidRPr="0044742D" w:rsidR="0044742D">
        <w:t>, 2016)</w:t>
      </w:r>
      <w:r>
        <w:t xml:space="preserve">.   </w:t>
      </w:r>
    </w:p>
    <w:p w:rsidR="0044742D" w:rsidP="0044742D" w:rsidRDefault="00B5780C" w14:paraId="63E19189" w14:textId="30048EEB">
      <w:pPr>
        <w:pStyle w:val="ListParagraph"/>
        <w:numPr>
          <w:ilvl w:val="0"/>
          <w:numId w:val="1"/>
        </w:numPr>
      </w:pPr>
      <w:r>
        <w:t xml:space="preserve">Ratio analysis </w:t>
      </w:r>
      <w:r w:rsidR="009264F0">
        <w:t>cannot</w:t>
      </w:r>
      <w:r>
        <w:t xml:space="preserve"> accommodate the size of the organization though </w:t>
      </w:r>
      <w:r w:rsidR="00751F40">
        <w:t xml:space="preserve">the </w:t>
      </w:r>
      <w:r>
        <w:t xml:space="preserve">size of the organization matters a lot in </w:t>
      </w:r>
      <w:r w:rsidR="00751F40">
        <w:t xml:space="preserve">the </w:t>
      </w:r>
      <w:r>
        <w:t xml:space="preserve">case of financial analysis. </w:t>
      </w:r>
    </w:p>
    <w:p w:rsidR="00294DFD" w:rsidP="00294DFD" w:rsidRDefault="00294DFD" w14:paraId="4BBF630B" w14:textId="2E65E13C">
      <w:pPr>
        <w:pStyle w:val="Heading1"/>
      </w:pPr>
      <w:bookmarkStart w:name="_Toc118836065" w:id="27"/>
      <w:r>
        <w:t>Conclusion</w:t>
      </w:r>
      <w:bookmarkEnd w:id="27"/>
    </w:p>
    <w:p w:rsidR="00766F58" w:rsidP="007B309A" w:rsidRDefault="00F7385B" w14:paraId="7AEA60F4" w14:textId="61EBDA8A">
      <w:pPr>
        <w:ind w:left="0" w:firstLine="0"/>
      </w:pPr>
      <w:r>
        <w:t>All the profitability ratios demonstrate that Marriott has performed better in all the ratios of profitability</w:t>
      </w:r>
      <w:r w:rsidRPr="00294DFD" w:rsidR="00294DFD">
        <w:t xml:space="preserve">. In 2020 there was a net loss, but in 2021 there is a profit. Marriott's overall cash status is not favorable in either 2020 or 2021. </w:t>
      </w:r>
      <w:r>
        <w:t xml:space="preserve">Marriott may face </w:t>
      </w:r>
      <w:r w:rsidR="005E4751">
        <w:t>a</w:t>
      </w:r>
      <w:r>
        <w:t xml:space="preserve"> shortage of cash in terms of short</w:t>
      </w:r>
      <w:r w:rsidR="005E4751">
        <w:t>-</w:t>
      </w:r>
      <w:r>
        <w:t>term obligation</w:t>
      </w:r>
      <w:r w:rsidR="005E4751">
        <w:t>s</w:t>
      </w:r>
      <w:r>
        <w:t xml:space="preserve">. </w:t>
      </w:r>
      <w:r w:rsidRPr="00294DFD" w:rsidR="00294DFD">
        <w:t>Due to this company's extensive usage of leverage, the overall gearing condition is not favorable. Ratio analysis is a crucial tool for financial analysis, but in addition to its numerous benefits, it also has significant drawbacks and limits.</w:t>
      </w:r>
    </w:p>
    <w:p w:rsidR="0044742D" w:rsidP="007B309A" w:rsidRDefault="0044742D" w14:paraId="1EF0C602" w14:textId="15E90941">
      <w:pPr>
        <w:ind w:left="0" w:firstLine="0"/>
      </w:pPr>
    </w:p>
    <w:p w:rsidRPr="0044742D" w:rsidR="0044742D" w:rsidP="0044742D" w:rsidRDefault="0044742D" w14:paraId="3FAB4A3B" w14:textId="77777777">
      <w:pPr>
        <w:pStyle w:val="Heading1"/>
      </w:pPr>
      <w:bookmarkStart w:name="_Toc118836066" w:id="28"/>
      <w:r w:rsidRPr="0044742D">
        <w:t>References</w:t>
      </w:r>
      <w:bookmarkEnd w:id="28"/>
    </w:p>
    <w:p w:rsidRPr="0044742D" w:rsidR="0044742D" w:rsidP="0044742D" w:rsidRDefault="0044742D" w14:paraId="294B9BD1" w14:textId="77777777">
      <w:pPr>
        <w:ind w:left="0" w:firstLine="0"/>
      </w:pPr>
      <w:proofErr w:type="spellStart"/>
      <w:r w:rsidRPr="0044742D">
        <w:t>Artikis</w:t>
      </w:r>
      <w:proofErr w:type="spellEnd"/>
      <w:r w:rsidRPr="0044742D">
        <w:t xml:space="preserve">, G.P. (2014) </w:t>
      </w:r>
      <w:r w:rsidRPr="0044742D">
        <w:rPr>
          <w:i/>
          <w:iCs/>
        </w:rPr>
        <w:t>Capital structure</w:t>
      </w:r>
      <w:r w:rsidRPr="0044742D">
        <w:t xml:space="preserve">. 13th </w:t>
      </w:r>
      <w:proofErr w:type="spellStart"/>
      <w:r w:rsidRPr="0044742D">
        <w:t>edn</w:t>
      </w:r>
      <w:proofErr w:type="spellEnd"/>
      <w:r w:rsidRPr="0044742D">
        <w:t xml:space="preserve">. Bradford: Emerald Group Publishing. </w:t>
      </w:r>
    </w:p>
    <w:p w:rsidRPr="0044742D" w:rsidR="0044742D" w:rsidP="0044742D" w:rsidRDefault="0044742D" w14:paraId="54A5675C" w14:textId="77777777">
      <w:pPr>
        <w:ind w:left="0" w:firstLine="0"/>
      </w:pPr>
      <w:r w:rsidRPr="0044742D">
        <w:t xml:space="preserve">Gadgil, T. (2014) </w:t>
      </w:r>
      <w:r w:rsidRPr="0044742D">
        <w:rPr>
          <w:i/>
          <w:iCs/>
        </w:rPr>
        <w:t>Ratio analysis</w:t>
      </w:r>
      <w:r w:rsidRPr="0044742D">
        <w:t xml:space="preserve">. North Charleston, USA: CreateSpace Independent Publishing Platform. </w:t>
      </w:r>
    </w:p>
    <w:p w:rsidRPr="0044742D" w:rsidR="0044742D" w:rsidP="0044742D" w:rsidRDefault="0044742D" w14:paraId="687B045E" w14:textId="77777777">
      <w:pPr>
        <w:ind w:left="0" w:firstLine="0"/>
      </w:pPr>
      <w:proofErr w:type="spellStart"/>
      <w:r w:rsidRPr="0044742D">
        <w:t>Gohor</w:t>
      </w:r>
      <w:proofErr w:type="spellEnd"/>
      <w:r w:rsidRPr="0044742D">
        <w:t xml:space="preserve">, J. (2016) </w:t>
      </w:r>
      <w:r w:rsidRPr="0044742D">
        <w:rPr>
          <w:i/>
          <w:iCs/>
        </w:rPr>
        <w:t>9 major limitations of ratio analysis</w:t>
      </w:r>
      <w:r w:rsidRPr="0044742D">
        <w:t xml:space="preserve">, </w:t>
      </w:r>
      <w:r w:rsidRPr="0044742D">
        <w:rPr>
          <w:i/>
          <w:iCs/>
        </w:rPr>
        <w:t>Learn Accounting: Notes, Procedures, Problems and Solutions</w:t>
      </w:r>
      <w:r w:rsidRPr="0044742D">
        <w:t xml:space="preserve">. Available at: https://www.accountingnotes.net/cost-accounting/ratio-analysis/9-major-limitations-of-ratio-analysis/6247 (Accessed: November 8, 2022). </w:t>
      </w:r>
    </w:p>
    <w:p w:rsidRPr="0044742D" w:rsidR="0044742D" w:rsidP="0044742D" w:rsidRDefault="0044742D" w14:paraId="52638315" w14:textId="77777777">
      <w:pPr>
        <w:ind w:left="0" w:firstLine="0"/>
      </w:pPr>
      <w:r w:rsidRPr="0044742D">
        <w:t xml:space="preserve">Karlos, M.L. (2022) </w:t>
      </w:r>
      <w:r w:rsidRPr="0044742D">
        <w:rPr>
          <w:i/>
          <w:iCs/>
        </w:rPr>
        <w:t>Ratio analysis</w:t>
      </w:r>
      <w:r w:rsidRPr="0044742D">
        <w:t xml:space="preserve">, </w:t>
      </w:r>
      <w:r w:rsidRPr="0044742D">
        <w:rPr>
          <w:i/>
          <w:iCs/>
        </w:rPr>
        <w:t>Corporate Finance Institute</w:t>
      </w:r>
      <w:r w:rsidRPr="0044742D">
        <w:t xml:space="preserve">. Available at: https://corporatefinanceinstitute.com/resources/accounting/ratio-analysis/ (Accessed: November 8, 2022). </w:t>
      </w:r>
    </w:p>
    <w:p w:rsidRPr="0044742D" w:rsidR="0044742D" w:rsidP="0044742D" w:rsidRDefault="0044742D" w14:paraId="4EA89CE9" w14:textId="77777777">
      <w:pPr>
        <w:ind w:left="0" w:firstLine="0"/>
      </w:pPr>
      <w:r w:rsidRPr="0044742D">
        <w:t xml:space="preserve">Khan, M.Y. and Jain, P.K. (2017) </w:t>
      </w:r>
      <w:r w:rsidRPr="0044742D">
        <w:rPr>
          <w:i/>
          <w:iCs/>
        </w:rPr>
        <w:t>Financial management</w:t>
      </w:r>
      <w:r w:rsidRPr="0044742D">
        <w:t xml:space="preserve">. 9th </w:t>
      </w:r>
      <w:proofErr w:type="spellStart"/>
      <w:r w:rsidRPr="0044742D">
        <w:t>edn</w:t>
      </w:r>
      <w:proofErr w:type="spellEnd"/>
      <w:r w:rsidRPr="0044742D">
        <w:t xml:space="preserve">. New Delhi: Tata McGraw-Hill. </w:t>
      </w:r>
    </w:p>
    <w:p w:rsidRPr="0044742D" w:rsidR="0044742D" w:rsidP="0044742D" w:rsidRDefault="0044742D" w14:paraId="35988025" w14:textId="77777777">
      <w:pPr>
        <w:ind w:left="0" w:firstLine="0"/>
      </w:pPr>
      <w:r w:rsidRPr="0044742D">
        <w:lastRenderedPageBreak/>
        <w:t xml:space="preserve">MILGRAM, L. (2021) “Using liquidity ratios,” </w:t>
      </w:r>
      <w:r w:rsidRPr="0044742D">
        <w:rPr>
          <w:i/>
          <w:iCs/>
        </w:rPr>
        <w:t>Managing Smart</w:t>
      </w:r>
      <w:r w:rsidRPr="0044742D">
        <w:t xml:space="preserve">, pp. 381–381. Available at: https://doi.org/10.1016/b978-0-88415-752-6.50311-8. </w:t>
      </w:r>
    </w:p>
    <w:p w:rsidRPr="0044742D" w:rsidR="0044742D" w:rsidP="0044742D" w:rsidRDefault="0044742D" w14:paraId="3678DBB1" w14:textId="77777777">
      <w:pPr>
        <w:ind w:left="0" w:firstLine="0"/>
      </w:pPr>
      <w:r w:rsidRPr="0044742D">
        <w:t xml:space="preserve">Philip, D. (2019) “The impact of the liability-asset ratio on profitability,” </w:t>
      </w:r>
      <w:r w:rsidRPr="0044742D">
        <w:rPr>
          <w:i/>
          <w:iCs/>
        </w:rPr>
        <w:t>China's Industrial State-Owned Enterprises</w:t>
      </w:r>
      <w:r w:rsidRPr="0044742D">
        <w:t xml:space="preserve">, pp. 131–160. Available at: https://doi.org/10.1142/9789812795274_0005. </w:t>
      </w:r>
    </w:p>
    <w:p w:rsidRPr="0044742D" w:rsidR="0044742D" w:rsidP="0044742D" w:rsidRDefault="0044742D" w14:paraId="5590DD61" w14:textId="77777777">
      <w:pPr>
        <w:ind w:left="0" w:firstLine="0"/>
      </w:pPr>
      <w:proofErr w:type="spellStart"/>
      <w:r w:rsidRPr="0044742D">
        <w:t>Phylaktis</w:t>
      </w:r>
      <w:proofErr w:type="spellEnd"/>
      <w:r w:rsidRPr="0044742D">
        <w:t xml:space="preserve">, K. and Kaye, G. (2018) </w:t>
      </w:r>
      <w:r w:rsidRPr="0044742D">
        <w:rPr>
          <w:i/>
          <w:iCs/>
        </w:rPr>
        <w:t>Finance</w:t>
      </w:r>
      <w:r w:rsidRPr="0044742D">
        <w:t xml:space="preserve">. 15th </w:t>
      </w:r>
      <w:proofErr w:type="spellStart"/>
      <w:r w:rsidRPr="0044742D">
        <w:t>edn</w:t>
      </w:r>
      <w:proofErr w:type="spellEnd"/>
      <w:r w:rsidRPr="0044742D">
        <w:t xml:space="preserve">. Oxford </w:t>
      </w:r>
      <w:proofErr w:type="spellStart"/>
      <w:r w:rsidRPr="0044742D">
        <w:t>Oxfordshire</w:t>
      </w:r>
      <w:proofErr w:type="spellEnd"/>
      <w:r w:rsidRPr="0044742D">
        <w:t xml:space="preserve">: Published for the Royal Statistical Society and Economic and Social Research Council by Pergamon Press. </w:t>
      </w:r>
    </w:p>
    <w:p w:rsidRPr="0044742D" w:rsidR="0044742D" w:rsidP="0044742D" w:rsidRDefault="0044742D" w14:paraId="3189C867" w14:textId="77777777">
      <w:pPr>
        <w:ind w:left="0" w:firstLine="0"/>
      </w:pPr>
      <w:r w:rsidRPr="0044742D">
        <w:t xml:space="preserve">Roode, M. and Leith, K.B. (2018) </w:t>
      </w:r>
      <w:r w:rsidRPr="0044742D">
        <w:rPr>
          <w:i/>
          <w:iCs/>
        </w:rPr>
        <w:t>Financial reporting</w:t>
      </w:r>
      <w:r w:rsidRPr="0044742D">
        <w:t xml:space="preserve">. 9th </w:t>
      </w:r>
      <w:proofErr w:type="spellStart"/>
      <w:r w:rsidRPr="0044742D">
        <w:t>edn</w:t>
      </w:r>
      <w:proofErr w:type="spellEnd"/>
      <w:r w:rsidRPr="0044742D">
        <w:t xml:space="preserve">. Pretoria: Salt and Pepper. </w:t>
      </w:r>
    </w:p>
    <w:p w:rsidR="0044742D" w:rsidP="0044742D" w:rsidRDefault="0044742D" w14:paraId="0DD9DC0E" w14:textId="39511EC7">
      <w:pPr>
        <w:ind w:left="0" w:firstLine="0"/>
      </w:pPr>
      <w:r w:rsidRPr="0044742D">
        <w:t xml:space="preserve">Stickney, C.P. (2014) </w:t>
      </w:r>
      <w:r w:rsidRPr="0044742D">
        <w:rPr>
          <w:i/>
          <w:iCs/>
        </w:rPr>
        <w:t>Financial statement analysis: A strategic perspective</w:t>
      </w:r>
      <w:r w:rsidRPr="0044742D">
        <w:t xml:space="preserve">. 12th </w:t>
      </w:r>
      <w:proofErr w:type="spellStart"/>
      <w:r w:rsidRPr="0044742D">
        <w:t>edn</w:t>
      </w:r>
      <w:proofErr w:type="spellEnd"/>
      <w:r w:rsidRPr="0044742D">
        <w:t xml:space="preserve">. Fort Worth: Harcourt Brace Jovanovich Publishers. </w:t>
      </w:r>
    </w:p>
    <w:p w:rsidR="0044742D" w:rsidP="0044742D" w:rsidRDefault="0044742D" w14:paraId="7816792E" w14:textId="1133BF18">
      <w:pPr>
        <w:ind w:left="0" w:firstLine="0"/>
      </w:pPr>
    </w:p>
    <w:p w:rsidR="0044742D" w:rsidP="0044742D" w:rsidRDefault="0044742D" w14:paraId="0936A60F" w14:textId="49CCFA88">
      <w:pPr>
        <w:pStyle w:val="Heading1"/>
      </w:pPr>
      <w:bookmarkStart w:name="_Toc118836067" w:id="29"/>
      <w:r>
        <w:lastRenderedPageBreak/>
        <w:t>Appendix</w:t>
      </w:r>
      <w:bookmarkEnd w:id="29"/>
    </w:p>
    <w:p w:rsidR="0044742D" w:rsidP="0044742D" w:rsidRDefault="0044742D" w14:paraId="57B41D0E" w14:textId="7272DE28">
      <w:pPr>
        <w:pStyle w:val="Heading2"/>
      </w:pPr>
      <w:bookmarkStart w:name="_Toc118836068" w:id="30"/>
      <w:r>
        <w:t>Given Ratios</w:t>
      </w:r>
      <w:bookmarkEnd w:id="30"/>
    </w:p>
    <w:p w:rsidRPr="0044742D" w:rsidR="0044742D" w:rsidP="0044742D" w:rsidRDefault="0044742D" w14:paraId="3BC1A988" w14:textId="69E3E058">
      <w:r>
        <w:rPr>
          <w:noProof/>
        </w:rPr>
        <w:drawing>
          <wp:inline distT="0" distB="0" distL="0" distR="0" wp14:anchorId="6622714C" wp14:editId="52616EF0">
            <wp:extent cx="5334000" cy="5238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34000" cy="5238750"/>
                    </a:xfrm>
                    <a:prstGeom prst="rect">
                      <a:avLst/>
                    </a:prstGeom>
                  </pic:spPr>
                </pic:pic>
              </a:graphicData>
            </a:graphic>
          </wp:inline>
        </w:drawing>
      </w:r>
    </w:p>
    <w:p w:rsidR="0044742D" w:rsidP="007B309A" w:rsidRDefault="0044742D" w14:paraId="2814C3E1" w14:textId="77777777">
      <w:pPr>
        <w:ind w:left="0" w:firstLine="0"/>
      </w:pPr>
    </w:p>
    <w:p w:rsidR="00294DFD" w:rsidP="007B309A" w:rsidRDefault="00294DFD" w14:paraId="19985B6D" w14:textId="77777777">
      <w:pPr>
        <w:ind w:left="0" w:firstLine="0"/>
      </w:pPr>
    </w:p>
    <w:p w:rsidRPr="009E50E1" w:rsidR="00766F58" w:rsidP="007B309A" w:rsidRDefault="00766F58" w14:paraId="02F81A45" w14:textId="77777777">
      <w:pPr>
        <w:ind w:left="0" w:firstLine="0"/>
      </w:pPr>
    </w:p>
    <w:p w:rsidRPr="00A21DF5" w:rsidR="000D5486" w:rsidP="000D5486" w:rsidRDefault="000D5486" w14:paraId="730C6684" w14:textId="77777777">
      <w:pPr>
        <w:ind w:left="0" w:firstLine="0"/>
      </w:pPr>
    </w:p>
    <w:sectPr w:rsidRPr="00A21DF5" w:rsidR="000D5486" w:rsidSect="00962450">
      <w:footerReference w:type="default" r:id="rId10"/>
      <w:pgSz w:w="12240" w:h="15840" w:orient="portrait"/>
      <w:pgMar w:top="1440" w:right="1440" w:bottom="1440" w:left="1440" w:header="720" w:footer="720" w:gutter="0"/>
      <w:pgNumType w:start="0"/>
      <w:cols w:space="720"/>
      <w:docGrid w:linePitch="360"/>
      <w:headerReference w:type="default" r:id="Rb160cd7d414a414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26AC8" w:rsidP="00962450" w:rsidRDefault="00C26AC8" w14:paraId="79D331A1" w14:textId="77777777">
      <w:pPr>
        <w:spacing w:line="240" w:lineRule="auto"/>
      </w:pPr>
      <w:r>
        <w:separator/>
      </w:r>
    </w:p>
  </w:endnote>
  <w:endnote w:type="continuationSeparator" w:id="0">
    <w:p w:rsidR="00C26AC8" w:rsidP="00962450" w:rsidRDefault="00C26AC8" w14:paraId="1826964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0260703"/>
      <w:docPartObj>
        <w:docPartGallery w:val="Page Numbers (Bottom of Page)"/>
        <w:docPartUnique/>
      </w:docPartObj>
    </w:sdtPr>
    <w:sdtEndPr>
      <w:rPr>
        <w:noProof/>
      </w:rPr>
    </w:sdtEndPr>
    <w:sdtContent>
      <w:p w:rsidR="00962450" w:rsidRDefault="00962450" w14:paraId="0E1B9D22" w14:textId="3FC787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962450" w:rsidRDefault="00962450" w14:paraId="1E8BD84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26AC8" w:rsidP="00962450" w:rsidRDefault="00C26AC8" w14:paraId="372FE3EA" w14:textId="77777777">
      <w:pPr>
        <w:spacing w:line="240" w:lineRule="auto"/>
      </w:pPr>
      <w:r>
        <w:separator/>
      </w:r>
    </w:p>
  </w:footnote>
  <w:footnote w:type="continuationSeparator" w:id="0">
    <w:p w:rsidR="00C26AC8" w:rsidP="00962450" w:rsidRDefault="00C26AC8" w14:paraId="213A3945" w14:textId="77777777">
      <w:pPr>
        <w:spacing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741F56E" w:rsidTr="2741F56E" w14:paraId="7B4D1407">
      <w:trPr>
        <w:trHeight w:val="300"/>
      </w:trPr>
      <w:tc>
        <w:tcPr>
          <w:tcW w:w="3120" w:type="dxa"/>
          <w:tcMar/>
        </w:tcPr>
        <w:p w:rsidR="2741F56E" w:rsidP="2741F56E" w:rsidRDefault="2741F56E" w14:paraId="23A26D8B" w14:textId="11945293">
          <w:pPr>
            <w:pStyle w:val="Header"/>
            <w:bidi w:val="0"/>
            <w:ind w:left="-115"/>
            <w:jc w:val="left"/>
          </w:pPr>
        </w:p>
      </w:tc>
      <w:tc>
        <w:tcPr>
          <w:tcW w:w="3120" w:type="dxa"/>
          <w:tcMar/>
        </w:tcPr>
        <w:p w:rsidR="2741F56E" w:rsidP="2741F56E" w:rsidRDefault="2741F56E" w14:paraId="3ED901C6" w14:textId="3EBE899C">
          <w:pPr>
            <w:pStyle w:val="Header"/>
            <w:bidi w:val="0"/>
            <w:jc w:val="center"/>
          </w:pPr>
        </w:p>
      </w:tc>
      <w:tc>
        <w:tcPr>
          <w:tcW w:w="3120" w:type="dxa"/>
          <w:tcMar/>
        </w:tcPr>
        <w:p w:rsidR="2741F56E" w:rsidP="2741F56E" w:rsidRDefault="2741F56E" w14:paraId="0C7E9009" w14:textId="5F0601CC">
          <w:pPr>
            <w:pStyle w:val="Header"/>
            <w:bidi w:val="0"/>
            <w:ind w:right="-115"/>
            <w:jc w:val="right"/>
          </w:pPr>
        </w:p>
      </w:tc>
    </w:tr>
  </w:tbl>
  <w:p w:rsidR="2741F56E" w:rsidP="2741F56E" w:rsidRDefault="2741F56E" w14:paraId="69440D9E" w14:textId="633044E6">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4F1384"/>
    <w:multiLevelType w:val="hybridMultilevel"/>
    <w:tmpl w:val="A42CC742"/>
    <w:lvl w:ilvl="0" w:tplc="04090009">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42D77393"/>
    <w:multiLevelType w:val="hybridMultilevel"/>
    <w:tmpl w:val="4C8E59EC"/>
    <w:lvl w:ilvl="0" w:tplc="04090009">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4A21117D"/>
    <w:multiLevelType w:val="hybridMultilevel"/>
    <w:tmpl w:val="16E477EE"/>
    <w:lvl w:ilvl="0" w:tplc="04090009">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2026244027">
    <w:abstractNumId w:val="1"/>
  </w:num>
  <w:num w:numId="2" w16cid:durableId="1896239617">
    <w:abstractNumId w:val="2"/>
  </w:num>
  <w:num w:numId="3" w16cid:durableId="759646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DIwMTE1NbW0MDcxNTdV0lEKTi0uzszPAymwqAUACK7+rywAAAA="/>
  </w:docVars>
  <w:rsids>
    <w:rsidRoot w:val="00B73E66"/>
    <w:rsid w:val="00033FF2"/>
    <w:rsid w:val="00051767"/>
    <w:rsid w:val="000D5486"/>
    <w:rsid w:val="001A1EE9"/>
    <w:rsid w:val="001F028C"/>
    <w:rsid w:val="002007A5"/>
    <w:rsid w:val="00264DFF"/>
    <w:rsid w:val="00294C17"/>
    <w:rsid w:val="00294DFD"/>
    <w:rsid w:val="002E19AF"/>
    <w:rsid w:val="0030050B"/>
    <w:rsid w:val="003358B1"/>
    <w:rsid w:val="003D131E"/>
    <w:rsid w:val="003F4F1E"/>
    <w:rsid w:val="00412FBA"/>
    <w:rsid w:val="00413E16"/>
    <w:rsid w:val="00441B19"/>
    <w:rsid w:val="0044742D"/>
    <w:rsid w:val="0044769E"/>
    <w:rsid w:val="00451640"/>
    <w:rsid w:val="004E3A48"/>
    <w:rsid w:val="005E43B7"/>
    <w:rsid w:val="005E4751"/>
    <w:rsid w:val="005E55CA"/>
    <w:rsid w:val="007502DB"/>
    <w:rsid w:val="00751F40"/>
    <w:rsid w:val="00766F58"/>
    <w:rsid w:val="007B309A"/>
    <w:rsid w:val="007D4CD3"/>
    <w:rsid w:val="007E0FA6"/>
    <w:rsid w:val="00806B01"/>
    <w:rsid w:val="008419F8"/>
    <w:rsid w:val="009264F0"/>
    <w:rsid w:val="00942CDE"/>
    <w:rsid w:val="00962450"/>
    <w:rsid w:val="009D29E8"/>
    <w:rsid w:val="009E50E1"/>
    <w:rsid w:val="00A11D55"/>
    <w:rsid w:val="00A21DF5"/>
    <w:rsid w:val="00A44AAF"/>
    <w:rsid w:val="00AB6A91"/>
    <w:rsid w:val="00B02966"/>
    <w:rsid w:val="00B03593"/>
    <w:rsid w:val="00B07315"/>
    <w:rsid w:val="00B407D2"/>
    <w:rsid w:val="00B5780C"/>
    <w:rsid w:val="00B73E66"/>
    <w:rsid w:val="00B778EE"/>
    <w:rsid w:val="00B869FE"/>
    <w:rsid w:val="00B94F46"/>
    <w:rsid w:val="00B96904"/>
    <w:rsid w:val="00BB37CB"/>
    <w:rsid w:val="00BB57DC"/>
    <w:rsid w:val="00C26AC8"/>
    <w:rsid w:val="00CB057C"/>
    <w:rsid w:val="00D04BB8"/>
    <w:rsid w:val="00D428AE"/>
    <w:rsid w:val="00D60EF9"/>
    <w:rsid w:val="00D73B0A"/>
    <w:rsid w:val="00D85C9F"/>
    <w:rsid w:val="00DC29A2"/>
    <w:rsid w:val="00DE448C"/>
    <w:rsid w:val="00DF7404"/>
    <w:rsid w:val="00E72ACE"/>
    <w:rsid w:val="00E86FB9"/>
    <w:rsid w:val="00EB23D1"/>
    <w:rsid w:val="00F44CB3"/>
    <w:rsid w:val="00F51F10"/>
    <w:rsid w:val="00F7385B"/>
    <w:rsid w:val="2741F56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7EBFF64F"/>
  <w15:chartTrackingRefBased/>
  <w15:docId w15:val="{CC3A4FAA-8AF6-468C-8DA7-874FB7833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sz w:val="24"/>
        <w:szCs w:val="24"/>
        <w:lang w:val="en-US" w:eastAsia="en-US" w:bidi="ar-SA"/>
      </w:rPr>
    </w:rPrDefault>
    <w:pPrDefault>
      <w:pPr>
        <w:spacing w:line="360" w:lineRule="auto"/>
        <w:ind w:left="720" w:hanging="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E55CA"/>
  </w:style>
  <w:style w:type="paragraph" w:styleId="Heading1">
    <w:name w:val="heading 1"/>
    <w:basedOn w:val="Normal"/>
    <w:next w:val="Normal"/>
    <w:link w:val="Heading1Char"/>
    <w:autoRedefine/>
    <w:uiPriority w:val="9"/>
    <w:qFormat/>
    <w:rsid w:val="00A11D55"/>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11D55"/>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A11D55"/>
    <w:pPr>
      <w:keepNext/>
      <w:keepLines/>
      <w:spacing w:before="40"/>
      <w:outlineLvl w:val="2"/>
    </w:pPr>
    <w:rPr>
      <w:rFonts w:eastAsiaTheme="majorEastAsia" w:cstheme="majorBidi"/>
      <w: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A11D55"/>
    <w:rPr>
      <w:rFonts w:eastAsiaTheme="majorEastAsia" w:cstheme="majorBidi"/>
      <w:b/>
      <w:sz w:val="28"/>
      <w:szCs w:val="26"/>
    </w:rPr>
  </w:style>
  <w:style w:type="character" w:styleId="Heading1Char" w:customStyle="1">
    <w:name w:val="Heading 1 Char"/>
    <w:basedOn w:val="DefaultParagraphFont"/>
    <w:link w:val="Heading1"/>
    <w:uiPriority w:val="9"/>
    <w:rsid w:val="00A11D55"/>
    <w:rPr>
      <w:rFonts w:eastAsiaTheme="majorEastAsia" w:cstheme="majorBidi"/>
      <w:b/>
      <w:sz w:val="32"/>
      <w:szCs w:val="32"/>
    </w:rPr>
  </w:style>
  <w:style w:type="character" w:styleId="Heading3Char" w:customStyle="1">
    <w:name w:val="Heading 3 Char"/>
    <w:basedOn w:val="DefaultParagraphFont"/>
    <w:link w:val="Heading3"/>
    <w:uiPriority w:val="9"/>
    <w:rsid w:val="00A11D55"/>
    <w:rPr>
      <w:rFonts w:eastAsiaTheme="majorEastAsia" w:cstheme="majorBidi"/>
      <w:b/>
    </w:rPr>
  </w:style>
  <w:style w:type="paragraph" w:styleId="ListParagraph">
    <w:name w:val="List Paragraph"/>
    <w:basedOn w:val="Normal"/>
    <w:uiPriority w:val="34"/>
    <w:qFormat/>
    <w:rsid w:val="002007A5"/>
    <w:pPr>
      <w:contextualSpacing/>
    </w:pPr>
  </w:style>
  <w:style w:type="paragraph" w:styleId="Caption">
    <w:name w:val="caption"/>
    <w:basedOn w:val="Normal"/>
    <w:next w:val="Normal"/>
    <w:uiPriority w:val="35"/>
    <w:unhideWhenUsed/>
    <w:qFormat/>
    <w:rsid w:val="004E3A48"/>
    <w:pPr>
      <w:spacing w:after="200" w:line="240" w:lineRule="auto"/>
    </w:pPr>
    <w:rPr>
      <w:i/>
      <w:iCs/>
      <w:color w:val="44546A" w:themeColor="text2"/>
      <w:sz w:val="18"/>
      <w:szCs w:val="18"/>
    </w:rPr>
  </w:style>
  <w:style w:type="paragraph" w:styleId="NoSpacing">
    <w:name w:val="No Spacing"/>
    <w:uiPriority w:val="1"/>
    <w:qFormat/>
    <w:rsid w:val="002E19AF"/>
    <w:pPr>
      <w:spacing w:line="240" w:lineRule="auto"/>
      <w:ind w:left="0" w:firstLine="0"/>
    </w:pPr>
    <w:rPr>
      <w:kern w:val="2"/>
    </w:rPr>
  </w:style>
  <w:style w:type="paragraph" w:styleId="TOCHeading">
    <w:name w:val="TOC Heading"/>
    <w:basedOn w:val="Heading1"/>
    <w:next w:val="Normal"/>
    <w:uiPriority w:val="39"/>
    <w:unhideWhenUsed/>
    <w:qFormat/>
    <w:rsid w:val="002E19AF"/>
    <w:pPr>
      <w:spacing w:line="259" w:lineRule="auto"/>
      <w:ind w:left="0" w:firstLine="0"/>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E19AF"/>
    <w:pPr>
      <w:spacing w:after="100"/>
      <w:ind w:left="0"/>
    </w:pPr>
  </w:style>
  <w:style w:type="paragraph" w:styleId="TOC2">
    <w:name w:val="toc 2"/>
    <w:basedOn w:val="Normal"/>
    <w:next w:val="Normal"/>
    <w:autoRedefine/>
    <w:uiPriority w:val="39"/>
    <w:unhideWhenUsed/>
    <w:rsid w:val="002E19AF"/>
    <w:pPr>
      <w:spacing w:after="100"/>
      <w:ind w:left="240"/>
    </w:pPr>
  </w:style>
  <w:style w:type="character" w:styleId="Hyperlink">
    <w:name w:val="Hyperlink"/>
    <w:basedOn w:val="DefaultParagraphFont"/>
    <w:uiPriority w:val="99"/>
    <w:unhideWhenUsed/>
    <w:rsid w:val="002E19AF"/>
    <w:rPr>
      <w:color w:val="0563C1" w:themeColor="hyperlink"/>
      <w:u w:val="single"/>
    </w:rPr>
  </w:style>
  <w:style w:type="paragraph" w:styleId="Header">
    <w:name w:val="header"/>
    <w:basedOn w:val="Normal"/>
    <w:link w:val="HeaderChar"/>
    <w:uiPriority w:val="99"/>
    <w:unhideWhenUsed/>
    <w:rsid w:val="00962450"/>
    <w:pPr>
      <w:tabs>
        <w:tab w:val="center" w:pos="4680"/>
        <w:tab w:val="right" w:pos="9360"/>
      </w:tabs>
      <w:spacing w:line="240" w:lineRule="auto"/>
    </w:pPr>
  </w:style>
  <w:style w:type="character" w:styleId="HeaderChar" w:customStyle="1">
    <w:name w:val="Header Char"/>
    <w:basedOn w:val="DefaultParagraphFont"/>
    <w:link w:val="Header"/>
    <w:uiPriority w:val="99"/>
    <w:rsid w:val="00962450"/>
  </w:style>
  <w:style w:type="paragraph" w:styleId="Footer">
    <w:name w:val="footer"/>
    <w:basedOn w:val="Normal"/>
    <w:link w:val="FooterChar"/>
    <w:uiPriority w:val="99"/>
    <w:unhideWhenUsed/>
    <w:rsid w:val="00962450"/>
    <w:pPr>
      <w:tabs>
        <w:tab w:val="center" w:pos="4680"/>
        <w:tab w:val="right" w:pos="9360"/>
      </w:tabs>
      <w:spacing w:line="240" w:lineRule="auto"/>
    </w:pPr>
  </w:style>
  <w:style w:type="character" w:styleId="FooterChar" w:customStyle="1">
    <w:name w:val="Footer Char"/>
    <w:basedOn w:val="DefaultParagraphFont"/>
    <w:link w:val="Footer"/>
    <w:uiPriority w:val="99"/>
    <w:rsid w:val="00962450"/>
  </w:style>
  <w:style w:type="paragraph" w:styleId="TableofFigures">
    <w:name w:val="table of figures"/>
    <w:basedOn w:val="Normal"/>
    <w:next w:val="Normal"/>
    <w:uiPriority w:val="99"/>
    <w:unhideWhenUsed/>
    <w:rsid w:val="00962450"/>
    <w:pPr>
      <w:ind w:left="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312774">
      <w:bodyDiv w:val="1"/>
      <w:marLeft w:val="0"/>
      <w:marRight w:val="0"/>
      <w:marTop w:val="0"/>
      <w:marBottom w:val="0"/>
      <w:divBdr>
        <w:top w:val="none" w:sz="0" w:space="0" w:color="auto"/>
        <w:left w:val="none" w:sz="0" w:space="0" w:color="auto"/>
        <w:bottom w:val="none" w:sz="0" w:space="0" w:color="auto"/>
        <w:right w:val="none" w:sz="0" w:space="0" w:color="auto"/>
      </w:divBdr>
    </w:div>
    <w:div w:id="1109819035">
      <w:bodyDiv w:val="1"/>
      <w:marLeft w:val="0"/>
      <w:marRight w:val="0"/>
      <w:marTop w:val="0"/>
      <w:marBottom w:val="0"/>
      <w:divBdr>
        <w:top w:val="none" w:sz="0" w:space="0" w:color="auto"/>
        <w:left w:val="none" w:sz="0" w:space="0" w:color="auto"/>
        <w:bottom w:val="none" w:sz="0" w:space="0" w:color="auto"/>
        <w:right w:val="none" w:sz="0" w:space="0" w:color="auto"/>
      </w:divBdr>
    </w:div>
    <w:div w:id="1442724772">
      <w:bodyDiv w:val="1"/>
      <w:marLeft w:val="0"/>
      <w:marRight w:val="0"/>
      <w:marTop w:val="0"/>
      <w:marBottom w:val="0"/>
      <w:divBdr>
        <w:top w:val="none" w:sz="0" w:space="0" w:color="auto"/>
        <w:left w:val="none" w:sz="0" w:space="0" w:color="auto"/>
        <w:bottom w:val="none" w:sz="0" w:space="0" w:color="auto"/>
        <w:right w:val="none" w:sz="0" w:space="0" w:color="auto"/>
      </w:divBdr>
    </w:div>
    <w:div w:id="1521049862">
      <w:bodyDiv w:val="1"/>
      <w:marLeft w:val="0"/>
      <w:marRight w:val="0"/>
      <w:marTop w:val="0"/>
      <w:marBottom w:val="0"/>
      <w:divBdr>
        <w:top w:val="none" w:sz="0" w:space="0" w:color="auto"/>
        <w:left w:val="none" w:sz="0" w:space="0" w:color="auto"/>
        <w:bottom w:val="none" w:sz="0" w:space="0" w:color="auto"/>
        <w:right w:val="none" w:sz="0" w:space="0" w:color="auto"/>
      </w:divBdr>
    </w:div>
    <w:div w:id="1800032985">
      <w:bodyDiv w:val="1"/>
      <w:marLeft w:val="0"/>
      <w:marRight w:val="0"/>
      <w:marTop w:val="0"/>
      <w:marBottom w:val="0"/>
      <w:divBdr>
        <w:top w:val="none" w:sz="0" w:space="0" w:color="auto"/>
        <w:left w:val="none" w:sz="0" w:space="0" w:color="auto"/>
        <w:bottom w:val="none" w:sz="0" w:space="0" w:color="auto"/>
        <w:right w:val="none" w:sz="0" w:space="0" w:color="auto"/>
      </w:divBdr>
    </w:div>
    <w:div w:id="1972518814">
      <w:bodyDiv w:val="1"/>
      <w:marLeft w:val="0"/>
      <w:marRight w:val="0"/>
      <w:marTop w:val="0"/>
      <w:marBottom w:val="0"/>
      <w:divBdr>
        <w:top w:val="none" w:sz="0" w:space="0" w:color="auto"/>
        <w:left w:val="none" w:sz="0" w:space="0" w:color="auto"/>
        <w:bottom w:val="none" w:sz="0" w:space="0" w:color="auto"/>
        <w:right w:val="none" w:sz="0" w:space="0" w:color="auto"/>
      </w:divBdr>
    </w:div>
    <w:div w:id="2051564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glossaryDocument" Target="glossary/document.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eader" Target="header.xml" Id="Rb160cd7d414a4142"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418C1E96AEB406EAA5D224193952095"/>
        <w:category>
          <w:name w:val="General"/>
          <w:gallery w:val="placeholder"/>
        </w:category>
        <w:types>
          <w:type w:val="bbPlcHdr"/>
        </w:types>
        <w:behaviors>
          <w:behavior w:val="content"/>
        </w:behaviors>
        <w:guid w:val="{C2C4146E-366E-4884-A212-3DC9398B1651}"/>
      </w:docPartPr>
      <w:docPartBody>
        <w:p w:rsidR="00F31EF3" w:rsidRDefault="003A3757" w:rsidP="003A3757">
          <w:pPr>
            <w:pStyle w:val="9418C1E96AEB406EAA5D224193952095"/>
          </w:pPr>
          <w:r>
            <w:rPr>
              <w:rFonts w:asciiTheme="majorHAnsi" w:eastAsiaTheme="majorEastAsia" w:hAnsiTheme="majorHAnsi" w:cstheme="majorBidi"/>
              <w:caps/>
              <w:color w:val="4472C4" w:themeColor="accent1"/>
              <w:sz w:val="80"/>
              <w:szCs w:val="80"/>
            </w:rPr>
            <w:t>[Document title]</w:t>
          </w:r>
        </w:p>
      </w:docPartBody>
    </w:docPart>
    <w:docPart>
      <w:docPartPr>
        <w:name w:val="64F47540C316434E938673573D4933AE"/>
        <w:category>
          <w:name w:val="General"/>
          <w:gallery w:val="placeholder"/>
        </w:category>
        <w:types>
          <w:type w:val="bbPlcHdr"/>
        </w:types>
        <w:behaviors>
          <w:behavior w:val="content"/>
        </w:behaviors>
        <w:guid w:val="{D4A95C2C-3C5E-4804-B11C-43EF6AF8D35B}"/>
      </w:docPartPr>
      <w:docPartBody>
        <w:p w:rsidR="00F31EF3" w:rsidRDefault="003A3757" w:rsidP="003A3757">
          <w:pPr>
            <w:pStyle w:val="64F47540C316434E938673573D4933A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757"/>
    <w:rsid w:val="003A3757"/>
    <w:rsid w:val="00465919"/>
    <w:rsid w:val="006A5794"/>
    <w:rsid w:val="00981E89"/>
    <w:rsid w:val="00E17D44"/>
    <w:rsid w:val="00F31EF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18C1E96AEB406EAA5D224193952095">
    <w:name w:val="9418C1E96AEB406EAA5D224193952095"/>
    <w:rsid w:val="003A3757"/>
  </w:style>
  <w:style w:type="paragraph" w:customStyle="1" w:styleId="64F47540C316434E938673573D4933AE">
    <w:name w:val="64F47540C316434E938673573D4933AE"/>
    <w:rsid w:val="003A37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230E8-463F-44DD-AA45-483151F141C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MARRIOTT INTERNATIONAL, INC</dc:title>
  <dc:subject>Ratio Analysis</dc:subject>
  <dc:creator>Md Azizul</dc:creator>
  <keywords/>
  <dc:description/>
  <lastModifiedBy>tarik chowdhury</lastModifiedBy>
  <revision>70</revision>
  <dcterms:created xsi:type="dcterms:W3CDTF">2022-11-04T14:09:00.0000000Z</dcterms:created>
  <dcterms:modified xsi:type="dcterms:W3CDTF">2022-12-08T21:24:04.7345777Z</dcterms:modified>
</coreProperties>
</file>