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8E184" w14:textId="4D2D1D01" w:rsidR="000E344B" w:rsidRPr="00CE0E59" w:rsidRDefault="00E37FAE" w:rsidP="00E37FAE">
      <w:pPr>
        <w:pBdr>
          <w:top w:val="nil"/>
          <w:left w:val="nil"/>
          <w:bottom w:val="nil"/>
          <w:right w:val="nil"/>
          <w:between w:val="nil"/>
        </w:pBdr>
        <w:tabs>
          <w:tab w:val="center" w:pos="4153"/>
          <w:tab w:val="right" w:pos="8306"/>
        </w:tabs>
        <w:rPr>
          <w:rFonts w:eastAsia="Arial" w:cs="Arial"/>
          <w:b/>
          <w:color w:val="000000"/>
          <w:szCs w:val="22"/>
        </w:rPr>
      </w:pPr>
      <w:bookmarkStart w:id="0" w:name="_j5i94hxx88tc" w:colFirst="0" w:colLast="0"/>
      <w:bookmarkEnd w:id="0"/>
      <w:r w:rsidRPr="00CE0E59">
        <w:rPr>
          <w:rFonts w:cs="Arial"/>
          <w:noProof/>
          <w:szCs w:val="22"/>
        </w:rPr>
        <w:drawing>
          <wp:anchor distT="0" distB="0" distL="114300" distR="114300" simplePos="0" relativeHeight="251659264" behindDoc="0" locked="0" layoutInCell="1" hidden="0" allowOverlap="1" wp14:anchorId="56BE9796" wp14:editId="17241F46">
            <wp:simplePos x="0" y="0"/>
            <wp:positionH relativeFrom="margin">
              <wp:posOffset>2232660</wp:posOffset>
            </wp:positionH>
            <wp:positionV relativeFrom="paragraph">
              <wp:posOffset>7620</wp:posOffset>
            </wp:positionV>
            <wp:extent cx="1809750" cy="723900"/>
            <wp:effectExtent l="0" t="0" r="0" b="0"/>
            <wp:wrapSquare wrapText="bothSides" distT="0" distB="0" distL="114300" distR="114300"/>
            <wp:docPr id="80090486"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64AE918A" w14:textId="77777777" w:rsidR="00E37FAE" w:rsidRDefault="00E37FAE" w:rsidP="00E37FAE">
      <w:pPr>
        <w:spacing w:line="279" w:lineRule="auto"/>
        <w:jc w:val="left"/>
        <w:rPr>
          <w:rFonts w:eastAsia="Arial" w:cs="Arial"/>
          <w:b/>
          <w:bCs/>
          <w:color w:val="000000"/>
          <w:szCs w:val="22"/>
          <w:lang w:val="en-US"/>
        </w:rPr>
      </w:pPr>
    </w:p>
    <w:p w14:paraId="601A2B8B" w14:textId="77777777" w:rsidR="00E37FAE" w:rsidRDefault="00E37FAE" w:rsidP="00E37FAE">
      <w:pPr>
        <w:spacing w:line="279" w:lineRule="auto"/>
        <w:jc w:val="left"/>
        <w:rPr>
          <w:rFonts w:eastAsia="Arial" w:cs="Arial"/>
          <w:b/>
          <w:bCs/>
          <w:color w:val="000000"/>
          <w:szCs w:val="22"/>
          <w:lang w:val="en-US"/>
        </w:rPr>
      </w:pPr>
    </w:p>
    <w:p w14:paraId="5115D22E" w14:textId="77777777" w:rsidR="00E37FAE" w:rsidRDefault="00E37FAE" w:rsidP="00E37FAE">
      <w:pPr>
        <w:spacing w:line="279" w:lineRule="auto"/>
        <w:jc w:val="left"/>
        <w:rPr>
          <w:rFonts w:eastAsia="Arial" w:cs="Arial"/>
          <w:b/>
          <w:bCs/>
          <w:color w:val="000000"/>
          <w:szCs w:val="22"/>
          <w:lang w:val="en-US"/>
        </w:rPr>
      </w:pPr>
    </w:p>
    <w:p w14:paraId="5E54879C" w14:textId="67054ADC" w:rsidR="00E37FAE" w:rsidRPr="00E37FAE" w:rsidRDefault="00E37FAE" w:rsidP="00E37FAE">
      <w:pPr>
        <w:spacing w:line="279" w:lineRule="auto"/>
        <w:jc w:val="center"/>
        <w:rPr>
          <w:rFonts w:eastAsia="Arial" w:cs="Arial"/>
          <w:b/>
          <w:bCs/>
          <w:color w:val="000000"/>
          <w:szCs w:val="22"/>
        </w:rPr>
      </w:pPr>
      <w:r w:rsidRPr="00E37FAE">
        <w:rPr>
          <w:rFonts w:eastAsia="Arial" w:cs="Arial"/>
          <w:b/>
          <w:bCs/>
          <w:color w:val="000000"/>
          <w:szCs w:val="22"/>
          <w:lang w:val="en-US"/>
        </w:rPr>
        <w:t>MSc Public Health and Social Care in Practice</w:t>
      </w:r>
    </w:p>
    <w:p w14:paraId="297A021C" w14:textId="77777777" w:rsidR="00E37FAE" w:rsidRPr="00E37FAE" w:rsidRDefault="00E37FAE" w:rsidP="00E37FAE">
      <w:pPr>
        <w:pBdr>
          <w:top w:val="nil"/>
          <w:left w:val="nil"/>
          <w:bottom w:val="nil"/>
          <w:right w:val="nil"/>
          <w:between w:val="nil"/>
        </w:pBdr>
        <w:tabs>
          <w:tab w:val="center" w:pos="4153"/>
          <w:tab w:val="right" w:pos="8306"/>
        </w:tabs>
        <w:jc w:val="center"/>
        <w:rPr>
          <w:rFonts w:eastAsia="Arial" w:cs="Arial"/>
          <w:b/>
          <w:bCs/>
          <w:color w:val="000000"/>
          <w:szCs w:val="22"/>
          <w:lang w:val="en-US"/>
        </w:rPr>
      </w:pPr>
      <w:r w:rsidRPr="00E37FAE">
        <w:rPr>
          <w:rFonts w:eastAsia="Arial" w:cs="Arial"/>
          <w:b/>
          <w:bCs/>
          <w:color w:val="000000"/>
          <w:szCs w:val="22"/>
          <w:lang w:val="en-US"/>
        </w:rPr>
        <w:t>Module: Social Epidemiology and Public Health Development</w:t>
      </w:r>
    </w:p>
    <w:p w14:paraId="48AFB860" w14:textId="77777777" w:rsidR="00E37FAE" w:rsidRPr="00E37FAE" w:rsidRDefault="00E37FAE" w:rsidP="00E37FAE">
      <w:pPr>
        <w:pBdr>
          <w:top w:val="nil"/>
          <w:left w:val="nil"/>
          <w:bottom w:val="nil"/>
          <w:right w:val="nil"/>
          <w:between w:val="nil"/>
        </w:pBdr>
        <w:tabs>
          <w:tab w:val="center" w:pos="4153"/>
          <w:tab w:val="right" w:pos="8306"/>
        </w:tabs>
        <w:jc w:val="center"/>
        <w:rPr>
          <w:rFonts w:eastAsia="Arial" w:cs="Arial"/>
          <w:b/>
          <w:bCs/>
          <w:color w:val="000000"/>
          <w:szCs w:val="22"/>
          <w:lang w:val="en-US"/>
        </w:rPr>
      </w:pPr>
      <w:r w:rsidRPr="00E37FAE">
        <w:rPr>
          <w:rFonts w:eastAsia="Arial" w:cs="Arial"/>
          <w:b/>
          <w:bCs/>
          <w:color w:val="000000"/>
          <w:szCs w:val="22"/>
          <w:lang w:val="en-US"/>
        </w:rPr>
        <w:t>Module Code: LCHS7000</w:t>
      </w:r>
    </w:p>
    <w:p w14:paraId="18410A4D" w14:textId="77777777" w:rsidR="00E37FAE" w:rsidRDefault="00E37FAE" w:rsidP="00E37FAE">
      <w:pPr>
        <w:pBdr>
          <w:top w:val="nil"/>
          <w:left w:val="nil"/>
          <w:bottom w:val="nil"/>
          <w:right w:val="nil"/>
          <w:between w:val="nil"/>
        </w:pBdr>
        <w:tabs>
          <w:tab w:val="center" w:pos="4153"/>
          <w:tab w:val="right" w:pos="8306"/>
        </w:tabs>
        <w:jc w:val="center"/>
        <w:rPr>
          <w:rFonts w:eastAsia="Arial" w:cs="Arial"/>
          <w:b/>
          <w:bCs/>
          <w:color w:val="000000"/>
          <w:szCs w:val="22"/>
          <w:lang w:val="en-US"/>
        </w:rPr>
      </w:pPr>
      <w:r w:rsidRPr="00E37FAE">
        <w:rPr>
          <w:rFonts w:eastAsia="Arial" w:cs="Arial"/>
          <w:b/>
          <w:bCs/>
          <w:color w:val="000000"/>
          <w:szCs w:val="22"/>
          <w:lang w:val="en-US"/>
        </w:rPr>
        <w:t>Assessment Component: Component 2 – Analytical Report</w:t>
      </w:r>
    </w:p>
    <w:p w14:paraId="4A8AC741" w14:textId="77777777" w:rsidR="00E37FAE" w:rsidRDefault="00E37FAE" w:rsidP="00E37FAE">
      <w:pPr>
        <w:pBdr>
          <w:top w:val="nil"/>
          <w:left w:val="nil"/>
          <w:bottom w:val="nil"/>
          <w:right w:val="nil"/>
          <w:between w:val="nil"/>
        </w:pBdr>
        <w:tabs>
          <w:tab w:val="center" w:pos="4153"/>
          <w:tab w:val="right" w:pos="8306"/>
        </w:tabs>
        <w:jc w:val="center"/>
        <w:rPr>
          <w:rFonts w:eastAsia="Arial" w:cs="Arial"/>
          <w:b/>
          <w:bCs/>
          <w:color w:val="000000"/>
          <w:szCs w:val="22"/>
          <w:lang w:val="en-US"/>
        </w:rPr>
      </w:pPr>
    </w:p>
    <w:p w14:paraId="70447B82" w14:textId="77777777" w:rsidR="00E37FAE" w:rsidRPr="00E37FAE" w:rsidRDefault="00E37FAE" w:rsidP="00E37FAE">
      <w:pPr>
        <w:pBdr>
          <w:top w:val="nil"/>
          <w:left w:val="nil"/>
          <w:bottom w:val="nil"/>
          <w:right w:val="nil"/>
          <w:between w:val="nil"/>
        </w:pBdr>
        <w:tabs>
          <w:tab w:val="center" w:pos="4153"/>
          <w:tab w:val="right" w:pos="8306"/>
        </w:tabs>
        <w:jc w:val="center"/>
        <w:rPr>
          <w:rFonts w:eastAsia="Arial" w:cs="Arial"/>
          <w:b/>
          <w:bCs/>
          <w:color w:val="000000"/>
          <w:szCs w:val="22"/>
          <w:lang w:val="en-US"/>
        </w:rPr>
      </w:pPr>
    </w:p>
    <w:p w14:paraId="04070EFE" w14:textId="77777777" w:rsidR="00E37FAE" w:rsidRPr="00E37FAE" w:rsidRDefault="00E37FAE" w:rsidP="00E37FAE">
      <w:pPr>
        <w:pBdr>
          <w:top w:val="nil"/>
          <w:left w:val="nil"/>
          <w:bottom w:val="nil"/>
          <w:right w:val="nil"/>
          <w:between w:val="nil"/>
        </w:pBdr>
        <w:tabs>
          <w:tab w:val="center" w:pos="4153"/>
          <w:tab w:val="right" w:pos="8306"/>
        </w:tabs>
        <w:jc w:val="center"/>
        <w:rPr>
          <w:rFonts w:eastAsia="Arial" w:cs="Arial"/>
          <w:b/>
          <w:bCs/>
          <w:i/>
          <w:iCs/>
          <w:color w:val="000000"/>
          <w:sz w:val="36"/>
          <w:szCs w:val="36"/>
          <w:lang w:val="en-US"/>
        </w:rPr>
      </w:pPr>
      <w:r w:rsidRPr="00E37FAE">
        <w:rPr>
          <w:rFonts w:eastAsia="Arial" w:cs="Arial"/>
          <w:b/>
          <w:bCs/>
          <w:i/>
          <w:iCs/>
          <w:color w:val="000000"/>
          <w:sz w:val="36"/>
          <w:szCs w:val="36"/>
          <w:lang w:val="en-US"/>
        </w:rPr>
        <w:t>Social and Epidemiological Analysis of Health Inequalities: Ethnic Health Disparities and the Epidemiological Management of Tuberculosis in Newham, United Kingdom</w:t>
      </w:r>
    </w:p>
    <w:p w14:paraId="7E49BE4D" w14:textId="77777777" w:rsidR="00E37FAE" w:rsidRDefault="00E37FAE" w:rsidP="00E37FAE">
      <w:pPr>
        <w:pBdr>
          <w:top w:val="nil"/>
          <w:left w:val="nil"/>
          <w:bottom w:val="nil"/>
          <w:right w:val="nil"/>
          <w:between w:val="nil"/>
        </w:pBdr>
        <w:tabs>
          <w:tab w:val="center" w:pos="4153"/>
          <w:tab w:val="right" w:pos="8306"/>
        </w:tabs>
        <w:rPr>
          <w:rFonts w:eastAsia="Arial" w:cs="Arial"/>
          <w:b/>
          <w:bCs/>
          <w:color w:val="000000"/>
          <w:szCs w:val="22"/>
          <w:lang w:val="en-US"/>
        </w:rPr>
      </w:pPr>
    </w:p>
    <w:p w14:paraId="55A8751B" w14:textId="2745CFA7" w:rsidR="00E37FAE" w:rsidRPr="00E37FAE" w:rsidRDefault="00E37FAE" w:rsidP="00E37FAE">
      <w:pPr>
        <w:pBdr>
          <w:top w:val="nil"/>
          <w:left w:val="nil"/>
          <w:bottom w:val="nil"/>
          <w:right w:val="nil"/>
          <w:between w:val="nil"/>
        </w:pBdr>
        <w:tabs>
          <w:tab w:val="center" w:pos="4153"/>
          <w:tab w:val="right" w:pos="8306"/>
        </w:tabs>
        <w:jc w:val="center"/>
        <w:rPr>
          <w:rFonts w:eastAsia="Arial" w:cs="Arial"/>
          <w:b/>
          <w:bCs/>
          <w:color w:val="000000"/>
          <w:szCs w:val="22"/>
          <w:lang w:val="en-US"/>
        </w:rPr>
      </w:pPr>
      <w:r w:rsidRPr="00E37FAE">
        <w:rPr>
          <w:rFonts w:eastAsia="Arial" w:cs="Arial"/>
          <w:b/>
          <w:bCs/>
          <w:color w:val="000000"/>
          <w:szCs w:val="22"/>
          <w:lang w:val="en-US"/>
        </w:rPr>
        <w:t>Student Name:</w:t>
      </w:r>
      <w:r w:rsidR="00C5430E">
        <w:rPr>
          <w:rFonts w:eastAsia="Arial" w:cs="Arial"/>
          <w:b/>
          <w:bCs/>
          <w:color w:val="000000"/>
          <w:szCs w:val="22"/>
          <w:lang w:val="en-US"/>
        </w:rPr>
        <w:t xml:space="preserve"> </w:t>
      </w:r>
      <w:r w:rsidR="00C5430E" w:rsidRPr="00C5430E">
        <w:rPr>
          <w:rFonts w:eastAsia="Arial" w:cs="Arial"/>
          <w:b/>
          <w:bCs/>
          <w:color w:val="000000"/>
          <w:szCs w:val="22"/>
          <w:lang w:val="en-US"/>
        </w:rPr>
        <w:t xml:space="preserve">Divyesh </w:t>
      </w:r>
      <w:proofErr w:type="spellStart"/>
      <w:r w:rsidR="00C5430E" w:rsidRPr="00C5430E">
        <w:rPr>
          <w:rFonts w:eastAsia="Arial" w:cs="Arial"/>
          <w:b/>
          <w:bCs/>
          <w:color w:val="000000"/>
          <w:szCs w:val="22"/>
          <w:lang w:val="en-US"/>
        </w:rPr>
        <w:t>Bhutiya</w:t>
      </w:r>
      <w:proofErr w:type="spellEnd"/>
    </w:p>
    <w:p w14:paraId="3AA16D9E" w14:textId="3029C970" w:rsidR="00E37FAE" w:rsidRPr="00E37FAE" w:rsidRDefault="00E37FAE" w:rsidP="00E37FAE">
      <w:pPr>
        <w:pBdr>
          <w:top w:val="nil"/>
          <w:left w:val="nil"/>
          <w:bottom w:val="nil"/>
          <w:right w:val="nil"/>
          <w:between w:val="nil"/>
        </w:pBdr>
        <w:tabs>
          <w:tab w:val="center" w:pos="4153"/>
          <w:tab w:val="right" w:pos="8306"/>
        </w:tabs>
        <w:jc w:val="center"/>
        <w:rPr>
          <w:rFonts w:eastAsia="Arial" w:cs="Arial"/>
          <w:b/>
          <w:bCs/>
          <w:color w:val="000000"/>
          <w:szCs w:val="22"/>
          <w:lang w:val="en-US"/>
        </w:rPr>
      </w:pPr>
      <w:r w:rsidRPr="00E37FAE">
        <w:rPr>
          <w:rFonts w:eastAsia="Arial" w:cs="Arial"/>
          <w:b/>
          <w:bCs/>
          <w:color w:val="000000"/>
          <w:szCs w:val="22"/>
          <w:lang w:val="en-US"/>
        </w:rPr>
        <w:t>Student ID Number:</w:t>
      </w:r>
      <w:r w:rsidR="00C5430E">
        <w:rPr>
          <w:rFonts w:eastAsia="Arial" w:cs="Arial"/>
          <w:b/>
          <w:bCs/>
          <w:color w:val="000000"/>
          <w:szCs w:val="22"/>
          <w:lang w:val="en-US"/>
        </w:rPr>
        <w:t xml:space="preserve"> </w:t>
      </w:r>
      <w:r w:rsidR="00C5430E" w:rsidRPr="00C5430E">
        <w:rPr>
          <w:rFonts w:eastAsia="Arial" w:cs="Arial"/>
          <w:b/>
          <w:bCs/>
          <w:color w:val="000000"/>
          <w:szCs w:val="22"/>
          <w:lang w:val="en-US"/>
        </w:rPr>
        <w:t>2536460</w:t>
      </w:r>
    </w:p>
    <w:p w14:paraId="0E94239E" w14:textId="16F52DDC" w:rsidR="00E37FAE" w:rsidRPr="00E37FAE" w:rsidRDefault="00E37FAE" w:rsidP="00E37FAE">
      <w:pPr>
        <w:pBdr>
          <w:top w:val="nil"/>
          <w:left w:val="nil"/>
          <w:bottom w:val="nil"/>
          <w:right w:val="nil"/>
          <w:between w:val="nil"/>
        </w:pBdr>
        <w:tabs>
          <w:tab w:val="center" w:pos="4153"/>
          <w:tab w:val="right" w:pos="8306"/>
        </w:tabs>
        <w:jc w:val="center"/>
        <w:rPr>
          <w:rFonts w:eastAsia="Arial" w:cs="Arial"/>
          <w:b/>
          <w:bCs/>
          <w:color w:val="000000"/>
          <w:szCs w:val="22"/>
          <w:lang w:val="en-US"/>
        </w:rPr>
      </w:pPr>
      <w:r w:rsidRPr="00E37FAE">
        <w:rPr>
          <w:rFonts w:eastAsia="Arial" w:cs="Arial"/>
          <w:b/>
          <w:bCs/>
          <w:color w:val="000000"/>
          <w:szCs w:val="22"/>
          <w:lang w:val="en-US"/>
        </w:rPr>
        <w:t xml:space="preserve">Module Lecturer: Dr </w:t>
      </w:r>
      <w:r w:rsidR="00C5430E" w:rsidRPr="00C5430E">
        <w:rPr>
          <w:rFonts w:eastAsia="Arial" w:cs="Arial"/>
          <w:b/>
          <w:bCs/>
          <w:color w:val="000000"/>
          <w:szCs w:val="22"/>
        </w:rPr>
        <w:t>Junaid shaikh</w:t>
      </w:r>
    </w:p>
    <w:p w14:paraId="0BBB3A0D" w14:textId="77777777" w:rsidR="000E344B" w:rsidRPr="00E37FAE" w:rsidRDefault="000E344B" w:rsidP="00E37FAE">
      <w:pPr>
        <w:pBdr>
          <w:top w:val="nil"/>
          <w:left w:val="nil"/>
          <w:bottom w:val="nil"/>
          <w:right w:val="nil"/>
          <w:between w:val="nil"/>
        </w:pBdr>
        <w:tabs>
          <w:tab w:val="center" w:pos="4153"/>
          <w:tab w:val="right" w:pos="8306"/>
        </w:tabs>
        <w:rPr>
          <w:rFonts w:eastAsia="Arial" w:cs="Arial"/>
          <w:bCs/>
          <w:color w:val="000000"/>
          <w:szCs w:val="22"/>
        </w:rPr>
      </w:pPr>
    </w:p>
    <w:p w14:paraId="0EBCBF41" w14:textId="5DBAB89F" w:rsidR="000E344B" w:rsidRPr="00CE0E59" w:rsidRDefault="000E344B" w:rsidP="00E37FAE">
      <w:pPr>
        <w:pBdr>
          <w:top w:val="nil"/>
          <w:left w:val="nil"/>
          <w:bottom w:val="nil"/>
          <w:right w:val="nil"/>
          <w:between w:val="nil"/>
        </w:pBdr>
        <w:tabs>
          <w:tab w:val="center" w:pos="4153"/>
          <w:tab w:val="right" w:pos="8306"/>
        </w:tabs>
        <w:rPr>
          <w:rFonts w:eastAsia="Arial" w:cs="Arial"/>
          <w:b/>
          <w:color w:val="000000"/>
          <w:szCs w:val="22"/>
        </w:rPr>
      </w:pPr>
    </w:p>
    <w:p w14:paraId="201C9359" w14:textId="77777777" w:rsidR="000D1EE6" w:rsidRPr="00CE0E59" w:rsidRDefault="00000000" w:rsidP="004F7A09">
      <w:pPr>
        <w:pStyle w:val="Heading3"/>
        <w:keepNext w:val="0"/>
        <w:keepLines w:val="0"/>
        <w:spacing w:before="280" w:after="80"/>
        <w:rPr>
          <w:rFonts w:eastAsia="Arial" w:cs="Arial"/>
          <w:b w:val="0"/>
          <w:bCs/>
          <w:color w:val="000000"/>
          <w:szCs w:val="22"/>
        </w:rPr>
      </w:pPr>
      <w:r w:rsidRPr="00CE0E59">
        <w:rPr>
          <w:rFonts w:cs="Arial"/>
          <w:szCs w:val="22"/>
        </w:rPr>
        <w:br w:type="page"/>
      </w:r>
    </w:p>
    <w:bookmarkStart w:id="1" w:name="_to5cziib09x7" w:colFirst="0" w:colLast="0" w:displacedByCustomXml="next"/>
    <w:bookmarkEnd w:id="1" w:displacedByCustomXml="next"/>
    <w:sdt>
      <w:sdtPr>
        <w:rPr>
          <w:rFonts w:ascii="Arial" w:eastAsia="Aptos" w:hAnsi="Arial" w:cs="Arial"/>
          <w:b w:val="0"/>
          <w:color w:val="000000" w:themeColor="text1"/>
          <w:sz w:val="22"/>
          <w:szCs w:val="22"/>
          <w:lang w:val="en-GB"/>
        </w:rPr>
        <w:id w:val="-544139189"/>
        <w:docPartObj>
          <w:docPartGallery w:val="Table of Contents"/>
          <w:docPartUnique/>
        </w:docPartObj>
      </w:sdtPr>
      <w:sdtEndPr>
        <w:rPr>
          <w:bCs/>
          <w:color w:val="auto"/>
        </w:rPr>
      </w:sdtEndPr>
      <w:sdtContent>
        <w:p w14:paraId="1C9444F3" w14:textId="7D855D02" w:rsidR="00F80A9B" w:rsidRPr="00CE0E59" w:rsidRDefault="00F80A9B" w:rsidP="00E37FAE">
          <w:pPr>
            <w:pStyle w:val="TOCHeading"/>
            <w:spacing w:line="480" w:lineRule="auto"/>
            <w:jc w:val="center"/>
            <w:rPr>
              <w:rFonts w:ascii="Arial" w:hAnsi="Arial" w:cs="Arial"/>
              <w:color w:val="000000" w:themeColor="text1"/>
              <w:sz w:val="22"/>
              <w:szCs w:val="22"/>
              <w:lang w:val="en-GB"/>
            </w:rPr>
          </w:pPr>
          <w:r w:rsidRPr="00CE0E59">
            <w:rPr>
              <w:rFonts w:ascii="Arial" w:hAnsi="Arial" w:cs="Arial"/>
              <w:color w:val="000000" w:themeColor="text1"/>
              <w:sz w:val="22"/>
              <w:szCs w:val="22"/>
              <w:lang w:val="en-GB"/>
            </w:rPr>
            <w:t>Table of Contents</w:t>
          </w:r>
        </w:p>
        <w:p w14:paraId="3C8BD3EE" w14:textId="493AA3F6" w:rsidR="00E10C96" w:rsidRDefault="00F80A9B">
          <w:pPr>
            <w:pStyle w:val="TOC1"/>
            <w:tabs>
              <w:tab w:val="right" w:leader="dot" w:pos="9736"/>
            </w:tabs>
            <w:rPr>
              <w:rFonts w:asciiTheme="minorHAnsi" w:eastAsiaTheme="minorEastAsia" w:hAnsiTheme="minorHAnsi" w:cstheme="minorBidi"/>
              <w:noProof/>
              <w:kern w:val="2"/>
              <w:sz w:val="24"/>
              <w:lang w:val="en-IN" w:eastAsia="zh-CN"/>
              <w14:ligatures w14:val="standardContextual"/>
            </w:rPr>
          </w:pPr>
          <w:r w:rsidRPr="00CE0E59">
            <w:rPr>
              <w:rFonts w:cs="Arial"/>
              <w:szCs w:val="22"/>
            </w:rPr>
            <w:fldChar w:fldCharType="begin"/>
          </w:r>
          <w:r w:rsidRPr="00CE0E59">
            <w:rPr>
              <w:rFonts w:cs="Arial"/>
              <w:szCs w:val="22"/>
            </w:rPr>
            <w:instrText xml:space="preserve"> TOC \o "1-3" \h \z \u </w:instrText>
          </w:r>
          <w:r w:rsidRPr="00CE0E59">
            <w:rPr>
              <w:rFonts w:cs="Arial"/>
              <w:szCs w:val="22"/>
            </w:rPr>
            <w:fldChar w:fldCharType="separate"/>
          </w:r>
          <w:hyperlink w:anchor="_Toc235283772" w:history="1">
            <w:r w:rsidR="00E10C96" w:rsidRPr="00BD5ADD">
              <w:rPr>
                <w:rStyle w:val="Hyperlink"/>
                <w:rFonts w:cs="Arial"/>
                <w:noProof/>
              </w:rPr>
              <w:t>Task 1: Ethnicity and Health Inequalities in the UK</w:t>
            </w:r>
            <w:r w:rsidR="00E10C96">
              <w:rPr>
                <w:noProof/>
                <w:webHidden/>
              </w:rPr>
              <w:tab/>
            </w:r>
            <w:r w:rsidR="00E10C96">
              <w:rPr>
                <w:noProof/>
                <w:webHidden/>
              </w:rPr>
              <w:fldChar w:fldCharType="begin"/>
            </w:r>
            <w:r w:rsidR="00E10C96">
              <w:rPr>
                <w:noProof/>
                <w:webHidden/>
              </w:rPr>
              <w:instrText xml:space="preserve"> PAGEREF _Toc235283772 \h </w:instrText>
            </w:r>
            <w:r w:rsidR="00E10C96">
              <w:rPr>
                <w:noProof/>
                <w:webHidden/>
              </w:rPr>
            </w:r>
            <w:r w:rsidR="00E10C96">
              <w:rPr>
                <w:noProof/>
                <w:webHidden/>
              </w:rPr>
              <w:fldChar w:fldCharType="separate"/>
            </w:r>
            <w:r w:rsidR="00E37FAE">
              <w:rPr>
                <w:noProof/>
                <w:webHidden/>
              </w:rPr>
              <w:t>4</w:t>
            </w:r>
            <w:r w:rsidR="00E10C96">
              <w:rPr>
                <w:noProof/>
                <w:webHidden/>
              </w:rPr>
              <w:fldChar w:fldCharType="end"/>
            </w:r>
          </w:hyperlink>
        </w:p>
        <w:p w14:paraId="5B4E3198" w14:textId="59E870BC"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73" w:history="1">
            <w:r w:rsidRPr="00BD5ADD">
              <w:rPr>
                <w:rStyle w:val="Hyperlink"/>
                <w:rFonts w:cs="Arial"/>
                <w:noProof/>
              </w:rPr>
              <w:t>1. Introduction</w:t>
            </w:r>
            <w:r>
              <w:rPr>
                <w:noProof/>
                <w:webHidden/>
              </w:rPr>
              <w:tab/>
            </w:r>
            <w:r>
              <w:rPr>
                <w:noProof/>
                <w:webHidden/>
              </w:rPr>
              <w:fldChar w:fldCharType="begin"/>
            </w:r>
            <w:r>
              <w:rPr>
                <w:noProof/>
                <w:webHidden/>
              </w:rPr>
              <w:instrText xml:space="preserve"> PAGEREF _Toc235283773 \h </w:instrText>
            </w:r>
            <w:r>
              <w:rPr>
                <w:noProof/>
                <w:webHidden/>
              </w:rPr>
            </w:r>
            <w:r>
              <w:rPr>
                <w:noProof/>
                <w:webHidden/>
              </w:rPr>
              <w:fldChar w:fldCharType="separate"/>
            </w:r>
            <w:r w:rsidR="00E37FAE">
              <w:rPr>
                <w:noProof/>
                <w:webHidden/>
              </w:rPr>
              <w:t>4</w:t>
            </w:r>
            <w:r>
              <w:rPr>
                <w:noProof/>
                <w:webHidden/>
              </w:rPr>
              <w:fldChar w:fldCharType="end"/>
            </w:r>
          </w:hyperlink>
        </w:p>
        <w:p w14:paraId="61D16FC8" w14:textId="2C22B360"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74" w:history="1">
            <w:r w:rsidRPr="00BD5ADD">
              <w:rPr>
                <w:rStyle w:val="Hyperlink"/>
                <w:rFonts w:cs="Arial"/>
                <w:noProof/>
              </w:rPr>
              <w:t>2. Contextual Background and Underlying Factors</w:t>
            </w:r>
            <w:r>
              <w:rPr>
                <w:noProof/>
                <w:webHidden/>
              </w:rPr>
              <w:tab/>
            </w:r>
            <w:r>
              <w:rPr>
                <w:noProof/>
                <w:webHidden/>
              </w:rPr>
              <w:fldChar w:fldCharType="begin"/>
            </w:r>
            <w:r>
              <w:rPr>
                <w:noProof/>
                <w:webHidden/>
              </w:rPr>
              <w:instrText xml:space="preserve"> PAGEREF _Toc235283774 \h </w:instrText>
            </w:r>
            <w:r>
              <w:rPr>
                <w:noProof/>
                <w:webHidden/>
              </w:rPr>
            </w:r>
            <w:r>
              <w:rPr>
                <w:noProof/>
                <w:webHidden/>
              </w:rPr>
              <w:fldChar w:fldCharType="separate"/>
            </w:r>
            <w:r w:rsidR="00E37FAE">
              <w:rPr>
                <w:noProof/>
                <w:webHidden/>
              </w:rPr>
              <w:t>4</w:t>
            </w:r>
            <w:r>
              <w:rPr>
                <w:noProof/>
                <w:webHidden/>
              </w:rPr>
              <w:fldChar w:fldCharType="end"/>
            </w:r>
          </w:hyperlink>
        </w:p>
        <w:p w14:paraId="3ABA2426" w14:textId="2208BF98" w:rsidR="00E10C96" w:rsidRDefault="00E10C96">
          <w:pPr>
            <w:pStyle w:val="TOC3"/>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75" w:history="1">
            <w:r w:rsidRPr="00BD5ADD">
              <w:rPr>
                <w:rStyle w:val="Hyperlink"/>
                <w:rFonts w:eastAsia="Arial" w:cs="Arial"/>
                <w:bCs/>
                <w:noProof/>
              </w:rPr>
              <w:t>2.1 Higher Rates of Type 2 Diabetes</w:t>
            </w:r>
            <w:r>
              <w:rPr>
                <w:noProof/>
                <w:webHidden/>
              </w:rPr>
              <w:tab/>
            </w:r>
            <w:r>
              <w:rPr>
                <w:noProof/>
                <w:webHidden/>
              </w:rPr>
              <w:fldChar w:fldCharType="begin"/>
            </w:r>
            <w:r>
              <w:rPr>
                <w:noProof/>
                <w:webHidden/>
              </w:rPr>
              <w:instrText xml:space="preserve"> PAGEREF _Toc235283775 \h </w:instrText>
            </w:r>
            <w:r>
              <w:rPr>
                <w:noProof/>
                <w:webHidden/>
              </w:rPr>
            </w:r>
            <w:r>
              <w:rPr>
                <w:noProof/>
                <w:webHidden/>
              </w:rPr>
              <w:fldChar w:fldCharType="separate"/>
            </w:r>
            <w:r w:rsidR="00E37FAE">
              <w:rPr>
                <w:noProof/>
                <w:webHidden/>
              </w:rPr>
              <w:t>4</w:t>
            </w:r>
            <w:r>
              <w:rPr>
                <w:noProof/>
                <w:webHidden/>
              </w:rPr>
              <w:fldChar w:fldCharType="end"/>
            </w:r>
          </w:hyperlink>
        </w:p>
        <w:p w14:paraId="12098D24" w14:textId="361DC667" w:rsidR="00E10C96" w:rsidRDefault="00E10C96">
          <w:pPr>
            <w:pStyle w:val="TOC3"/>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76" w:history="1">
            <w:r w:rsidRPr="00BD5ADD">
              <w:rPr>
                <w:rStyle w:val="Hyperlink"/>
                <w:rFonts w:cs="Arial"/>
                <w:noProof/>
              </w:rPr>
              <w:t>2.2 Cardiovascular Disease</w:t>
            </w:r>
            <w:r>
              <w:rPr>
                <w:noProof/>
                <w:webHidden/>
              </w:rPr>
              <w:tab/>
            </w:r>
            <w:r>
              <w:rPr>
                <w:noProof/>
                <w:webHidden/>
              </w:rPr>
              <w:fldChar w:fldCharType="begin"/>
            </w:r>
            <w:r>
              <w:rPr>
                <w:noProof/>
                <w:webHidden/>
              </w:rPr>
              <w:instrText xml:space="preserve"> PAGEREF _Toc235283776 \h </w:instrText>
            </w:r>
            <w:r>
              <w:rPr>
                <w:noProof/>
                <w:webHidden/>
              </w:rPr>
            </w:r>
            <w:r>
              <w:rPr>
                <w:noProof/>
                <w:webHidden/>
              </w:rPr>
              <w:fldChar w:fldCharType="separate"/>
            </w:r>
            <w:r w:rsidR="00E37FAE">
              <w:rPr>
                <w:noProof/>
                <w:webHidden/>
              </w:rPr>
              <w:t>5</w:t>
            </w:r>
            <w:r>
              <w:rPr>
                <w:noProof/>
                <w:webHidden/>
              </w:rPr>
              <w:fldChar w:fldCharType="end"/>
            </w:r>
          </w:hyperlink>
        </w:p>
        <w:p w14:paraId="13784E8F" w14:textId="3BA60E11" w:rsidR="00E10C96" w:rsidRDefault="00E10C96">
          <w:pPr>
            <w:pStyle w:val="TOC3"/>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77" w:history="1">
            <w:r w:rsidRPr="00BD5ADD">
              <w:rPr>
                <w:rStyle w:val="Hyperlink"/>
                <w:rFonts w:cs="Arial"/>
                <w:noProof/>
              </w:rPr>
              <w:t>2.3 Maternal Mortality and Pregnancy Outcomes</w:t>
            </w:r>
            <w:r>
              <w:rPr>
                <w:noProof/>
                <w:webHidden/>
              </w:rPr>
              <w:tab/>
            </w:r>
            <w:r>
              <w:rPr>
                <w:noProof/>
                <w:webHidden/>
              </w:rPr>
              <w:fldChar w:fldCharType="begin"/>
            </w:r>
            <w:r>
              <w:rPr>
                <w:noProof/>
                <w:webHidden/>
              </w:rPr>
              <w:instrText xml:space="preserve"> PAGEREF _Toc235283777 \h </w:instrText>
            </w:r>
            <w:r>
              <w:rPr>
                <w:noProof/>
                <w:webHidden/>
              </w:rPr>
            </w:r>
            <w:r>
              <w:rPr>
                <w:noProof/>
                <w:webHidden/>
              </w:rPr>
              <w:fldChar w:fldCharType="separate"/>
            </w:r>
            <w:r w:rsidR="00E37FAE">
              <w:rPr>
                <w:noProof/>
                <w:webHidden/>
              </w:rPr>
              <w:t>5</w:t>
            </w:r>
            <w:r>
              <w:rPr>
                <w:noProof/>
                <w:webHidden/>
              </w:rPr>
              <w:fldChar w:fldCharType="end"/>
            </w:r>
          </w:hyperlink>
        </w:p>
        <w:p w14:paraId="096A8B6F" w14:textId="5B1CDF62" w:rsidR="00E10C96" w:rsidRDefault="00E10C96">
          <w:pPr>
            <w:pStyle w:val="TOC3"/>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78" w:history="1">
            <w:r w:rsidRPr="00BD5ADD">
              <w:rPr>
                <w:rStyle w:val="Hyperlink"/>
                <w:rFonts w:cs="Arial"/>
                <w:noProof/>
              </w:rPr>
              <w:t>2.4 Poverty and Socioeconomic Deprivation</w:t>
            </w:r>
            <w:r>
              <w:rPr>
                <w:noProof/>
                <w:webHidden/>
              </w:rPr>
              <w:tab/>
            </w:r>
            <w:r>
              <w:rPr>
                <w:noProof/>
                <w:webHidden/>
              </w:rPr>
              <w:fldChar w:fldCharType="begin"/>
            </w:r>
            <w:r>
              <w:rPr>
                <w:noProof/>
                <w:webHidden/>
              </w:rPr>
              <w:instrText xml:space="preserve"> PAGEREF _Toc235283778 \h </w:instrText>
            </w:r>
            <w:r>
              <w:rPr>
                <w:noProof/>
                <w:webHidden/>
              </w:rPr>
            </w:r>
            <w:r>
              <w:rPr>
                <w:noProof/>
                <w:webHidden/>
              </w:rPr>
              <w:fldChar w:fldCharType="separate"/>
            </w:r>
            <w:r w:rsidR="00E37FAE">
              <w:rPr>
                <w:noProof/>
                <w:webHidden/>
              </w:rPr>
              <w:t>5</w:t>
            </w:r>
            <w:r>
              <w:rPr>
                <w:noProof/>
                <w:webHidden/>
              </w:rPr>
              <w:fldChar w:fldCharType="end"/>
            </w:r>
          </w:hyperlink>
        </w:p>
        <w:p w14:paraId="5773DFBD" w14:textId="06637CB0" w:rsidR="00E10C96" w:rsidRDefault="00E10C96">
          <w:pPr>
            <w:pStyle w:val="TOC3"/>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79" w:history="1">
            <w:r w:rsidRPr="00BD5ADD">
              <w:rPr>
                <w:rStyle w:val="Hyperlink"/>
                <w:rFonts w:cs="Arial"/>
                <w:noProof/>
              </w:rPr>
              <w:t>2.5 Barriers to Healthcare Access</w:t>
            </w:r>
            <w:r>
              <w:rPr>
                <w:noProof/>
                <w:webHidden/>
              </w:rPr>
              <w:tab/>
            </w:r>
            <w:r>
              <w:rPr>
                <w:noProof/>
                <w:webHidden/>
              </w:rPr>
              <w:fldChar w:fldCharType="begin"/>
            </w:r>
            <w:r>
              <w:rPr>
                <w:noProof/>
                <w:webHidden/>
              </w:rPr>
              <w:instrText xml:space="preserve"> PAGEREF _Toc235283779 \h </w:instrText>
            </w:r>
            <w:r>
              <w:rPr>
                <w:noProof/>
                <w:webHidden/>
              </w:rPr>
            </w:r>
            <w:r>
              <w:rPr>
                <w:noProof/>
                <w:webHidden/>
              </w:rPr>
              <w:fldChar w:fldCharType="separate"/>
            </w:r>
            <w:r w:rsidR="00E37FAE">
              <w:rPr>
                <w:noProof/>
                <w:webHidden/>
              </w:rPr>
              <w:t>6</w:t>
            </w:r>
            <w:r>
              <w:rPr>
                <w:noProof/>
                <w:webHidden/>
              </w:rPr>
              <w:fldChar w:fldCharType="end"/>
            </w:r>
          </w:hyperlink>
        </w:p>
        <w:p w14:paraId="135B3B44" w14:textId="225981BE" w:rsidR="00E10C96" w:rsidRDefault="00E10C96">
          <w:pPr>
            <w:pStyle w:val="TOC3"/>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80" w:history="1">
            <w:r w:rsidRPr="00BD5ADD">
              <w:rPr>
                <w:rStyle w:val="Hyperlink"/>
                <w:rFonts w:cs="Arial"/>
                <w:noProof/>
              </w:rPr>
              <w:t>2.6 Poor Housing and Overcrowding</w:t>
            </w:r>
            <w:r>
              <w:rPr>
                <w:noProof/>
                <w:webHidden/>
              </w:rPr>
              <w:tab/>
            </w:r>
            <w:r>
              <w:rPr>
                <w:noProof/>
                <w:webHidden/>
              </w:rPr>
              <w:fldChar w:fldCharType="begin"/>
            </w:r>
            <w:r>
              <w:rPr>
                <w:noProof/>
                <w:webHidden/>
              </w:rPr>
              <w:instrText xml:space="preserve"> PAGEREF _Toc235283780 \h </w:instrText>
            </w:r>
            <w:r>
              <w:rPr>
                <w:noProof/>
                <w:webHidden/>
              </w:rPr>
            </w:r>
            <w:r>
              <w:rPr>
                <w:noProof/>
                <w:webHidden/>
              </w:rPr>
              <w:fldChar w:fldCharType="separate"/>
            </w:r>
            <w:r w:rsidR="00E37FAE">
              <w:rPr>
                <w:noProof/>
                <w:webHidden/>
              </w:rPr>
              <w:t>6</w:t>
            </w:r>
            <w:r>
              <w:rPr>
                <w:noProof/>
                <w:webHidden/>
              </w:rPr>
              <w:fldChar w:fldCharType="end"/>
            </w:r>
          </w:hyperlink>
        </w:p>
        <w:p w14:paraId="2DFD5EDE" w14:textId="1791C5DE"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81" w:history="1">
            <w:r w:rsidRPr="00BD5ADD">
              <w:rPr>
                <w:rStyle w:val="Hyperlink"/>
                <w:rFonts w:cs="Arial"/>
                <w:noProof/>
              </w:rPr>
              <w:t>3. National Responses to Reduce Health Inequalities</w:t>
            </w:r>
            <w:r>
              <w:rPr>
                <w:noProof/>
                <w:webHidden/>
              </w:rPr>
              <w:tab/>
            </w:r>
            <w:r>
              <w:rPr>
                <w:noProof/>
                <w:webHidden/>
              </w:rPr>
              <w:fldChar w:fldCharType="begin"/>
            </w:r>
            <w:r>
              <w:rPr>
                <w:noProof/>
                <w:webHidden/>
              </w:rPr>
              <w:instrText xml:space="preserve"> PAGEREF _Toc235283781 \h </w:instrText>
            </w:r>
            <w:r>
              <w:rPr>
                <w:noProof/>
                <w:webHidden/>
              </w:rPr>
            </w:r>
            <w:r>
              <w:rPr>
                <w:noProof/>
                <w:webHidden/>
              </w:rPr>
              <w:fldChar w:fldCharType="separate"/>
            </w:r>
            <w:r w:rsidR="00E37FAE">
              <w:rPr>
                <w:noProof/>
                <w:webHidden/>
              </w:rPr>
              <w:t>6</w:t>
            </w:r>
            <w:r>
              <w:rPr>
                <w:noProof/>
                <w:webHidden/>
              </w:rPr>
              <w:fldChar w:fldCharType="end"/>
            </w:r>
          </w:hyperlink>
        </w:p>
        <w:p w14:paraId="6C2D4935" w14:textId="35439ED5"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82" w:history="1">
            <w:r w:rsidRPr="00BD5ADD">
              <w:rPr>
                <w:rStyle w:val="Hyperlink"/>
                <w:rFonts w:cs="Arial"/>
                <w:noProof/>
              </w:rPr>
              <w:t>4. Organisation Supporting the Chosen Group: Race Equality Foundation</w:t>
            </w:r>
            <w:r>
              <w:rPr>
                <w:noProof/>
                <w:webHidden/>
              </w:rPr>
              <w:tab/>
            </w:r>
            <w:r>
              <w:rPr>
                <w:noProof/>
                <w:webHidden/>
              </w:rPr>
              <w:fldChar w:fldCharType="begin"/>
            </w:r>
            <w:r>
              <w:rPr>
                <w:noProof/>
                <w:webHidden/>
              </w:rPr>
              <w:instrText xml:space="preserve"> PAGEREF _Toc235283782 \h </w:instrText>
            </w:r>
            <w:r>
              <w:rPr>
                <w:noProof/>
                <w:webHidden/>
              </w:rPr>
            </w:r>
            <w:r>
              <w:rPr>
                <w:noProof/>
                <w:webHidden/>
              </w:rPr>
              <w:fldChar w:fldCharType="separate"/>
            </w:r>
            <w:r w:rsidR="00E37FAE">
              <w:rPr>
                <w:noProof/>
                <w:webHidden/>
              </w:rPr>
              <w:t>7</w:t>
            </w:r>
            <w:r>
              <w:rPr>
                <w:noProof/>
                <w:webHidden/>
              </w:rPr>
              <w:fldChar w:fldCharType="end"/>
            </w:r>
          </w:hyperlink>
        </w:p>
        <w:p w14:paraId="205E58F0" w14:textId="30FA57F9"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83" w:history="1">
            <w:r w:rsidRPr="00BD5ADD">
              <w:rPr>
                <w:rStyle w:val="Hyperlink"/>
                <w:rFonts w:cs="Arial"/>
                <w:noProof/>
              </w:rPr>
              <w:t>5. Conclusion</w:t>
            </w:r>
            <w:r>
              <w:rPr>
                <w:noProof/>
                <w:webHidden/>
              </w:rPr>
              <w:tab/>
            </w:r>
            <w:r>
              <w:rPr>
                <w:noProof/>
                <w:webHidden/>
              </w:rPr>
              <w:fldChar w:fldCharType="begin"/>
            </w:r>
            <w:r>
              <w:rPr>
                <w:noProof/>
                <w:webHidden/>
              </w:rPr>
              <w:instrText xml:space="preserve"> PAGEREF _Toc235283783 \h </w:instrText>
            </w:r>
            <w:r>
              <w:rPr>
                <w:noProof/>
                <w:webHidden/>
              </w:rPr>
            </w:r>
            <w:r>
              <w:rPr>
                <w:noProof/>
                <w:webHidden/>
              </w:rPr>
              <w:fldChar w:fldCharType="separate"/>
            </w:r>
            <w:r w:rsidR="00E37FAE">
              <w:rPr>
                <w:noProof/>
                <w:webHidden/>
              </w:rPr>
              <w:t>8</w:t>
            </w:r>
            <w:r>
              <w:rPr>
                <w:noProof/>
                <w:webHidden/>
              </w:rPr>
              <w:fldChar w:fldCharType="end"/>
            </w:r>
          </w:hyperlink>
        </w:p>
        <w:p w14:paraId="5E86AB34" w14:textId="3923A9D8" w:rsidR="00E10C96" w:rsidRDefault="00E10C96">
          <w:pPr>
            <w:pStyle w:val="TOC1"/>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84" w:history="1">
            <w:r w:rsidRPr="00BD5ADD">
              <w:rPr>
                <w:rStyle w:val="Hyperlink"/>
                <w:rFonts w:cs="Arial"/>
                <w:noProof/>
              </w:rPr>
              <w:t>Task 2: Tuberculosis among people living in the London Borough of Newham</w:t>
            </w:r>
            <w:r>
              <w:rPr>
                <w:noProof/>
                <w:webHidden/>
              </w:rPr>
              <w:tab/>
            </w:r>
            <w:r>
              <w:rPr>
                <w:noProof/>
                <w:webHidden/>
              </w:rPr>
              <w:fldChar w:fldCharType="begin"/>
            </w:r>
            <w:r>
              <w:rPr>
                <w:noProof/>
                <w:webHidden/>
              </w:rPr>
              <w:instrText xml:space="preserve"> PAGEREF _Toc235283784 \h </w:instrText>
            </w:r>
            <w:r>
              <w:rPr>
                <w:noProof/>
                <w:webHidden/>
              </w:rPr>
            </w:r>
            <w:r>
              <w:rPr>
                <w:noProof/>
                <w:webHidden/>
              </w:rPr>
              <w:fldChar w:fldCharType="separate"/>
            </w:r>
            <w:r w:rsidR="00E37FAE">
              <w:rPr>
                <w:noProof/>
                <w:webHidden/>
              </w:rPr>
              <w:t>9</w:t>
            </w:r>
            <w:r>
              <w:rPr>
                <w:noProof/>
                <w:webHidden/>
              </w:rPr>
              <w:fldChar w:fldCharType="end"/>
            </w:r>
          </w:hyperlink>
        </w:p>
        <w:p w14:paraId="6F62D6AF" w14:textId="68EDD5A0"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85" w:history="1">
            <w:r w:rsidRPr="00BD5ADD">
              <w:rPr>
                <w:rStyle w:val="Hyperlink"/>
                <w:rFonts w:cs="Arial"/>
                <w:noProof/>
              </w:rPr>
              <w:t>1. Introduction</w:t>
            </w:r>
            <w:r>
              <w:rPr>
                <w:noProof/>
                <w:webHidden/>
              </w:rPr>
              <w:tab/>
            </w:r>
            <w:r>
              <w:rPr>
                <w:noProof/>
                <w:webHidden/>
              </w:rPr>
              <w:fldChar w:fldCharType="begin"/>
            </w:r>
            <w:r>
              <w:rPr>
                <w:noProof/>
                <w:webHidden/>
              </w:rPr>
              <w:instrText xml:space="preserve"> PAGEREF _Toc235283785 \h </w:instrText>
            </w:r>
            <w:r>
              <w:rPr>
                <w:noProof/>
                <w:webHidden/>
              </w:rPr>
            </w:r>
            <w:r>
              <w:rPr>
                <w:noProof/>
                <w:webHidden/>
              </w:rPr>
              <w:fldChar w:fldCharType="separate"/>
            </w:r>
            <w:r w:rsidR="00E37FAE">
              <w:rPr>
                <w:noProof/>
                <w:webHidden/>
              </w:rPr>
              <w:t>9</w:t>
            </w:r>
            <w:r>
              <w:rPr>
                <w:noProof/>
                <w:webHidden/>
              </w:rPr>
              <w:fldChar w:fldCharType="end"/>
            </w:r>
          </w:hyperlink>
        </w:p>
        <w:p w14:paraId="3DD2EDE3" w14:textId="6DD3A369"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86" w:history="1">
            <w:r w:rsidRPr="00BD5ADD">
              <w:rPr>
                <w:rStyle w:val="Hyperlink"/>
                <w:rFonts w:cs="Arial"/>
                <w:noProof/>
              </w:rPr>
              <w:t>2. Public Health Measures: Prevention, Protection and Promotion</w:t>
            </w:r>
            <w:r>
              <w:rPr>
                <w:noProof/>
                <w:webHidden/>
              </w:rPr>
              <w:tab/>
            </w:r>
            <w:r>
              <w:rPr>
                <w:noProof/>
                <w:webHidden/>
              </w:rPr>
              <w:fldChar w:fldCharType="begin"/>
            </w:r>
            <w:r>
              <w:rPr>
                <w:noProof/>
                <w:webHidden/>
              </w:rPr>
              <w:instrText xml:space="preserve"> PAGEREF _Toc235283786 \h </w:instrText>
            </w:r>
            <w:r>
              <w:rPr>
                <w:noProof/>
                <w:webHidden/>
              </w:rPr>
            </w:r>
            <w:r>
              <w:rPr>
                <w:noProof/>
                <w:webHidden/>
              </w:rPr>
              <w:fldChar w:fldCharType="separate"/>
            </w:r>
            <w:r w:rsidR="00E37FAE">
              <w:rPr>
                <w:noProof/>
                <w:webHidden/>
              </w:rPr>
              <w:t>9</w:t>
            </w:r>
            <w:r>
              <w:rPr>
                <w:noProof/>
                <w:webHidden/>
              </w:rPr>
              <w:fldChar w:fldCharType="end"/>
            </w:r>
          </w:hyperlink>
        </w:p>
        <w:p w14:paraId="5FFCF01C" w14:textId="7B71668C"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87" w:history="1">
            <w:r w:rsidRPr="00BD5ADD">
              <w:rPr>
                <w:rStyle w:val="Hyperlink"/>
                <w:rFonts w:cs="Arial"/>
                <w:noProof/>
              </w:rPr>
              <w:t>3. Determinants and Risk Factors</w:t>
            </w:r>
            <w:r>
              <w:rPr>
                <w:noProof/>
                <w:webHidden/>
              </w:rPr>
              <w:tab/>
            </w:r>
            <w:r>
              <w:rPr>
                <w:noProof/>
                <w:webHidden/>
              </w:rPr>
              <w:fldChar w:fldCharType="begin"/>
            </w:r>
            <w:r>
              <w:rPr>
                <w:noProof/>
                <w:webHidden/>
              </w:rPr>
              <w:instrText xml:space="preserve"> PAGEREF _Toc235283787 \h </w:instrText>
            </w:r>
            <w:r>
              <w:rPr>
                <w:noProof/>
                <w:webHidden/>
              </w:rPr>
            </w:r>
            <w:r>
              <w:rPr>
                <w:noProof/>
                <w:webHidden/>
              </w:rPr>
              <w:fldChar w:fldCharType="separate"/>
            </w:r>
            <w:r w:rsidR="00E37FAE">
              <w:rPr>
                <w:noProof/>
                <w:webHidden/>
              </w:rPr>
              <w:t>10</w:t>
            </w:r>
            <w:r>
              <w:rPr>
                <w:noProof/>
                <w:webHidden/>
              </w:rPr>
              <w:fldChar w:fldCharType="end"/>
            </w:r>
          </w:hyperlink>
        </w:p>
        <w:p w14:paraId="0594496D" w14:textId="1E5E325D"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88" w:history="1">
            <w:r w:rsidRPr="00BD5ADD">
              <w:rPr>
                <w:rStyle w:val="Hyperlink"/>
                <w:rFonts w:cs="Arial"/>
                <w:noProof/>
              </w:rPr>
              <w:t>4. Health Needs Assessment and Epidemiological Studies</w:t>
            </w:r>
            <w:r>
              <w:rPr>
                <w:noProof/>
                <w:webHidden/>
              </w:rPr>
              <w:tab/>
            </w:r>
            <w:r>
              <w:rPr>
                <w:noProof/>
                <w:webHidden/>
              </w:rPr>
              <w:fldChar w:fldCharType="begin"/>
            </w:r>
            <w:r>
              <w:rPr>
                <w:noProof/>
                <w:webHidden/>
              </w:rPr>
              <w:instrText xml:space="preserve"> PAGEREF _Toc235283788 \h </w:instrText>
            </w:r>
            <w:r>
              <w:rPr>
                <w:noProof/>
                <w:webHidden/>
              </w:rPr>
            </w:r>
            <w:r>
              <w:rPr>
                <w:noProof/>
                <w:webHidden/>
              </w:rPr>
              <w:fldChar w:fldCharType="separate"/>
            </w:r>
            <w:r w:rsidR="00E37FAE">
              <w:rPr>
                <w:noProof/>
                <w:webHidden/>
              </w:rPr>
              <w:t>10</w:t>
            </w:r>
            <w:r>
              <w:rPr>
                <w:noProof/>
                <w:webHidden/>
              </w:rPr>
              <w:fldChar w:fldCharType="end"/>
            </w:r>
          </w:hyperlink>
        </w:p>
        <w:p w14:paraId="24D1999D" w14:textId="3E4E849C"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89" w:history="1">
            <w:r w:rsidRPr="00BD5ADD">
              <w:rPr>
                <w:rStyle w:val="Hyperlink"/>
                <w:rFonts w:cs="Arial"/>
                <w:noProof/>
              </w:rPr>
              <w:t>5. Surveillance and Monitoring Systems</w:t>
            </w:r>
            <w:r>
              <w:rPr>
                <w:noProof/>
                <w:webHidden/>
              </w:rPr>
              <w:tab/>
            </w:r>
            <w:r>
              <w:rPr>
                <w:noProof/>
                <w:webHidden/>
              </w:rPr>
              <w:fldChar w:fldCharType="begin"/>
            </w:r>
            <w:r>
              <w:rPr>
                <w:noProof/>
                <w:webHidden/>
              </w:rPr>
              <w:instrText xml:space="preserve"> PAGEREF _Toc235283789 \h </w:instrText>
            </w:r>
            <w:r>
              <w:rPr>
                <w:noProof/>
                <w:webHidden/>
              </w:rPr>
            </w:r>
            <w:r>
              <w:rPr>
                <w:noProof/>
                <w:webHidden/>
              </w:rPr>
              <w:fldChar w:fldCharType="separate"/>
            </w:r>
            <w:r w:rsidR="00E37FAE">
              <w:rPr>
                <w:noProof/>
                <w:webHidden/>
              </w:rPr>
              <w:t>11</w:t>
            </w:r>
            <w:r>
              <w:rPr>
                <w:noProof/>
                <w:webHidden/>
              </w:rPr>
              <w:fldChar w:fldCharType="end"/>
            </w:r>
          </w:hyperlink>
        </w:p>
        <w:p w14:paraId="17FEECA9" w14:textId="44AA4853"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90" w:history="1">
            <w:r w:rsidRPr="00BD5ADD">
              <w:rPr>
                <w:rStyle w:val="Hyperlink"/>
                <w:rFonts w:cs="Arial"/>
                <w:noProof/>
              </w:rPr>
              <w:t>6. Public Health Impact</w:t>
            </w:r>
            <w:r>
              <w:rPr>
                <w:noProof/>
                <w:webHidden/>
              </w:rPr>
              <w:tab/>
            </w:r>
            <w:r>
              <w:rPr>
                <w:noProof/>
                <w:webHidden/>
              </w:rPr>
              <w:fldChar w:fldCharType="begin"/>
            </w:r>
            <w:r>
              <w:rPr>
                <w:noProof/>
                <w:webHidden/>
              </w:rPr>
              <w:instrText xml:space="preserve"> PAGEREF _Toc235283790 \h </w:instrText>
            </w:r>
            <w:r>
              <w:rPr>
                <w:noProof/>
                <w:webHidden/>
              </w:rPr>
            </w:r>
            <w:r>
              <w:rPr>
                <w:noProof/>
                <w:webHidden/>
              </w:rPr>
              <w:fldChar w:fldCharType="separate"/>
            </w:r>
            <w:r w:rsidR="00E37FAE">
              <w:rPr>
                <w:noProof/>
                <w:webHidden/>
              </w:rPr>
              <w:t>12</w:t>
            </w:r>
            <w:r>
              <w:rPr>
                <w:noProof/>
                <w:webHidden/>
              </w:rPr>
              <w:fldChar w:fldCharType="end"/>
            </w:r>
          </w:hyperlink>
        </w:p>
        <w:p w14:paraId="29C9D3F5" w14:textId="68E4F289"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91" w:history="1">
            <w:r w:rsidRPr="00BD5ADD">
              <w:rPr>
                <w:rStyle w:val="Hyperlink"/>
                <w:rFonts w:cs="Arial"/>
                <w:noProof/>
              </w:rPr>
              <w:t>7. Proposed Health Intervention Programme</w:t>
            </w:r>
            <w:r>
              <w:rPr>
                <w:noProof/>
                <w:webHidden/>
              </w:rPr>
              <w:tab/>
            </w:r>
            <w:r>
              <w:rPr>
                <w:noProof/>
                <w:webHidden/>
              </w:rPr>
              <w:fldChar w:fldCharType="begin"/>
            </w:r>
            <w:r>
              <w:rPr>
                <w:noProof/>
                <w:webHidden/>
              </w:rPr>
              <w:instrText xml:space="preserve"> PAGEREF _Toc235283791 \h </w:instrText>
            </w:r>
            <w:r>
              <w:rPr>
                <w:noProof/>
                <w:webHidden/>
              </w:rPr>
            </w:r>
            <w:r>
              <w:rPr>
                <w:noProof/>
                <w:webHidden/>
              </w:rPr>
              <w:fldChar w:fldCharType="separate"/>
            </w:r>
            <w:r w:rsidR="00E37FAE">
              <w:rPr>
                <w:noProof/>
                <w:webHidden/>
              </w:rPr>
              <w:t>13</w:t>
            </w:r>
            <w:r>
              <w:rPr>
                <w:noProof/>
                <w:webHidden/>
              </w:rPr>
              <w:fldChar w:fldCharType="end"/>
            </w:r>
          </w:hyperlink>
        </w:p>
        <w:p w14:paraId="3ED51933" w14:textId="359B2452"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92" w:history="1">
            <w:r w:rsidRPr="00BD5ADD">
              <w:rPr>
                <w:rStyle w:val="Hyperlink"/>
                <w:rFonts w:cs="Arial"/>
                <w:noProof/>
              </w:rPr>
              <w:t>8. Strengths and Weaknesses of the Epidemiological Approach</w:t>
            </w:r>
            <w:r>
              <w:rPr>
                <w:noProof/>
                <w:webHidden/>
              </w:rPr>
              <w:tab/>
            </w:r>
            <w:r>
              <w:rPr>
                <w:noProof/>
                <w:webHidden/>
              </w:rPr>
              <w:fldChar w:fldCharType="begin"/>
            </w:r>
            <w:r>
              <w:rPr>
                <w:noProof/>
                <w:webHidden/>
              </w:rPr>
              <w:instrText xml:space="preserve"> PAGEREF _Toc235283792 \h </w:instrText>
            </w:r>
            <w:r>
              <w:rPr>
                <w:noProof/>
                <w:webHidden/>
              </w:rPr>
            </w:r>
            <w:r>
              <w:rPr>
                <w:noProof/>
                <w:webHidden/>
              </w:rPr>
              <w:fldChar w:fldCharType="separate"/>
            </w:r>
            <w:r w:rsidR="00E37FAE">
              <w:rPr>
                <w:noProof/>
                <w:webHidden/>
              </w:rPr>
              <w:t>13</w:t>
            </w:r>
            <w:r>
              <w:rPr>
                <w:noProof/>
                <w:webHidden/>
              </w:rPr>
              <w:fldChar w:fldCharType="end"/>
            </w:r>
          </w:hyperlink>
        </w:p>
        <w:p w14:paraId="1034800A" w14:textId="34BA9B5E" w:rsidR="00E10C96" w:rsidRDefault="00E10C96">
          <w:pPr>
            <w:pStyle w:val="TOC2"/>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93" w:history="1">
            <w:r w:rsidRPr="00BD5ADD">
              <w:rPr>
                <w:rStyle w:val="Hyperlink"/>
                <w:rFonts w:cs="Arial"/>
                <w:noProof/>
              </w:rPr>
              <w:t>9. Conclusion</w:t>
            </w:r>
            <w:r>
              <w:rPr>
                <w:noProof/>
                <w:webHidden/>
              </w:rPr>
              <w:tab/>
            </w:r>
            <w:r>
              <w:rPr>
                <w:noProof/>
                <w:webHidden/>
              </w:rPr>
              <w:fldChar w:fldCharType="begin"/>
            </w:r>
            <w:r>
              <w:rPr>
                <w:noProof/>
                <w:webHidden/>
              </w:rPr>
              <w:instrText xml:space="preserve"> PAGEREF _Toc235283793 \h </w:instrText>
            </w:r>
            <w:r>
              <w:rPr>
                <w:noProof/>
                <w:webHidden/>
              </w:rPr>
            </w:r>
            <w:r>
              <w:rPr>
                <w:noProof/>
                <w:webHidden/>
              </w:rPr>
              <w:fldChar w:fldCharType="separate"/>
            </w:r>
            <w:r w:rsidR="00E37FAE">
              <w:rPr>
                <w:noProof/>
                <w:webHidden/>
              </w:rPr>
              <w:t>14</w:t>
            </w:r>
            <w:r>
              <w:rPr>
                <w:noProof/>
                <w:webHidden/>
              </w:rPr>
              <w:fldChar w:fldCharType="end"/>
            </w:r>
          </w:hyperlink>
        </w:p>
        <w:p w14:paraId="4920B030" w14:textId="67F393BD" w:rsidR="00E10C96" w:rsidRDefault="00E10C96">
          <w:pPr>
            <w:pStyle w:val="TOC1"/>
            <w:tabs>
              <w:tab w:val="right" w:leader="dot" w:pos="9736"/>
            </w:tabs>
            <w:rPr>
              <w:rFonts w:asciiTheme="minorHAnsi" w:eastAsiaTheme="minorEastAsia" w:hAnsiTheme="minorHAnsi" w:cstheme="minorBidi"/>
              <w:noProof/>
              <w:kern w:val="2"/>
              <w:sz w:val="24"/>
              <w:lang w:val="en-IN" w:eastAsia="zh-CN"/>
              <w14:ligatures w14:val="standardContextual"/>
            </w:rPr>
          </w:pPr>
          <w:hyperlink w:anchor="_Toc235283794" w:history="1">
            <w:r w:rsidRPr="00BD5ADD">
              <w:rPr>
                <w:rStyle w:val="Hyperlink"/>
                <w:rFonts w:cs="Arial"/>
                <w:noProof/>
              </w:rPr>
              <w:t>10. References</w:t>
            </w:r>
            <w:r>
              <w:rPr>
                <w:noProof/>
                <w:webHidden/>
              </w:rPr>
              <w:tab/>
            </w:r>
            <w:r>
              <w:rPr>
                <w:noProof/>
                <w:webHidden/>
              </w:rPr>
              <w:fldChar w:fldCharType="begin"/>
            </w:r>
            <w:r>
              <w:rPr>
                <w:noProof/>
                <w:webHidden/>
              </w:rPr>
              <w:instrText xml:space="preserve"> PAGEREF _Toc235283794 \h </w:instrText>
            </w:r>
            <w:r>
              <w:rPr>
                <w:noProof/>
                <w:webHidden/>
              </w:rPr>
            </w:r>
            <w:r>
              <w:rPr>
                <w:noProof/>
                <w:webHidden/>
              </w:rPr>
              <w:fldChar w:fldCharType="separate"/>
            </w:r>
            <w:r w:rsidR="00E37FAE">
              <w:rPr>
                <w:noProof/>
                <w:webHidden/>
              </w:rPr>
              <w:t>15</w:t>
            </w:r>
            <w:r>
              <w:rPr>
                <w:noProof/>
                <w:webHidden/>
              </w:rPr>
              <w:fldChar w:fldCharType="end"/>
            </w:r>
          </w:hyperlink>
        </w:p>
        <w:p w14:paraId="7F25D7F8" w14:textId="0613EFE4" w:rsidR="00F80A9B" w:rsidRPr="00CE0E59" w:rsidRDefault="00F80A9B" w:rsidP="004F7A09">
          <w:pPr>
            <w:rPr>
              <w:rFonts w:cs="Arial"/>
              <w:szCs w:val="22"/>
            </w:rPr>
          </w:pPr>
          <w:r w:rsidRPr="00CE0E59">
            <w:rPr>
              <w:rFonts w:cs="Arial"/>
              <w:b/>
              <w:bCs/>
              <w:szCs w:val="22"/>
            </w:rPr>
            <w:fldChar w:fldCharType="end"/>
          </w:r>
        </w:p>
      </w:sdtContent>
    </w:sdt>
    <w:p w14:paraId="0808601E" w14:textId="77777777" w:rsidR="00F80A9B" w:rsidRPr="00CE0E59" w:rsidRDefault="00F80A9B" w:rsidP="004F7A09">
      <w:pPr>
        <w:rPr>
          <w:rFonts w:eastAsia="Arial" w:cs="Arial"/>
          <w:b/>
          <w:bCs/>
          <w:color w:val="000000"/>
          <w:szCs w:val="22"/>
        </w:rPr>
      </w:pPr>
      <w:r w:rsidRPr="00CE0E59">
        <w:rPr>
          <w:rFonts w:eastAsia="Arial" w:cs="Arial"/>
          <w:b/>
          <w:bCs/>
          <w:color w:val="000000"/>
          <w:szCs w:val="22"/>
        </w:rPr>
        <w:br w:type="page"/>
      </w:r>
    </w:p>
    <w:p w14:paraId="034D7396" w14:textId="1868D036" w:rsidR="000D1EE6" w:rsidRPr="00CE0E59" w:rsidRDefault="00000000" w:rsidP="004F7A09">
      <w:pPr>
        <w:pStyle w:val="Heading1"/>
        <w:rPr>
          <w:rFonts w:cs="Arial"/>
          <w:b w:val="0"/>
          <w:szCs w:val="22"/>
        </w:rPr>
      </w:pPr>
      <w:bookmarkStart w:id="2" w:name="_Toc235283772"/>
      <w:r w:rsidRPr="00CE0E59">
        <w:rPr>
          <w:rFonts w:cs="Arial"/>
          <w:szCs w:val="22"/>
        </w:rPr>
        <w:lastRenderedPageBreak/>
        <w:t>Task 1: Ethnicity and Health Inequalities in the UK</w:t>
      </w:r>
      <w:bookmarkEnd w:id="2"/>
    </w:p>
    <w:p w14:paraId="4D57E216" w14:textId="77777777" w:rsidR="000D1EE6" w:rsidRPr="00CE0E59" w:rsidRDefault="00000000" w:rsidP="004F7A09">
      <w:pPr>
        <w:pStyle w:val="Heading2"/>
        <w:rPr>
          <w:rFonts w:cs="Arial"/>
          <w:b w:val="0"/>
          <w:szCs w:val="22"/>
        </w:rPr>
      </w:pPr>
      <w:bookmarkStart w:id="3" w:name="_vcmb9hj0kv2" w:colFirst="0" w:colLast="0"/>
      <w:bookmarkStart w:id="4" w:name="_Toc235283773"/>
      <w:bookmarkEnd w:id="3"/>
      <w:r w:rsidRPr="00CE0E59">
        <w:rPr>
          <w:rFonts w:cs="Arial"/>
          <w:szCs w:val="22"/>
        </w:rPr>
        <w:t>1. Introduction</w:t>
      </w:r>
      <w:bookmarkEnd w:id="4"/>
    </w:p>
    <w:p w14:paraId="54F6A799" w14:textId="74E32A0F" w:rsidR="00902151" w:rsidRPr="00C5430E" w:rsidRDefault="00000000" w:rsidP="004F7A09">
      <w:pPr>
        <w:spacing w:before="240" w:after="240"/>
        <w:rPr>
          <w:rFonts w:eastAsia="Arial" w:cs="Arial"/>
          <w:color w:val="000000" w:themeColor="text1"/>
          <w:szCs w:val="22"/>
        </w:rPr>
      </w:pPr>
      <w:r w:rsidRPr="00CE0E59">
        <w:rPr>
          <w:rFonts w:eastAsia="Arial" w:cs="Arial"/>
          <w:szCs w:val="22"/>
        </w:rPr>
        <w:t xml:space="preserve">Ethnicity is one of the major social determinants of health that can affect people's health outcomes in terms of socio-economic status, culture, access to health services and experiences of discrimination (Chelak and Chakole, 2023). </w:t>
      </w:r>
      <w:r w:rsidR="000E2422" w:rsidRPr="00CE0E59">
        <w:rPr>
          <w:rFonts w:eastAsia="Arial" w:cs="Arial"/>
          <w:szCs w:val="22"/>
          <w:lang w:val="en-IN"/>
        </w:rPr>
        <w:t xml:space="preserve">According to the Office for National Statistics </w:t>
      </w:r>
      <w:r w:rsidR="00775BA9">
        <w:rPr>
          <w:rFonts w:eastAsia="Arial" w:cs="Arial"/>
          <w:szCs w:val="22"/>
          <w:lang w:val="en-IN"/>
        </w:rPr>
        <w:t xml:space="preserve">in </w:t>
      </w:r>
      <w:r w:rsidR="000E2422" w:rsidRPr="00CE0E59">
        <w:rPr>
          <w:rFonts w:eastAsia="Arial" w:cs="Arial"/>
          <w:szCs w:val="22"/>
          <w:lang w:val="en-IN"/>
        </w:rPr>
        <w:t xml:space="preserve">2022, 81.7% of the population in England and Wales </w:t>
      </w:r>
      <w:r w:rsidR="000E2422" w:rsidRPr="00C5430E">
        <w:rPr>
          <w:rFonts w:eastAsia="Arial" w:cs="Arial"/>
          <w:color w:val="000000" w:themeColor="text1"/>
          <w:szCs w:val="22"/>
          <w:lang w:val="en-IN"/>
        </w:rPr>
        <w:t>identified as White in the 2021 Census, indicating that approximately 18.3% belonged to ethnic minority groups, making the reduction of ethnic health inequalities an important public health priority</w:t>
      </w:r>
      <w:r w:rsidR="00015184" w:rsidRPr="00C5430E">
        <w:rPr>
          <w:rFonts w:eastAsia="Arial" w:cs="Arial"/>
          <w:color w:val="000000" w:themeColor="text1"/>
          <w:szCs w:val="22"/>
          <w:lang w:val="en-IN"/>
        </w:rPr>
        <w:t xml:space="preserve"> (Garlick, 2022)</w:t>
      </w:r>
      <w:r w:rsidR="000E2422" w:rsidRPr="00C5430E">
        <w:rPr>
          <w:rFonts w:eastAsia="Arial" w:cs="Arial"/>
          <w:color w:val="000000" w:themeColor="text1"/>
          <w:szCs w:val="22"/>
          <w:lang w:val="en-IN"/>
        </w:rPr>
        <w:t xml:space="preserve">. </w:t>
      </w:r>
      <w:r w:rsidRPr="00C5430E">
        <w:rPr>
          <w:rFonts w:eastAsia="Arial" w:cs="Arial"/>
          <w:color w:val="000000" w:themeColor="text1"/>
          <w:szCs w:val="22"/>
        </w:rPr>
        <w:t xml:space="preserve">Ethnic minority groups are defined in the UK as people who have ethnic backgrounds other than that of the White British majority. Health inequalities are preventable, unfair differences in health status between population groups (Williams </w:t>
      </w:r>
      <w:r w:rsidR="00DC6897" w:rsidRPr="00C5430E">
        <w:rPr>
          <w:rFonts w:eastAsia="Arial" w:cs="Arial"/>
          <w:i/>
          <w:iCs/>
          <w:color w:val="000000" w:themeColor="text1"/>
          <w:szCs w:val="22"/>
        </w:rPr>
        <w:t>et al.</w:t>
      </w:r>
      <w:r w:rsidRPr="00C5430E">
        <w:rPr>
          <w:rFonts w:eastAsia="Arial" w:cs="Arial"/>
          <w:color w:val="000000" w:themeColor="text1"/>
          <w:szCs w:val="22"/>
        </w:rPr>
        <w:t xml:space="preserve">, 2022). </w:t>
      </w:r>
    </w:p>
    <w:p w14:paraId="3F89405C" w14:textId="7E4103CC" w:rsidR="000D1EE6" w:rsidRPr="00C5430E" w:rsidRDefault="00000000" w:rsidP="004F7A09">
      <w:pPr>
        <w:spacing w:before="240" w:after="240"/>
        <w:rPr>
          <w:rFonts w:eastAsia="Arial" w:cs="Arial"/>
          <w:color w:val="000000" w:themeColor="text1"/>
          <w:szCs w:val="22"/>
        </w:rPr>
      </w:pPr>
      <w:r w:rsidRPr="00C5430E">
        <w:rPr>
          <w:rFonts w:eastAsia="Arial" w:cs="Arial"/>
          <w:color w:val="000000" w:themeColor="text1"/>
          <w:szCs w:val="22"/>
        </w:rPr>
        <w:t xml:space="preserve">Ethnic minority groups are at a higher risk of having poorer health status than the majority population because of structural and social inequalities. </w:t>
      </w:r>
      <w:r w:rsidR="00707539" w:rsidRPr="00C5430E">
        <w:rPr>
          <w:rFonts w:eastAsia="Arial" w:cs="Arial"/>
          <w:color w:val="000000" w:themeColor="text1"/>
        </w:rPr>
        <w:t xml:space="preserve">For this analysis, three diseases are chosen, Type 2 diabetes, cardiovascular disease, and maternal mortality and adverse pregnancy outcomes, which all show major ethnic health inequalities in the UK. </w:t>
      </w:r>
      <w:r w:rsidRPr="00C5430E">
        <w:rPr>
          <w:rFonts w:eastAsia="Arial" w:cs="Arial"/>
          <w:color w:val="000000" w:themeColor="text1"/>
          <w:szCs w:val="22"/>
        </w:rPr>
        <w:t>This report examines the key health inequalities that exist within ethnic minority groups in the UK and the national responses and support for organisations to tackle health inequalities.</w:t>
      </w:r>
    </w:p>
    <w:p w14:paraId="0F76D627" w14:textId="77777777" w:rsidR="000D1EE6" w:rsidRPr="00C5430E" w:rsidRDefault="00000000" w:rsidP="004F7A09">
      <w:pPr>
        <w:pStyle w:val="Heading2"/>
        <w:rPr>
          <w:rFonts w:cs="Arial"/>
          <w:szCs w:val="22"/>
        </w:rPr>
      </w:pPr>
      <w:bookmarkStart w:id="5" w:name="_1ecv0hj8q0s2" w:colFirst="0" w:colLast="0"/>
      <w:bookmarkStart w:id="6" w:name="_Toc235283774"/>
      <w:bookmarkEnd w:id="5"/>
      <w:r w:rsidRPr="00C5430E">
        <w:rPr>
          <w:rFonts w:cs="Arial"/>
          <w:szCs w:val="22"/>
        </w:rPr>
        <w:t>2. Contextual Background and Underlying Factors</w:t>
      </w:r>
      <w:bookmarkEnd w:id="6"/>
      <w:r w:rsidRPr="00C5430E">
        <w:rPr>
          <w:rFonts w:cs="Arial"/>
          <w:szCs w:val="22"/>
        </w:rPr>
        <w:t xml:space="preserve"> </w:t>
      </w:r>
    </w:p>
    <w:p w14:paraId="5D0249A4" w14:textId="7EBE8709" w:rsidR="000D1EE6" w:rsidRPr="00C5430E" w:rsidRDefault="00E547C0" w:rsidP="004F7A09">
      <w:pPr>
        <w:pStyle w:val="Heading3"/>
        <w:keepNext w:val="0"/>
        <w:keepLines w:val="0"/>
        <w:spacing w:before="280" w:after="80"/>
        <w:rPr>
          <w:rFonts w:eastAsia="Arial" w:cs="Arial"/>
          <w:b w:val="0"/>
          <w:bCs/>
          <w:szCs w:val="22"/>
        </w:rPr>
      </w:pPr>
      <w:bookmarkStart w:id="7" w:name="_ymj5vng8k1b" w:colFirst="0" w:colLast="0"/>
      <w:bookmarkStart w:id="8" w:name="_Toc235283775"/>
      <w:bookmarkEnd w:id="7"/>
      <w:r w:rsidRPr="00C5430E">
        <w:rPr>
          <w:rFonts w:eastAsia="Arial" w:cs="Arial"/>
          <w:bCs/>
          <w:szCs w:val="22"/>
        </w:rPr>
        <w:t>2.1 Higher Rates of Type 2 Diabetes</w:t>
      </w:r>
      <w:bookmarkEnd w:id="8"/>
      <w:r w:rsidRPr="00C5430E">
        <w:rPr>
          <w:rFonts w:eastAsia="Arial" w:cs="Arial"/>
          <w:bCs/>
          <w:szCs w:val="22"/>
        </w:rPr>
        <w:t xml:space="preserve"> </w:t>
      </w:r>
    </w:p>
    <w:p w14:paraId="7913D538" w14:textId="1F55E49E" w:rsidR="00861A7A" w:rsidRPr="00C5430E" w:rsidRDefault="00000000" w:rsidP="004F7A09">
      <w:pPr>
        <w:spacing w:before="240" w:after="240"/>
        <w:rPr>
          <w:rFonts w:eastAsia="Arial" w:cs="Arial"/>
          <w:color w:val="000000" w:themeColor="text1"/>
          <w:szCs w:val="22"/>
        </w:rPr>
      </w:pPr>
      <w:r w:rsidRPr="00C5430E">
        <w:rPr>
          <w:rFonts w:eastAsia="Arial" w:cs="Arial"/>
          <w:color w:val="000000" w:themeColor="text1"/>
          <w:szCs w:val="22"/>
        </w:rPr>
        <w:t>Ethnic minority groups in the UK are more affected by type 2 diabetes than other ethnic groups. In terms of prevalence, South Asian and Black ethnic groups have 3</w:t>
      </w:r>
      <w:r w:rsidR="0001640A" w:rsidRPr="00C5430E">
        <w:rPr>
          <w:rFonts w:eastAsia="Arial" w:cs="Arial"/>
          <w:color w:val="000000" w:themeColor="text1"/>
          <w:szCs w:val="22"/>
        </w:rPr>
        <w:t>-</w:t>
      </w:r>
      <w:r w:rsidRPr="00C5430E">
        <w:rPr>
          <w:rFonts w:eastAsia="Arial" w:cs="Arial"/>
          <w:color w:val="000000" w:themeColor="text1"/>
          <w:szCs w:val="22"/>
        </w:rPr>
        <w:t>6 times the prevalence of White ethnic groups, and those at risk have 2</w:t>
      </w:r>
      <w:r w:rsidR="00861A7A" w:rsidRPr="00C5430E">
        <w:rPr>
          <w:rFonts w:eastAsia="Arial" w:cs="Arial"/>
          <w:color w:val="000000" w:themeColor="text1"/>
          <w:szCs w:val="22"/>
        </w:rPr>
        <w:t>-</w:t>
      </w:r>
      <w:r w:rsidRPr="00C5430E">
        <w:rPr>
          <w:rFonts w:eastAsia="Arial" w:cs="Arial"/>
          <w:color w:val="000000" w:themeColor="text1"/>
          <w:szCs w:val="22"/>
        </w:rPr>
        <w:t xml:space="preserve">3 times the risk of developing the disease compared to White ethnic groups (Gov.uk, 2021). </w:t>
      </w:r>
    </w:p>
    <w:p w14:paraId="3BD0109D" w14:textId="04040E22" w:rsidR="000D1EE6" w:rsidRPr="00C5430E" w:rsidRDefault="00861A7A" w:rsidP="004F7A09">
      <w:pPr>
        <w:spacing w:before="240" w:after="240"/>
        <w:rPr>
          <w:rFonts w:eastAsia="Arial" w:cs="Arial"/>
          <w:color w:val="000000" w:themeColor="text1"/>
          <w:szCs w:val="22"/>
        </w:rPr>
      </w:pPr>
      <w:r w:rsidRPr="00C5430E">
        <w:rPr>
          <w:rFonts w:eastAsia="Arial" w:cs="Arial"/>
          <w:color w:val="000000" w:themeColor="text1"/>
          <w:szCs w:val="22"/>
        </w:rPr>
        <w:t xml:space="preserve">However, Diabetes also occurs at a younger age in South Asians. These differences are associated with socioeconomic disadvantage, poor nutrition, lack of physical activity, genetic vulnerability and access to preventive health care. Implementing culturally adapted lifestyle programmes, early </w:t>
      </w:r>
      <w:r w:rsidRPr="00C5430E">
        <w:rPr>
          <w:rFonts w:eastAsia="Arial" w:cs="Arial"/>
          <w:color w:val="000000" w:themeColor="text1"/>
          <w:szCs w:val="22"/>
        </w:rPr>
        <w:lastRenderedPageBreak/>
        <w:t xml:space="preserve">screening, and the NHS Diabetes Prevention Programme can help to </w:t>
      </w:r>
      <w:r w:rsidR="002D5FC8" w:rsidRPr="00C5430E">
        <w:rPr>
          <w:rFonts w:eastAsia="Arial" w:cs="Arial"/>
          <w:color w:val="000000" w:themeColor="text1"/>
          <w:szCs w:val="22"/>
        </w:rPr>
        <w:t>challenge</w:t>
      </w:r>
      <w:r w:rsidRPr="00C5430E">
        <w:rPr>
          <w:rFonts w:eastAsia="Arial" w:cs="Arial"/>
          <w:color w:val="000000" w:themeColor="text1"/>
          <w:szCs w:val="22"/>
        </w:rPr>
        <w:t xml:space="preserve"> ethnic inequalities and improve early diagnosis.</w:t>
      </w:r>
    </w:p>
    <w:p w14:paraId="381A306D" w14:textId="78C830F0" w:rsidR="000D1EE6" w:rsidRPr="00C5430E" w:rsidRDefault="00E547C0" w:rsidP="004F7A09">
      <w:pPr>
        <w:pStyle w:val="Heading3"/>
        <w:rPr>
          <w:rFonts w:cs="Arial"/>
          <w:b w:val="0"/>
          <w:szCs w:val="22"/>
        </w:rPr>
      </w:pPr>
      <w:bookmarkStart w:id="9" w:name="_Toc235283776"/>
      <w:r w:rsidRPr="00C5430E">
        <w:rPr>
          <w:rFonts w:cs="Arial"/>
          <w:szCs w:val="22"/>
        </w:rPr>
        <w:t>2.2 Cardiovascular Disease</w:t>
      </w:r>
      <w:bookmarkEnd w:id="9"/>
    </w:p>
    <w:p w14:paraId="5FC093D2" w14:textId="77777777" w:rsidR="000D1EE6" w:rsidRPr="00C5430E" w:rsidRDefault="00000000" w:rsidP="004F7A09">
      <w:pPr>
        <w:spacing w:before="240" w:after="240"/>
        <w:rPr>
          <w:rFonts w:eastAsia="Arial" w:cs="Arial"/>
          <w:color w:val="000000" w:themeColor="text1"/>
          <w:szCs w:val="22"/>
        </w:rPr>
      </w:pPr>
      <w:r w:rsidRPr="00C5430E">
        <w:rPr>
          <w:rFonts w:eastAsia="Arial" w:cs="Arial"/>
          <w:color w:val="000000" w:themeColor="text1"/>
          <w:szCs w:val="22"/>
        </w:rPr>
        <w:t>Cardiovascular disease (CVD) is a major cause of death in the UK, responsible for around 27% of deaths. South Asian groups also have a higher prevalence of ischaemic heart disease and are at increased risk of developing CVD at an earlier age compared to White groups, whereas Black groups are 1.5-2.5 times more likely to have hypertension than White groups (Gov.uk, 2022). These disparities are indicative of deprivation, diabetes, obesity, smoking and lack of preventive care. To tackle disparities, these NHS Health Checks, blood pressure screening, smoking cessation, and culturally appropriate health promotion activities are vital.</w:t>
      </w:r>
    </w:p>
    <w:p w14:paraId="79F3D167" w14:textId="32B4277D" w:rsidR="000D1EE6" w:rsidRPr="00C5430E" w:rsidRDefault="00E547C0" w:rsidP="004F7A09">
      <w:pPr>
        <w:pStyle w:val="Heading3"/>
        <w:rPr>
          <w:rFonts w:cs="Arial"/>
          <w:szCs w:val="22"/>
        </w:rPr>
      </w:pPr>
      <w:bookmarkStart w:id="10" w:name="_Toc235283777"/>
      <w:r w:rsidRPr="00C5430E">
        <w:rPr>
          <w:rFonts w:cs="Arial"/>
          <w:szCs w:val="22"/>
        </w:rPr>
        <w:t>2.3 Maternal Mortality and Pregnancy Outcomes</w:t>
      </w:r>
      <w:bookmarkEnd w:id="10"/>
      <w:r w:rsidRPr="00C5430E">
        <w:rPr>
          <w:rFonts w:cs="Arial"/>
          <w:szCs w:val="22"/>
        </w:rPr>
        <w:t xml:space="preserve"> </w:t>
      </w:r>
    </w:p>
    <w:p w14:paraId="19B54EC3" w14:textId="77777777" w:rsidR="000D1EE6" w:rsidRPr="00C5430E" w:rsidRDefault="00000000" w:rsidP="004F7A09">
      <w:pPr>
        <w:spacing w:before="240" w:after="240"/>
        <w:rPr>
          <w:rFonts w:eastAsia="Arial" w:cs="Arial"/>
          <w:color w:val="000000" w:themeColor="text1"/>
          <w:szCs w:val="22"/>
        </w:rPr>
      </w:pPr>
      <w:r w:rsidRPr="00C5430E">
        <w:rPr>
          <w:rFonts w:eastAsia="Arial" w:cs="Arial"/>
          <w:color w:val="000000" w:themeColor="text1"/>
          <w:szCs w:val="22"/>
        </w:rPr>
        <w:t>The situation of ethnic inequalities in maternal health is still a major public health issue in the UK. According to MBRRACE-UK, Black women are approximately 2.8 times more likely and Asian women 1.7 times more likely to die during pregnancy or within six weeks of giving birth compared to White women (‌Cqc.org.uk, 2022). Socio-economic disadvantage, structural racism, pre-existing health issues, delayed access to maternity services, and communication barriers are all contributing factors. NHS interventions such as culturally competent maternity care, Continuity of Carer models and focused equity initiatives are intended to enhance pregnancy outcomes and decrease avoidable maternal death.</w:t>
      </w:r>
    </w:p>
    <w:p w14:paraId="5B9B4982" w14:textId="0C646606" w:rsidR="000D1EE6" w:rsidRPr="00C5430E" w:rsidRDefault="00E547C0" w:rsidP="004F7A09">
      <w:pPr>
        <w:pStyle w:val="Heading3"/>
        <w:rPr>
          <w:rFonts w:cs="Arial"/>
          <w:b w:val="0"/>
          <w:szCs w:val="22"/>
        </w:rPr>
      </w:pPr>
      <w:bookmarkStart w:id="11" w:name="_ilquj8vaqg0k" w:colFirst="0" w:colLast="0"/>
      <w:bookmarkStart w:id="12" w:name="_Toc235283778"/>
      <w:bookmarkEnd w:id="11"/>
      <w:r w:rsidRPr="00C5430E">
        <w:rPr>
          <w:rFonts w:cs="Arial"/>
          <w:szCs w:val="22"/>
        </w:rPr>
        <w:t>2.4 Poverty and Socioeconomic Deprivation</w:t>
      </w:r>
      <w:bookmarkEnd w:id="12"/>
    </w:p>
    <w:p w14:paraId="6F5FE2AE" w14:textId="77777777" w:rsidR="000D1EE6" w:rsidRPr="00C5430E" w:rsidRDefault="00000000" w:rsidP="004F7A09">
      <w:pPr>
        <w:spacing w:before="240" w:after="240"/>
        <w:rPr>
          <w:rFonts w:eastAsia="Arial" w:cs="Arial"/>
          <w:color w:val="000000" w:themeColor="text1"/>
          <w:szCs w:val="22"/>
        </w:rPr>
      </w:pPr>
      <w:r w:rsidRPr="00C5430E">
        <w:rPr>
          <w:rFonts w:eastAsia="Arial" w:cs="Arial"/>
          <w:color w:val="000000" w:themeColor="text1"/>
          <w:szCs w:val="22"/>
        </w:rPr>
        <w:t xml:space="preserve">Ethnic inequalities in health in the UK are large and significant and are strongly linked to poverty. The ONS Census 2021 shows that the employment and income situation is not the same across ethnic groups, with some minority groups having a higher unemployment rate, lower income, and lower socioeconomic status compared to White British (Ons.gov.uk, 2023). These disparities can lead to nutritional deprivation, chronic illness, mental illness, and even decreased life expectancy. The NHS </w:t>
      </w:r>
      <w:r w:rsidRPr="00C5430E">
        <w:rPr>
          <w:rFonts w:eastAsia="Arial" w:cs="Arial"/>
          <w:color w:val="000000" w:themeColor="text1"/>
          <w:szCs w:val="22"/>
        </w:rPr>
        <w:lastRenderedPageBreak/>
        <w:t>Core20PLUS5 programme and welfare provision are two mechanisms being used by the government to address health inequalities by increasing access to preventive health care and tackling social determinants of health more broadly.</w:t>
      </w:r>
    </w:p>
    <w:p w14:paraId="4C8820FA" w14:textId="68D77F3A" w:rsidR="000D1EE6" w:rsidRPr="00C5430E" w:rsidRDefault="00E547C0" w:rsidP="004F7A09">
      <w:pPr>
        <w:pStyle w:val="Heading3"/>
        <w:rPr>
          <w:rFonts w:cs="Arial"/>
          <w:szCs w:val="22"/>
        </w:rPr>
      </w:pPr>
      <w:bookmarkStart w:id="13" w:name="_Toc235283779"/>
      <w:r w:rsidRPr="00C5430E">
        <w:rPr>
          <w:rFonts w:cs="Arial"/>
          <w:szCs w:val="22"/>
        </w:rPr>
        <w:t>2.5 Barriers to Healthcare Access</w:t>
      </w:r>
      <w:bookmarkEnd w:id="13"/>
    </w:p>
    <w:p w14:paraId="1D65E2BA" w14:textId="7D7EDCFF" w:rsidR="000D1EE6" w:rsidRPr="00C5430E" w:rsidRDefault="00000000" w:rsidP="004F7A09">
      <w:pPr>
        <w:spacing w:before="240" w:after="240"/>
        <w:rPr>
          <w:rFonts w:eastAsia="Arial" w:cs="Arial"/>
          <w:color w:val="000000" w:themeColor="text1"/>
          <w:szCs w:val="22"/>
        </w:rPr>
      </w:pPr>
      <w:r w:rsidRPr="00C5430E">
        <w:rPr>
          <w:rFonts w:eastAsia="Arial" w:cs="Arial"/>
          <w:color w:val="000000" w:themeColor="text1"/>
          <w:szCs w:val="22"/>
        </w:rPr>
        <w:t xml:space="preserve">Access to health care for ethnic minorities remains a problem. There are an estimated 1 million people in the United Kingdom (UK) who have limited or no English-speaking ability, which restricts their ability to access health services or understand health information. Because they are unable to speak English, they may have low health literacy, cultural differences, and experiences of discrimination, which can lead to delayed diagnosis and poorer health outcomes (‌Faugno </w:t>
      </w:r>
      <w:r w:rsidR="00DC6897" w:rsidRPr="00C5430E">
        <w:rPr>
          <w:rFonts w:eastAsia="Arial" w:cs="Arial"/>
          <w:i/>
          <w:iCs/>
          <w:color w:val="000000" w:themeColor="text1"/>
          <w:szCs w:val="22"/>
        </w:rPr>
        <w:t>et al.</w:t>
      </w:r>
      <w:r w:rsidRPr="00C5430E">
        <w:rPr>
          <w:rFonts w:eastAsia="Arial" w:cs="Arial"/>
          <w:color w:val="000000" w:themeColor="text1"/>
          <w:szCs w:val="22"/>
        </w:rPr>
        <w:t>, 2025). To tackle inequalities in access, NHS England has proactively implemented community translation and interpreting services, enhanced ethnicity data collection and encouraged culturally competent care.</w:t>
      </w:r>
    </w:p>
    <w:p w14:paraId="68B7AD1E" w14:textId="511B394F" w:rsidR="000D1EE6" w:rsidRPr="00C5430E" w:rsidRDefault="00E547C0" w:rsidP="004F7A09">
      <w:pPr>
        <w:pStyle w:val="Heading3"/>
        <w:rPr>
          <w:rFonts w:cs="Arial"/>
          <w:szCs w:val="22"/>
        </w:rPr>
      </w:pPr>
      <w:bookmarkStart w:id="14" w:name="_Toc235283780"/>
      <w:r w:rsidRPr="00C5430E">
        <w:rPr>
          <w:rFonts w:cs="Arial"/>
          <w:szCs w:val="22"/>
        </w:rPr>
        <w:t>2.6 Poor Housing and Overcrowding</w:t>
      </w:r>
      <w:bookmarkEnd w:id="14"/>
    </w:p>
    <w:p w14:paraId="697956E6" w14:textId="77777777" w:rsidR="000D1EE6" w:rsidRPr="00C5430E" w:rsidRDefault="00000000" w:rsidP="004F7A09">
      <w:pPr>
        <w:spacing w:before="240" w:after="240"/>
        <w:rPr>
          <w:rFonts w:eastAsia="Arial" w:cs="Arial"/>
          <w:color w:val="000000" w:themeColor="text1"/>
          <w:szCs w:val="22"/>
        </w:rPr>
      </w:pPr>
      <w:r w:rsidRPr="00C5430E">
        <w:rPr>
          <w:rFonts w:eastAsia="Arial" w:cs="Arial"/>
          <w:color w:val="000000" w:themeColor="text1"/>
          <w:szCs w:val="22"/>
        </w:rPr>
        <w:t>Living conditions differ significantly among ethnic minority groups and are a source of health inequalities. Government statistics reveal that the prevalence of overcrowding is higher among Arab (25%), Bangladeshi (18%) and Black African (16%) households than White British households (2%) (Gov.uk, 2025). Inadequate housing can lead to infectious diseases, respiratory diseases, and mental health issues. Targeted public health interventions should complement policies that focus on providing affordable housing, decreasing overcrowding and enhancing housing quality to tackle inequalities.</w:t>
      </w:r>
    </w:p>
    <w:p w14:paraId="6F07B12F" w14:textId="6B74B364" w:rsidR="000D1EE6" w:rsidRPr="00C5430E" w:rsidRDefault="00E547C0" w:rsidP="004F7A09">
      <w:pPr>
        <w:pStyle w:val="Heading2"/>
        <w:rPr>
          <w:rFonts w:cs="Arial"/>
          <w:szCs w:val="22"/>
        </w:rPr>
      </w:pPr>
      <w:bookmarkStart w:id="15" w:name="_Toc235283781"/>
      <w:r w:rsidRPr="00C5430E">
        <w:rPr>
          <w:rFonts w:cs="Arial"/>
          <w:szCs w:val="22"/>
        </w:rPr>
        <w:t>3. National Responses to Reduce Health Inequalities</w:t>
      </w:r>
      <w:bookmarkEnd w:id="15"/>
    </w:p>
    <w:p w14:paraId="15254D0A" w14:textId="77777777" w:rsidR="000D1EE6" w:rsidRPr="00C5430E" w:rsidRDefault="00000000" w:rsidP="004F7A09">
      <w:pPr>
        <w:spacing w:before="240" w:after="240"/>
        <w:rPr>
          <w:rFonts w:eastAsia="Arial" w:cs="Arial"/>
          <w:color w:val="000000" w:themeColor="text1"/>
          <w:szCs w:val="22"/>
        </w:rPr>
      </w:pPr>
      <w:r w:rsidRPr="00C5430E">
        <w:rPr>
          <w:rFonts w:eastAsia="Arial" w:cs="Arial"/>
          <w:color w:val="000000" w:themeColor="text1"/>
          <w:szCs w:val="22"/>
        </w:rPr>
        <w:t xml:space="preserve">There are a number of national schemes to tackle ethnic health inequalities in the UK. NHS Core20PLUS5 is NHS England's flagship strategy for tackling inequalities in health across the nation, focusing on the 20% of the most deprived communities (Core20) and other vulnerable groups, such as ethnic minority communities (PLUS) (‌England.nhs.uk, 2026). It prioritises five key clinical areas, </w:t>
      </w:r>
      <w:r w:rsidRPr="00C5430E">
        <w:rPr>
          <w:rFonts w:eastAsia="Arial" w:cs="Arial"/>
          <w:color w:val="000000" w:themeColor="text1"/>
          <w:szCs w:val="22"/>
        </w:rPr>
        <w:lastRenderedPageBreak/>
        <w:t>maternity, severe mental illness, early cancer diagnosis, chronic respiratory disease, and hypertension, all areas where targeted interventions can improve health outcomes.</w:t>
      </w:r>
    </w:p>
    <w:p w14:paraId="530940F0" w14:textId="77777777" w:rsidR="000D1EE6" w:rsidRPr="00C5430E" w:rsidRDefault="00000000" w:rsidP="004F7A09">
      <w:pPr>
        <w:spacing w:before="240" w:after="240"/>
        <w:jc w:val="center"/>
        <w:rPr>
          <w:rFonts w:eastAsia="Arial" w:cs="Arial"/>
          <w:color w:val="000000" w:themeColor="text1"/>
          <w:szCs w:val="22"/>
        </w:rPr>
      </w:pPr>
      <w:r w:rsidRPr="00C5430E">
        <w:rPr>
          <w:rFonts w:eastAsia="Arial" w:cs="Arial"/>
          <w:noProof/>
          <w:color w:val="000000" w:themeColor="text1"/>
          <w:szCs w:val="22"/>
        </w:rPr>
        <w:drawing>
          <wp:inline distT="114300" distB="114300" distL="114300" distR="114300" wp14:anchorId="3316D671" wp14:editId="0E2D71C3">
            <wp:extent cx="5731200" cy="3225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225800"/>
                    </a:xfrm>
                    <a:prstGeom prst="rect">
                      <a:avLst/>
                    </a:prstGeom>
                    <a:ln/>
                  </pic:spPr>
                </pic:pic>
              </a:graphicData>
            </a:graphic>
          </wp:inline>
        </w:drawing>
      </w:r>
    </w:p>
    <w:p w14:paraId="250D1BE5" w14:textId="77777777" w:rsidR="000D1EE6" w:rsidRPr="00C5430E" w:rsidRDefault="00000000" w:rsidP="004F7A09">
      <w:pPr>
        <w:spacing w:before="240" w:after="240"/>
        <w:jc w:val="center"/>
        <w:rPr>
          <w:rFonts w:eastAsia="Arial" w:cs="Arial"/>
          <w:b/>
          <w:bCs/>
          <w:color w:val="000000" w:themeColor="text1"/>
          <w:szCs w:val="22"/>
        </w:rPr>
      </w:pPr>
      <w:r w:rsidRPr="00C5430E">
        <w:rPr>
          <w:rFonts w:eastAsia="Arial" w:cs="Arial"/>
          <w:b/>
          <w:bCs/>
          <w:color w:val="000000" w:themeColor="text1"/>
          <w:szCs w:val="22"/>
        </w:rPr>
        <w:t>Figure: Core20PLUS5</w:t>
      </w:r>
      <w:r w:rsidRPr="00C5430E">
        <w:rPr>
          <w:rFonts w:eastAsia="Arial" w:cs="Arial"/>
          <w:color w:val="000000" w:themeColor="text1"/>
          <w:szCs w:val="22"/>
        </w:rPr>
        <w:t xml:space="preserve"> </w:t>
      </w:r>
    </w:p>
    <w:p w14:paraId="02F3D877" w14:textId="77777777" w:rsidR="000D1EE6" w:rsidRPr="00C5430E" w:rsidRDefault="00000000" w:rsidP="004F7A09">
      <w:pPr>
        <w:spacing w:before="240" w:after="240"/>
        <w:jc w:val="center"/>
        <w:rPr>
          <w:rFonts w:eastAsia="Arial" w:cs="Arial"/>
          <w:color w:val="000000" w:themeColor="text1"/>
          <w:szCs w:val="22"/>
        </w:rPr>
      </w:pPr>
      <w:r w:rsidRPr="00C5430E">
        <w:rPr>
          <w:rFonts w:eastAsia="Arial" w:cs="Arial"/>
          <w:color w:val="000000" w:themeColor="text1"/>
          <w:szCs w:val="22"/>
        </w:rPr>
        <w:t>(Source: England.nhs.uk, 2026)</w:t>
      </w:r>
    </w:p>
    <w:p w14:paraId="5FC41084" w14:textId="77777777" w:rsidR="000D1EE6" w:rsidRPr="00C5430E" w:rsidRDefault="00000000" w:rsidP="004F7A09">
      <w:pPr>
        <w:spacing w:before="240" w:after="240"/>
        <w:rPr>
          <w:rFonts w:eastAsia="Arial" w:cs="Arial"/>
          <w:color w:val="000000" w:themeColor="text1"/>
          <w:szCs w:val="22"/>
        </w:rPr>
      </w:pPr>
      <w:r w:rsidRPr="00C5430E">
        <w:rPr>
          <w:rFonts w:eastAsia="Arial" w:cs="Arial"/>
          <w:color w:val="000000" w:themeColor="text1"/>
          <w:szCs w:val="22"/>
        </w:rPr>
        <w:t xml:space="preserve">Another project is the NHS Race and Health Observatory, which was set up in 2021 to explore ethnic health inequalities. The Observatory has been commissioned to research, to collate evidence and to give policy recommendations to NHS England, which helps inform national healthcare policy in relation to anti-racism practice (Nhsrho.org, 2021). </w:t>
      </w:r>
    </w:p>
    <w:p w14:paraId="7FBA7623" w14:textId="2A84C351" w:rsidR="000D1EE6" w:rsidRPr="00C5430E" w:rsidRDefault="00E547C0" w:rsidP="004F7A09">
      <w:pPr>
        <w:pStyle w:val="Heading2"/>
        <w:rPr>
          <w:rFonts w:cs="Arial"/>
          <w:szCs w:val="22"/>
        </w:rPr>
      </w:pPr>
      <w:bookmarkStart w:id="16" w:name="_Toc235283782"/>
      <w:r w:rsidRPr="00C5430E">
        <w:rPr>
          <w:rFonts w:cs="Arial"/>
          <w:szCs w:val="22"/>
        </w:rPr>
        <w:t>4. Organisation Supporting the Chosen Group: Race Equality Foundation</w:t>
      </w:r>
      <w:bookmarkEnd w:id="16"/>
    </w:p>
    <w:p w14:paraId="2F5319EC" w14:textId="77777777" w:rsidR="000D1EE6" w:rsidRPr="00C5430E" w:rsidRDefault="00000000" w:rsidP="004F7A09">
      <w:pPr>
        <w:spacing w:before="240" w:after="240"/>
        <w:rPr>
          <w:rFonts w:eastAsia="Arial" w:cs="Arial"/>
          <w:color w:val="000000" w:themeColor="text1"/>
          <w:szCs w:val="22"/>
        </w:rPr>
      </w:pPr>
      <w:r w:rsidRPr="00C5430E">
        <w:rPr>
          <w:rFonts w:eastAsia="Arial" w:cs="Arial"/>
          <w:color w:val="000000" w:themeColor="text1"/>
          <w:szCs w:val="22"/>
        </w:rPr>
        <w:t xml:space="preserve">The Race Equality Foundation is a charity in the UK formed to address racial inequality and help to raise the standard of living for Black, Asian and minoritised ethnic communities. It is tasked with addressing health and social inequities by conducting research, informing policy, raising awareness, and engaging the community (‌Akhtar, 2023). The Foundation collaborates with the health and social care services provided by the NHS, local authorities and voluntary organisations in order to enhance </w:t>
      </w:r>
      <w:r w:rsidRPr="00C5430E">
        <w:rPr>
          <w:rFonts w:eastAsia="Arial" w:cs="Arial"/>
          <w:color w:val="000000" w:themeColor="text1"/>
          <w:szCs w:val="22"/>
        </w:rPr>
        <w:lastRenderedPageBreak/>
        <w:t>culturally appropriate services. It also offers training, publishes research and supports interventions at a community level that can have an impact on national policy to address ethnic health inequalities in the UK.</w:t>
      </w:r>
    </w:p>
    <w:p w14:paraId="22163A4B" w14:textId="09ED5D66" w:rsidR="000D1EE6" w:rsidRPr="00C5430E" w:rsidRDefault="00E547C0" w:rsidP="004F7A09">
      <w:pPr>
        <w:pStyle w:val="Heading2"/>
        <w:rPr>
          <w:rFonts w:cs="Arial"/>
          <w:szCs w:val="22"/>
        </w:rPr>
      </w:pPr>
      <w:bookmarkStart w:id="17" w:name="_Toc235283783"/>
      <w:r w:rsidRPr="00C5430E">
        <w:rPr>
          <w:rFonts w:cs="Arial"/>
          <w:szCs w:val="22"/>
        </w:rPr>
        <w:t>5. Conclusion</w:t>
      </w:r>
      <w:bookmarkEnd w:id="17"/>
    </w:p>
    <w:p w14:paraId="11486FE5" w14:textId="77777777" w:rsidR="00CE0E59" w:rsidRPr="00C5430E" w:rsidRDefault="00000000" w:rsidP="004F7A09">
      <w:pPr>
        <w:spacing w:before="240" w:after="240"/>
        <w:rPr>
          <w:rFonts w:eastAsia="Arial" w:cs="Arial"/>
          <w:color w:val="000000" w:themeColor="text1"/>
          <w:szCs w:val="22"/>
        </w:rPr>
      </w:pPr>
      <w:r w:rsidRPr="00C5430E">
        <w:rPr>
          <w:rFonts w:eastAsia="Arial" w:cs="Arial"/>
          <w:color w:val="000000" w:themeColor="text1"/>
          <w:szCs w:val="22"/>
        </w:rPr>
        <w:t>Health inequalities for ethnic minority groups in the UK remain high, and are the result of social determinants including poverty, discrimination and poor housing. While there have been advances in national policies and organisations to address these inequalities, robust, evidence-based interventions and inter-sectoral collaboration are still required to ensure that everyone can access good health.</w:t>
      </w:r>
    </w:p>
    <w:p w14:paraId="49C714A1" w14:textId="22F9563F" w:rsidR="000D1EE6" w:rsidRPr="00C5430E" w:rsidRDefault="00000000" w:rsidP="004F7A09">
      <w:pPr>
        <w:spacing w:before="240" w:after="240"/>
        <w:rPr>
          <w:rFonts w:eastAsia="Arial" w:cs="Arial"/>
          <w:b/>
          <w:bCs/>
          <w:color w:val="000000" w:themeColor="text1"/>
          <w:szCs w:val="22"/>
        </w:rPr>
      </w:pPr>
      <w:r w:rsidRPr="00C5430E">
        <w:rPr>
          <w:rFonts w:cs="Arial"/>
          <w:color w:val="000000" w:themeColor="text1"/>
          <w:szCs w:val="22"/>
        </w:rPr>
        <w:br w:type="page"/>
      </w:r>
    </w:p>
    <w:p w14:paraId="756F45F8" w14:textId="77777777" w:rsidR="000D1EE6" w:rsidRPr="00CE0E59" w:rsidRDefault="00000000" w:rsidP="004F7A09">
      <w:pPr>
        <w:pStyle w:val="Heading1"/>
        <w:rPr>
          <w:rFonts w:cs="Arial"/>
          <w:szCs w:val="22"/>
        </w:rPr>
      </w:pPr>
      <w:bookmarkStart w:id="18" w:name="_Toc235283784"/>
      <w:r w:rsidRPr="00CE0E59">
        <w:rPr>
          <w:rFonts w:cs="Arial"/>
          <w:szCs w:val="22"/>
        </w:rPr>
        <w:lastRenderedPageBreak/>
        <w:t>Task 2: Tuberculosis among people living in the London Borough of Newham</w:t>
      </w:r>
      <w:bookmarkEnd w:id="18"/>
    </w:p>
    <w:p w14:paraId="48DC20FF" w14:textId="77777777" w:rsidR="000D1EE6" w:rsidRPr="00CE0E59" w:rsidRDefault="00000000" w:rsidP="004F7A09">
      <w:pPr>
        <w:pStyle w:val="Heading2"/>
        <w:rPr>
          <w:rFonts w:cs="Arial"/>
          <w:szCs w:val="22"/>
        </w:rPr>
      </w:pPr>
      <w:bookmarkStart w:id="19" w:name="_669kuew8h3nb" w:colFirst="0" w:colLast="0"/>
      <w:bookmarkStart w:id="20" w:name="_Toc235283785"/>
      <w:bookmarkEnd w:id="19"/>
      <w:r w:rsidRPr="00CE0E59">
        <w:rPr>
          <w:rFonts w:cs="Arial"/>
          <w:szCs w:val="22"/>
        </w:rPr>
        <w:t>1. Introduction</w:t>
      </w:r>
      <w:bookmarkEnd w:id="20"/>
    </w:p>
    <w:p w14:paraId="3D2A69DC" w14:textId="77777777" w:rsidR="000E668F" w:rsidRPr="00CE0E59" w:rsidRDefault="00000000" w:rsidP="004F7A09">
      <w:pPr>
        <w:spacing w:before="240" w:after="240"/>
        <w:rPr>
          <w:rFonts w:eastAsia="Arial" w:cs="Arial"/>
          <w:szCs w:val="22"/>
        </w:rPr>
      </w:pPr>
      <w:r w:rsidRPr="00CE0E59">
        <w:rPr>
          <w:rFonts w:eastAsia="Arial" w:cs="Arial"/>
          <w:szCs w:val="22"/>
        </w:rPr>
        <w:t>Tuberculosis (TB) is a communicable disease that is caused by Mycobacterium tuberculosis, and it is primarily found in the lungs, but can also be found in other organs (</w:t>
      </w:r>
      <w:proofErr w:type="spellStart"/>
      <w:r w:rsidRPr="00CE0E59">
        <w:rPr>
          <w:rFonts w:eastAsia="Arial" w:cs="Arial"/>
          <w:szCs w:val="22"/>
        </w:rPr>
        <w:t>Okram</w:t>
      </w:r>
      <w:proofErr w:type="spellEnd"/>
      <w:r w:rsidRPr="00CE0E59">
        <w:rPr>
          <w:rFonts w:eastAsia="Arial" w:cs="Arial"/>
          <w:szCs w:val="22"/>
        </w:rPr>
        <w:t xml:space="preserve"> and Singh, 2024). It continues to be one of the most important infectious diseases of the world with significant health, social and economic impacts, especially in disadvantaged and vulnerable communities. Social factors like poverty, poor housing conditions, migration, and restricted access to health care contribute to the spread and severity of the disease. </w:t>
      </w:r>
    </w:p>
    <w:p w14:paraId="3FEAB1AD" w14:textId="589B6E74" w:rsidR="000D1EE6" w:rsidRPr="00CE0E59" w:rsidRDefault="000E668F" w:rsidP="004F7A09">
      <w:pPr>
        <w:spacing w:before="240" w:after="240"/>
        <w:rPr>
          <w:rFonts w:eastAsia="Arial" w:cs="Arial"/>
          <w:szCs w:val="22"/>
        </w:rPr>
      </w:pPr>
      <w:r w:rsidRPr="00CE0E59">
        <w:rPr>
          <w:rFonts w:eastAsia="Arial" w:cs="Arial"/>
          <w:szCs w:val="22"/>
        </w:rPr>
        <w:t>However, it is estimated that in 2024, 10.7 million people worldwide developed TB and 1.23 million people died from TB (WHO, 2026). In England, reported TB cases were 4,855 in 2023, or 8.5 per 100,000 population, and London had the highest number of TB cases (‌Ferris, 2025). Newham is one of the highest incidence areas in England, and is therefore subject to epidemiological surveillance, prevention and targeted public health interventions.</w:t>
      </w:r>
    </w:p>
    <w:p w14:paraId="29AF07ED" w14:textId="77777777" w:rsidR="000D1EE6" w:rsidRPr="00CE0E59" w:rsidRDefault="00000000" w:rsidP="004F7A09">
      <w:pPr>
        <w:pStyle w:val="Heading2"/>
        <w:rPr>
          <w:rFonts w:cs="Arial"/>
          <w:b w:val="0"/>
          <w:szCs w:val="22"/>
        </w:rPr>
      </w:pPr>
      <w:bookmarkStart w:id="21" w:name="_i0v69ylftw6l" w:colFirst="0" w:colLast="0"/>
      <w:bookmarkStart w:id="22" w:name="_Toc235283786"/>
      <w:bookmarkEnd w:id="21"/>
      <w:r w:rsidRPr="00CE0E59">
        <w:rPr>
          <w:rFonts w:cs="Arial"/>
          <w:szCs w:val="22"/>
        </w:rPr>
        <w:t>2. Public Health Measures: Prevention, Protection and Promotion</w:t>
      </w:r>
      <w:bookmarkEnd w:id="22"/>
      <w:r w:rsidRPr="00CE0E59">
        <w:rPr>
          <w:rFonts w:cs="Arial"/>
          <w:szCs w:val="22"/>
        </w:rPr>
        <w:t xml:space="preserve"> </w:t>
      </w:r>
    </w:p>
    <w:p w14:paraId="3ACFCCEA" w14:textId="77777777" w:rsidR="000D1EE6" w:rsidRPr="00CE0E59" w:rsidRDefault="00000000" w:rsidP="004F7A09">
      <w:pPr>
        <w:spacing w:before="240" w:after="240"/>
        <w:rPr>
          <w:rFonts w:eastAsia="Arial" w:cs="Arial"/>
          <w:szCs w:val="22"/>
        </w:rPr>
      </w:pPr>
      <w:r w:rsidRPr="00CE0E59">
        <w:rPr>
          <w:rFonts w:eastAsia="Arial" w:cs="Arial"/>
          <w:szCs w:val="22"/>
        </w:rPr>
        <w:t>TB control in the London Borough of Newham is based upon the 3Ps approach of prevention, protection and promotion. Prevention includes the Bacillus Calmette–Guérin (BCG) vaccine, which is recommended for eligible high-risk infants and children, screening for latent TB infection (LTBI) for migrants arriving from high-incidence countries, and systematic contact tracing to identify contacts with TB before the commencement of disease (Lawrence, 2024). LTBI programme (funded by the NHS) and the TB Action Plan for England 2021-26 help to facilitate early diagnosis and treatment to minimise spread.</w:t>
      </w:r>
    </w:p>
    <w:p w14:paraId="50F5013A" w14:textId="6C4DFE5D" w:rsidR="000D1EE6" w:rsidRPr="00CE0E59" w:rsidRDefault="00000000" w:rsidP="004F7A09">
      <w:pPr>
        <w:spacing w:before="240" w:after="240"/>
        <w:rPr>
          <w:rFonts w:eastAsia="Arial" w:cs="Arial"/>
          <w:szCs w:val="22"/>
        </w:rPr>
      </w:pPr>
      <w:r w:rsidRPr="00CE0E59">
        <w:rPr>
          <w:rFonts w:eastAsia="Arial" w:cs="Arial"/>
          <w:szCs w:val="22"/>
        </w:rPr>
        <w:t xml:space="preserve">To prevent the spread of TB, any individual suspected or diagnosed with the disease must be notified to the UK Health Security Agency under the Health Protection (Notification) Regulations 2010. Rapid isolation of infectious patients, strict infection prevention and control measures in healthcare settings, and mandatory notification of suspected and diagnosed TB cases to the UK Health Security Agency </w:t>
      </w:r>
      <w:r w:rsidRPr="00CE0E59">
        <w:rPr>
          <w:rFonts w:eastAsia="Arial" w:cs="Arial"/>
          <w:szCs w:val="22"/>
        </w:rPr>
        <w:lastRenderedPageBreak/>
        <w:t xml:space="preserve">in accordance with the Health Protection (Notification) Regulations 2010 (Berrocal-Almanza </w:t>
      </w:r>
      <w:r w:rsidR="00DC6897" w:rsidRPr="00CE0E59">
        <w:rPr>
          <w:rFonts w:eastAsia="Arial" w:cs="Arial"/>
          <w:i/>
          <w:iCs/>
          <w:szCs w:val="22"/>
        </w:rPr>
        <w:t>et al.</w:t>
      </w:r>
      <w:r w:rsidRPr="00CE0E59">
        <w:rPr>
          <w:rFonts w:eastAsia="Arial" w:cs="Arial"/>
          <w:szCs w:val="22"/>
        </w:rPr>
        <w:t xml:space="preserve">, 2023). </w:t>
      </w:r>
    </w:p>
    <w:p w14:paraId="623CEE34" w14:textId="11AE2E74" w:rsidR="000D1EE6" w:rsidRPr="00CE0E59" w:rsidRDefault="00000000" w:rsidP="004F7A09">
      <w:pPr>
        <w:spacing w:before="240" w:after="240"/>
        <w:rPr>
          <w:rFonts w:eastAsia="Arial" w:cs="Arial"/>
          <w:szCs w:val="22"/>
        </w:rPr>
      </w:pPr>
      <w:r w:rsidRPr="00CE0E59">
        <w:rPr>
          <w:rFonts w:eastAsia="Arial" w:cs="Arial"/>
          <w:szCs w:val="22"/>
        </w:rPr>
        <w:t xml:space="preserve">Promotion relates to health education, community engagement and awareness raising, as well as joint health and social care and local authority activities that raise awareness of symptoms, promote access to services, reduce stigma and encourage treatment adherence, among vulnerable populations (Jones </w:t>
      </w:r>
      <w:r w:rsidR="00DC6897" w:rsidRPr="00CE0E59">
        <w:rPr>
          <w:rFonts w:eastAsia="Arial" w:cs="Arial"/>
          <w:i/>
          <w:iCs/>
          <w:szCs w:val="22"/>
        </w:rPr>
        <w:t>et al.</w:t>
      </w:r>
      <w:r w:rsidRPr="00CE0E59">
        <w:rPr>
          <w:rFonts w:eastAsia="Arial" w:cs="Arial"/>
          <w:szCs w:val="22"/>
        </w:rPr>
        <w:t xml:space="preserve">, 2024). </w:t>
      </w:r>
    </w:p>
    <w:p w14:paraId="568B1C74" w14:textId="77777777" w:rsidR="000D1EE6" w:rsidRPr="00CE0E59" w:rsidRDefault="00000000" w:rsidP="004F7A09">
      <w:pPr>
        <w:pStyle w:val="Heading2"/>
        <w:rPr>
          <w:rFonts w:cs="Arial"/>
          <w:szCs w:val="22"/>
        </w:rPr>
      </w:pPr>
      <w:bookmarkStart w:id="23" w:name="_t6jmbv6159ju" w:colFirst="0" w:colLast="0"/>
      <w:bookmarkStart w:id="24" w:name="_Toc235283787"/>
      <w:bookmarkEnd w:id="23"/>
      <w:r w:rsidRPr="00CE0E59">
        <w:rPr>
          <w:rFonts w:cs="Arial"/>
          <w:szCs w:val="22"/>
        </w:rPr>
        <w:t>3. Determinants and Risk Factors</w:t>
      </w:r>
      <w:bookmarkEnd w:id="24"/>
    </w:p>
    <w:p w14:paraId="31CF66A2" w14:textId="0BFCA1F7" w:rsidR="000D1EE6" w:rsidRPr="00CE0E59" w:rsidRDefault="00000000" w:rsidP="004F7A09">
      <w:pPr>
        <w:spacing w:before="240" w:after="240"/>
        <w:rPr>
          <w:rFonts w:eastAsia="Arial" w:cs="Arial"/>
          <w:szCs w:val="22"/>
        </w:rPr>
      </w:pPr>
      <w:r w:rsidRPr="00CE0E59">
        <w:rPr>
          <w:rFonts w:eastAsia="Arial" w:cs="Arial"/>
          <w:szCs w:val="22"/>
        </w:rPr>
        <w:t xml:space="preserve">Interconnected social, environmental and biological determinants are a key driver of the high burden of TB in the London Borough of Newham (Moore and Boothroyd, 2023). Poverty also increases the risk of TB because of inadequate access to good food, housing and timely medical care, and because overcrowding allows TB to spread through the air via close contact. A high TB burden country contributes to the increased prevalence of LTBI, and this can reactivate when living conditions are poor. Poor living conditions and limited access to health care services are also increased-risk factors for exposure caused by homelessness (Van Tol </w:t>
      </w:r>
      <w:r w:rsidR="00DC6897" w:rsidRPr="00CE0E59">
        <w:rPr>
          <w:rFonts w:eastAsia="Arial" w:cs="Arial"/>
          <w:i/>
          <w:iCs/>
          <w:szCs w:val="22"/>
        </w:rPr>
        <w:t>et al.</w:t>
      </w:r>
      <w:r w:rsidRPr="00CE0E59">
        <w:rPr>
          <w:rFonts w:eastAsia="Arial" w:cs="Arial"/>
          <w:szCs w:val="22"/>
        </w:rPr>
        <w:t xml:space="preserve">, 2024). Factors that affect the immune system, such as HIV infection and diabetes, contribute to a greater risk of having active TB. Moreover, smoking harms lung tissue, malnutrition weakens the immune system, and chronic exposure to air pollution leads to </w:t>
      </w:r>
      <w:r w:rsidR="000E668F" w:rsidRPr="00CE0E59">
        <w:rPr>
          <w:rFonts w:eastAsia="Arial" w:cs="Arial"/>
          <w:szCs w:val="22"/>
        </w:rPr>
        <w:t>immunosenescence</w:t>
      </w:r>
      <w:r w:rsidRPr="00CE0E59">
        <w:rPr>
          <w:rFonts w:eastAsia="Arial" w:cs="Arial"/>
          <w:szCs w:val="22"/>
        </w:rPr>
        <w:t xml:space="preserve">. </w:t>
      </w:r>
    </w:p>
    <w:p w14:paraId="7CA11C2E" w14:textId="77777777" w:rsidR="000D1EE6" w:rsidRPr="00CE0E59" w:rsidRDefault="00000000" w:rsidP="004F7A09">
      <w:pPr>
        <w:pStyle w:val="Heading2"/>
        <w:rPr>
          <w:rFonts w:cs="Arial"/>
          <w:szCs w:val="22"/>
        </w:rPr>
      </w:pPr>
      <w:bookmarkStart w:id="25" w:name="_Toc235283788"/>
      <w:r w:rsidRPr="00CE0E59">
        <w:rPr>
          <w:rFonts w:cs="Arial"/>
          <w:szCs w:val="22"/>
        </w:rPr>
        <w:t>4. Health Needs Assessment and Epidemiological Studies</w:t>
      </w:r>
      <w:bookmarkEnd w:id="25"/>
    </w:p>
    <w:p w14:paraId="731846B7" w14:textId="77777777" w:rsidR="000C69F3" w:rsidRPr="00CE0E59" w:rsidRDefault="00000000" w:rsidP="004F7A09">
      <w:pPr>
        <w:spacing w:before="240" w:after="240"/>
        <w:rPr>
          <w:rFonts w:eastAsia="Arial" w:cs="Arial"/>
          <w:szCs w:val="22"/>
        </w:rPr>
      </w:pPr>
      <w:r w:rsidRPr="00CE0E59">
        <w:rPr>
          <w:rFonts w:eastAsia="Arial" w:cs="Arial"/>
          <w:szCs w:val="22"/>
        </w:rPr>
        <w:t xml:space="preserve">The Health Needs Assessment (HNA) is a systematic process that identifies the health needs of a population, prioritises public health needs and allocates resources efficiently (Tabish, 2024). HNA and epidemiological studies are used in Newham to identify the groups most at risk of developing tuberculosis (TB), such as ethnic minority groups, migrants from high TB incidence countries, homeless people, older people and people with compromised immune systems. The various study designs employed in epidemiology help in understanding the distribution and determinants of TB. </w:t>
      </w:r>
    </w:p>
    <w:p w14:paraId="4BC30DEA" w14:textId="35B22391" w:rsidR="000D1EE6" w:rsidRPr="00CE0E59" w:rsidRDefault="000C69F3" w:rsidP="004F7A09">
      <w:pPr>
        <w:spacing w:before="240" w:after="240"/>
        <w:rPr>
          <w:rFonts w:eastAsia="Arial" w:cs="Arial"/>
          <w:szCs w:val="22"/>
        </w:rPr>
      </w:pPr>
      <w:r w:rsidRPr="00CE0E59">
        <w:rPr>
          <w:rFonts w:eastAsia="Arial" w:cs="Arial"/>
          <w:szCs w:val="22"/>
        </w:rPr>
        <w:lastRenderedPageBreak/>
        <w:t>Furthermore, cross-sectional studies provide estimates of the prevalence of TB infection in the population, case-control studies provide information on exposures associated with TB infection, and cohort studies provide information on disease progression and treatment outcomes over time (</w:t>
      </w:r>
      <w:proofErr w:type="spellStart"/>
      <w:r w:rsidRPr="00CE0E59">
        <w:rPr>
          <w:rFonts w:eastAsia="Arial" w:cs="Arial"/>
          <w:szCs w:val="22"/>
        </w:rPr>
        <w:t>Chhotala</w:t>
      </w:r>
      <w:proofErr w:type="spellEnd"/>
      <w:r w:rsidRPr="00CE0E59">
        <w:rPr>
          <w:rFonts w:eastAsia="Arial" w:cs="Arial"/>
          <w:szCs w:val="22"/>
        </w:rPr>
        <w:t xml:space="preserve"> </w:t>
      </w:r>
      <w:r w:rsidR="00DC6897" w:rsidRPr="00CE0E59">
        <w:rPr>
          <w:rFonts w:eastAsia="Arial" w:cs="Arial"/>
          <w:i/>
          <w:iCs/>
          <w:szCs w:val="22"/>
        </w:rPr>
        <w:t>et al.</w:t>
      </w:r>
      <w:r w:rsidRPr="00CE0E59">
        <w:rPr>
          <w:rFonts w:eastAsia="Arial" w:cs="Arial"/>
          <w:szCs w:val="22"/>
        </w:rPr>
        <w:t>, 2026). These are complemented by routine surveillance undertaken via the National Tuberculosis Surveillance System of the UK Health Security Agency, which allows for ongoing monitoring of TB incidence, prevalence, mortality and disease burden. Newham's number of TB cases was 141 in 2023, which is the highest in London boroughs, with an incidence of 38.9 cases per 100,000 population (Gov.uk, 2026). The epidemiological results can also help identify populations at greatest risk of TB and allocate resources, which can guide evidence-based public health planning and TB control measures.</w:t>
      </w:r>
    </w:p>
    <w:p w14:paraId="14F9B7EE" w14:textId="77777777" w:rsidR="000D1EE6" w:rsidRPr="00CE0E59" w:rsidRDefault="00000000" w:rsidP="004F7A09">
      <w:pPr>
        <w:spacing w:before="240" w:after="240"/>
        <w:jc w:val="center"/>
        <w:rPr>
          <w:rFonts w:eastAsia="Arial" w:cs="Arial"/>
          <w:szCs w:val="22"/>
        </w:rPr>
      </w:pPr>
      <w:r w:rsidRPr="00CE0E59">
        <w:rPr>
          <w:rFonts w:eastAsia="Arial" w:cs="Arial"/>
          <w:noProof/>
          <w:szCs w:val="22"/>
        </w:rPr>
        <w:drawing>
          <wp:inline distT="114300" distB="114300" distL="114300" distR="114300" wp14:anchorId="00720EF9" wp14:editId="32B524B9">
            <wp:extent cx="4157663" cy="287306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157663" cy="2873069"/>
                    </a:xfrm>
                    <a:prstGeom prst="rect">
                      <a:avLst/>
                    </a:prstGeom>
                    <a:ln/>
                  </pic:spPr>
                </pic:pic>
              </a:graphicData>
            </a:graphic>
          </wp:inline>
        </w:drawing>
      </w:r>
    </w:p>
    <w:p w14:paraId="4B11EAD8" w14:textId="77777777" w:rsidR="000D1EE6" w:rsidRPr="00CE0E59" w:rsidRDefault="00000000" w:rsidP="004F7A09">
      <w:pPr>
        <w:spacing w:before="240" w:after="240"/>
        <w:jc w:val="center"/>
        <w:rPr>
          <w:rFonts w:eastAsia="Arial" w:cs="Arial"/>
          <w:b/>
          <w:bCs/>
          <w:szCs w:val="22"/>
        </w:rPr>
      </w:pPr>
      <w:r w:rsidRPr="00CE0E59">
        <w:rPr>
          <w:rFonts w:eastAsia="Arial" w:cs="Arial"/>
          <w:b/>
          <w:bCs/>
          <w:szCs w:val="22"/>
        </w:rPr>
        <w:t>Figure: TB Population</w:t>
      </w:r>
    </w:p>
    <w:p w14:paraId="096B41F4" w14:textId="77777777" w:rsidR="000D1EE6" w:rsidRPr="00CE0E59" w:rsidRDefault="00000000" w:rsidP="004F7A09">
      <w:pPr>
        <w:spacing w:before="240" w:after="240"/>
        <w:jc w:val="center"/>
        <w:rPr>
          <w:rFonts w:eastAsia="Arial" w:cs="Arial"/>
          <w:szCs w:val="22"/>
        </w:rPr>
      </w:pPr>
      <w:r w:rsidRPr="00CE0E59">
        <w:rPr>
          <w:rFonts w:eastAsia="Arial" w:cs="Arial"/>
          <w:szCs w:val="22"/>
        </w:rPr>
        <w:t>(Source: Gov.uk, 2026)</w:t>
      </w:r>
    </w:p>
    <w:p w14:paraId="72CDED2D" w14:textId="77777777" w:rsidR="000D1EE6" w:rsidRPr="00CE0E59" w:rsidRDefault="00000000" w:rsidP="004F7A09">
      <w:pPr>
        <w:pStyle w:val="Heading2"/>
        <w:rPr>
          <w:rFonts w:cs="Arial"/>
          <w:szCs w:val="22"/>
        </w:rPr>
      </w:pPr>
      <w:bookmarkStart w:id="26" w:name="_mofm4hfhxjy2" w:colFirst="0" w:colLast="0"/>
      <w:bookmarkStart w:id="27" w:name="_Toc235283789"/>
      <w:bookmarkEnd w:id="26"/>
      <w:r w:rsidRPr="00CE0E59">
        <w:rPr>
          <w:rFonts w:cs="Arial"/>
          <w:szCs w:val="22"/>
        </w:rPr>
        <w:t>5. Surveillance and Monitoring Systems</w:t>
      </w:r>
      <w:bookmarkEnd w:id="27"/>
    </w:p>
    <w:p w14:paraId="5E9FA3B0" w14:textId="77777777" w:rsidR="000C69F3" w:rsidRPr="00CE0E59" w:rsidRDefault="00000000" w:rsidP="004F7A09">
      <w:pPr>
        <w:spacing w:before="240" w:after="240"/>
        <w:rPr>
          <w:rFonts w:eastAsia="Arial" w:cs="Arial"/>
          <w:szCs w:val="22"/>
        </w:rPr>
      </w:pPr>
      <w:r w:rsidRPr="00CE0E59">
        <w:rPr>
          <w:rFonts w:eastAsia="Arial" w:cs="Arial"/>
          <w:szCs w:val="22"/>
        </w:rPr>
        <w:t xml:space="preserve">The surveillance of tuberculosis in England uses integrated monitoring systems that underpin early case detection, outbreak control and disease monitoring. The surveillance of TB in England is based on integrated monitoring systems to support early case detection, outbreak control and evaluation of </w:t>
      </w:r>
      <w:r w:rsidRPr="00CE0E59">
        <w:rPr>
          <w:rFonts w:eastAsia="Arial" w:cs="Arial"/>
          <w:szCs w:val="22"/>
        </w:rPr>
        <w:lastRenderedPageBreak/>
        <w:t xml:space="preserve">disease trends (Heyckendorf </w:t>
      </w:r>
      <w:r w:rsidR="00DC6897" w:rsidRPr="00CE0E59">
        <w:rPr>
          <w:rFonts w:eastAsia="Arial" w:cs="Arial"/>
          <w:i/>
          <w:iCs/>
          <w:szCs w:val="22"/>
        </w:rPr>
        <w:t>et al.</w:t>
      </w:r>
      <w:r w:rsidRPr="00CE0E59">
        <w:rPr>
          <w:rFonts w:eastAsia="Arial" w:cs="Arial"/>
          <w:szCs w:val="22"/>
        </w:rPr>
        <w:t xml:space="preserve">, 2022). Passive surveillance refers to TB cases being reported by healthcare workers who have identified TB during routine clinical care; active surveillance involves systematic identification of TB cases via contact tracing and targeted screening of high-risk groups. </w:t>
      </w:r>
    </w:p>
    <w:p w14:paraId="460F8CA1" w14:textId="77777777" w:rsidR="000C69F3" w:rsidRPr="00CE0E59" w:rsidRDefault="000C69F3" w:rsidP="004F7A09">
      <w:pPr>
        <w:spacing w:before="240" w:after="240"/>
        <w:rPr>
          <w:rFonts w:eastAsia="Arial" w:cs="Arial"/>
          <w:szCs w:val="22"/>
        </w:rPr>
      </w:pPr>
      <w:r w:rsidRPr="00CE0E59">
        <w:rPr>
          <w:rFonts w:eastAsia="Arial" w:cs="Arial"/>
          <w:szCs w:val="22"/>
        </w:rPr>
        <w:t xml:space="preserve">Therefore, laboratory surveillance confirms diagnoses through microbiological testing and identifies transmission clusters through whole-genome sequencing. Data are collected by the National TB Surveillance System (previously known as Enhanced Tuberculosis Surveillance), which is managed by the UK Health Security Agency (UKHSA), and include demographic, clinical, and laboratory information to track the incidence of TB, treatment outcomes, and regional trends (Lyness </w:t>
      </w:r>
      <w:r w:rsidR="00DC6897" w:rsidRPr="00CE0E59">
        <w:rPr>
          <w:rFonts w:eastAsia="Arial" w:cs="Arial"/>
          <w:i/>
          <w:iCs/>
          <w:szCs w:val="22"/>
        </w:rPr>
        <w:t>et al.</w:t>
      </w:r>
      <w:r w:rsidRPr="00CE0E59">
        <w:rPr>
          <w:rFonts w:eastAsia="Arial" w:cs="Arial"/>
          <w:szCs w:val="22"/>
        </w:rPr>
        <w:t xml:space="preserve">, 2026). </w:t>
      </w:r>
    </w:p>
    <w:p w14:paraId="6110D8BF" w14:textId="3A1FBB84" w:rsidR="000D1EE6" w:rsidRPr="00CE0E59" w:rsidRDefault="000C69F3" w:rsidP="004F7A09">
      <w:pPr>
        <w:spacing w:before="240" w:after="240"/>
        <w:rPr>
          <w:rFonts w:eastAsia="Arial" w:cs="Arial"/>
          <w:szCs w:val="22"/>
        </w:rPr>
      </w:pPr>
      <w:r w:rsidRPr="00CE0E59">
        <w:rPr>
          <w:rFonts w:eastAsia="Arial" w:cs="Arial"/>
          <w:szCs w:val="22"/>
        </w:rPr>
        <w:t xml:space="preserve">However, TB is a statutorily notifiable disease, and as such, suspected or confirmed cases must be reported as soon as they are diagnosed, so that public health action can be taken and outbreak investigations can commence. NHS Digital provides electronic health care data that helps manage patient care, plan services and for epidemiological studies, whilst the World Health Organisation (WHO) ensures harmonisation of TB surveillance data through its reporting frameworks and monitoring indicators. The key advantages of these surveillance systems are their high level of national coverage, timely outbreak detection, evidence-based decision-making, and more effective resource allocation (Mok </w:t>
      </w:r>
      <w:r w:rsidR="00DC6897" w:rsidRPr="00CE0E59">
        <w:rPr>
          <w:rFonts w:eastAsia="Arial" w:cs="Arial"/>
          <w:i/>
          <w:iCs/>
          <w:szCs w:val="22"/>
        </w:rPr>
        <w:t>et al.</w:t>
      </w:r>
      <w:r w:rsidRPr="00CE0E59">
        <w:rPr>
          <w:rFonts w:eastAsia="Arial" w:cs="Arial"/>
          <w:szCs w:val="22"/>
        </w:rPr>
        <w:t xml:space="preserve">, 2026). </w:t>
      </w:r>
    </w:p>
    <w:p w14:paraId="5E580BE6" w14:textId="77777777" w:rsidR="000D1EE6" w:rsidRPr="00CE0E59" w:rsidRDefault="00000000" w:rsidP="004F7A09">
      <w:pPr>
        <w:pStyle w:val="Heading2"/>
        <w:rPr>
          <w:rFonts w:cs="Arial"/>
          <w:szCs w:val="22"/>
        </w:rPr>
      </w:pPr>
      <w:bookmarkStart w:id="28" w:name="_Toc235283790"/>
      <w:r w:rsidRPr="00CE0E59">
        <w:rPr>
          <w:rFonts w:cs="Arial"/>
          <w:szCs w:val="22"/>
        </w:rPr>
        <w:t>6. Public Health Impact</w:t>
      </w:r>
      <w:bookmarkEnd w:id="28"/>
    </w:p>
    <w:p w14:paraId="72CD61B3" w14:textId="777573E6" w:rsidR="000D1EE6" w:rsidRPr="00CE0E59" w:rsidRDefault="00000000" w:rsidP="004F7A09">
      <w:pPr>
        <w:spacing w:before="240" w:after="240"/>
        <w:rPr>
          <w:rFonts w:eastAsia="Arial" w:cs="Arial"/>
          <w:szCs w:val="22"/>
        </w:rPr>
      </w:pPr>
      <w:r w:rsidRPr="00CE0E59">
        <w:rPr>
          <w:rFonts w:eastAsia="Arial" w:cs="Arial"/>
          <w:szCs w:val="22"/>
        </w:rPr>
        <w:t>Tuberculosis has short- and</w:t>
      </w:r>
      <w:r w:rsidR="000C69F3" w:rsidRPr="00CE0E59">
        <w:rPr>
          <w:rFonts w:eastAsia="Arial" w:cs="Arial"/>
          <w:szCs w:val="22"/>
        </w:rPr>
        <w:t xml:space="preserve"> </w:t>
      </w:r>
      <w:r w:rsidRPr="00CE0E59">
        <w:rPr>
          <w:rFonts w:eastAsia="Arial" w:cs="Arial"/>
          <w:szCs w:val="22"/>
        </w:rPr>
        <w:t>long-</w:t>
      </w:r>
      <w:r w:rsidR="000C69F3" w:rsidRPr="00CE0E59">
        <w:rPr>
          <w:rFonts w:eastAsia="Arial" w:cs="Arial"/>
          <w:szCs w:val="22"/>
        </w:rPr>
        <w:t>term</w:t>
      </w:r>
      <w:r w:rsidRPr="00CE0E59">
        <w:rPr>
          <w:rFonts w:eastAsia="Arial" w:cs="Arial"/>
          <w:szCs w:val="22"/>
        </w:rPr>
        <w:t xml:space="preserve"> public health impacts in Newham (O'Brien </w:t>
      </w:r>
      <w:r w:rsidR="00DC6897" w:rsidRPr="00CE0E59">
        <w:rPr>
          <w:rFonts w:eastAsia="Arial" w:cs="Arial"/>
          <w:i/>
          <w:iCs/>
          <w:szCs w:val="22"/>
        </w:rPr>
        <w:t>et al.</w:t>
      </w:r>
      <w:r w:rsidRPr="00CE0E59">
        <w:rPr>
          <w:rFonts w:eastAsia="Arial" w:cs="Arial"/>
          <w:szCs w:val="22"/>
        </w:rPr>
        <w:t xml:space="preserve">, 2026). Active TB also leads to a higher rate of hospitalisation, allows for community transmission, leads to school or work absenteeism and adds to the cost of the NHS in terms of providing diagnosis, treatment and contact-tracing services in the short term. In 2023, Newham had 141 TB cases (incidence 38.9 per 100,000 people), showing the ongoing impact of TB on health services in the borough (Gov.uk, 2026). The long-term effects of TB include MTDR, chronic lung damage, higher mortality rates, mental health issues and significant economic costs resulting from extended treatment and decreased productivity. Amidst the global threat posed by antimicrobial resistance, 7.5% of culture-confirmed TB cases were </w:t>
      </w:r>
      <w:r w:rsidRPr="00CE0E59">
        <w:rPr>
          <w:rFonts w:eastAsia="Arial" w:cs="Arial"/>
          <w:szCs w:val="22"/>
        </w:rPr>
        <w:lastRenderedPageBreak/>
        <w:t xml:space="preserve">resistant to isoniazid in 2023, posing a significant challenge to a healthcare system already struggling to prevent and control TB outbreaks (Gov.uk, 2024). </w:t>
      </w:r>
    </w:p>
    <w:p w14:paraId="4C2A067D" w14:textId="77777777" w:rsidR="000D1EE6" w:rsidRPr="00CE0E59" w:rsidRDefault="00000000" w:rsidP="004F7A09">
      <w:pPr>
        <w:pStyle w:val="Heading2"/>
        <w:rPr>
          <w:rFonts w:cs="Arial"/>
          <w:szCs w:val="22"/>
        </w:rPr>
      </w:pPr>
      <w:bookmarkStart w:id="29" w:name="_9htenytsg08" w:colFirst="0" w:colLast="0"/>
      <w:bookmarkStart w:id="30" w:name="_Toc235283791"/>
      <w:bookmarkEnd w:id="29"/>
      <w:r w:rsidRPr="00CE0E59">
        <w:rPr>
          <w:rFonts w:cs="Arial"/>
          <w:szCs w:val="22"/>
        </w:rPr>
        <w:t>7. Proposed Health Intervention Programme</w:t>
      </w:r>
      <w:bookmarkEnd w:id="30"/>
    </w:p>
    <w:p w14:paraId="0347C9FF" w14:textId="29A1C788" w:rsidR="000D1EE6" w:rsidRPr="00CE0E59" w:rsidRDefault="00000000" w:rsidP="004F7A09">
      <w:pPr>
        <w:spacing w:before="240" w:after="240"/>
        <w:rPr>
          <w:rFonts w:eastAsia="Arial" w:cs="Arial"/>
          <w:szCs w:val="22"/>
        </w:rPr>
      </w:pPr>
      <w:r w:rsidRPr="00CE0E59">
        <w:rPr>
          <w:rFonts w:eastAsia="Arial" w:cs="Arial"/>
          <w:szCs w:val="22"/>
        </w:rPr>
        <w:t xml:space="preserve">A community-based TB screening and education programme is recommended to help to prevent the spread of TB and enhance health and wellbeing outcomes for high-risk groups in Newham. The primary goal of the intervention is to decrease the incidence of TB by early detection, prompt treatment initiation and increased community awareness (‌Calderwood </w:t>
      </w:r>
      <w:r w:rsidR="00DC6897" w:rsidRPr="00CE0E59">
        <w:rPr>
          <w:rFonts w:eastAsia="Arial" w:cs="Arial"/>
          <w:i/>
          <w:iCs/>
          <w:szCs w:val="22"/>
        </w:rPr>
        <w:t>et al.</w:t>
      </w:r>
      <w:r w:rsidRPr="00CE0E59">
        <w:rPr>
          <w:rFonts w:eastAsia="Arial" w:cs="Arial"/>
          <w:szCs w:val="22"/>
        </w:rPr>
        <w:t>, 2024). The goals are to improve early detection, adherence to treatment, TB symptom and prevention knowledge, and decrease TB stigma.</w:t>
      </w:r>
    </w:p>
    <w:p w14:paraId="741CF448" w14:textId="7CF21B08" w:rsidR="000D1EE6" w:rsidRPr="00CE0E59" w:rsidRDefault="00000000" w:rsidP="004F7A09">
      <w:pPr>
        <w:spacing w:before="240" w:after="240"/>
        <w:rPr>
          <w:rFonts w:eastAsia="Arial" w:cs="Arial"/>
          <w:szCs w:val="22"/>
        </w:rPr>
      </w:pPr>
      <w:r w:rsidRPr="00CE0E59">
        <w:rPr>
          <w:rFonts w:eastAsia="Arial" w:cs="Arial"/>
          <w:szCs w:val="22"/>
        </w:rPr>
        <w:t xml:space="preserve">The targeted population would be migrants from high TB-burden countries, ethnic minority groups, the homeless population and people residing in higher socioeconomic deprivation areas (Saleem </w:t>
      </w:r>
      <w:r w:rsidR="00DC6897" w:rsidRPr="00CE0E59">
        <w:rPr>
          <w:rFonts w:eastAsia="Arial" w:cs="Arial"/>
          <w:i/>
          <w:iCs/>
          <w:szCs w:val="22"/>
        </w:rPr>
        <w:t>et al.</w:t>
      </w:r>
      <w:r w:rsidRPr="00CE0E59">
        <w:rPr>
          <w:rFonts w:eastAsia="Arial" w:cs="Arial"/>
          <w:szCs w:val="22"/>
        </w:rPr>
        <w:t>, 2023). Mobile TB screening clinics in community settings, working with community health workers, culturally competent education classes, multilingual information materials, medication reminders via digital technology, and improved contact tracing systems would be key activities.</w:t>
      </w:r>
    </w:p>
    <w:p w14:paraId="15D4544A" w14:textId="77777777" w:rsidR="000D1EE6" w:rsidRPr="00CE0E59" w:rsidRDefault="00000000" w:rsidP="004F7A09">
      <w:pPr>
        <w:spacing w:before="240" w:after="240"/>
        <w:rPr>
          <w:rFonts w:eastAsia="Arial" w:cs="Arial"/>
          <w:szCs w:val="22"/>
        </w:rPr>
      </w:pPr>
      <w:r w:rsidRPr="00CE0E59">
        <w:rPr>
          <w:rFonts w:eastAsia="Arial" w:cs="Arial"/>
          <w:szCs w:val="22"/>
        </w:rPr>
        <w:t>Epidemiological indicators such as the reduction in TB incidence rates, the number of people screened, the percentage of people diagnosed early, the percentage of people completing treatment, patient satisfaction surveys, and cost-effectiveness analysis would be used to evaluate the effectiveness of the programme (Calderwood et al, 2024). Sustainable reduction of TB-related health inequalities could be achieved if the intervention were adapted based on the needs of the population and were monitored continuously.</w:t>
      </w:r>
    </w:p>
    <w:p w14:paraId="0DB2551B" w14:textId="77777777" w:rsidR="000D1EE6" w:rsidRPr="00CE0E59" w:rsidRDefault="00000000" w:rsidP="004F7A09">
      <w:pPr>
        <w:pStyle w:val="Heading2"/>
        <w:rPr>
          <w:rFonts w:cs="Arial"/>
          <w:szCs w:val="22"/>
        </w:rPr>
      </w:pPr>
      <w:bookmarkStart w:id="31" w:name="_Toc235283792"/>
      <w:r w:rsidRPr="00CE0E59">
        <w:rPr>
          <w:rFonts w:cs="Arial"/>
          <w:szCs w:val="22"/>
        </w:rPr>
        <w:t>8. Strengths and Weaknesses of the Epidemiological Approach</w:t>
      </w:r>
      <w:bookmarkEnd w:id="31"/>
    </w:p>
    <w:p w14:paraId="547592B4" w14:textId="77777777" w:rsidR="000C69F3" w:rsidRPr="00CE0E59" w:rsidRDefault="00000000" w:rsidP="004F7A09">
      <w:pPr>
        <w:spacing w:before="240" w:after="240"/>
        <w:rPr>
          <w:rFonts w:eastAsia="Arial" w:cs="Arial"/>
          <w:szCs w:val="22"/>
        </w:rPr>
      </w:pPr>
      <w:r w:rsidRPr="00CE0E59">
        <w:rPr>
          <w:rFonts w:eastAsia="Arial" w:cs="Arial"/>
          <w:szCs w:val="22"/>
        </w:rPr>
        <w:t xml:space="preserve">Epidemiological approach to TB control has some advantages: a good surveillance system, a national TB database and evidence to inform public health policy and targeted interventions. Routine monitoring aids in early detection of outbreaks, and the allocation of healthcare resources becomes effective (Saleem </w:t>
      </w:r>
      <w:r w:rsidR="00DC6897" w:rsidRPr="00CE0E59">
        <w:rPr>
          <w:rFonts w:eastAsia="Arial" w:cs="Arial"/>
          <w:i/>
          <w:iCs/>
          <w:szCs w:val="22"/>
        </w:rPr>
        <w:t>et al.</w:t>
      </w:r>
      <w:r w:rsidRPr="00CE0E59">
        <w:rPr>
          <w:rFonts w:eastAsia="Arial" w:cs="Arial"/>
          <w:szCs w:val="22"/>
        </w:rPr>
        <w:t xml:space="preserve">, 2023). </w:t>
      </w:r>
    </w:p>
    <w:p w14:paraId="0D77A575" w14:textId="6FEC39E2" w:rsidR="000D1EE6" w:rsidRPr="00CE0E59" w:rsidRDefault="00000000" w:rsidP="004F7A09">
      <w:pPr>
        <w:spacing w:before="240" w:after="240"/>
        <w:rPr>
          <w:rFonts w:eastAsia="Arial" w:cs="Arial"/>
          <w:szCs w:val="22"/>
        </w:rPr>
      </w:pPr>
      <w:r w:rsidRPr="00CE0E59">
        <w:rPr>
          <w:rFonts w:eastAsia="Arial" w:cs="Arial"/>
          <w:szCs w:val="22"/>
        </w:rPr>
        <w:lastRenderedPageBreak/>
        <w:t xml:space="preserve">However, some constraints exist, such as the potential for underreporting, including delays in diagnosis, failure to report some demographic data, and challenges in determining disease patterns among mobile migrant populations. Selection bias and confounding factors can also affect the ability to interpret risk factors and outcomes in epidemiological studies and may impact these (Rotundo </w:t>
      </w:r>
      <w:r w:rsidR="00DC6897" w:rsidRPr="00CE0E59">
        <w:rPr>
          <w:rFonts w:eastAsia="Arial" w:cs="Arial"/>
          <w:i/>
          <w:iCs/>
          <w:szCs w:val="22"/>
        </w:rPr>
        <w:t>et al.</w:t>
      </w:r>
      <w:r w:rsidRPr="00CE0E59">
        <w:rPr>
          <w:rFonts w:eastAsia="Arial" w:cs="Arial"/>
          <w:szCs w:val="22"/>
        </w:rPr>
        <w:t>, 2026). Furthermore, poor availability of local-level data may also hinder accurate estimation of TB burden at a local level.</w:t>
      </w:r>
    </w:p>
    <w:p w14:paraId="42133945" w14:textId="77777777" w:rsidR="000D1EE6" w:rsidRPr="00CE0E59" w:rsidRDefault="00000000" w:rsidP="004F7A09">
      <w:pPr>
        <w:pStyle w:val="Heading2"/>
        <w:rPr>
          <w:rFonts w:cs="Arial"/>
          <w:szCs w:val="22"/>
        </w:rPr>
      </w:pPr>
      <w:bookmarkStart w:id="32" w:name="_Toc235283793"/>
      <w:r w:rsidRPr="00CE0E59">
        <w:rPr>
          <w:rFonts w:cs="Arial"/>
          <w:szCs w:val="22"/>
        </w:rPr>
        <w:t>9. Conclusion</w:t>
      </w:r>
      <w:bookmarkEnd w:id="32"/>
    </w:p>
    <w:p w14:paraId="108159AF" w14:textId="77777777" w:rsidR="00E10C96" w:rsidRDefault="008808A0" w:rsidP="004F7A09">
      <w:pPr>
        <w:spacing w:before="240" w:after="240"/>
        <w:rPr>
          <w:rFonts w:eastAsia="Arial" w:cs="Arial"/>
          <w:szCs w:val="22"/>
        </w:rPr>
      </w:pPr>
      <w:r w:rsidRPr="00CE0E59">
        <w:rPr>
          <w:rFonts w:eastAsia="Arial" w:cs="Arial"/>
          <w:szCs w:val="22"/>
        </w:rPr>
        <w:t xml:space="preserve">A range of social, environmental and biological factors such as poverty, overcrowding, migration and underlying health conditions, have combined to make TB an important public health issue in the London Borough of Newham. The epidemiology evidence, health needs assessment and surveillance systems have been found to be playing a significant role in identifying high risk groups, monitoring the trend of diseases and informing targeted public health interventions in this report. Prevention measures including BCG vaccination, TB latent screening, contact tracing and health promotion are key to stopping transmission and enhancing treatment success. </w:t>
      </w:r>
    </w:p>
    <w:p w14:paraId="7688D5A5" w14:textId="7C457AB5" w:rsidR="000D1EE6" w:rsidRPr="00CE0E59" w:rsidRDefault="00E10C96" w:rsidP="004F7A09">
      <w:pPr>
        <w:spacing w:before="240" w:after="240"/>
        <w:rPr>
          <w:rFonts w:eastAsia="Arial" w:cs="Arial"/>
          <w:szCs w:val="22"/>
        </w:rPr>
      </w:pPr>
      <w:r w:rsidRPr="00CE0E59">
        <w:rPr>
          <w:rFonts w:eastAsia="Arial" w:cs="Arial"/>
          <w:szCs w:val="22"/>
        </w:rPr>
        <w:t>However</w:t>
      </w:r>
      <w:r w:rsidR="008808A0" w:rsidRPr="00CE0E59">
        <w:rPr>
          <w:rFonts w:eastAsia="Arial" w:cs="Arial"/>
          <w:szCs w:val="22"/>
        </w:rPr>
        <w:t>, in order to achieve sustainable TB control, it is necessary to look at the broader social determinants of health, and improve the availability of culturally competent health services. An integrated partnership-based monitoring and health promotion system that includes a community-based screening and education initiative would improve early diagnosis, treatment adherence and disease prevention. Overall, embedding evidence-based public health practice alongside social interventions is essential to lowering TB incidence and enhance the health of the population in Newham.</w:t>
      </w:r>
    </w:p>
    <w:p w14:paraId="4D237656" w14:textId="77777777" w:rsidR="008808A0" w:rsidRPr="00CE0E59" w:rsidRDefault="008808A0" w:rsidP="004F7A09">
      <w:pPr>
        <w:jc w:val="left"/>
        <w:rPr>
          <w:rFonts w:eastAsia="Play" w:cs="Arial"/>
          <w:b/>
          <w:color w:val="000000" w:themeColor="text1"/>
          <w:szCs w:val="22"/>
        </w:rPr>
      </w:pPr>
      <w:r w:rsidRPr="00CE0E59">
        <w:rPr>
          <w:rFonts w:cs="Arial"/>
          <w:szCs w:val="22"/>
        </w:rPr>
        <w:br w:type="page"/>
      </w:r>
    </w:p>
    <w:p w14:paraId="7A790303" w14:textId="2C933177" w:rsidR="000D1EE6" w:rsidRPr="00CE0E59" w:rsidRDefault="008808A0" w:rsidP="004F7A09">
      <w:pPr>
        <w:pStyle w:val="Heading1"/>
        <w:rPr>
          <w:rFonts w:cs="Arial"/>
          <w:szCs w:val="22"/>
        </w:rPr>
      </w:pPr>
      <w:bookmarkStart w:id="33" w:name="_Toc235283794"/>
      <w:r w:rsidRPr="00CE0E59">
        <w:rPr>
          <w:rFonts w:cs="Arial"/>
          <w:szCs w:val="22"/>
        </w:rPr>
        <w:lastRenderedPageBreak/>
        <w:t>10. References</w:t>
      </w:r>
      <w:bookmarkEnd w:id="33"/>
    </w:p>
    <w:p w14:paraId="56DD5C6A" w14:textId="77777777" w:rsidR="00A30F19" w:rsidRPr="00CE0E59" w:rsidRDefault="00A30F19" w:rsidP="004F7A09">
      <w:pPr>
        <w:spacing w:before="240" w:after="240"/>
        <w:rPr>
          <w:rFonts w:eastAsia="Arial" w:cs="Arial"/>
          <w:szCs w:val="22"/>
        </w:rPr>
      </w:pPr>
      <w:r w:rsidRPr="00CE0E59">
        <w:rPr>
          <w:rFonts w:eastAsia="Arial" w:cs="Arial"/>
          <w:szCs w:val="22"/>
        </w:rPr>
        <w:t>‌</w:t>
      </w:r>
      <w:r w:rsidRPr="00CE0E59">
        <w:rPr>
          <w:rFonts w:eastAsia="Arial" w:cs="Arial"/>
          <w:color w:val="222222"/>
          <w:szCs w:val="22"/>
          <w:highlight w:val="white"/>
        </w:rPr>
        <w:t xml:space="preserve">Akhtar, S. (2023). Racism, redistribution, redress: The Royal Historical Society and Race, Ethnicity and Equality in UK History: A Report and Resource for Change. In </w:t>
      </w:r>
      <w:r w:rsidRPr="00CE0E59">
        <w:rPr>
          <w:rFonts w:eastAsia="Arial" w:cs="Arial"/>
          <w:i/>
          <w:iCs/>
          <w:color w:val="222222"/>
          <w:szCs w:val="22"/>
          <w:highlight w:val="white"/>
        </w:rPr>
        <w:t>British culture after empire</w:t>
      </w:r>
      <w:r w:rsidRPr="00CE0E59">
        <w:rPr>
          <w:rFonts w:eastAsia="Arial" w:cs="Arial"/>
          <w:color w:val="222222"/>
          <w:szCs w:val="22"/>
          <w:highlight w:val="white"/>
        </w:rPr>
        <w:t xml:space="preserve"> (pp. 147-165). Manchester University Press.</w:t>
      </w:r>
      <w:r w:rsidRPr="00CE0E59">
        <w:rPr>
          <w:rFonts w:eastAsia="Arial" w:cs="Arial"/>
          <w:szCs w:val="22"/>
        </w:rPr>
        <w:t xml:space="preserve"> </w:t>
      </w:r>
      <w:hyperlink r:id="rId10">
        <w:r w:rsidRPr="00CE0E59">
          <w:rPr>
            <w:rFonts w:eastAsia="Arial" w:cs="Arial"/>
            <w:color w:val="1155CC"/>
            <w:szCs w:val="22"/>
            <w:u w:val="single"/>
          </w:rPr>
          <w:t>https://www.manchesterhive.com/abstract/9781526159755/9781526159755.00017.xml</w:t>
        </w:r>
      </w:hyperlink>
    </w:p>
    <w:p w14:paraId="052F22F5" w14:textId="77777777" w:rsidR="00A30F19" w:rsidRPr="00C5430E" w:rsidRDefault="00A30F19" w:rsidP="004F7A09">
      <w:pPr>
        <w:spacing w:before="240" w:after="240"/>
        <w:rPr>
          <w:rFonts w:eastAsia="Arial" w:cs="Arial"/>
          <w:szCs w:val="22"/>
          <w:lang w:val="it-IT"/>
        </w:rPr>
      </w:pPr>
      <w:r w:rsidRPr="00C5430E">
        <w:rPr>
          <w:rFonts w:eastAsia="Arial" w:cs="Arial"/>
          <w:color w:val="222222"/>
          <w:szCs w:val="22"/>
          <w:lang w:val="it-IT"/>
        </w:rPr>
        <w:t xml:space="preserve">Berrocal-Almanza, L. C., Lima, M., Piotrowski, H., Botticello, J., Badhan, A., Karnani, N., ... and Lalvani, A. (2023). </w:t>
      </w:r>
      <w:r w:rsidRPr="00CE0E59">
        <w:rPr>
          <w:rFonts w:eastAsia="Arial" w:cs="Arial"/>
          <w:color w:val="222222"/>
          <w:szCs w:val="22"/>
        </w:rPr>
        <w:t xml:space="preserve">Vulnerability and tuberculosis treatment outcomes in urban settings in England: A mixed-methods study. </w:t>
      </w:r>
      <w:r w:rsidRPr="00C5430E">
        <w:rPr>
          <w:rFonts w:eastAsia="Arial" w:cs="Arial"/>
          <w:i/>
          <w:iCs/>
          <w:color w:val="222222"/>
          <w:szCs w:val="22"/>
          <w:lang w:val="it-IT"/>
        </w:rPr>
        <w:t>Plos one</w:t>
      </w:r>
      <w:r w:rsidRPr="00C5430E">
        <w:rPr>
          <w:rFonts w:eastAsia="Arial" w:cs="Arial"/>
          <w:color w:val="222222"/>
          <w:szCs w:val="22"/>
          <w:lang w:val="it-IT"/>
        </w:rPr>
        <w:t xml:space="preserve">, vol. </w:t>
      </w:r>
      <w:r w:rsidRPr="00C5430E">
        <w:rPr>
          <w:rFonts w:eastAsia="Arial" w:cs="Arial"/>
          <w:i/>
          <w:iCs/>
          <w:color w:val="222222"/>
          <w:szCs w:val="22"/>
          <w:lang w:val="it-IT"/>
        </w:rPr>
        <w:t>18</w:t>
      </w:r>
      <w:r w:rsidRPr="00C5430E">
        <w:rPr>
          <w:rFonts w:eastAsia="Arial" w:cs="Arial"/>
          <w:color w:val="222222"/>
          <w:szCs w:val="22"/>
          <w:lang w:val="it-IT"/>
        </w:rPr>
        <w:t>, no. 8, e0281918.</w:t>
      </w:r>
      <w:r w:rsidRPr="00C5430E">
        <w:rPr>
          <w:rFonts w:eastAsia="Arial" w:cs="Arial"/>
          <w:szCs w:val="22"/>
          <w:lang w:val="it-IT"/>
        </w:rPr>
        <w:t xml:space="preserve"> </w:t>
      </w:r>
      <w:hyperlink r:id="rId11">
        <w:r w:rsidRPr="00C5430E">
          <w:rPr>
            <w:rFonts w:eastAsia="Arial" w:cs="Arial"/>
            <w:color w:val="1155CC"/>
            <w:szCs w:val="22"/>
            <w:u w:val="single"/>
            <w:lang w:val="it-IT"/>
          </w:rPr>
          <w:t>https://journals.plos.org/plosone/article?id=10.1371/journal.pone.0281918</w:t>
        </w:r>
      </w:hyperlink>
    </w:p>
    <w:p w14:paraId="7C5CB950" w14:textId="77777777" w:rsidR="00A30F19" w:rsidRPr="00CE0E59" w:rsidRDefault="00A30F19" w:rsidP="004F7A09">
      <w:pPr>
        <w:spacing w:before="240" w:after="240"/>
        <w:rPr>
          <w:rFonts w:eastAsia="Arial" w:cs="Arial"/>
          <w:szCs w:val="22"/>
        </w:rPr>
      </w:pPr>
      <w:r w:rsidRPr="00C5430E">
        <w:rPr>
          <w:rFonts w:eastAsia="Arial" w:cs="Arial"/>
          <w:szCs w:val="22"/>
          <w:lang w:val="it-IT"/>
        </w:rPr>
        <w:t>‌</w:t>
      </w:r>
      <w:r w:rsidRPr="00C5430E">
        <w:rPr>
          <w:rFonts w:eastAsia="Arial" w:cs="Arial"/>
          <w:color w:val="222222"/>
          <w:szCs w:val="22"/>
          <w:lang w:val="it-IT"/>
        </w:rPr>
        <w:t xml:space="preserve">Calderwood, C. J., Timire, C., Mavodza, C., Kavenga, F., Ngwenya, M., Madziva, K., ... and Kranzer, K. (2024). </w:t>
      </w:r>
      <w:r w:rsidRPr="00CE0E59">
        <w:rPr>
          <w:rFonts w:eastAsia="Arial" w:cs="Arial"/>
          <w:color w:val="222222"/>
          <w:szCs w:val="22"/>
        </w:rPr>
        <w:t xml:space="preserve">Beyond tuberculosis: a person-centred and rights-based approach to screening for household contacts. </w:t>
      </w:r>
      <w:r w:rsidRPr="00CE0E59">
        <w:rPr>
          <w:rFonts w:eastAsia="Arial" w:cs="Arial"/>
          <w:i/>
          <w:iCs/>
          <w:color w:val="222222"/>
          <w:szCs w:val="22"/>
        </w:rPr>
        <w:t>The Lancet Global Health</w:t>
      </w:r>
      <w:r w:rsidRPr="00CE0E59">
        <w:rPr>
          <w:rFonts w:eastAsia="Arial" w:cs="Arial"/>
          <w:color w:val="222222"/>
          <w:szCs w:val="22"/>
        </w:rPr>
        <w:t>, vol.</w:t>
      </w:r>
      <w:r w:rsidRPr="00CE0E59">
        <w:rPr>
          <w:rFonts w:eastAsia="Arial" w:cs="Arial"/>
          <w:i/>
          <w:iCs/>
          <w:color w:val="222222"/>
          <w:szCs w:val="22"/>
        </w:rPr>
        <w:t xml:space="preserve">12, </w:t>
      </w:r>
      <w:r w:rsidRPr="00CE0E59">
        <w:rPr>
          <w:rFonts w:eastAsia="Arial" w:cs="Arial"/>
          <w:color w:val="222222"/>
          <w:szCs w:val="22"/>
        </w:rPr>
        <w:t>no. 3, e509-e515.</w:t>
      </w:r>
      <w:r w:rsidRPr="00CE0E59">
        <w:rPr>
          <w:rFonts w:eastAsia="Arial" w:cs="Arial"/>
          <w:szCs w:val="22"/>
        </w:rPr>
        <w:t xml:space="preserve"> </w:t>
      </w:r>
      <w:hyperlink r:id="rId12">
        <w:r w:rsidRPr="00CE0E59">
          <w:rPr>
            <w:rFonts w:eastAsia="Arial" w:cs="Arial"/>
            <w:color w:val="1155CC"/>
            <w:szCs w:val="22"/>
            <w:u w:val="single"/>
          </w:rPr>
          <w:t>https://www.thelancet.com/journals/langlo/article/PIIS2214-109X(23)00544-2/fulltext</w:t>
        </w:r>
      </w:hyperlink>
    </w:p>
    <w:p w14:paraId="0C3E27A1" w14:textId="77777777" w:rsidR="00A30F19" w:rsidRPr="00707539" w:rsidRDefault="00A30F19" w:rsidP="004F7A09">
      <w:pPr>
        <w:spacing w:after="240"/>
        <w:rPr>
          <w:rFonts w:eastAsia="Arial" w:cs="Arial"/>
          <w:szCs w:val="22"/>
          <w:lang w:val="nl-NL"/>
        </w:rPr>
      </w:pPr>
      <w:r w:rsidRPr="00CE0E59">
        <w:rPr>
          <w:rFonts w:eastAsia="Arial" w:cs="Arial"/>
          <w:color w:val="222222"/>
          <w:szCs w:val="22"/>
        </w:rPr>
        <w:t xml:space="preserve">Chelak, K., and Chakole, S. (2023). The role of social determinants of health in promoting health equality: a narrative review. </w:t>
      </w:r>
      <w:r w:rsidRPr="00707539">
        <w:rPr>
          <w:rFonts w:eastAsia="Arial" w:cs="Arial"/>
          <w:i/>
          <w:iCs/>
          <w:color w:val="222222"/>
          <w:szCs w:val="22"/>
          <w:lang w:val="nl-NL"/>
        </w:rPr>
        <w:t>Cureus</w:t>
      </w:r>
      <w:r w:rsidRPr="00707539">
        <w:rPr>
          <w:rFonts w:eastAsia="Arial" w:cs="Arial"/>
          <w:color w:val="222222"/>
          <w:szCs w:val="22"/>
          <w:lang w:val="nl-NL"/>
        </w:rPr>
        <w:t xml:space="preserve">, vol. </w:t>
      </w:r>
      <w:r w:rsidRPr="00707539">
        <w:rPr>
          <w:rFonts w:eastAsia="Arial" w:cs="Arial"/>
          <w:i/>
          <w:iCs/>
          <w:color w:val="222222"/>
          <w:szCs w:val="22"/>
          <w:lang w:val="nl-NL"/>
        </w:rPr>
        <w:t>15</w:t>
      </w:r>
      <w:r w:rsidRPr="00707539">
        <w:rPr>
          <w:rFonts w:eastAsia="Arial" w:cs="Arial"/>
          <w:color w:val="222222"/>
          <w:szCs w:val="22"/>
          <w:lang w:val="nl-NL"/>
        </w:rPr>
        <w:t>, no. 1.</w:t>
      </w:r>
      <w:r w:rsidRPr="00707539">
        <w:rPr>
          <w:rFonts w:eastAsia="Arial" w:cs="Arial"/>
          <w:szCs w:val="22"/>
          <w:lang w:val="nl-NL"/>
        </w:rPr>
        <w:t xml:space="preserve"> </w:t>
      </w:r>
      <w:hyperlink r:id="rId13">
        <w:r w:rsidRPr="00707539">
          <w:rPr>
            <w:rFonts w:eastAsia="Arial" w:cs="Arial"/>
            <w:color w:val="1155CC"/>
            <w:szCs w:val="22"/>
            <w:u w:val="single"/>
            <w:lang w:val="nl-NL"/>
          </w:rPr>
          <w:t>https://www.cureus.com/articles/119651-the-role-of-social-determinants-of-health-in-promoting-health-equality-a-narrative-review.pdf</w:t>
        </w:r>
      </w:hyperlink>
    </w:p>
    <w:p w14:paraId="4782FED0" w14:textId="77777777" w:rsidR="00A30F19" w:rsidRPr="00C5430E" w:rsidRDefault="00A30F19" w:rsidP="004F7A09">
      <w:pPr>
        <w:spacing w:before="240" w:after="240"/>
        <w:rPr>
          <w:rFonts w:eastAsia="Arial" w:cs="Arial"/>
          <w:szCs w:val="22"/>
          <w:lang w:val="it-IT"/>
        </w:rPr>
      </w:pPr>
      <w:proofErr w:type="spellStart"/>
      <w:r w:rsidRPr="00CE0E59">
        <w:rPr>
          <w:rFonts w:eastAsia="Arial" w:cs="Arial"/>
          <w:color w:val="222222"/>
          <w:szCs w:val="22"/>
        </w:rPr>
        <w:t>Chhotala</w:t>
      </w:r>
      <w:proofErr w:type="spellEnd"/>
      <w:r w:rsidRPr="00CE0E59">
        <w:rPr>
          <w:rFonts w:eastAsia="Arial" w:cs="Arial"/>
          <w:color w:val="222222"/>
          <w:szCs w:val="22"/>
        </w:rPr>
        <w:t xml:space="preserve">, U., </w:t>
      </w:r>
      <w:proofErr w:type="spellStart"/>
      <w:r w:rsidRPr="00CE0E59">
        <w:rPr>
          <w:rFonts w:eastAsia="Arial" w:cs="Arial"/>
          <w:color w:val="222222"/>
          <w:szCs w:val="22"/>
        </w:rPr>
        <w:t>Bharadva</w:t>
      </w:r>
      <w:proofErr w:type="spellEnd"/>
      <w:r w:rsidRPr="00CE0E59">
        <w:rPr>
          <w:rFonts w:eastAsia="Arial" w:cs="Arial"/>
          <w:color w:val="222222"/>
          <w:szCs w:val="22"/>
        </w:rPr>
        <w:t xml:space="preserve">, N., Dave, P., </w:t>
      </w:r>
      <w:proofErr w:type="spellStart"/>
      <w:r w:rsidRPr="00CE0E59">
        <w:rPr>
          <w:rFonts w:eastAsia="Arial" w:cs="Arial"/>
          <w:color w:val="222222"/>
          <w:szCs w:val="22"/>
        </w:rPr>
        <w:t>Kshtriya</w:t>
      </w:r>
      <w:proofErr w:type="spellEnd"/>
      <w:r w:rsidRPr="00CE0E59">
        <w:rPr>
          <w:rFonts w:eastAsia="Arial" w:cs="Arial"/>
          <w:color w:val="222222"/>
          <w:szCs w:val="22"/>
        </w:rPr>
        <w:t xml:space="preserve">, P., and Shah, U. (2026). Risk Factors for the Development of Drug-Resistant Tuberculosis: A Retrospective Case-Control Study. </w:t>
      </w:r>
      <w:r w:rsidRPr="00C5430E">
        <w:rPr>
          <w:rFonts w:eastAsia="Arial" w:cs="Arial"/>
          <w:i/>
          <w:iCs/>
          <w:color w:val="222222"/>
          <w:szCs w:val="22"/>
          <w:lang w:val="it-IT"/>
        </w:rPr>
        <w:t>SN Comprehensive Clinical Medicine</w:t>
      </w:r>
      <w:r w:rsidRPr="00C5430E">
        <w:rPr>
          <w:rFonts w:eastAsia="Arial" w:cs="Arial"/>
          <w:color w:val="222222"/>
          <w:szCs w:val="22"/>
          <w:lang w:val="it-IT"/>
        </w:rPr>
        <w:t xml:space="preserve">, vol. </w:t>
      </w:r>
      <w:r w:rsidRPr="00C5430E">
        <w:rPr>
          <w:rFonts w:eastAsia="Arial" w:cs="Arial"/>
          <w:i/>
          <w:iCs/>
          <w:color w:val="222222"/>
          <w:szCs w:val="22"/>
          <w:lang w:val="it-IT"/>
        </w:rPr>
        <w:t>8</w:t>
      </w:r>
      <w:r w:rsidRPr="00C5430E">
        <w:rPr>
          <w:rFonts w:eastAsia="Arial" w:cs="Arial"/>
          <w:color w:val="222222"/>
          <w:szCs w:val="22"/>
          <w:lang w:val="it-IT"/>
        </w:rPr>
        <w:t>, no. 1, pp. 165.</w:t>
      </w:r>
      <w:r w:rsidRPr="00C5430E">
        <w:rPr>
          <w:rFonts w:eastAsia="Arial" w:cs="Arial"/>
          <w:szCs w:val="22"/>
          <w:lang w:val="it-IT"/>
        </w:rPr>
        <w:t xml:space="preserve"> </w:t>
      </w:r>
      <w:hyperlink r:id="rId14">
        <w:r w:rsidRPr="00C5430E">
          <w:rPr>
            <w:rFonts w:eastAsia="Arial" w:cs="Arial"/>
            <w:color w:val="1155CC"/>
            <w:szCs w:val="22"/>
            <w:u w:val="single"/>
            <w:lang w:val="it-IT"/>
          </w:rPr>
          <w:t>https://link.springer.com/article/10.1007/s42399-026-02403-x</w:t>
        </w:r>
      </w:hyperlink>
    </w:p>
    <w:p w14:paraId="07765BAA" w14:textId="77777777" w:rsidR="00A30F19" w:rsidRPr="00CE0E59" w:rsidRDefault="00A30F19" w:rsidP="004F7A09">
      <w:pPr>
        <w:spacing w:before="240" w:after="240"/>
        <w:rPr>
          <w:rFonts w:eastAsia="Arial" w:cs="Arial"/>
          <w:szCs w:val="22"/>
        </w:rPr>
      </w:pPr>
      <w:r w:rsidRPr="00CE0E59">
        <w:rPr>
          <w:rFonts w:eastAsia="Arial" w:cs="Arial"/>
          <w:szCs w:val="22"/>
        </w:rPr>
        <w:t xml:space="preserve">‌Cqc.org.uk. (2022). </w:t>
      </w:r>
      <w:r w:rsidRPr="00CE0E59">
        <w:rPr>
          <w:rFonts w:eastAsia="Arial" w:cs="Arial"/>
          <w:i/>
          <w:iCs/>
          <w:szCs w:val="22"/>
        </w:rPr>
        <w:t>Inequalities and racism - Care Quality Commission</w:t>
      </w:r>
      <w:r w:rsidRPr="00CE0E59">
        <w:rPr>
          <w:rFonts w:eastAsia="Arial" w:cs="Arial"/>
          <w:szCs w:val="22"/>
        </w:rPr>
        <w:t xml:space="preserve">. [online] Available at: </w:t>
      </w:r>
      <w:hyperlink r:id="rId15">
        <w:r w:rsidRPr="00CE0E59">
          <w:rPr>
            <w:rFonts w:eastAsia="Arial" w:cs="Arial"/>
            <w:color w:val="1155CC"/>
            <w:szCs w:val="22"/>
            <w:u w:val="single"/>
          </w:rPr>
          <w:t>https://www.cqc.org.uk/publications/maternity-services-2022-2024/inequalities</w:t>
        </w:r>
      </w:hyperlink>
      <w:r w:rsidRPr="00CE0E59">
        <w:rPr>
          <w:rFonts w:eastAsia="Arial" w:cs="Arial"/>
          <w:szCs w:val="22"/>
        </w:rPr>
        <w:t xml:space="preserve"> [Accessed 17 July 2026].</w:t>
      </w:r>
    </w:p>
    <w:p w14:paraId="62A74406" w14:textId="77777777" w:rsidR="00A30F19" w:rsidRPr="00CE0E59" w:rsidRDefault="00A30F19" w:rsidP="004F7A09">
      <w:pPr>
        <w:spacing w:before="240" w:after="240"/>
        <w:rPr>
          <w:rFonts w:eastAsia="Arial" w:cs="Arial"/>
          <w:szCs w:val="22"/>
        </w:rPr>
      </w:pPr>
      <w:r w:rsidRPr="00CE0E59">
        <w:rPr>
          <w:rFonts w:eastAsia="Arial" w:cs="Arial"/>
          <w:szCs w:val="22"/>
        </w:rPr>
        <w:lastRenderedPageBreak/>
        <w:t xml:space="preserve">‌England.nhs.uk, (2026). </w:t>
      </w:r>
      <w:r w:rsidRPr="00CE0E59">
        <w:rPr>
          <w:rFonts w:eastAsia="Arial" w:cs="Arial"/>
          <w:i/>
          <w:iCs/>
          <w:szCs w:val="22"/>
        </w:rPr>
        <w:t>NHS England » Core20PLUS5 (adults) – an approach to reducing healthcare inequalities</w:t>
      </w:r>
      <w:r w:rsidRPr="00CE0E59">
        <w:rPr>
          <w:rFonts w:eastAsia="Arial" w:cs="Arial"/>
          <w:szCs w:val="22"/>
        </w:rPr>
        <w:t xml:space="preserve">. [online] England.nhs.uk. Available at: </w:t>
      </w:r>
      <w:hyperlink r:id="rId16">
        <w:r w:rsidRPr="00CE0E59">
          <w:rPr>
            <w:rFonts w:eastAsia="Arial" w:cs="Arial"/>
            <w:color w:val="1155CC"/>
            <w:szCs w:val="22"/>
            <w:u w:val="single"/>
          </w:rPr>
          <w:t>https://www.england.nhs.uk/about/equality/equality-hub/national-healthcare-%20inequalities-improvement-programme/core20plus5/</w:t>
        </w:r>
      </w:hyperlink>
      <w:r w:rsidRPr="00CE0E59">
        <w:rPr>
          <w:rFonts w:eastAsia="Arial" w:cs="Arial"/>
          <w:szCs w:val="22"/>
        </w:rPr>
        <w:t xml:space="preserve"> [Accessed 17 July 2026].</w:t>
      </w:r>
    </w:p>
    <w:p w14:paraId="45E98E05" w14:textId="77777777" w:rsidR="00A30F19" w:rsidRPr="00CE0E59" w:rsidRDefault="00A30F19" w:rsidP="004F7A09">
      <w:pPr>
        <w:spacing w:before="240" w:after="240"/>
        <w:rPr>
          <w:rFonts w:eastAsia="Arial" w:cs="Arial"/>
          <w:szCs w:val="22"/>
        </w:rPr>
      </w:pPr>
      <w:r w:rsidRPr="00CE0E59">
        <w:rPr>
          <w:rFonts w:eastAsia="Arial" w:cs="Arial"/>
          <w:szCs w:val="22"/>
        </w:rPr>
        <w:t>‌</w:t>
      </w:r>
      <w:r w:rsidRPr="00CE0E59">
        <w:rPr>
          <w:rFonts w:eastAsia="Arial" w:cs="Arial"/>
          <w:color w:val="222222"/>
          <w:szCs w:val="22"/>
          <w:highlight w:val="white"/>
        </w:rPr>
        <w:t xml:space="preserve">Faugno, E., Galbraith, A. A., Walsh, K., Maglione, P. J., Farmer, J. R., and Ong, M. S. (2025). Experiences with diagnostic delay among underserved racial and ethnic patients: a systematic review of the qualitative literature. </w:t>
      </w:r>
      <w:r w:rsidRPr="00CE0E59">
        <w:rPr>
          <w:rFonts w:eastAsia="Arial" w:cs="Arial"/>
          <w:i/>
          <w:iCs/>
          <w:color w:val="222222"/>
          <w:szCs w:val="22"/>
          <w:highlight w:val="white"/>
        </w:rPr>
        <w:t>BMJ quality and safety</w:t>
      </w:r>
      <w:r w:rsidRPr="00CE0E59">
        <w:rPr>
          <w:rFonts w:eastAsia="Arial" w:cs="Arial"/>
          <w:color w:val="222222"/>
          <w:szCs w:val="22"/>
          <w:highlight w:val="white"/>
        </w:rPr>
        <w:t xml:space="preserve">, vol. </w:t>
      </w:r>
      <w:r w:rsidRPr="00CE0E59">
        <w:rPr>
          <w:rFonts w:eastAsia="Arial" w:cs="Arial"/>
          <w:i/>
          <w:iCs/>
          <w:color w:val="222222"/>
          <w:szCs w:val="22"/>
          <w:highlight w:val="white"/>
        </w:rPr>
        <w:t>34</w:t>
      </w:r>
      <w:r w:rsidRPr="00CE0E59">
        <w:rPr>
          <w:rFonts w:eastAsia="Arial" w:cs="Arial"/>
          <w:color w:val="222222"/>
          <w:szCs w:val="22"/>
          <w:highlight w:val="white"/>
        </w:rPr>
        <w:t>, no. 3, pp. 190-200.</w:t>
      </w:r>
      <w:r w:rsidRPr="00CE0E59">
        <w:rPr>
          <w:rFonts w:eastAsia="Arial" w:cs="Arial"/>
          <w:szCs w:val="22"/>
        </w:rPr>
        <w:t xml:space="preserve"> </w:t>
      </w:r>
      <w:hyperlink r:id="rId17">
        <w:r w:rsidRPr="00CE0E59">
          <w:rPr>
            <w:rFonts w:eastAsia="Arial" w:cs="Arial"/>
            <w:color w:val="1155CC"/>
            <w:szCs w:val="22"/>
            <w:u w:val="single"/>
          </w:rPr>
          <w:t>https://qualitysafety.bmj.com/content/34/3/190.abstract</w:t>
        </w:r>
      </w:hyperlink>
    </w:p>
    <w:p w14:paraId="2BFA289D" w14:textId="77777777" w:rsidR="00A30F19" w:rsidRPr="00CE0E59" w:rsidRDefault="00A30F19" w:rsidP="004F7A09">
      <w:pPr>
        <w:spacing w:before="240" w:after="240"/>
        <w:rPr>
          <w:rFonts w:eastAsia="Arial" w:cs="Arial"/>
          <w:szCs w:val="22"/>
        </w:rPr>
      </w:pPr>
      <w:r w:rsidRPr="00CE0E59">
        <w:rPr>
          <w:rFonts w:eastAsia="Arial" w:cs="Arial"/>
          <w:szCs w:val="22"/>
        </w:rPr>
        <w:t xml:space="preserve">‌Ferris, G. (2025). </w:t>
      </w:r>
      <w:r w:rsidRPr="00CE0E59">
        <w:rPr>
          <w:rFonts w:eastAsia="Arial" w:cs="Arial"/>
          <w:i/>
          <w:iCs/>
          <w:szCs w:val="22"/>
        </w:rPr>
        <w:t>Tuberculosis on the rise in the UK - Healthcare Today</w:t>
      </w:r>
      <w:r w:rsidRPr="00CE0E59">
        <w:rPr>
          <w:rFonts w:eastAsia="Arial" w:cs="Arial"/>
          <w:szCs w:val="22"/>
        </w:rPr>
        <w:t xml:space="preserve">. [online] Healthcare Today. Available at: </w:t>
      </w:r>
      <w:hyperlink r:id="rId18">
        <w:r w:rsidRPr="00CE0E59">
          <w:rPr>
            <w:rFonts w:eastAsia="Arial" w:cs="Arial"/>
            <w:color w:val="1155CC"/>
            <w:szCs w:val="22"/>
            <w:u w:val="single"/>
          </w:rPr>
          <w:t>https://healthcaretoday.com/article/tuberculosis-on-the-rise-in-the-uk</w:t>
        </w:r>
      </w:hyperlink>
      <w:r w:rsidRPr="00CE0E59">
        <w:rPr>
          <w:rFonts w:eastAsia="Arial" w:cs="Arial"/>
          <w:szCs w:val="22"/>
        </w:rPr>
        <w:t xml:space="preserve"> [Accessed 17 July 2026].</w:t>
      </w:r>
    </w:p>
    <w:p w14:paraId="36F4DDDC" w14:textId="77777777" w:rsidR="00A30F19" w:rsidRPr="00CE0E59" w:rsidRDefault="00A30F19" w:rsidP="004F7A09">
      <w:pPr>
        <w:spacing w:after="240"/>
        <w:rPr>
          <w:rFonts w:eastAsia="Arial" w:cs="Arial"/>
          <w:szCs w:val="22"/>
        </w:rPr>
      </w:pPr>
      <w:r w:rsidRPr="00CE0E59">
        <w:rPr>
          <w:rFonts w:eastAsia="Arial" w:cs="Arial"/>
          <w:szCs w:val="22"/>
          <w:lang w:val="en-IN"/>
        </w:rPr>
        <w:t xml:space="preserve">Garlick, S. (2022). </w:t>
      </w:r>
      <w:r w:rsidRPr="00CE0E59">
        <w:rPr>
          <w:rFonts w:eastAsia="Arial" w:cs="Arial"/>
          <w:i/>
          <w:iCs/>
          <w:szCs w:val="22"/>
          <w:lang w:val="en-IN"/>
        </w:rPr>
        <w:t>Ethnic group, England and Wales. [online] Ons.gov.uk.</w:t>
      </w:r>
      <w:r w:rsidRPr="00CE0E59">
        <w:rPr>
          <w:rFonts w:eastAsia="Arial" w:cs="Arial"/>
          <w:szCs w:val="22"/>
          <w:lang w:val="en-IN"/>
        </w:rPr>
        <w:t xml:space="preserve"> Available at: </w:t>
      </w:r>
      <w:hyperlink r:id="rId19" w:history="1">
        <w:r w:rsidRPr="00CE0E59">
          <w:rPr>
            <w:rStyle w:val="Hyperlink"/>
            <w:rFonts w:eastAsia="Arial" w:cs="Arial"/>
            <w:szCs w:val="22"/>
            <w:lang w:val="en-IN"/>
          </w:rPr>
          <w:t>https://www.ons.gov.uk/peoplepopulationandcommunity/culturalidentity/ethnicity/bulletins/ethnicgroupenglandandwales/census2021</w:t>
        </w:r>
      </w:hyperlink>
      <w:r w:rsidRPr="00CE0E59">
        <w:rPr>
          <w:rFonts w:eastAsia="Arial" w:cs="Arial"/>
          <w:szCs w:val="22"/>
          <w:lang w:val="en-IN"/>
        </w:rPr>
        <w:t xml:space="preserve"> [Accessed 11 July 2026]. </w:t>
      </w:r>
    </w:p>
    <w:p w14:paraId="6AF01E0E" w14:textId="77777777" w:rsidR="00A30F19" w:rsidRPr="00CE0E59" w:rsidRDefault="00A30F19" w:rsidP="004F7A09">
      <w:pPr>
        <w:spacing w:after="240"/>
        <w:rPr>
          <w:rFonts w:eastAsia="Arial" w:cs="Arial"/>
          <w:szCs w:val="22"/>
        </w:rPr>
      </w:pPr>
      <w:r w:rsidRPr="00CE0E59">
        <w:rPr>
          <w:rFonts w:eastAsia="Arial" w:cs="Arial"/>
          <w:szCs w:val="22"/>
        </w:rPr>
        <w:t xml:space="preserve">Gov.uk, (2021). </w:t>
      </w:r>
      <w:r w:rsidRPr="00CE0E59">
        <w:rPr>
          <w:rFonts w:eastAsia="Arial" w:cs="Arial"/>
          <w:i/>
          <w:iCs/>
          <w:szCs w:val="22"/>
        </w:rPr>
        <w:t>Ethnic disparities in the major causes of mortality and their risk factors – a rapid review</w:t>
      </w:r>
      <w:r w:rsidRPr="00CE0E59">
        <w:rPr>
          <w:rFonts w:eastAsia="Arial" w:cs="Arial"/>
          <w:szCs w:val="22"/>
        </w:rPr>
        <w:t xml:space="preserve">. [online] GOV.UK. Available at: </w:t>
      </w:r>
      <w:hyperlink r:id="rId20">
        <w:r w:rsidRPr="00CE0E59">
          <w:rPr>
            <w:rFonts w:eastAsia="Arial" w:cs="Arial"/>
            <w:color w:val="1155CC"/>
            <w:szCs w:val="22"/>
            <w:u w:val="single"/>
          </w:rPr>
          <w:t>https://www.gov.uk/government/publications/the-report-of-the-commission-on-race-and-ethnic-disparities-supporting-research/ethnic-disparities-in-the-major-causes-of-mortality-and-their-risk-factors-by-dr-raghib-ali-et-al</w:t>
        </w:r>
      </w:hyperlink>
      <w:r w:rsidRPr="00CE0E59">
        <w:rPr>
          <w:rFonts w:eastAsia="Arial" w:cs="Arial"/>
          <w:szCs w:val="22"/>
        </w:rPr>
        <w:t xml:space="preserve"> [Accessed 10 July 2026].</w:t>
      </w:r>
    </w:p>
    <w:p w14:paraId="18BDF6D3" w14:textId="77777777" w:rsidR="00A30F19" w:rsidRPr="00CE0E59" w:rsidRDefault="00A30F19" w:rsidP="004F7A09">
      <w:pPr>
        <w:spacing w:before="240" w:after="240"/>
        <w:rPr>
          <w:rFonts w:eastAsia="Arial" w:cs="Arial"/>
          <w:szCs w:val="22"/>
        </w:rPr>
      </w:pPr>
      <w:r w:rsidRPr="00CE0E59">
        <w:rPr>
          <w:rFonts w:eastAsia="Arial" w:cs="Arial"/>
          <w:szCs w:val="22"/>
        </w:rPr>
        <w:t>Gov.uk, (2022). ‌</w:t>
      </w:r>
      <w:r w:rsidRPr="00CE0E59">
        <w:rPr>
          <w:rFonts w:eastAsia="Arial" w:cs="Arial"/>
          <w:i/>
          <w:iCs/>
          <w:szCs w:val="22"/>
        </w:rPr>
        <w:t>Commission on Race and Ethnic Disparities (2021).</w:t>
      </w:r>
      <w:r w:rsidRPr="00CE0E59">
        <w:rPr>
          <w:rFonts w:eastAsia="Arial" w:cs="Arial"/>
          <w:szCs w:val="22"/>
        </w:rPr>
        <w:t xml:space="preserve"> Health. </w:t>
      </w:r>
      <w:r w:rsidRPr="00CE0E59">
        <w:rPr>
          <w:rFonts w:eastAsia="Arial" w:cs="Arial"/>
          <w:i/>
          <w:iCs/>
          <w:szCs w:val="22"/>
        </w:rPr>
        <w:t>GOV.UK</w:t>
      </w:r>
      <w:r w:rsidRPr="00CE0E59">
        <w:rPr>
          <w:rFonts w:eastAsia="Arial" w:cs="Arial"/>
          <w:szCs w:val="22"/>
        </w:rPr>
        <w:t>. [online] doi:10.1101/2021.01.15.21249756v2. [Accessed 7 July 2026].</w:t>
      </w:r>
    </w:p>
    <w:p w14:paraId="4AB2BA51" w14:textId="77777777" w:rsidR="00A30F19" w:rsidRPr="00CE0E59" w:rsidRDefault="00A30F19" w:rsidP="004F7A09">
      <w:pPr>
        <w:spacing w:after="240"/>
        <w:rPr>
          <w:rFonts w:eastAsia="Arial" w:cs="Arial"/>
          <w:szCs w:val="22"/>
        </w:rPr>
      </w:pPr>
      <w:r w:rsidRPr="00CE0E59">
        <w:rPr>
          <w:rFonts w:eastAsia="Arial" w:cs="Arial"/>
          <w:szCs w:val="22"/>
        </w:rPr>
        <w:t xml:space="preserve">Gov.uk, (2024). </w:t>
      </w:r>
      <w:r w:rsidRPr="00CE0E59">
        <w:rPr>
          <w:rFonts w:eastAsia="Arial" w:cs="Arial"/>
          <w:i/>
          <w:iCs/>
          <w:szCs w:val="22"/>
        </w:rPr>
        <w:t>National quarterly report of tuberculosis in England: quarter 1, 2024, provisional data</w:t>
      </w:r>
      <w:r w:rsidRPr="00CE0E59">
        <w:rPr>
          <w:rFonts w:eastAsia="Arial" w:cs="Arial"/>
          <w:szCs w:val="22"/>
        </w:rPr>
        <w:t xml:space="preserve">. [online] GOV.UK. Available at: </w:t>
      </w:r>
      <w:hyperlink r:id="rId21">
        <w:r w:rsidRPr="00CE0E59">
          <w:rPr>
            <w:rFonts w:eastAsia="Arial" w:cs="Arial"/>
            <w:color w:val="1155CC"/>
            <w:szCs w:val="22"/>
            <w:u w:val="single"/>
          </w:rPr>
          <w:t>https://www.gov.uk/government/statistics/tuberculosis-in-england-national-quarterly-reports/national-quarterly-report-of-tuberculosis-in-england-quarter-1-2024-provisional-data</w:t>
        </w:r>
      </w:hyperlink>
      <w:r w:rsidRPr="00CE0E59">
        <w:rPr>
          <w:rFonts w:eastAsia="Arial" w:cs="Arial"/>
          <w:szCs w:val="22"/>
        </w:rPr>
        <w:t xml:space="preserve"> [Accessed 7 July 2026].</w:t>
      </w:r>
    </w:p>
    <w:p w14:paraId="45A2A212" w14:textId="77777777" w:rsidR="00A30F19" w:rsidRPr="00CE0E59" w:rsidRDefault="00A30F19" w:rsidP="004F7A09">
      <w:pPr>
        <w:spacing w:after="240"/>
        <w:rPr>
          <w:rFonts w:eastAsia="Arial" w:cs="Arial"/>
          <w:szCs w:val="22"/>
        </w:rPr>
      </w:pPr>
      <w:r w:rsidRPr="00CE0E59">
        <w:rPr>
          <w:rFonts w:eastAsia="Arial" w:cs="Arial"/>
          <w:szCs w:val="22"/>
        </w:rPr>
        <w:lastRenderedPageBreak/>
        <w:t xml:space="preserve">Gov.uk, (2025). </w:t>
      </w:r>
      <w:r w:rsidRPr="00CE0E59">
        <w:rPr>
          <w:rFonts w:eastAsia="Arial" w:cs="Arial"/>
          <w:i/>
          <w:iCs/>
          <w:szCs w:val="22"/>
        </w:rPr>
        <w:t>Overcrowded households</w:t>
      </w:r>
      <w:r w:rsidRPr="00CE0E59">
        <w:rPr>
          <w:rFonts w:eastAsia="Arial" w:cs="Arial"/>
          <w:szCs w:val="22"/>
        </w:rPr>
        <w:t xml:space="preserve">. [online] Service.gov.uk. Available at: </w:t>
      </w:r>
      <w:hyperlink r:id="rId22">
        <w:r w:rsidRPr="00CE0E59">
          <w:rPr>
            <w:rFonts w:eastAsia="Arial" w:cs="Arial"/>
            <w:color w:val="1155CC"/>
            <w:szCs w:val="22"/>
            <w:u w:val="single"/>
          </w:rPr>
          <w:t>https://www.ethnicity-facts-figures.service.gov.uk/housing/housing-conditions/overcrowded-households/latest/</w:t>
        </w:r>
      </w:hyperlink>
      <w:r w:rsidRPr="00CE0E59">
        <w:rPr>
          <w:rFonts w:eastAsia="Arial" w:cs="Arial"/>
          <w:szCs w:val="22"/>
        </w:rPr>
        <w:t xml:space="preserve"> [Accessed 11 July 2026].</w:t>
      </w:r>
    </w:p>
    <w:p w14:paraId="0B3074EB" w14:textId="77777777" w:rsidR="00A30F19" w:rsidRPr="00CE0E59" w:rsidRDefault="00A30F19" w:rsidP="004F7A09">
      <w:pPr>
        <w:spacing w:after="240"/>
        <w:rPr>
          <w:rFonts w:eastAsia="Arial" w:cs="Arial"/>
          <w:szCs w:val="22"/>
        </w:rPr>
      </w:pPr>
      <w:r w:rsidRPr="00CE0E59">
        <w:rPr>
          <w:rFonts w:eastAsia="Arial" w:cs="Arial"/>
          <w:szCs w:val="22"/>
        </w:rPr>
        <w:t xml:space="preserve">Gov.uk, (2026). </w:t>
      </w:r>
      <w:r w:rsidRPr="00CE0E59">
        <w:rPr>
          <w:rFonts w:eastAsia="Arial" w:cs="Arial"/>
          <w:i/>
          <w:iCs/>
          <w:szCs w:val="22"/>
        </w:rPr>
        <w:t>London: tuberculosis in 2023</w:t>
      </w:r>
      <w:r w:rsidRPr="00CE0E59">
        <w:rPr>
          <w:rFonts w:eastAsia="Arial" w:cs="Arial"/>
          <w:szCs w:val="22"/>
        </w:rPr>
        <w:t xml:space="preserve">. [online] GOV.UK. Available at: </w:t>
      </w:r>
      <w:hyperlink r:id="rId23">
        <w:r w:rsidRPr="00CE0E59">
          <w:rPr>
            <w:rFonts w:eastAsia="Arial" w:cs="Arial"/>
            <w:color w:val="1155CC"/>
            <w:szCs w:val="22"/>
            <w:u w:val="single"/>
          </w:rPr>
          <w:t>https://www.gov.uk/government/publications/tuberculosis-tb-regional-reports-2023/london-tuberculosis-in-2023</w:t>
        </w:r>
      </w:hyperlink>
      <w:r w:rsidRPr="00CE0E59">
        <w:rPr>
          <w:rFonts w:eastAsia="Arial" w:cs="Arial"/>
          <w:szCs w:val="22"/>
        </w:rPr>
        <w:t xml:space="preserve"> [Accessed 7 July 2026].</w:t>
      </w:r>
    </w:p>
    <w:p w14:paraId="5D020FD2" w14:textId="77777777" w:rsidR="00A30F19" w:rsidRPr="00CE0E59" w:rsidRDefault="00A30F19" w:rsidP="004F7A09">
      <w:pPr>
        <w:spacing w:before="240" w:after="240"/>
        <w:rPr>
          <w:rFonts w:eastAsia="Arial" w:cs="Arial"/>
          <w:szCs w:val="22"/>
        </w:rPr>
      </w:pPr>
      <w:r w:rsidRPr="00CE0E59">
        <w:rPr>
          <w:rFonts w:eastAsia="Arial" w:cs="Arial"/>
          <w:szCs w:val="22"/>
        </w:rPr>
        <w:t>‌</w:t>
      </w:r>
      <w:r w:rsidRPr="00CE0E59">
        <w:rPr>
          <w:rFonts w:eastAsia="Arial" w:cs="Arial"/>
          <w:color w:val="222222"/>
          <w:szCs w:val="22"/>
          <w:highlight w:val="white"/>
        </w:rPr>
        <w:t xml:space="preserve">Heyckendorf, J., Georghiou, S. B., Frahm, N., Heinrich, N., </w:t>
      </w:r>
      <w:proofErr w:type="spellStart"/>
      <w:r w:rsidRPr="00CE0E59">
        <w:rPr>
          <w:rFonts w:eastAsia="Arial" w:cs="Arial"/>
          <w:color w:val="222222"/>
          <w:szCs w:val="22"/>
          <w:highlight w:val="white"/>
        </w:rPr>
        <w:t>Kontsevaya</w:t>
      </w:r>
      <w:proofErr w:type="spellEnd"/>
      <w:r w:rsidRPr="00CE0E59">
        <w:rPr>
          <w:rFonts w:eastAsia="Arial" w:cs="Arial"/>
          <w:color w:val="222222"/>
          <w:szCs w:val="22"/>
          <w:highlight w:val="white"/>
        </w:rPr>
        <w:t xml:space="preserve">, I., Reimann, M., ... and UNITE4TB Consortium. (2022). Tuberculosis treatment monitoring and outcome measures: new interest and new strategies. </w:t>
      </w:r>
      <w:r w:rsidRPr="00CE0E59">
        <w:rPr>
          <w:rFonts w:eastAsia="Arial" w:cs="Arial"/>
          <w:i/>
          <w:iCs/>
          <w:color w:val="222222"/>
          <w:szCs w:val="22"/>
          <w:highlight w:val="white"/>
        </w:rPr>
        <w:t>Clinical microbiology reviews</w:t>
      </w:r>
      <w:r w:rsidRPr="00CE0E59">
        <w:rPr>
          <w:rFonts w:eastAsia="Arial" w:cs="Arial"/>
          <w:color w:val="222222"/>
          <w:szCs w:val="22"/>
          <w:highlight w:val="white"/>
        </w:rPr>
        <w:t xml:space="preserve">, vol. </w:t>
      </w:r>
      <w:r w:rsidRPr="00CE0E59">
        <w:rPr>
          <w:rFonts w:eastAsia="Arial" w:cs="Arial"/>
          <w:i/>
          <w:iCs/>
          <w:color w:val="222222"/>
          <w:szCs w:val="22"/>
          <w:highlight w:val="white"/>
        </w:rPr>
        <w:t>35</w:t>
      </w:r>
      <w:r w:rsidRPr="00CE0E59">
        <w:rPr>
          <w:rFonts w:eastAsia="Arial" w:cs="Arial"/>
          <w:color w:val="222222"/>
          <w:szCs w:val="22"/>
          <w:highlight w:val="white"/>
        </w:rPr>
        <w:t>, pp. 3, e00227-21.</w:t>
      </w:r>
      <w:r w:rsidRPr="00CE0E59">
        <w:rPr>
          <w:rFonts w:eastAsia="Arial" w:cs="Arial"/>
          <w:szCs w:val="22"/>
        </w:rPr>
        <w:t xml:space="preserve"> </w:t>
      </w:r>
      <w:hyperlink r:id="rId24">
        <w:r w:rsidRPr="00CE0E59">
          <w:rPr>
            <w:rFonts w:eastAsia="Arial" w:cs="Arial"/>
            <w:color w:val="1155CC"/>
            <w:szCs w:val="22"/>
            <w:u w:val="single"/>
          </w:rPr>
          <w:t>https://journals.asm.org/doi/abs/10.1128/cmr.00227-21</w:t>
        </w:r>
      </w:hyperlink>
    </w:p>
    <w:p w14:paraId="3325CAD3" w14:textId="77777777" w:rsidR="00A30F19" w:rsidRPr="00CE0E59" w:rsidRDefault="00A30F19" w:rsidP="004F7A09">
      <w:pPr>
        <w:spacing w:before="240" w:after="240"/>
        <w:rPr>
          <w:rFonts w:eastAsia="Arial" w:cs="Arial"/>
          <w:szCs w:val="22"/>
        </w:rPr>
      </w:pPr>
      <w:r w:rsidRPr="00CE0E59">
        <w:rPr>
          <w:rFonts w:eastAsia="Arial" w:cs="Arial"/>
          <w:color w:val="222222"/>
          <w:szCs w:val="22"/>
          <w:highlight w:val="white"/>
        </w:rPr>
        <w:t xml:space="preserve">Jones, A. S., Horne, R., White, J., Costello, T., Darvell, M., Karat, A. S., ... and IMPACT study group. (2024). Development and description of a theory-driven, evidence-based, complex intervention to improve adherence to treatment for tuberculosis in the UK: the IMPACT study. </w:t>
      </w:r>
      <w:r w:rsidRPr="00CE0E59">
        <w:rPr>
          <w:rFonts w:eastAsia="Arial" w:cs="Arial"/>
          <w:i/>
          <w:iCs/>
          <w:color w:val="222222"/>
          <w:szCs w:val="22"/>
          <w:highlight w:val="white"/>
        </w:rPr>
        <w:t xml:space="preserve">Health Psychology and </w:t>
      </w:r>
      <w:proofErr w:type="spellStart"/>
      <w:r w:rsidRPr="00CE0E59">
        <w:rPr>
          <w:rFonts w:eastAsia="Arial" w:cs="Arial"/>
          <w:i/>
          <w:iCs/>
          <w:color w:val="222222"/>
          <w:szCs w:val="22"/>
          <w:highlight w:val="white"/>
        </w:rPr>
        <w:t>Behavioral</w:t>
      </w:r>
      <w:proofErr w:type="spellEnd"/>
      <w:r w:rsidRPr="00CE0E59">
        <w:rPr>
          <w:rFonts w:eastAsia="Arial" w:cs="Arial"/>
          <w:i/>
          <w:iCs/>
          <w:color w:val="222222"/>
          <w:szCs w:val="22"/>
          <w:highlight w:val="white"/>
        </w:rPr>
        <w:t xml:space="preserve"> Medicine</w:t>
      </w:r>
      <w:r w:rsidRPr="00CE0E59">
        <w:rPr>
          <w:rFonts w:eastAsia="Arial" w:cs="Arial"/>
          <w:color w:val="222222"/>
          <w:szCs w:val="22"/>
          <w:highlight w:val="white"/>
        </w:rPr>
        <w:t xml:space="preserve">, vol. </w:t>
      </w:r>
      <w:r w:rsidRPr="00CE0E59">
        <w:rPr>
          <w:rFonts w:eastAsia="Arial" w:cs="Arial"/>
          <w:i/>
          <w:iCs/>
          <w:color w:val="222222"/>
          <w:szCs w:val="22"/>
          <w:highlight w:val="white"/>
        </w:rPr>
        <w:t xml:space="preserve">12, no. </w:t>
      </w:r>
      <w:r w:rsidRPr="00CE0E59">
        <w:rPr>
          <w:rFonts w:eastAsia="Arial" w:cs="Arial"/>
          <w:color w:val="222222"/>
          <w:szCs w:val="22"/>
          <w:highlight w:val="white"/>
        </w:rPr>
        <w:t>1, 2277289.</w:t>
      </w:r>
      <w:r w:rsidRPr="00CE0E59">
        <w:rPr>
          <w:rFonts w:eastAsia="Arial" w:cs="Arial"/>
          <w:szCs w:val="22"/>
        </w:rPr>
        <w:t xml:space="preserve"> </w:t>
      </w:r>
      <w:hyperlink r:id="rId25">
        <w:r w:rsidRPr="00CE0E59">
          <w:rPr>
            <w:rFonts w:eastAsia="Arial" w:cs="Arial"/>
            <w:color w:val="1155CC"/>
            <w:szCs w:val="22"/>
            <w:u w:val="single"/>
          </w:rPr>
          <w:t>https://www.tandfonline.com/doi/abs/10.1080/21642850.2023.2277289</w:t>
        </w:r>
      </w:hyperlink>
    </w:p>
    <w:p w14:paraId="4BE2CAD5" w14:textId="77777777" w:rsidR="00A30F19" w:rsidRPr="00707539" w:rsidRDefault="00A30F19" w:rsidP="004F7A09">
      <w:pPr>
        <w:spacing w:before="240" w:after="240"/>
        <w:rPr>
          <w:rFonts w:eastAsia="Arial" w:cs="Arial"/>
          <w:szCs w:val="22"/>
          <w:lang w:val="nl-NL"/>
        </w:rPr>
      </w:pPr>
      <w:r w:rsidRPr="00CE0E59">
        <w:rPr>
          <w:rFonts w:eastAsia="Arial" w:cs="Arial"/>
          <w:szCs w:val="22"/>
        </w:rPr>
        <w:t>‌</w:t>
      </w:r>
      <w:r w:rsidRPr="00CE0E59">
        <w:rPr>
          <w:rFonts w:eastAsia="Arial" w:cs="Arial"/>
          <w:color w:val="222222"/>
          <w:szCs w:val="22"/>
          <w:highlight w:val="white"/>
        </w:rPr>
        <w:t xml:space="preserve">Lawrence, A. (2024). Bacillus Calmette-Guérin (BCG) revaccination and protection against tuberculosis: a systematic review. </w:t>
      </w:r>
      <w:r w:rsidRPr="00707539">
        <w:rPr>
          <w:rFonts w:eastAsia="Arial" w:cs="Arial"/>
          <w:i/>
          <w:iCs/>
          <w:color w:val="222222"/>
          <w:szCs w:val="22"/>
          <w:highlight w:val="white"/>
          <w:lang w:val="nl-NL"/>
        </w:rPr>
        <w:t>Cureus</w:t>
      </w:r>
      <w:r w:rsidRPr="00707539">
        <w:rPr>
          <w:rFonts w:eastAsia="Arial" w:cs="Arial"/>
          <w:color w:val="222222"/>
          <w:szCs w:val="22"/>
          <w:highlight w:val="white"/>
          <w:lang w:val="nl-NL"/>
        </w:rPr>
        <w:t xml:space="preserve">, vol. </w:t>
      </w:r>
      <w:r w:rsidRPr="00707539">
        <w:rPr>
          <w:rFonts w:eastAsia="Arial" w:cs="Arial"/>
          <w:i/>
          <w:iCs/>
          <w:color w:val="222222"/>
          <w:szCs w:val="22"/>
          <w:highlight w:val="white"/>
          <w:lang w:val="nl-NL"/>
        </w:rPr>
        <w:t>16</w:t>
      </w:r>
      <w:r w:rsidRPr="00707539">
        <w:rPr>
          <w:rFonts w:eastAsia="Arial" w:cs="Arial"/>
          <w:color w:val="222222"/>
          <w:szCs w:val="22"/>
          <w:highlight w:val="white"/>
          <w:lang w:val="nl-NL"/>
        </w:rPr>
        <w:t>, no. 3.</w:t>
      </w:r>
      <w:r w:rsidRPr="00707539">
        <w:rPr>
          <w:rFonts w:eastAsia="Arial" w:cs="Arial"/>
          <w:szCs w:val="22"/>
          <w:lang w:val="nl-NL"/>
        </w:rPr>
        <w:t xml:space="preserve"> </w:t>
      </w:r>
      <w:hyperlink r:id="rId26">
        <w:r w:rsidRPr="00707539">
          <w:rPr>
            <w:rFonts w:eastAsia="Arial" w:cs="Arial"/>
            <w:color w:val="1155CC"/>
            <w:szCs w:val="22"/>
            <w:u w:val="single"/>
            <w:lang w:val="nl-NL"/>
          </w:rPr>
          <w:t>https://www.cureus.com/articles/239876-bacillus-calmette-gurin-bcg-revaccination-and-protection-against-tuberculosis-a-systematic-review.pdf</w:t>
        </w:r>
      </w:hyperlink>
    </w:p>
    <w:p w14:paraId="568C2079" w14:textId="77777777" w:rsidR="00A30F19" w:rsidRPr="00CE0E59" w:rsidRDefault="00A30F19" w:rsidP="004F7A09">
      <w:pPr>
        <w:spacing w:before="240" w:after="240"/>
        <w:rPr>
          <w:rFonts w:eastAsia="Arial" w:cs="Arial"/>
          <w:szCs w:val="22"/>
        </w:rPr>
      </w:pPr>
      <w:r w:rsidRPr="00CE0E59">
        <w:rPr>
          <w:rFonts w:eastAsia="Arial" w:cs="Arial"/>
          <w:color w:val="222222"/>
          <w:szCs w:val="22"/>
          <w:highlight w:val="white"/>
        </w:rPr>
        <w:t xml:space="preserve">Lyness, G., Verlander, N. Q., and Beck, C. R. (2026). Exposures associated with tuberculosis presentation and healthcare delays in South West England, 2015–2020. </w:t>
      </w:r>
      <w:proofErr w:type="spellStart"/>
      <w:r w:rsidRPr="00CE0E59">
        <w:rPr>
          <w:rFonts w:eastAsia="Arial" w:cs="Arial"/>
          <w:i/>
          <w:iCs/>
          <w:color w:val="222222"/>
          <w:szCs w:val="22"/>
          <w:highlight w:val="white"/>
        </w:rPr>
        <w:t>PLoS</w:t>
      </w:r>
      <w:proofErr w:type="spellEnd"/>
      <w:r w:rsidRPr="00CE0E59">
        <w:rPr>
          <w:rFonts w:eastAsia="Arial" w:cs="Arial"/>
          <w:i/>
          <w:iCs/>
          <w:color w:val="222222"/>
          <w:szCs w:val="22"/>
          <w:highlight w:val="white"/>
        </w:rPr>
        <w:t xml:space="preserve"> One</w:t>
      </w:r>
      <w:r w:rsidRPr="00CE0E59">
        <w:rPr>
          <w:rFonts w:eastAsia="Arial" w:cs="Arial"/>
          <w:color w:val="222222"/>
          <w:szCs w:val="22"/>
          <w:highlight w:val="white"/>
        </w:rPr>
        <w:t xml:space="preserve">, vol. </w:t>
      </w:r>
      <w:r w:rsidRPr="00CE0E59">
        <w:rPr>
          <w:rFonts w:eastAsia="Arial" w:cs="Arial"/>
          <w:i/>
          <w:iCs/>
          <w:color w:val="222222"/>
          <w:szCs w:val="22"/>
          <w:highlight w:val="white"/>
        </w:rPr>
        <w:t>21</w:t>
      </w:r>
      <w:r w:rsidRPr="00CE0E59">
        <w:rPr>
          <w:rFonts w:eastAsia="Arial" w:cs="Arial"/>
          <w:color w:val="222222"/>
          <w:szCs w:val="22"/>
          <w:highlight w:val="white"/>
        </w:rPr>
        <w:t>, no. 1, e0340187.</w:t>
      </w:r>
      <w:r w:rsidRPr="00CE0E59">
        <w:rPr>
          <w:rFonts w:eastAsia="Arial" w:cs="Arial"/>
          <w:szCs w:val="22"/>
        </w:rPr>
        <w:t xml:space="preserve"> </w:t>
      </w:r>
      <w:hyperlink r:id="rId27">
        <w:r w:rsidRPr="00CE0E59">
          <w:rPr>
            <w:rFonts w:eastAsia="Arial" w:cs="Arial"/>
            <w:color w:val="1155CC"/>
            <w:szCs w:val="22"/>
            <w:u w:val="single"/>
          </w:rPr>
          <w:t>https://journals.plos.org/plosone/article?id=10.1371/journal.pone.0340187</w:t>
        </w:r>
      </w:hyperlink>
    </w:p>
    <w:p w14:paraId="58C6ACA7" w14:textId="77777777" w:rsidR="00A30F19" w:rsidRPr="00CE0E59" w:rsidRDefault="00A30F19" w:rsidP="004F7A09">
      <w:pPr>
        <w:spacing w:before="240" w:after="240"/>
        <w:rPr>
          <w:rFonts w:eastAsia="Arial" w:cs="Arial"/>
          <w:szCs w:val="22"/>
        </w:rPr>
      </w:pPr>
      <w:r w:rsidRPr="00CE0E59">
        <w:rPr>
          <w:rFonts w:eastAsia="Arial" w:cs="Arial"/>
          <w:color w:val="222222"/>
          <w:szCs w:val="22"/>
          <w:highlight w:val="white"/>
        </w:rPr>
        <w:t xml:space="preserve">Mok, W. M. P., Malar, J., Soltan, V., Smyth, C., Ul Eman, K., </w:t>
      </w:r>
      <w:proofErr w:type="spellStart"/>
      <w:r w:rsidRPr="00CE0E59">
        <w:rPr>
          <w:rFonts w:eastAsia="Arial" w:cs="Arial"/>
          <w:color w:val="222222"/>
          <w:szCs w:val="22"/>
          <w:highlight w:val="white"/>
        </w:rPr>
        <w:t>Subakti</w:t>
      </w:r>
      <w:proofErr w:type="spellEnd"/>
      <w:r w:rsidRPr="00CE0E59">
        <w:rPr>
          <w:rFonts w:eastAsia="Arial" w:cs="Arial"/>
          <w:color w:val="222222"/>
          <w:szCs w:val="22"/>
          <w:highlight w:val="white"/>
        </w:rPr>
        <w:t xml:space="preserve">, A., ... and Chamreun, C. S. (2026). Assessing tuberculosis stigma: a pooled multi-country descriptive analysis of 17 high-burden </w:t>
      </w:r>
      <w:r w:rsidRPr="00CE0E59">
        <w:rPr>
          <w:rFonts w:eastAsia="Arial" w:cs="Arial"/>
          <w:color w:val="222222"/>
          <w:szCs w:val="22"/>
          <w:highlight w:val="white"/>
        </w:rPr>
        <w:lastRenderedPageBreak/>
        <w:t xml:space="preserve">countries using a standardised tool. </w:t>
      </w:r>
      <w:r w:rsidRPr="00CE0E59">
        <w:rPr>
          <w:rFonts w:eastAsia="Arial" w:cs="Arial"/>
          <w:i/>
          <w:iCs/>
          <w:color w:val="222222"/>
          <w:szCs w:val="22"/>
          <w:highlight w:val="white"/>
        </w:rPr>
        <w:t>Frontiers in Public Health</w:t>
      </w:r>
      <w:r w:rsidRPr="00CE0E59">
        <w:rPr>
          <w:rFonts w:eastAsia="Arial" w:cs="Arial"/>
          <w:color w:val="222222"/>
          <w:szCs w:val="22"/>
          <w:highlight w:val="white"/>
        </w:rPr>
        <w:t xml:space="preserve">, vol. </w:t>
      </w:r>
      <w:r w:rsidRPr="00CE0E59">
        <w:rPr>
          <w:rFonts w:eastAsia="Arial" w:cs="Arial"/>
          <w:i/>
          <w:iCs/>
          <w:color w:val="222222"/>
          <w:szCs w:val="22"/>
          <w:highlight w:val="white"/>
        </w:rPr>
        <w:t>14</w:t>
      </w:r>
      <w:r w:rsidRPr="00CE0E59">
        <w:rPr>
          <w:rFonts w:eastAsia="Arial" w:cs="Arial"/>
          <w:color w:val="222222"/>
          <w:szCs w:val="22"/>
          <w:highlight w:val="white"/>
        </w:rPr>
        <w:t>, 1799432.</w:t>
      </w:r>
      <w:r w:rsidRPr="00CE0E59">
        <w:rPr>
          <w:rFonts w:eastAsia="Arial" w:cs="Arial"/>
          <w:szCs w:val="22"/>
        </w:rPr>
        <w:t xml:space="preserve"> </w:t>
      </w:r>
      <w:hyperlink r:id="rId28">
        <w:r w:rsidRPr="00CE0E59">
          <w:rPr>
            <w:rFonts w:eastAsia="Arial" w:cs="Arial"/>
            <w:color w:val="1155CC"/>
            <w:szCs w:val="22"/>
            <w:u w:val="single"/>
          </w:rPr>
          <w:t>https://www.frontiersin.org/journals/public-health/articles/10.3389/fpubh.2026.1799432/full</w:t>
        </w:r>
      </w:hyperlink>
    </w:p>
    <w:p w14:paraId="58DA75AF" w14:textId="77777777" w:rsidR="00A30F19" w:rsidRPr="00CE0E59" w:rsidRDefault="00A30F19" w:rsidP="004F7A09">
      <w:pPr>
        <w:spacing w:before="240" w:after="240"/>
        <w:rPr>
          <w:rFonts w:eastAsia="Arial" w:cs="Arial"/>
          <w:szCs w:val="22"/>
        </w:rPr>
      </w:pPr>
      <w:r w:rsidRPr="00CE0E59">
        <w:rPr>
          <w:rFonts w:eastAsia="Arial" w:cs="Arial"/>
          <w:color w:val="222222"/>
          <w:szCs w:val="22"/>
          <w:highlight w:val="white"/>
        </w:rPr>
        <w:t xml:space="preserve">Moore, H., and Boothroyd, A. (2023). </w:t>
      </w:r>
      <w:r w:rsidRPr="00CE0E59">
        <w:rPr>
          <w:rFonts w:eastAsia="Arial" w:cs="Arial"/>
          <w:i/>
          <w:iCs/>
          <w:color w:val="222222"/>
          <w:szCs w:val="22"/>
          <w:highlight w:val="white"/>
        </w:rPr>
        <w:t>Social Protection for the 21st Century: Towards a New Politics of Care</w:t>
      </w:r>
      <w:r w:rsidRPr="00CE0E59">
        <w:rPr>
          <w:rFonts w:eastAsia="Arial" w:cs="Arial"/>
          <w:color w:val="222222"/>
          <w:szCs w:val="22"/>
          <w:highlight w:val="white"/>
        </w:rPr>
        <w:t>.</w:t>
      </w:r>
      <w:r w:rsidRPr="00CE0E59">
        <w:rPr>
          <w:rFonts w:eastAsia="Arial" w:cs="Arial"/>
          <w:szCs w:val="22"/>
        </w:rPr>
        <w:t xml:space="preserve"> </w:t>
      </w:r>
      <w:hyperlink r:id="rId29">
        <w:r w:rsidRPr="00CE0E59">
          <w:rPr>
            <w:rFonts w:eastAsia="Arial" w:cs="Arial"/>
            <w:color w:val="1155CC"/>
            <w:szCs w:val="22"/>
            <w:u w:val="single"/>
          </w:rPr>
          <w:t>https://discovery.ucl.ac.uk/id/eprint/10164427/</w:t>
        </w:r>
      </w:hyperlink>
    </w:p>
    <w:p w14:paraId="4FE18D72" w14:textId="77777777" w:rsidR="00A30F19" w:rsidRPr="00CE0E59" w:rsidRDefault="00A30F19" w:rsidP="004F7A09">
      <w:pPr>
        <w:spacing w:before="240" w:after="240"/>
        <w:rPr>
          <w:rFonts w:eastAsia="Arial" w:cs="Arial"/>
          <w:szCs w:val="22"/>
        </w:rPr>
      </w:pPr>
      <w:r w:rsidRPr="00CE0E59">
        <w:rPr>
          <w:rFonts w:eastAsia="Arial" w:cs="Arial"/>
          <w:szCs w:val="22"/>
        </w:rPr>
        <w:t xml:space="preserve">Nhsrho.org, (2021). </w:t>
      </w:r>
      <w:r w:rsidRPr="00CE0E59">
        <w:rPr>
          <w:rFonts w:eastAsia="Arial" w:cs="Arial"/>
          <w:i/>
          <w:iCs/>
          <w:szCs w:val="22"/>
        </w:rPr>
        <w:t>NHS – Race and Health Observatory</w:t>
      </w:r>
      <w:r w:rsidRPr="00CE0E59">
        <w:rPr>
          <w:rFonts w:eastAsia="Arial" w:cs="Arial"/>
          <w:szCs w:val="22"/>
        </w:rPr>
        <w:t xml:space="preserve">. [online] Available at: </w:t>
      </w:r>
      <w:hyperlink r:id="rId30">
        <w:r w:rsidRPr="00CE0E59">
          <w:rPr>
            <w:rFonts w:eastAsia="Arial" w:cs="Arial"/>
            <w:color w:val="1155CC"/>
            <w:szCs w:val="22"/>
            <w:u w:val="single"/>
          </w:rPr>
          <w:t>https://nhsrho.org/about-us/</w:t>
        </w:r>
      </w:hyperlink>
      <w:r w:rsidRPr="00CE0E59">
        <w:rPr>
          <w:rFonts w:eastAsia="Arial" w:cs="Arial"/>
          <w:szCs w:val="22"/>
        </w:rPr>
        <w:t xml:space="preserve"> [Accessed 17 July 2026].</w:t>
      </w:r>
    </w:p>
    <w:p w14:paraId="1AFC2436" w14:textId="77777777" w:rsidR="00A30F19" w:rsidRPr="00CE0E59" w:rsidRDefault="00A30F19" w:rsidP="004F7A09">
      <w:pPr>
        <w:spacing w:before="240" w:after="240"/>
        <w:rPr>
          <w:rFonts w:eastAsia="Arial" w:cs="Arial"/>
          <w:szCs w:val="22"/>
        </w:rPr>
      </w:pPr>
      <w:r w:rsidRPr="00C5430E">
        <w:rPr>
          <w:rFonts w:eastAsia="Arial" w:cs="Arial"/>
          <w:color w:val="222222"/>
          <w:szCs w:val="22"/>
          <w:highlight w:val="white"/>
          <w:lang w:val="da-DK"/>
        </w:rPr>
        <w:t xml:space="preserve">O’Brien, K., Ikram, S., Burman, M., Rahman, A., Patel, P., Dart, S., ... and Kunst, H. (2026). </w:t>
      </w:r>
      <w:r w:rsidRPr="00CE0E59">
        <w:rPr>
          <w:rFonts w:eastAsia="Arial" w:cs="Arial"/>
          <w:color w:val="222222"/>
          <w:szCs w:val="22"/>
          <w:highlight w:val="white"/>
        </w:rPr>
        <w:t xml:space="preserve">Barriers and enablers of TB infection screening and treatment programme for recent migrants in East London. </w:t>
      </w:r>
      <w:r w:rsidRPr="00CE0E59">
        <w:rPr>
          <w:rFonts w:eastAsia="Arial" w:cs="Arial"/>
          <w:i/>
          <w:iCs/>
          <w:color w:val="222222"/>
          <w:szCs w:val="22"/>
          <w:highlight w:val="white"/>
        </w:rPr>
        <w:t>Public Health Action</w:t>
      </w:r>
      <w:r w:rsidRPr="00CE0E59">
        <w:rPr>
          <w:rFonts w:eastAsia="Arial" w:cs="Arial"/>
          <w:color w:val="222222"/>
          <w:szCs w:val="22"/>
          <w:highlight w:val="white"/>
        </w:rPr>
        <w:t xml:space="preserve">, vol. </w:t>
      </w:r>
      <w:r w:rsidRPr="00CE0E59">
        <w:rPr>
          <w:rFonts w:eastAsia="Arial" w:cs="Arial"/>
          <w:i/>
          <w:iCs/>
          <w:color w:val="222222"/>
          <w:szCs w:val="22"/>
          <w:highlight w:val="white"/>
        </w:rPr>
        <w:t>16</w:t>
      </w:r>
      <w:r w:rsidRPr="00CE0E59">
        <w:rPr>
          <w:rFonts w:eastAsia="Arial" w:cs="Arial"/>
          <w:color w:val="222222"/>
          <w:szCs w:val="22"/>
          <w:highlight w:val="white"/>
        </w:rPr>
        <w:t>, no. 1, pp. 8-14.</w:t>
      </w:r>
      <w:r w:rsidRPr="00CE0E59">
        <w:rPr>
          <w:rFonts w:eastAsia="Arial" w:cs="Arial"/>
          <w:szCs w:val="22"/>
        </w:rPr>
        <w:t xml:space="preserve"> </w:t>
      </w:r>
      <w:hyperlink r:id="rId31">
        <w:r w:rsidRPr="00CE0E59">
          <w:rPr>
            <w:rFonts w:eastAsia="Arial" w:cs="Arial"/>
            <w:color w:val="1155CC"/>
            <w:szCs w:val="22"/>
            <w:u w:val="single"/>
          </w:rPr>
          <w:t>https://journals.theunion.org/content/pha/16/1/8.abstract</w:t>
        </w:r>
      </w:hyperlink>
    </w:p>
    <w:p w14:paraId="5605DE45" w14:textId="77777777" w:rsidR="00A30F19" w:rsidRPr="00CE0E59" w:rsidRDefault="00A30F19" w:rsidP="004F7A09">
      <w:pPr>
        <w:spacing w:before="240" w:after="240"/>
        <w:rPr>
          <w:rFonts w:eastAsia="Arial" w:cs="Arial"/>
          <w:szCs w:val="22"/>
        </w:rPr>
      </w:pPr>
      <w:r w:rsidRPr="00CE0E59">
        <w:rPr>
          <w:rFonts w:eastAsia="Arial" w:cs="Arial"/>
          <w:color w:val="222222"/>
          <w:szCs w:val="22"/>
          <w:highlight w:val="white"/>
        </w:rPr>
        <w:t xml:space="preserve">Okram, M., and Singh, O. M. (2024). Tuberculosis: A narrative review on epidemiology, risks, implications, preventions and treatments. </w:t>
      </w:r>
      <w:r w:rsidRPr="00CE0E59">
        <w:rPr>
          <w:rFonts w:eastAsia="Arial" w:cs="Arial"/>
          <w:i/>
          <w:iCs/>
          <w:color w:val="222222"/>
          <w:szCs w:val="22"/>
          <w:highlight w:val="white"/>
        </w:rPr>
        <w:t>Int. J. Res. Med. Sci</w:t>
      </w:r>
      <w:r w:rsidRPr="00CE0E59">
        <w:rPr>
          <w:rFonts w:eastAsia="Arial" w:cs="Arial"/>
          <w:color w:val="222222"/>
          <w:szCs w:val="22"/>
          <w:highlight w:val="white"/>
        </w:rPr>
        <w:t xml:space="preserve">, vol. </w:t>
      </w:r>
      <w:r w:rsidRPr="00CE0E59">
        <w:rPr>
          <w:rFonts w:eastAsia="Arial" w:cs="Arial"/>
          <w:i/>
          <w:iCs/>
          <w:color w:val="222222"/>
          <w:szCs w:val="22"/>
          <w:highlight w:val="white"/>
        </w:rPr>
        <w:t>12</w:t>
      </w:r>
      <w:r w:rsidRPr="00CE0E59">
        <w:rPr>
          <w:rFonts w:eastAsia="Arial" w:cs="Arial"/>
          <w:color w:val="222222"/>
          <w:szCs w:val="22"/>
          <w:highlight w:val="white"/>
        </w:rPr>
        <w:t>, no. 6, pp. 2172.</w:t>
      </w:r>
      <w:r w:rsidRPr="00CE0E59">
        <w:rPr>
          <w:rFonts w:eastAsia="Arial" w:cs="Arial"/>
          <w:szCs w:val="22"/>
        </w:rPr>
        <w:t xml:space="preserve"> </w:t>
      </w:r>
      <w:hyperlink r:id="rId32">
        <w:r w:rsidRPr="00CE0E59">
          <w:rPr>
            <w:rFonts w:eastAsia="Arial" w:cs="Arial"/>
            <w:color w:val="1155CC"/>
            <w:szCs w:val="22"/>
            <w:u w:val="single"/>
          </w:rPr>
          <w:t>https://dx.doi.org/10.18203/2320-6012.ijrms20241585</w:t>
        </w:r>
      </w:hyperlink>
    </w:p>
    <w:p w14:paraId="3A2CCED0" w14:textId="77777777" w:rsidR="00A30F19" w:rsidRPr="00CE0E59" w:rsidRDefault="00A30F19" w:rsidP="004F7A09">
      <w:pPr>
        <w:spacing w:before="240" w:after="240"/>
        <w:rPr>
          <w:rFonts w:eastAsia="Arial" w:cs="Arial"/>
          <w:szCs w:val="22"/>
        </w:rPr>
      </w:pPr>
      <w:r w:rsidRPr="00CE0E59">
        <w:rPr>
          <w:rFonts w:eastAsia="Arial" w:cs="Arial"/>
          <w:szCs w:val="22"/>
        </w:rPr>
        <w:t xml:space="preserve">Ons.gov.uk, (2023). </w:t>
      </w:r>
      <w:r w:rsidRPr="00CE0E59">
        <w:rPr>
          <w:rFonts w:eastAsia="Arial" w:cs="Arial"/>
          <w:i/>
          <w:iCs/>
          <w:szCs w:val="22"/>
        </w:rPr>
        <w:t>Ethnic group differences in health, employment, education and housing shown in England and Wales” Census 2021</w:t>
      </w:r>
      <w:r w:rsidRPr="00CE0E59">
        <w:rPr>
          <w:rFonts w:eastAsia="Arial" w:cs="Arial"/>
          <w:szCs w:val="22"/>
        </w:rPr>
        <w:t xml:space="preserve">. [online] Ons.gov.uk. Available at: </w:t>
      </w:r>
      <w:hyperlink r:id="rId33">
        <w:r w:rsidRPr="00CE0E59">
          <w:rPr>
            <w:rFonts w:eastAsia="Arial" w:cs="Arial"/>
            <w:color w:val="1155CC"/>
            <w:szCs w:val="22"/>
            <w:u w:val="single"/>
          </w:rPr>
          <w:t>https://www.ons.gov.uk/peoplepopulationandcommunity/culturalidentity/ethnicity/articles/ethnicgroupdifferencesinhealthemploymenteducationandhousingshowninenglandandwalescensus2021/latest</w:t>
        </w:r>
      </w:hyperlink>
      <w:r w:rsidRPr="00CE0E59">
        <w:rPr>
          <w:rFonts w:eastAsia="Arial" w:cs="Arial"/>
          <w:szCs w:val="22"/>
        </w:rPr>
        <w:t xml:space="preserve"> [Accessed 17 July 2026].</w:t>
      </w:r>
    </w:p>
    <w:p w14:paraId="6406E1EB" w14:textId="77777777" w:rsidR="00A30F19" w:rsidRPr="00CE0E59" w:rsidRDefault="00A30F19" w:rsidP="004F7A09">
      <w:pPr>
        <w:spacing w:before="240" w:after="240"/>
        <w:rPr>
          <w:rFonts w:eastAsia="Arial" w:cs="Arial"/>
          <w:szCs w:val="22"/>
        </w:rPr>
      </w:pPr>
      <w:r w:rsidRPr="00C5430E">
        <w:rPr>
          <w:rFonts w:eastAsia="Arial" w:cs="Arial"/>
          <w:color w:val="222222"/>
          <w:szCs w:val="22"/>
          <w:highlight w:val="white"/>
          <w:lang w:val="it-IT"/>
        </w:rPr>
        <w:t xml:space="preserve">Rotundo, S., Serapide, F., d’Ettorre, G., Tassone, M. T., Albanese, M., Marino, G. G., ... and Russo, A. (2026). </w:t>
      </w:r>
      <w:r w:rsidRPr="00CE0E59">
        <w:rPr>
          <w:rFonts w:eastAsia="Arial" w:cs="Arial"/>
          <w:color w:val="222222"/>
          <w:szCs w:val="22"/>
          <w:highlight w:val="white"/>
        </w:rPr>
        <w:t xml:space="preserve">Managing tuberculosis infection among migrants from high-incidence tuberculosis countries: challenges, strategies and recommendations. </w:t>
      </w:r>
      <w:r w:rsidRPr="00CE0E59">
        <w:rPr>
          <w:rFonts w:eastAsia="Arial" w:cs="Arial"/>
          <w:i/>
          <w:iCs/>
          <w:color w:val="222222"/>
          <w:szCs w:val="22"/>
          <w:highlight w:val="white"/>
        </w:rPr>
        <w:t>European Journal of Clinical Microbiology and Infectious Diseases</w:t>
      </w:r>
      <w:r w:rsidRPr="00CE0E59">
        <w:rPr>
          <w:rFonts w:eastAsia="Arial" w:cs="Arial"/>
          <w:color w:val="222222"/>
          <w:szCs w:val="22"/>
          <w:highlight w:val="white"/>
        </w:rPr>
        <w:t xml:space="preserve">, vol. </w:t>
      </w:r>
      <w:r w:rsidRPr="00CE0E59">
        <w:rPr>
          <w:rFonts w:eastAsia="Arial" w:cs="Arial"/>
          <w:i/>
          <w:iCs/>
          <w:color w:val="222222"/>
          <w:szCs w:val="22"/>
          <w:highlight w:val="white"/>
        </w:rPr>
        <w:t>45</w:t>
      </w:r>
      <w:r w:rsidRPr="00CE0E59">
        <w:rPr>
          <w:rFonts w:eastAsia="Arial" w:cs="Arial"/>
          <w:color w:val="222222"/>
          <w:szCs w:val="22"/>
          <w:highlight w:val="white"/>
        </w:rPr>
        <w:t>, no. 1, pp. 25-39.</w:t>
      </w:r>
      <w:r w:rsidRPr="00CE0E59">
        <w:rPr>
          <w:rFonts w:eastAsia="Arial" w:cs="Arial"/>
          <w:szCs w:val="22"/>
        </w:rPr>
        <w:t xml:space="preserve"> </w:t>
      </w:r>
      <w:hyperlink r:id="rId34">
        <w:r w:rsidRPr="00CE0E59">
          <w:rPr>
            <w:rFonts w:eastAsia="Arial" w:cs="Arial"/>
            <w:color w:val="1155CC"/>
            <w:szCs w:val="22"/>
            <w:u w:val="single"/>
          </w:rPr>
          <w:t>https://link.springer.com/article/10.1007/s10096-025-05301-7</w:t>
        </w:r>
      </w:hyperlink>
    </w:p>
    <w:p w14:paraId="7715E4D6" w14:textId="77777777" w:rsidR="00A30F19" w:rsidRPr="00CE0E59" w:rsidRDefault="00A30F19" w:rsidP="004F7A09">
      <w:pPr>
        <w:spacing w:before="240" w:after="240"/>
        <w:rPr>
          <w:rFonts w:eastAsia="Arial" w:cs="Arial"/>
          <w:szCs w:val="22"/>
        </w:rPr>
      </w:pPr>
      <w:r w:rsidRPr="00CE0E59">
        <w:rPr>
          <w:rFonts w:eastAsia="Arial" w:cs="Arial"/>
          <w:color w:val="222222"/>
          <w:szCs w:val="22"/>
          <w:highlight w:val="white"/>
        </w:rPr>
        <w:lastRenderedPageBreak/>
        <w:t xml:space="preserve">Saleem, U. A., Karimi, A. S., and Ehsan, H. (2023). A systematic review on pulmonary TB burden and associated factors among immigrants in the UK. </w:t>
      </w:r>
      <w:r w:rsidRPr="00CE0E59">
        <w:rPr>
          <w:rFonts w:eastAsia="Arial" w:cs="Arial"/>
          <w:i/>
          <w:iCs/>
          <w:color w:val="222222"/>
          <w:szCs w:val="22"/>
          <w:highlight w:val="white"/>
        </w:rPr>
        <w:t>Infection and Drug Resistance</w:t>
      </w:r>
      <w:r w:rsidRPr="00CE0E59">
        <w:rPr>
          <w:rFonts w:eastAsia="Arial" w:cs="Arial"/>
          <w:color w:val="222222"/>
          <w:szCs w:val="22"/>
          <w:highlight w:val="white"/>
        </w:rPr>
        <w:t>, pp. 7835-7853.</w:t>
      </w:r>
      <w:r w:rsidRPr="00CE0E59">
        <w:rPr>
          <w:rFonts w:eastAsia="Arial" w:cs="Arial"/>
          <w:szCs w:val="22"/>
        </w:rPr>
        <w:t xml:space="preserve"> </w:t>
      </w:r>
      <w:hyperlink r:id="rId35">
        <w:r w:rsidRPr="00CE0E59">
          <w:rPr>
            <w:rFonts w:eastAsia="Arial" w:cs="Arial"/>
            <w:color w:val="1155CC"/>
            <w:szCs w:val="22"/>
            <w:u w:val="single"/>
          </w:rPr>
          <w:t>https://www.tandfonline.com/doi/abs/10.2147/IDR.S441536</w:t>
        </w:r>
      </w:hyperlink>
    </w:p>
    <w:p w14:paraId="1DF8D83C" w14:textId="77777777" w:rsidR="00A30F19" w:rsidRPr="00CE0E59" w:rsidRDefault="00A30F19" w:rsidP="004F7A09">
      <w:pPr>
        <w:spacing w:before="240" w:after="240"/>
        <w:rPr>
          <w:rFonts w:eastAsia="Arial" w:cs="Arial"/>
          <w:szCs w:val="22"/>
        </w:rPr>
      </w:pPr>
      <w:r w:rsidRPr="00CE0E59">
        <w:rPr>
          <w:rFonts w:eastAsia="Arial" w:cs="Arial"/>
          <w:color w:val="222222"/>
          <w:szCs w:val="22"/>
          <w:highlight w:val="white"/>
        </w:rPr>
        <w:t xml:space="preserve">Tabish, S. A. (2024). Approaches to Health Care Needs Assessment. In </w:t>
      </w:r>
      <w:r w:rsidRPr="00CE0E59">
        <w:rPr>
          <w:rFonts w:eastAsia="Arial" w:cs="Arial"/>
          <w:i/>
          <w:iCs/>
          <w:color w:val="222222"/>
          <w:szCs w:val="22"/>
          <w:highlight w:val="white"/>
        </w:rPr>
        <w:t>Health Care Management: Principles and Practice</w:t>
      </w:r>
      <w:r w:rsidRPr="00CE0E59">
        <w:rPr>
          <w:rFonts w:eastAsia="Arial" w:cs="Arial"/>
          <w:color w:val="222222"/>
          <w:szCs w:val="22"/>
          <w:highlight w:val="white"/>
        </w:rPr>
        <w:t xml:space="preserve"> (pp. 157-174). Singapore: Springer Nature Singapore.</w:t>
      </w:r>
      <w:r w:rsidRPr="00CE0E59">
        <w:rPr>
          <w:rFonts w:eastAsia="Arial" w:cs="Arial"/>
          <w:szCs w:val="22"/>
        </w:rPr>
        <w:t xml:space="preserve"> </w:t>
      </w:r>
      <w:hyperlink r:id="rId36">
        <w:r w:rsidRPr="00CE0E59">
          <w:rPr>
            <w:rFonts w:eastAsia="Arial" w:cs="Arial"/>
            <w:color w:val="1155CC"/>
            <w:szCs w:val="22"/>
            <w:u w:val="single"/>
          </w:rPr>
          <w:t>https://link.springer.com/chapter/10.1007/978-981-97-3879-3_8</w:t>
        </w:r>
      </w:hyperlink>
    </w:p>
    <w:p w14:paraId="6E8C3E40" w14:textId="77777777" w:rsidR="00A30F19" w:rsidRPr="00CE0E59" w:rsidRDefault="00A30F19" w:rsidP="004F7A09">
      <w:pPr>
        <w:spacing w:before="240" w:after="240"/>
        <w:rPr>
          <w:rFonts w:eastAsia="Arial" w:cs="Arial"/>
          <w:szCs w:val="22"/>
        </w:rPr>
      </w:pPr>
      <w:r w:rsidRPr="00CE0E59">
        <w:rPr>
          <w:rFonts w:eastAsia="Arial" w:cs="Arial"/>
          <w:color w:val="222222"/>
          <w:szCs w:val="22"/>
          <w:highlight w:val="white"/>
        </w:rPr>
        <w:t xml:space="preserve">Van Tol, Z., Vanos, J. K., Middel, A., and Ferguson, K. M. (2024). Concurrent heat and air pollution exposures among people experiencing homelessness. </w:t>
      </w:r>
      <w:r w:rsidRPr="00CE0E59">
        <w:rPr>
          <w:rFonts w:eastAsia="Arial" w:cs="Arial"/>
          <w:i/>
          <w:iCs/>
          <w:color w:val="222222"/>
          <w:szCs w:val="22"/>
          <w:highlight w:val="white"/>
        </w:rPr>
        <w:t>Environmental health perspectives</w:t>
      </w:r>
      <w:r w:rsidRPr="00CE0E59">
        <w:rPr>
          <w:rFonts w:eastAsia="Arial" w:cs="Arial"/>
          <w:color w:val="222222"/>
          <w:szCs w:val="22"/>
          <w:highlight w:val="white"/>
        </w:rPr>
        <w:t xml:space="preserve">, vol. </w:t>
      </w:r>
      <w:r w:rsidRPr="00CE0E59">
        <w:rPr>
          <w:rFonts w:eastAsia="Arial" w:cs="Arial"/>
          <w:i/>
          <w:iCs/>
          <w:color w:val="222222"/>
          <w:szCs w:val="22"/>
          <w:highlight w:val="white"/>
        </w:rPr>
        <w:t>132</w:t>
      </w:r>
      <w:r w:rsidRPr="00CE0E59">
        <w:rPr>
          <w:rFonts w:eastAsia="Arial" w:cs="Arial"/>
          <w:color w:val="222222"/>
          <w:szCs w:val="22"/>
          <w:highlight w:val="white"/>
        </w:rPr>
        <w:t>, no. 1, pp. 015003.</w:t>
      </w:r>
      <w:r w:rsidRPr="00CE0E59">
        <w:rPr>
          <w:rFonts w:eastAsia="Arial" w:cs="Arial"/>
          <w:szCs w:val="22"/>
        </w:rPr>
        <w:t xml:space="preserve"> </w:t>
      </w:r>
      <w:hyperlink r:id="rId37">
        <w:r w:rsidRPr="00CE0E59">
          <w:rPr>
            <w:rFonts w:eastAsia="Arial" w:cs="Arial"/>
            <w:color w:val="1155CC"/>
            <w:szCs w:val="22"/>
            <w:u w:val="single"/>
          </w:rPr>
          <w:t>https://pmc.ncbi.nlm.nih.gov/articles/PMC10805133/</w:t>
        </w:r>
      </w:hyperlink>
    </w:p>
    <w:p w14:paraId="153D0FE5" w14:textId="77777777" w:rsidR="00A30F19" w:rsidRPr="00CE0E59" w:rsidRDefault="00A30F19" w:rsidP="004F7A09">
      <w:pPr>
        <w:spacing w:after="240"/>
        <w:rPr>
          <w:rFonts w:eastAsia="Arial" w:cs="Arial"/>
          <w:szCs w:val="22"/>
        </w:rPr>
      </w:pPr>
      <w:r w:rsidRPr="00CE0E59">
        <w:rPr>
          <w:rFonts w:eastAsia="Arial" w:cs="Arial"/>
          <w:szCs w:val="22"/>
        </w:rPr>
        <w:t xml:space="preserve">WHO (2026). </w:t>
      </w:r>
      <w:r w:rsidRPr="00CE0E59">
        <w:rPr>
          <w:rFonts w:eastAsia="Arial" w:cs="Arial"/>
          <w:i/>
          <w:iCs/>
          <w:szCs w:val="22"/>
        </w:rPr>
        <w:t>Tuberculosis</w:t>
      </w:r>
      <w:r w:rsidRPr="00CE0E59">
        <w:rPr>
          <w:rFonts w:eastAsia="Arial" w:cs="Arial"/>
          <w:szCs w:val="22"/>
        </w:rPr>
        <w:t xml:space="preserve">. [online] Who.int. Available at: </w:t>
      </w:r>
      <w:hyperlink r:id="rId38">
        <w:r w:rsidRPr="00CE0E59">
          <w:rPr>
            <w:rFonts w:eastAsia="Arial" w:cs="Arial"/>
            <w:color w:val="1155CC"/>
            <w:szCs w:val="22"/>
            <w:u w:val="single"/>
          </w:rPr>
          <w:t>https://www.who.int/news-room/fact-sheets/detail/tuberculosis</w:t>
        </w:r>
      </w:hyperlink>
      <w:r w:rsidRPr="00CE0E59">
        <w:rPr>
          <w:rFonts w:eastAsia="Arial" w:cs="Arial"/>
          <w:szCs w:val="22"/>
        </w:rPr>
        <w:t xml:space="preserve"> [Accessed 17 July 2026].</w:t>
      </w:r>
    </w:p>
    <w:p w14:paraId="6297745E" w14:textId="77777777" w:rsidR="00A30F19" w:rsidRPr="00CE0E59" w:rsidRDefault="00A30F19" w:rsidP="004F7A09">
      <w:pPr>
        <w:spacing w:after="240"/>
        <w:rPr>
          <w:rFonts w:cs="Arial"/>
          <w:szCs w:val="22"/>
        </w:rPr>
      </w:pPr>
      <w:r w:rsidRPr="00CE0E59">
        <w:rPr>
          <w:rFonts w:eastAsia="Arial" w:cs="Arial"/>
          <w:color w:val="222222"/>
          <w:szCs w:val="22"/>
          <w:highlight w:val="white"/>
        </w:rPr>
        <w:t xml:space="preserve">Williams, E. B. D. B. G., Buck, D., Babalola, G., and Maguire, D. (2022). </w:t>
      </w:r>
      <w:r w:rsidRPr="00CE0E59">
        <w:rPr>
          <w:rFonts w:eastAsia="Arial" w:cs="Arial"/>
          <w:i/>
          <w:iCs/>
          <w:color w:val="222222"/>
          <w:szCs w:val="22"/>
          <w:highlight w:val="white"/>
        </w:rPr>
        <w:t>What are health inequalities?</w:t>
      </w:r>
      <w:r w:rsidRPr="00CE0E59">
        <w:rPr>
          <w:rFonts w:eastAsia="Arial" w:cs="Arial"/>
          <w:color w:val="222222"/>
          <w:szCs w:val="22"/>
          <w:highlight w:val="white"/>
        </w:rPr>
        <w:t xml:space="preserve"> (Vol. 19). London: The.</w:t>
      </w:r>
      <w:r w:rsidRPr="00CE0E59">
        <w:rPr>
          <w:rFonts w:eastAsia="Arial" w:cs="Arial"/>
          <w:szCs w:val="22"/>
        </w:rPr>
        <w:t xml:space="preserve"> </w:t>
      </w:r>
      <w:hyperlink r:id="rId39">
        <w:r w:rsidRPr="00CE0E59">
          <w:rPr>
            <w:rFonts w:eastAsia="Arial" w:cs="Arial"/>
            <w:color w:val="1155CC"/>
            <w:szCs w:val="22"/>
            <w:u w:val="single"/>
          </w:rPr>
          <w:t>https://books.google.com/books?hl=en&amp;lr=&amp;id=zGBCEAAAQBAJ&amp;oi=fnd&amp;pg=PA170&amp;dq=Health+inequalities+are+avoidable+and+unfair+differences+in+health+status+between+population+groups&amp;ots=o917iqrh_k&amp;sig=d_eQNGMvwOquIYtnx1CRoedUPHw</w:t>
        </w:r>
      </w:hyperlink>
    </w:p>
    <w:sectPr w:rsidR="00A30F19" w:rsidRPr="00CE0E59" w:rsidSect="000E344B">
      <w:footerReference w:type="default" r:id="rId40"/>
      <w:pgSz w:w="11906" w:h="16838"/>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089ED" w14:textId="77777777" w:rsidR="00702775" w:rsidRPr="00BF1081" w:rsidRDefault="00702775" w:rsidP="00231DD9">
      <w:pPr>
        <w:spacing w:after="0" w:line="240" w:lineRule="auto"/>
      </w:pPr>
      <w:r w:rsidRPr="00BF1081">
        <w:separator/>
      </w:r>
    </w:p>
  </w:endnote>
  <w:endnote w:type="continuationSeparator" w:id="0">
    <w:p w14:paraId="7327B1BF" w14:textId="77777777" w:rsidR="00702775" w:rsidRPr="00BF1081" w:rsidRDefault="00702775" w:rsidP="00231DD9">
      <w:pPr>
        <w:spacing w:after="0" w:line="240" w:lineRule="auto"/>
      </w:pPr>
      <w:r w:rsidRPr="00BF108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EEC5D193-C285-4C6C-8C6A-EC433CAC1445}"/>
    <w:embedBold r:id="rId2" w:fontKey="{FC7391AF-7F62-4215-801D-0FE8284F308B}"/>
  </w:font>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3" w:fontKey="{7FDAD42F-3B50-44FB-A322-9A73066686A2}"/>
    <w:embedBold r:id="rId4" w:fontKey="{47837503-34F3-4D01-9BFD-E05F5C1F56AD}"/>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8D9F90AC-5455-4777-BABA-A7D1BFEB0647}"/>
  </w:font>
  <w:font w:name="Calibri">
    <w:panose1 w:val="020F0502020204030204"/>
    <w:charset w:val="00"/>
    <w:family w:val="swiss"/>
    <w:pitch w:val="variable"/>
    <w:sig w:usb0="E4002EFF" w:usb1="C200247B" w:usb2="00000009" w:usb3="00000000" w:csb0="000001FF" w:csb1="00000000"/>
    <w:embedRegular r:id="rId6" w:fontKey="{2B1FD6CD-46C7-4B4C-AC0B-40EF81276676}"/>
    <w:embedBold r:id="rId7" w:fontKey="{7A6978A1-FC0C-45FC-B4A1-CD2AC8CFA343}"/>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8" w:fontKey="{B374EFB8-4940-497F-9169-0E298FC799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8844595"/>
      <w:docPartObj>
        <w:docPartGallery w:val="Page Numbers (Bottom of Page)"/>
        <w:docPartUnique/>
      </w:docPartObj>
    </w:sdtPr>
    <w:sdtContent>
      <w:p w14:paraId="10E8DDD5" w14:textId="2F56E86A" w:rsidR="00231DD9" w:rsidRPr="00BF1081" w:rsidRDefault="00231DD9">
        <w:pPr>
          <w:pStyle w:val="Footer"/>
          <w:jc w:val="right"/>
        </w:pPr>
        <w:r w:rsidRPr="00BF1081">
          <w:fldChar w:fldCharType="begin"/>
        </w:r>
        <w:r w:rsidRPr="00BF1081">
          <w:instrText xml:space="preserve"> PAGE   \* MERGEFORMAT </w:instrText>
        </w:r>
        <w:r w:rsidRPr="00BF1081">
          <w:fldChar w:fldCharType="separate"/>
        </w:r>
        <w:r w:rsidRPr="00BF1081">
          <w:t>2</w:t>
        </w:r>
        <w:r w:rsidRPr="00BF1081">
          <w:fldChar w:fldCharType="end"/>
        </w:r>
      </w:p>
    </w:sdtContent>
  </w:sdt>
  <w:p w14:paraId="4828A080" w14:textId="77777777" w:rsidR="00231DD9" w:rsidRPr="00BF1081" w:rsidRDefault="00231D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AED8B" w14:textId="77777777" w:rsidR="00702775" w:rsidRPr="00BF1081" w:rsidRDefault="00702775" w:rsidP="00231DD9">
      <w:pPr>
        <w:spacing w:after="0" w:line="240" w:lineRule="auto"/>
      </w:pPr>
      <w:r w:rsidRPr="00BF1081">
        <w:separator/>
      </w:r>
    </w:p>
  </w:footnote>
  <w:footnote w:type="continuationSeparator" w:id="0">
    <w:p w14:paraId="26F09C89" w14:textId="77777777" w:rsidR="00702775" w:rsidRPr="00BF1081" w:rsidRDefault="00702775" w:rsidP="00231DD9">
      <w:pPr>
        <w:spacing w:after="0" w:line="240" w:lineRule="auto"/>
      </w:pPr>
      <w:r w:rsidRPr="00BF1081">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EE6"/>
    <w:rsid w:val="00014216"/>
    <w:rsid w:val="00015184"/>
    <w:rsid w:val="0001640A"/>
    <w:rsid w:val="00041785"/>
    <w:rsid w:val="00046F33"/>
    <w:rsid w:val="000C69F3"/>
    <w:rsid w:val="000D1EE6"/>
    <w:rsid w:val="000E2422"/>
    <w:rsid w:val="000E344B"/>
    <w:rsid w:val="000E668F"/>
    <w:rsid w:val="001A5C18"/>
    <w:rsid w:val="00231DD9"/>
    <w:rsid w:val="002848C9"/>
    <w:rsid w:val="00290185"/>
    <w:rsid w:val="002D0274"/>
    <w:rsid w:val="002D5FC8"/>
    <w:rsid w:val="00381416"/>
    <w:rsid w:val="003D0844"/>
    <w:rsid w:val="003E04A5"/>
    <w:rsid w:val="003E662C"/>
    <w:rsid w:val="00492F92"/>
    <w:rsid w:val="004E4DEF"/>
    <w:rsid w:val="004F7A09"/>
    <w:rsid w:val="00551AA8"/>
    <w:rsid w:val="005D4311"/>
    <w:rsid w:val="00606CDF"/>
    <w:rsid w:val="00684A5F"/>
    <w:rsid w:val="00685BBF"/>
    <w:rsid w:val="006C721C"/>
    <w:rsid w:val="006F1D90"/>
    <w:rsid w:val="00702775"/>
    <w:rsid w:val="00707539"/>
    <w:rsid w:val="00735214"/>
    <w:rsid w:val="00775BA9"/>
    <w:rsid w:val="00810817"/>
    <w:rsid w:val="008164E5"/>
    <w:rsid w:val="00861A7A"/>
    <w:rsid w:val="008808A0"/>
    <w:rsid w:val="008B2B9B"/>
    <w:rsid w:val="00902151"/>
    <w:rsid w:val="00932CC9"/>
    <w:rsid w:val="009627D8"/>
    <w:rsid w:val="00A129FB"/>
    <w:rsid w:val="00A30F19"/>
    <w:rsid w:val="00B67107"/>
    <w:rsid w:val="00BF1081"/>
    <w:rsid w:val="00C22B75"/>
    <w:rsid w:val="00C53397"/>
    <w:rsid w:val="00C5430E"/>
    <w:rsid w:val="00CD3773"/>
    <w:rsid w:val="00CE0E59"/>
    <w:rsid w:val="00D45BF7"/>
    <w:rsid w:val="00DC6897"/>
    <w:rsid w:val="00E00BD3"/>
    <w:rsid w:val="00E10C96"/>
    <w:rsid w:val="00E37FAE"/>
    <w:rsid w:val="00E547C0"/>
    <w:rsid w:val="00E67F1C"/>
    <w:rsid w:val="00F56A8A"/>
    <w:rsid w:val="00F770E6"/>
    <w:rsid w:val="00F80A9B"/>
    <w:rsid w:val="00FC07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0B71B"/>
  <w15:docId w15:val="{CC1619EC-4556-4A14-AE0F-253F54241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311"/>
    <w:pPr>
      <w:spacing w:line="480" w:lineRule="auto"/>
      <w:jc w:val="both"/>
    </w:pPr>
    <w:rPr>
      <w:rFonts w:ascii="Arial" w:hAnsi="Arial"/>
      <w:sz w:val="22"/>
      <w:lang w:val="en-GB"/>
    </w:rPr>
  </w:style>
  <w:style w:type="paragraph" w:styleId="Heading1">
    <w:name w:val="heading 1"/>
    <w:basedOn w:val="Normal"/>
    <w:next w:val="Normal"/>
    <w:autoRedefine/>
    <w:uiPriority w:val="9"/>
    <w:qFormat/>
    <w:rsid w:val="00231DD9"/>
    <w:pPr>
      <w:keepNext/>
      <w:keepLines/>
      <w:pBdr>
        <w:top w:val="nil"/>
        <w:left w:val="nil"/>
        <w:bottom w:val="nil"/>
        <w:right w:val="nil"/>
        <w:between w:val="nil"/>
      </w:pBdr>
      <w:spacing w:before="360" w:after="80"/>
      <w:outlineLvl w:val="0"/>
    </w:pPr>
    <w:rPr>
      <w:rFonts w:eastAsia="Play" w:cs="Play"/>
      <w:b/>
      <w:color w:val="000000" w:themeColor="text1"/>
      <w:szCs w:val="40"/>
    </w:rPr>
  </w:style>
  <w:style w:type="paragraph" w:styleId="Heading2">
    <w:name w:val="heading 2"/>
    <w:basedOn w:val="Normal"/>
    <w:next w:val="Normal"/>
    <w:uiPriority w:val="9"/>
    <w:unhideWhenUsed/>
    <w:qFormat/>
    <w:rsid w:val="00231DD9"/>
    <w:pPr>
      <w:keepNext/>
      <w:keepLines/>
      <w:pBdr>
        <w:top w:val="nil"/>
        <w:left w:val="nil"/>
        <w:bottom w:val="nil"/>
        <w:right w:val="nil"/>
        <w:between w:val="nil"/>
      </w:pBdr>
      <w:spacing w:before="40" w:after="0"/>
      <w:outlineLvl w:val="1"/>
    </w:pPr>
    <w:rPr>
      <w:rFonts w:eastAsia="Play" w:cs="Play"/>
      <w:b/>
      <w:color w:val="000000" w:themeColor="text1"/>
      <w:szCs w:val="26"/>
    </w:rPr>
  </w:style>
  <w:style w:type="paragraph" w:styleId="Heading3">
    <w:name w:val="heading 3"/>
    <w:basedOn w:val="Normal"/>
    <w:next w:val="Normal"/>
    <w:uiPriority w:val="9"/>
    <w:unhideWhenUsed/>
    <w:qFormat/>
    <w:rsid w:val="00231DD9"/>
    <w:pPr>
      <w:keepNext/>
      <w:keepLines/>
      <w:pBdr>
        <w:top w:val="nil"/>
        <w:left w:val="nil"/>
        <w:bottom w:val="nil"/>
        <w:right w:val="nil"/>
        <w:between w:val="nil"/>
      </w:pBdr>
      <w:spacing w:before="40" w:after="0"/>
      <w:outlineLvl w:val="2"/>
    </w:pPr>
    <w:rPr>
      <w:rFonts w:eastAsia="Play" w:cs="Play"/>
      <w:b/>
      <w:color w:val="000000" w:themeColor="text1"/>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bCs/>
      <w:color w:val="000000"/>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b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paragraph" w:styleId="TOCHeading">
    <w:name w:val="TOC Heading"/>
    <w:basedOn w:val="Heading1"/>
    <w:next w:val="Normal"/>
    <w:uiPriority w:val="39"/>
    <w:unhideWhenUsed/>
    <w:qFormat/>
    <w:rsid w:val="00F80A9B"/>
    <w:pPr>
      <w:pBdr>
        <w:top w:val="none" w:sz="0" w:space="0" w:color="auto"/>
        <w:left w:val="none" w:sz="0" w:space="0" w:color="auto"/>
        <w:bottom w:val="none" w:sz="0" w:space="0" w:color="auto"/>
        <w:right w:val="none" w:sz="0" w:space="0" w:color="auto"/>
        <w:between w:val="none" w:sz="0" w:space="0" w:color="auto"/>
      </w:pBd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3">
    <w:name w:val="toc 3"/>
    <w:basedOn w:val="Normal"/>
    <w:next w:val="Normal"/>
    <w:autoRedefine/>
    <w:uiPriority w:val="39"/>
    <w:unhideWhenUsed/>
    <w:rsid w:val="00F80A9B"/>
    <w:pPr>
      <w:spacing w:after="100"/>
      <w:ind w:left="480"/>
    </w:pPr>
  </w:style>
  <w:style w:type="paragraph" w:styleId="TOC2">
    <w:name w:val="toc 2"/>
    <w:basedOn w:val="Normal"/>
    <w:next w:val="Normal"/>
    <w:autoRedefine/>
    <w:uiPriority w:val="39"/>
    <w:unhideWhenUsed/>
    <w:rsid w:val="00F80A9B"/>
    <w:pPr>
      <w:spacing w:after="100"/>
      <w:ind w:left="240"/>
    </w:pPr>
  </w:style>
  <w:style w:type="character" w:styleId="Hyperlink">
    <w:name w:val="Hyperlink"/>
    <w:basedOn w:val="DefaultParagraphFont"/>
    <w:uiPriority w:val="99"/>
    <w:unhideWhenUsed/>
    <w:rsid w:val="00F80A9B"/>
    <w:rPr>
      <w:color w:val="0000FF" w:themeColor="hyperlink"/>
      <w:u w:val="single"/>
    </w:rPr>
  </w:style>
  <w:style w:type="paragraph" w:styleId="Header">
    <w:name w:val="header"/>
    <w:basedOn w:val="Normal"/>
    <w:link w:val="HeaderChar"/>
    <w:uiPriority w:val="99"/>
    <w:unhideWhenUsed/>
    <w:rsid w:val="00231D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DD9"/>
  </w:style>
  <w:style w:type="paragraph" w:styleId="Footer">
    <w:name w:val="footer"/>
    <w:basedOn w:val="Normal"/>
    <w:link w:val="FooterChar"/>
    <w:uiPriority w:val="99"/>
    <w:unhideWhenUsed/>
    <w:rsid w:val="00231D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DD9"/>
  </w:style>
  <w:style w:type="paragraph" w:styleId="TOC1">
    <w:name w:val="toc 1"/>
    <w:basedOn w:val="Normal"/>
    <w:next w:val="Normal"/>
    <w:autoRedefine/>
    <w:uiPriority w:val="39"/>
    <w:unhideWhenUsed/>
    <w:rsid w:val="00E547C0"/>
    <w:pPr>
      <w:spacing w:after="100"/>
    </w:pPr>
  </w:style>
  <w:style w:type="character" w:styleId="UnresolvedMention">
    <w:name w:val="Unresolved Mention"/>
    <w:basedOn w:val="DefaultParagraphFont"/>
    <w:uiPriority w:val="99"/>
    <w:semiHidden/>
    <w:unhideWhenUsed/>
    <w:rsid w:val="000C69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ureus.com/articles/119651-the-role-of-social-determinants-of-health-in-promoting-health-equality-a-narrative-review.pdf" TargetMode="External"/><Relationship Id="rId18" Type="http://schemas.openxmlformats.org/officeDocument/2006/relationships/hyperlink" Target="https://healthcaretoday.com/article/tuberculosis-on-the-rise-in-the-uk" TargetMode="External"/><Relationship Id="rId26" Type="http://schemas.openxmlformats.org/officeDocument/2006/relationships/hyperlink" Target="https://www.cureus.com/articles/239876-bacillus-calmette-gurin-bcg-revaccination-and-protection-against-tuberculosis-a-systematic-review.pdf" TargetMode="External"/><Relationship Id="rId39" Type="http://schemas.openxmlformats.org/officeDocument/2006/relationships/hyperlink" Target="https://books.google.com/books?hl=en&amp;lr=&amp;id=zGBCEAAAQBAJ&amp;oi=fnd&amp;pg=PA170&amp;dq=Health+inequalities+are+avoidable+and+unfair+differences+in+health+status+between+population+groups&amp;ots=o917iqrh_k&amp;sig=d_eQNGMvwOquIYtnx1CRoedUPHw" TargetMode="External"/><Relationship Id="rId21" Type="http://schemas.openxmlformats.org/officeDocument/2006/relationships/hyperlink" Target="https://www.gov.uk/government/statistics/tuberculosis-in-england-national-quarterly-reports/national-quarterly-report-of-tuberculosis-in-england-quarter-1-2024-provisional-data" TargetMode="External"/><Relationship Id="rId34" Type="http://schemas.openxmlformats.org/officeDocument/2006/relationships/hyperlink" Target="https://link.springer.com/article/10.1007/s10096-025-05301-7"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england.nhs.uk/about/equality/equality-hub/national-healthcare-%20inequalities-improvement-programme/core20plus5/" TargetMode="External"/><Relationship Id="rId20" Type="http://schemas.openxmlformats.org/officeDocument/2006/relationships/hyperlink" Target="https://www.gov.uk/government/publications/the-report-of-the-commission-on-race-and-ethnic-disparities-supporting-research/ethnic-disparities-in-the-major-causes-of-mortality-and-their-risk-factors-by-dr-raghib-ali-et-al" TargetMode="External"/><Relationship Id="rId29" Type="http://schemas.openxmlformats.org/officeDocument/2006/relationships/hyperlink" Target="https://discovery.ucl.ac.uk/id/eprint/1016442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plos.org/plosone/article?id=10.1371/journal.pone.0281918" TargetMode="External"/><Relationship Id="rId24" Type="http://schemas.openxmlformats.org/officeDocument/2006/relationships/hyperlink" Target="https://journals.asm.org/doi/abs/10.1128/cmr.00227-21" TargetMode="External"/><Relationship Id="rId32" Type="http://schemas.openxmlformats.org/officeDocument/2006/relationships/hyperlink" Target="https://dx.doi.org/10.18203/2320-6012.ijrms20241585" TargetMode="External"/><Relationship Id="rId37" Type="http://schemas.openxmlformats.org/officeDocument/2006/relationships/hyperlink" Target="https://pmc.ncbi.nlm.nih.gov/articles/PMC10805133/"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cqc.org.uk/publications/maternity-services-2022-2024/inequalities" TargetMode="External"/><Relationship Id="rId23" Type="http://schemas.openxmlformats.org/officeDocument/2006/relationships/hyperlink" Target="https://www.gov.uk/government/publications/tuberculosis-tb-regional-reports-2023/london-tuberculosis-in-2023" TargetMode="External"/><Relationship Id="rId28" Type="http://schemas.openxmlformats.org/officeDocument/2006/relationships/hyperlink" Target="https://www.frontiersin.org/journals/public-health/articles/10.3389/fpubh.2026.1799432/full" TargetMode="External"/><Relationship Id="rId36" Type="http://schemas.openxmlformats.org/officeDocument/2006/relationships/hyperlink" Target="https://link.springer.com/chapter/10.1007/978-981-97-3879-3_8" TargetMode="External"/><Relationship Id="rId10" Type="http://schemas.openxmlformats.org/officeDocument/2006/relationships/hyperlink" Target="https://www.manchesterhive.com/abstract/9781526159755/9781526159755.00017.xml" TargetMode="External"/><Relationship Id="rId19" Type="http://schemas.openxmlformats.org/officeDocument/2006/relationships/hyperlink" Target="https://www.ons.gov.uk/peoplepopulationandcommunity/culturalidentity/ethnicity/bulletins/ethnicgroupenglandandwales/census2021" TargetMode="External"/><Relationship Id="rId31" Type="http://schemas.openxmlformats.org/officeDocument/2006/relationships/hyperlink" Target="https://journals.theunion.org/content/pha/16/1/8.abstrac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link.springer.com/article/10.1007/s42399-026-02403-x" TargetMode="External"/><Relationship Id="rId22" Type="http://schemas.openxmlformats.org/officeDocument/2006/relationships/hyperlink" Target="https://www.ethnicity-facts-figures.service.gov.uk/housing/housing-conditions/overcrowded-households/latest/" TargetMode="External"/><Relationship Id="rId27" Type="http://schemas.openxmlformats.org/officeDocument/2006/relationships/hyperlink" Target="https://journals.plos.org/plosone/article?id=10.1371/journal.pone.0340187" TargetMode="External"/><Relationship Id="rId30" Type="http://schemas.openxmlformats.org/officeDocument/2006/relationships/hyperlink" Target="https://nhsrho.org/about-us/" TargetMode="External"/><Relationship Id="rId35" Type="http://schemas.openxmlformats.org/officeDocument/2006/relationships/hyperlink" Target="https://www.tandfonline.com/doi/abs/10.2147/IDR.S441536"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thelancet.com/journals/langlo/article/PIIS2214-109X(23)00544-2/fulltext" TargetMode="External"/><Relationship Id="rId17" Type="http://schemas.openxmlformats.org/officeDocument/2006/relationships/hyperlink" Target="https://qualitysafety.bmj.com/content/34/3/190.abstract" TargetMode="External"/><Relationship Id="rId25" Type="http://schemas.openxmlformats.org/officeDocument/2006/relationships/hyperlink" Target="https://www.tandfonline.com/doi/abs/10.1080/21642850.2023.2277289" TargetMode="External"/><Relationship Id="rId33" Type="http://schemas.openxmlformats.org/officeDocument/2006/relationships/hyperlink" Target="https://www.ons.gov.uk/peoplepopulationandcommunity/culturalidentity/ethnicity/articles/ethnicgroupdifferencesinhealthemploymenteducationandhousingshowninenglandandwalescensus2021/latest" TargetMode="External"/><Relationship Id="rId38" Type="http://schemas.openxmlformats.org/officeDocument/2006/relationships/hyperlink" Target="https://www.who.int/news-room/fact-sheets/detail/tuberculosi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CD042-015C-4ED2-A143-F7F0BC5B6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5155</Words>
  <Characters>29385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work space</cp:lastModifiedBy>
  <cp:revision>3</cp:revision>
  <dcterms:created xsi:type="dcterms:W3CDTF">2026-07-19T18:21:00Z</dcterms:created>
  <dcterms:modified xsi:type="dcterms:W3CDTF">2026-07-21T08:08:00Z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0x01010076595E8E0A45804CA56A581D7B7B9B2C</vt:lpwstr>
  </property>
  <property fmtid="{D5CDD505-2E9C-101B-9397-08002B2CF9AE}" pid="3" name="_DocHome">
    <vt:lpwstr>2029509337</vt:lpwstr>
  </property>
</Properties>
</file>