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74154" w:rsidRDefault="00374154" w:rsidP="00374154">
      <w:pPr>
        <w:pStyle w:val="NormalWeb"/>
        <w:spacing w:before="0" w:beforeAutospacing="0" w:after="0" w:afterAutospacing="0"/>
        <w:ind w:right="-334"/>
      </w:pPr>
      <w:r>
        <w:rPr>
          <w:noProof/>
        </w:rPr>
        <w:drawing>
          <wp:inline distT="0" distB="0" distL="0" distR="0" wp14:anchorId="2A1464FE" wp14:editId="6B731C78">
            <wp:extent cx="1905000" cy="635000"/>
            <wp:effectExtent l="25400" t="25400" r="12700" b="1270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rsidR="00374154" w:rsidRDefault="00374154" w:rsidP="00374154">
      <w:pPr>
        <w:pStyle w:val="NormalWeb"/>
        <w:spacing w:before="0" w:beforeAutospacing="0" w:after="0" w:afterAutospacing="0"/>
        <w:ind w:left="-180" w:right="-334"/>
      </w:pPr>
    </w:p>
    <w:p w:rsidR="00374154" w:rsidRDefault="00374154" w:rsidP="00374154">
      <w:pPr>
        <w:pStyle w:val="NormalWeb"/>
        <w:spacing w:before="0" w:beforeAutospacing="0" w:after="0" w:afterAutospacing="0"/>
        <w:ind w:left="-180" w:right="-334"/>
      </w:pPr>
    </w:p>
    <w:p w:rsidR="00374154" w:rsidRDefault="00374154" w:rsidP="0037415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374154" w:rsidRPr="00230F35" w:rsidRDefault="00374154" w:rsidP="0037415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374154" w:rsidRPr="00230F35" w:rsidRDefault="00374154" w:rsidP="00374154">
      <w:pPr>
        <w:rPr>
          <w:rFonts w:ascii="Arial" w:hAnsi="Arial" w:cs="Arial"/>
          <w:sz w:val="28"/>
          <w:szCs w:val="28"/>
          <w:lang w:val="cy-GB"/>
        </w:rPr>
      </w:pPr>
    </w:p>
    <w:p w:rsidR="00374154" w:rsidRPr="00723D57" w:rsidRDefault="00374154" w:rsidP="00374154">
      <w:pPr>
        <w:pStyle w:val="Heading3"/>
        <w:jc w:val="center"/>
        <w:rPr>
          <w:lang w:val="cy-GB"/>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74154" w:rsidRPr="00230F35" w:rsidTr="00BD725B">
        <w:trPr>
          <w:trHeight w:val="614"/>
        </w:trPr>
        <w:tc>
          <w:tcPr>
            <w:tcW w:w="8856" w:type="dxa"/>
            <w:gridSpan w:val="5"/>
          </w:tcPr>
          <w:p w:rsidR="00374154" w:rsidRPr="00230F35"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xml:space="preserve">: </w:t>
            </w:r>
          </w:p>
        </w:tc>
      </w:tr>
      <w:tr w:rsidR="00374154" w:rsidRPr="00230F35" w:rsidTr="00BD725B">
        <w:trPr>
          <w:trHeight w:val="718"/>
        </w:trPr>
        <w:tc>
          <w:tcPr>
            <w:tcW w:w="8856" w:type="dxa"/>
            <w:gridSpan w:val="5"/>
          </w:tcPr>
          <w:p w:rsidR="00374154"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Jessica Neubert-Garton</w:t>
            </w:r>
          </w:p>
          <w:p w:rsidR="00374154" w:rsidRPr="00230F35" w:rsidRDefault="00374154" w:rsidP="00BD725B">
            <w:pPr>
              <w:pStyle w:val="NormalWeb"/>
              <w:spacing w:before="0" w:beforeAutospacing="0" w:after="0" w:afterAutospacing="0"/>
              <w:ind w:right="34"/>
              <w:rPr>
                <w:rFonts w:ascii="Arial" w:hAnsi="Arial" w:cs="Arial"/>
                <w:sz w:val="22"/>
                <w:szCs w:val="22"/>
              </w:rPr>
            </w:pPr>
          </w:p>
          <w:p w:rsidR="00374154" w:rsidRPr="00230F35"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sidRPr="00A0490F">
                <w:rPr>
                  <w:rStyle w:val="Hyperlink"/>
                  <w:rFonts w:ascii="Arial" w:hAnsi="Arial" w:cs="Arial"/>
                  <w:sz w:val="22"/>
                  <w:szCs w:val="22"/>
                </w:rPr>
                <w:t>2501577@student.uwtsd.ac.uk</w:t>
              </w:r>
            </w:hyperlink>
            <w:r>
              <w:rPr>
                <w:rFonts w:ascii="Arial" w:hAnsi="Arial" w:cs="Arial"/>
                <w:sz w:val="22"/>
                <w:szCs w:val="22"/>
              </w:rPr>
              <w:t xml:space="preserve"> </w:t>
            </w:r>
          </w:p>
        </w:tc>
      </w:tr>
      <w:tr w:rsidR="00374154" w:rsidRPr="00230F35" w:rsidTr="00BD725B">
        <w:trPr>
          <w:trHeight w:val="849"/>
        </w:trPr>
        <w:tc>
          <w:tcPr>
            <w:tcW w:w="4788" w:type="dxa"/>
          </w:tcPr>
          <w:p w:rsidR="00374154" w:rsidRPr="00230F35"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rsidR="00374154" w:rsidRPr="00230F35" w:rsidRDefault="00374154" w:rsidP="00BD725B">
            <w:pPr>
              <w:pStyle w:val="NormalWeb"/>
              <w:spacing w:before="0" w:beforeAutospacing="0" w:after="0" w:afterAutospacing="0"/>
              <w:ind w:right="34"/>
              <w:rPr>
                <w:rFonts w:ascii="Arial" w:hAnsi="Arial" w:cs="Arial"/>
                <w:sz w:val="22"/>
                <w:szCs w:val="22"/>
              </w:rPr>
            </w:pPr>
          </w:p>
          <w:p w:rsidR="00374154"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rsidR="00374154" w:rsidRDefault="00374154" w:rsidP="00BD725B">
            <w:pPr>
              <w:pStyle w:val="NormalWeb"/>
              <w:spacing w:before="0" w:beforeAutospacing="0" w:after="0" w:afterAutospacing="0"/>
              <w:ind w:right="34"/>
              <w:rPr>
                <w:rFonts w:ascii="Arial" w:hAnsi="Arial" w:cs="Arial"/>
                <w:sz w:val="22"/>
                <w:szCs w:val="22"/>
              </w:rPr>
            </w:pPr>
          </w:p>
          <w:p w:rsidR="00374154" w:rsidRPr="00230F35" w:rsidRDefault="00374154" w:rsidP="00BD725B">
            <w:pPr>
              <w:pStyle w:val="NormalWeb"/>
              <w:spacing w:before="0" w:beforeAutospacing="0" w:after="0" w:afterAutospacing="0"/>
              <w:ind w:right="34"/>
              <w:rPr>
                <w:rFonts w:ascii="Arial" w:hAnsi="Arial" w:cs="Arial"/>
                <w:sz w:val="22"/>
                <w:szCs w:val="22"/>
              </w:rPr>
            </w:pPr>
          </w:p>
        </w:tc>
        <w:tc>
          <w:tcPr>
            <w:tcW w:w="2266" w:type="dxa"/>
            <w:gridSpan w:val="3"/>
          </w:tcPr>
          <w:p w:rsidR="00374154" w:rsidRPr="00230F35"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br/>
              <w:t>2501577</w:t>
            </w:r>
          </w:p>
        </w:tc>
        <w:tc>
          <w:tcPr>
            <w:tcW w:w="1802" w:type="dxa"/>
          </w:tcPr>
          <w:p w:rsidR="00374154" w:rsidRPr="00230F35"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374154" w:rsidRPr="00230F35"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374154" w:rsidRPr="00230F35" w:rsidTr="00BD725B">
        <w:trPr>
          <w:trHeight w:val="1139"/>
        </w:trPr>
        <w:tc>
          <w:tcPr>
            <w:tcW w:w="8856" w:type="dxa"/>
            <w:gridSpan w:val="5"/>
          </w:tcPr>
          <w:p w:rsidR="00374154" w:rsidRPr="00230F35"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t xml:space="preserve"> </w:t>
            </w:r>
            <w:r w:rsidRPr="00723D57">
              <w:rPr>
                <w:rFonts w:ascii="Arial" w:hAnsi="Arial" w:cs="Arial"/>
                <w:sz w:val="22"/>
                <w:szCs w:val="22"/>
              </w:rPr>
              <w:t>2,500-word written assignment</w:t>
            </w:r>
            <w:r>
              <w:rPr>
                <w:rFonts w:ascii="Arial" w:hAnsi="Arial" w:cs="Arial"/>
                <w:sz w:val="22"/>
                <w:szCs w:val="22"/>
              </w:rPr>
              <w:t xml:space="preserve"> – compare and contrast essay</w:t>
            </w:r>
          </w:p>
          <w:p w:rsidR="00374154" w:rsidRPr="00230F35" w:rsidRDefault="00374154" w:rsidP="00BD725B">
            <w:pPr>
              <w:pStyle w:val="NormalWeb"/>
              <w:spacing w:before="0" w:beforeAutospacing="0" w:after="0" w:afterAutospacing="0"/>
              <w:ind w:right="34"/>
              <w:rPr>
                <w:rFonts w:ascii="Arial" w:hAnsi="Arial" w:cs="Arial"/>
                <w:sz w:val="22"/>
                <w:szCs w:val="22"/>
              </w:rPr>
            </w:pPr>
          </w:p>
          <w:p w:rsidR="00374154" w:rsidRDefault="00374154" w:rsidP="00BD725B">
            <w:pPr>
              <w:pStyle w:val="NormalWeb"/>
              <w:spacing w:before="0" w:beforeAutospacing="0" w:after="0" w:afterAutospacing="0"/>
              <w:ind w:right="34"/>
              <w:rPr>
                <w:rFonts w:ascii="Arial" w:hAnsi="Arial" w:cs="Arial"/>
                <w:sz w:val="22"/>
                <w:szCs w:val="22"/>
              </w:rPr>
            </w:pPr>
          </w:p>
          <w:p w:rsidR="00374154" w:rsidRPr="00230F35"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17</w:t>
            </w:r>
            <w:r w:rsidRPr="00723D57">
              <w:rPr>
                <w:rFonts w:ascii="Arial" w:hAnsi="Arial" w:cs="Arial"/>
                <w:sz w:val="22"/>
                <w:szCs w:val="22"/>
                <w:vertAlign w:val="superscript"/>
              </w:rPr>
              <w:t>th</w:t>
            </w:r>
            <w:r>
              <w:rPr>
                <w:rFonts w:ascii="Arial" w:hAnsi="Arial" w:cs="Arial"/>
                <w:sz w:val="22"/>
                <w:szCs w:val="22"/>
              </w:rPr>
              <w:t xml:space="preserve"> March 2026</w:t>
            </w:r>
          </w:p>
        </w:tc>
      </w:tr>
      <w:tr w:rsidR="00374154" w:rsidRPr="00230F35" w:rsidTr="00BD725B">
        <w:trPr>
          <w:trHeight w:val="978"/>
        </w:trPr>
        <w:tc>
          <w:tcPr>
            <w:tcW w:w="8856" w:type="dxa"/>
            <w:gridSpan w:val="5"/>
            <w:tcBorders>
              <w:bottom w:val="single" w:sz="4" w:space="0" w:color="000000"/>
            </w:tcBorders>
          </w:tcPr>
          <w:p w:rsidR="00374154" w:rsidRPr="00230F35" w:rsidRDefault="00374154" w:rsidP="00BD725B">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t>x</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374154" w:rsidRPr="00230F35" w:rsidTr="00BD725B">
        <w:trPr>
          <w:trHeight w:val="978"/>
        </w:trPr>
        <w:tc>
          <w:tcPr>
            <w:tcW w:w="8856" w:type="dxa"/>
            <w:gridSpan w:val="5"/>
            <w:shd w:val="clear" w:color="auto" w:fill="D9D9D9"/>
          </w:tcPr>
          <w:p w:rsidR="00374154" w:rsidRPr="00230F35"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374154" w:rsidRDefault="00374154" w:rsidP="00BD72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Jessica Neubert-Garton</w:t>
            </w:r>
          </w:p>
          <w:p w:rsidR="00374154" w:rsidRDefault="00374154" w:rsidP="00BD725B">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Calibri" w:hAnsi="Calibri" w:cs="Calibri"/>
                <w:b/>
                <w:sz w:val="44"/>
                <w:szCs w:val="44"/>
              </w:rPr>
              <w:t>x</w:t>
            </w:r>
          </w:p>
          <w:p w:rsidR="00374154" w:rsidRPr="00230F35" w:rsidRDefault="00374154" w:rsidP="00BD725B">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374154" w:rsidRPr="00230F35" w:rsidTr="00BD725B">
        <w:trPr>
          <w:trHeight w:val="3972"/>
        </w:trPr>
        <w:tc>
          <w:tcPr>
            <w:tcW w:w="8856" w:type="dxa"/>
            <w:gridSpan w:val="5"/>
          </w:tcPr>
          <w:p w:rsidR="00374154" w:rsidRDefault="00374154" w:rsidP="00BD725B">
            <w:pPr>
              <w:rPr>
                <w:rFonts w:ascii="Arial" w:hAnsi="Arial"/>
                <w:b/>
              </w:rPr>
            </w:pPr>
          </w:p>
          <w:p w:rsidR="00374154" w:rsidRPr="00116CE6" w:rsidRDefault="00374154" w:rsidP="00BD725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74154" w:rsidRPr="00116CE6" w:rsidTr="00BD725B">
              <w:tc>
                <w:tcPr>
                  <w:tcW w:w="6970" w:type="dxa"/>
                </w:tcPr>
                <w:p w:rsidR="00374154" w:rsidRPr="00116CE6" w:rsidRDefault="00374154" w:rsidP="00BD725B">
                  <w:pPr>
                    <w:rPr>
                      <w:rFonts w:ascii="Arial" w:hAnsi="Arial"/>
                      <w:sz w:val="20"/>
                      <w:szCs w:val="20"/>
                    </w:rPr>
                  </w:pPr>
                </w:p>
                <w:p w:rsidR="00374154" w:rsidRPr="00116CE6" w:rsidRDefault="00374154" w:rsidP="00BD725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374154" w:rsidRPr="00116CE6" w:rsidRDefault="00374154" w:rsidP="00BD725B">
                  <w:pPr>
                    <w:rPr>
                      <w:rFonts w:ascii="Arial" w:hAnsi="Arial"/>
                      <w:sz w:val="20"/>
                      <w:szCs w:val="20"/>
                    </w:rPr>
                  </w:pPr>
                </w:p>
              </w:tc>
            </w:tr>
            <w:tr w:rsidR="00374154" w:rsidRPr="00116CE6" w:rsidTr="00BD725B">
              <w:tc>
                <w:tcPr>
                  <w:tcW w:w="6970" w:type="dxa"/>
                </w:tcPr>
                <w:p w:rsidR="00374154" w:rsidRPr="00116CE6" w:rsidRDefault="00374154" w:rsidP="00BD725B">
                  <w:pPr>
                    <w:rPr>
                      <w:rFonts w:ascii="Arial" w:hAnsi="Arial"/>
                      <w:sz w:val="20"/>
                      <w:szCs w:val="20"/>
                    </w:rPr>
                  </w:pPr>
                </w:p>
                <w:p w:rsidR="00374154" w:rsidRPr="00116CE6" w:rsidRDefault="00374154" w:rsidP="00BD725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374154" w:rsidRPr="00116CE6" w:rsidRDefault="00374154" w:rsidP="00BD725B">
                  <w:pPr>
                    <w:rPr>
                      <w:rFonts w:ascii="Arial" w:hAnsi="Arial"/>
                      <w:sz w:val="20"/>
                      <w:szCs w:val="20"/>
                    </w:rPr>
                  </w:pPr>
                </w:p>
              </w:tc>
            </w:tr>
            <w:tr w:rsidR="00374154" w:rsidRPr="00116CE6" w:rsidTr="00BD725B">
              <w:tc>
                <w:tcPr>
                  <w:tcW w:w="6970" w:type="dxa"/>
                </w:tcPr>
                <w:p w:rsidR="00374154" w:rsidRPr="00116CE6" w:rsidRDefault="00374154" w:rsidP="00BD725B">
                  <w:pPr>
                    <w:rPr>
                      <w:rFonts w:ascii="Arial" w:hAnsi="Arial"/>
                      <w:sz w:val="20"/>
                      <w:szCs w:val="20"/>
                    </w:rPr>
                  </w:pPr>
                </w:p>
                <w:p w:rsidR="00374154" w:rsidRPr="00116CE6" w:rsidRDefault="00374154" w:rsidP="00BD725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374154" w:rsidRPr="00116CE6" w:rsidRDefault="00374154" w:rsidP="00BD725B">
                  <w:pPr>
                    <w:rPr>
                      <w:rFonts w:ascii="Arial" w:hAnsi="Arial"/>
                      <w:sz w:val="20"/>
                      <w:szCs w:val="20"/>
                    </w:rPr>
                  </w:pPr>
                </w:p>
              </w:tc>
            </w:tr>
            <w:tr w:rsidR="00374154" w:rsidRPr="00116CE6" w:rsidTr="00BD725B">
              <w:tc>
                <w:tcPr>
                  <w:tcW w:w="6970" w:type="dxa"/>
                </w:tcPr>
                <w:p w:rsidR="00374154" w:rsidRDefault="00374154" w:rsidP="00BD725B">
                  <w:pPr>
                    <w:rPr>
                      <w:rFonts w:ascii="Arial" w:hAnsi="Arial"/>
                      <w:sz w:val="20"/>
                      <w:szCs w:val="20"/>
                    </w:rPr>
                  </w:pPr>
                </w:p>
                <w:p w:rsidR="00374154" w:rsidRPr="00022345" w:rsidRDefault="00374154" w:rsidP="00BD725B">
                  <w:pPr>
                    <w:rPr>
                      <w:rFonts w:ascii="Arial" w:hAnsi="Arial"/>
                      <w:b/>
                      <w:sz w:val="20"/>
                      <w:szCs w:val="20"/>
                    </w:rPr>
                  </w:pPr>
                  <w:r w:rsidRPr="00022345">
                    <w:rPr>
                      <w:rFonts w:ascii="Arial" w:hAnsi="Arial"/>
                      <w:b/>
                      <w:sz w:val="20"/>
                      <w:szCs w:val="20"/>
                    </w:rPr>
                    <w:t>Final Mark</w:t>
                  </w:r>
                </w:p>
                <w:p w:rsidR="00374154" w:rsidRPr="00116CE6" w:rsidRDefault="00374154" w:rsidP="00BD725B">
                  <w:pPr>
                    <w:rPr>
                      <w:rFonts w:ascii="Arial" w:hAnsi="Arial"/>
                      <w:sz w:val="20"/>
                      <w:szCs w:val="20"/>
                    </w:rPr>
                  </w:pPr>
                </w:p>
              </w:tc>
              <w:tc>
                <w:tcPr>
                  <w:tcW w:w="1660" w:type="dxa"/>
                </w:tcPr>
                <w:p w:rsidR="00374154" w:rsidRPr="00116CE6" w:rsidRDefault="00374154" w:rsidP="00BD725B">
                  <w:pPr>
                    <w:rPr>
                      <w:rFonts w:ascii="Arial" w:hAnsi="Arial"/>
                      <w:sz w:val="20"/>
                      <w:szCs w:val="20"/>
                    </w:rPr>
                  </w:pPr>
                </w:p>
              </w:tc>
            </w:tr>
          </w:tbl>
          <w:p w:rsidR="00374154" w:rsidRDefault="00374154" w:rsidP="00BD725B">
            <w:pPr>
              <w:pStyle w:val="NormalWeb"/>
              <w:spacing w:before="0" w:beforeAutospacing="0" w:after="0" w:afterAutospacing="0"/>
              <w:ind w:left="142" w:right="34"/>
              <w:rPr>
                <w:rFonts w:ascii="Arial" w:hAnsi="Arial" w:cs="Arial"/>
                <w:b/>
                <w:sz w:val="22"/>
                <w:szCs w:val="22"/>
              </w:rPr>
            </w:pPr>
          </w:p>
          <w:p w:rsidR="00374154" w:rsidRPr="00230F35" w:rsidRDefault="00374154" w:rsidP="00BD725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374154" w:rsidRDefault="00374154" w:rsidP="00BD725B">
            <w:pPr>
              <w:pStyle w:val="NormalWeb"/>
              <w:spacing w:before="0" w:beforeAutospacing="0" w:after="0" w:afterAutospacing="0"/>
              <w:rPr>
                <w:rFonts w:ascii="Arial" w:hAnsi="Arial" w:cs="Arial"/>
                <w:b/>
                <w:sz w:val="22"/>
                <w:szCs w:val="22"/>
              </w:rPr>
            </w:pPr>
          </w:p>
          <w:p w:rsidR="00374154" w:rsidRDefault="00374154" w:rsidP="00BD725B">
            <w:pPr>
              <w:pStyle w:val="NormalWeb"/>
              <w:spacing w:before="0" w:beforeAutospacing="0" w:after="0" w:afterAutospacing="0"/>
              <w:rPr>
                <w:rFonts w:ascii="Arial" w:hAnsi="Arial" w:cs="Arial"/>
                <w:b/>
                <w:sz w:val="22"/>
                <w:szCs w:val="22"/>
              </w:rPr>
            </w:pPr>
          </w:p>
          <w:p w:rsidR="00374154" w:rsidRDefault="00374154" w:rsidP="00BD725B">
            <w:pPr>
              <w:pStyle w:val="NormalWeb"/>
              <w:spacing w:before="0" w:beforeAutospacing="0" w:after="0" w:afterAutospacing="0"/>
              <w:rPr>
                <w:rFonts w:ascii="Arial" w:hAnsi="Arial" w:cs="Arial"/>
                <w:b/>
                <w:sz w:val="22"/>
                <w:szCs w:val="22"/>
              </w:rPr>
            </w:pPr>
          </w:p>
          <w:p w:rsidR="00374154" w:rsidRDefault="00374154" w:rsidP="00BD725B">
            <w:pPr>
              <w:pStyle w:val="NormalWeb"/>
              <w:spacing w:before="0" w:beforeAutospacing="0" w:after="0" w:afterAutospacing="0"/>
              <w:rPr>
                <w:rFonts w:ascii="Arial" w:hAnsi="Arial" w:cs="Arial"/>
                <w:b/>
                <w:sz w:val="22"/>
                <w:szCs w:val="22"/>
              </w:rPr>
            </w:pPr>
          </w:p>
          <w:p w:rsidR="00374154" w:rsidRPr="00230F35" w:rsidRDefault="00374154" w:rsidP="00BD725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374154" w:rsidRDefault="00374154" w:rsidP="00BD725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374154" w:rsidRDefault="00374154" w:rsidP="00BD725B">
            <w:pPr>
              <w:pStyle w:val="NormalWeb"/>
              <w:rPr>
                <w:rFonts w:ascii="Arial" w:hAnsi="Arial" w:cs="Arial"/>
                <w:sz w:val="22"/>
                <w:szCs w:val="22"/>
              </w:rPr>
            </w:pPr>
          </w:p>
          <w:p w:rsidR="00374154" w:rsidRDefault="00374154" w:rsidP="00BD725B">
            <w:pPr>
              <w:pStyle w:val="NormalWeb"/>
              <w:rPr>
                <w:rFonts w:ascii="Arial" w:hAnsi="Arial" w:cs="Arial"/>
                <w:sz w:val="22"/>
                <w:szCs w:val="22"/>
              </w:rPr>
            </w:pPr>
          </w:p>
          <w:p w:rsidR="00374154" w:rsidRDefault="00374154" w:rsidP="00BD725B">
            <w:pPr>
              <w:pStyle w:val="NormalWeb"/>
              <w:rPr>
                <w:rFonts w:ascii="Arial" w:hAnsi="Arial" w:cs="Arial"/>
                <w:sz w:val="22"/>
                <w:szCs w:val="22"/>
              </w:rPr>
            </w:pPr>
          </w:p>
          <w:p w:rsidR="00374154" w:rsidRDefault="00374154" w:rsidP="00BD725B">
            <w:pPr>
              <w:pStyle w:val="NormalWeb"/>
              <w:rPr>
                <w:rFonts w:ascii="Arial" w:hAnsi="Arial" w:cs="Arial"/>
                <w:sz w:val="22"/>
                <w:szCs w:val="22"/>
              </w:rPr>
            </w:pPr>
          </w:p>
          <w:p w:rsidR="00374154" w:rsidRPr="00001C3B" w:rsidRDefault="00374154" w:rsidP="00BD725B">
            <w:pPr>
              <w:pStyle w:val="NormalWeb"/>
              <w:rPr>
                <w:rFonts w:ascii="Arial" w:hAnsi="Arial" w:cs="Arial"/>
                <w:sz w:val="22"/>
                <w:szCs w:val="22"/>
              </w:rPr>
            </w:pPr>
          </w:p>
        </w:tc>
      </w:tr>
      <w:tr w:rsidR="00374154" w:rsidRPr="00230F35" w:rsidTr="00BD725B">
        <w:trPr>
          <w:trHeight w:val="492"/>
        </w:trPr>
        <w:tc>
          <w:tcPr>
            <w:tcW w:w="6768" w:type="dxa"/>
            <w:gridSpan w:val="3"/>
          </w:tcPr>
          <w:p w:rsidR="00374154" w:rsidRPr="00230F35" w:rsidRDefault="00374154" w:rsidP="00BD725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374154" w:rsidRPr="00230F35" w:rsidRDefault="00374154" w:rsidP="00BD725B">
            <w:pPr>
              <w:pStyle w:val="NormalWeb"/>
              <w:spacing w:after="0"/>
              <w:ind w:left="142" w:right="34"/>
              <w:rPr>
                <w:rFonts w:ascii="Arial" w:hAnsi="Arial" w:cs="Arial"/>
                <w:sz w:val="22"/>
                <w:szCs w:val="22"/>
              </w:rPr>
            </w:pPr>
            <w:r w:rsidRPr="00230F35">
              <w:rPr>
                <w:rFonts w:ascii="Arial" w:hAnsi="Arial" w:cs="Arial"/>
                <w:sz w:val="22"/>
                <w:szCs w:val="22"/>
              </w:rPr>
              <w:t>Date:</w:t>
            </w:r>
          </w:p>
        </w:tc>
      </w:tr>
      <w:tr w:rsidR="00374154" w:rsidRPr="002F467C" w:rsidTr="00BD725B">
        <w:tc>
          <w:tcPr>
            <w:tcW w:w="8856" w:type="dxa"/>
            <w:gridSpan w:val="5"/>
          </w:tcPr>
          <w:p w:rsidR="00374154" w:rsidRPr="00230F35" w:rsidRDefault="00374154" w:rsidP="00BD725B">
            <w:pPr>
              <w:pStyle w:val="NormalWeb"/>
              <w:spacing w:before="0" w:beforeAutospacing="0" w:after="0" w:afterAutospacing="0"/>
              <w:ind w:right="-334"/>
              <w:rPr>
                <w:rFonts w:ascii="Arial" w:hAnsi="Arial" w:cs="Arial"/>
                <w:bCs/>
                <w:i/>
                <w:sz w:val="22"/>
                <w:szCs w:val="22"/>
              </w:rPr>
            </w:pPr>
          </w:p>
          <w:p w:rsidR="00374154" w:rsidRPr="00230F35" w:rsidRDefault="00374154" w:rsidP="00BD725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374154" w:rsidRPr="00230F35" w:rsidRDefault="00374154" w:rsidP="00BD725B">
            <w:pPr>
              <w:pStyle w:val="NormalWeb"/>
              <w:spacing w:before="0" w:beforeAutospacing="0" w:after="0" w:afterAutospacing="0"/>
              <w:ind w:right="-334"/>
              <w:rPr>
                <w:rFonts w:ascii="Arial" w:hAnsi="Arial" w:cs="Arial"/>
                <w:b/>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Default="00374154" w:rsidP="00BD725B">
            <w:pPr>
              <w:pStyle w:val="NormalWeb"/>
              <w:spacing w:before="0" w:beforeAutospacing="0" w:after="0" w:afterAutospacing="0"/>
              <w:ind w:right="-334"/>
              <w:rPr>
                <w:rFonts w:ascii="Arial" w:hAnsi="Arial" w:cs="Arial"/>
                <w:bCs/>
                <w:sz w:val="22"/>
                <w:szCs w:val="22"/>
              </w:rPr>
            </w:pPr>
          </w:p>
          <w:p w:rsidR="00374154"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tc>
      </w:tr>
      <w:tr w:rsidR="00374154" w:rsidRPr="002F467C" w:rsidTr="00BD725B">
        <w:trPr>
          <w:trHeight w:val="720"/>
        </w:trPr>
        <w:tc>
          <w:tcPr>
            <w:tcW w:w="5211" w:type="dxa"/>
            <w:gridSpan w:val="2"/>
          </w:tcPr>
          <w:p w:rsidR="00374154" w:rsidRPr="00230F35" w:rsidRDefault="00374154" w:rsidP="00BD725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374154" w:rsidRPr="00230F35" w:rsidRDefault="00374154" w:rsidP="00BD725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74154" w:rsidRPr="002F467C" w:rsidTr="00BD725B">
        <w:trPr>
          <w:trHeight w:val="720"/>
        </w:trPr>
        <w:tc>
          <w:tcPr>
            <w:tcW w:w="8856" w:type="dxa"/>
            <w:gridSpan w:val="5"/>
          </w:tcPr>
          <w:p w:rsidR="00374154" w:rsidRPr="00B34964" w:rsidRDefault="00374154" w:rsidP="00BD725B">
            <w:pPr>
              <w:rPr>
                <w:rFonts w:ascii="Arial" w:hAnsi="Arial" w:cs="Arial"/>
                <w:b/>
                <w:sz w:val="22"/>
                <w:szCs w:val="22"/>
              </w:rPr>
            </w:pPr>
            <w:r w:rsidRPr="00B34964">
              <w:rPr>
                <w:rFonts w:ascii="Arial" w:hAnsi="Arial" w:cs="Arial"/>
                <w:b/>
                <w:sz w:val="22"/>
                <w:szCs w:val="22"/>
              </w:rPr>
              <w:t>External Examiner’s comments (if relevant)</w:t>
            </w: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Default="00374154" w:rsidP="00BD725B">
            <w:pPr>
              <w:pStyle w:val="NormalWeb"/>
              <w:spacing w:before="0" w:beforeAutospacing="0" w:after="0" w:afterAutospacing="0"/>
              <w:ind w:right="-334"/>
              <w:rPr>
                <w:rFonts w:ascii="Arial" w:hAnsi="Arial" w:cs="Arial"/>
                <w:bCs/>
                <w:sz w:val="22"/>
                <w:szCs w:val="22"/>
              </w:rPr>
            </w:pPr>
          </w:p>
          <w:p w:rsidR="00374154"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p w:rsidR="00374154" w:rsidRPr="00230F35" w:rsidRDefault="00374154" w:rsidP="00BD725B">
            <w:pPr>
              <w:pStyle w:val="NormalWeb"/>
              <w:spacing w:before="0" w:beforeAutospacing="0" w:after="0" w:afterAutospacing="0"/>
              <w:ind w:right="-334"/>
              <w:rPr>
                <w:rFonts w:ascii="Arial" w:hAnsi="Arial" w:cs="Arial"/>
                <w:bCs/>
                <w:sz w:val="22"/>
                <w:szCs w:val="22"/>
              </w:rPr>
            </w:pPr>
          </w:p>
        </w:tc>
      </w:tr>
      <w:tr w:rsidR="00374154" w:rsidRPr="002F467C" w:rsidTr="00BD725B">
        <w:trPr>
          <w:trHeight w:val="720"/>
        </w:trPr>
        <w:tc>
          <w:tcPr>
            <w:tcW w:w="5211" w:type="dxa"/>
            <w:gridSpan w:val="2"/>
          </w:tcPr>
          <w:p w:rsidR="00374154" w:rsidRPr="00230F35" w:rsidRDefault="00374154" w:rsidP="00BD725B">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rsidR="00374154" w:rsidRPr="00230F35" w:rsidRDefault="00374154" w:rsidP="00BD725B">
            <w:pPr>
              <w:rPr>
                <w:rFonts w:ascii="Arial" w:hAnsi="Arial" w:cs="Arial"/>
                <w:sz w:val="22"/>
                <w:szCs w:val="22"/>
              </w:rPr>
            </w:pPr>
            <w:r w:rsidRPr="00230F35">
              <w:rPr>
                <w:rFonts w:ascii="Arial" w:hAnsi="Arial" w:cs="Arial"/>
                <w:sz w:val="22"/>
                <w:szCs w:val="22"/>
              </w:rPr>
              <w:t>Date:</w:t>
            </w:r>
          </w:p>
        </w:tc>
      </w:tr>
    </w:tbl>
    <w:p w:rsidR="00374154" w:rsidRPr="00D67BF8" w:rsidRDefault="00374154" w:rsidP="00374154">
      <w:pPr>
        <w:pStyle w:val="NormalWeb"/>
        <w:spacing w:before="0" w:beforeAutospacing="0" w:after="0" w:afterAutospacing="0"/>
        <w:ind w:right="-334"/>
        <w:rPr>
          <w:rFonts w:ascii="Trebuchet MS" w:hAnsi="Trebuchet MS" w:cs="Tahoma"/>
          <w:bCs/>
        </w:rPr>
      </w:pPr>
    </w:p>
    <w:p w:rsidR="00374154" w:rsidRDefault="00374154" w:rsidP="00374154">
      <w:pPr>
        <w:rPr>
          <w:lang w:val="en-CA"/>
        </w:rPr>
      </w:pPr>
    </w:p>
    <w:p w:rsidR="009D3B10" w:rsidRDefault="009D3B10"/>
    <w:p w:rsidR="00374154" w:rsidRDefault="00374154"/>
    <w:p w:rsidR="00D52D6F" w:rsidRPr="00D52D6F" w:rsidRDefault="00D52D6F" w:rsidP="00D52D6F">
      <w:pPr>
        <w:jc w:val="center"/>
        <w:rPr>
          <w:rFonts w:ascii="Times New Roman" w:hAnsi="Times New Roman" w:cs="Times New Roman"/>
          <w:b/>
          <w:sz w:val="28"/>
          <w:szCs w:val="28"/>
        </w:rPr>
      </w:pPr>
      <w:r w:rsidRPr="00D52D6F">
        <w:rPr>
          <w:rFonts w:ascii="Times New Roman" w:hAnsi="Times New Roman" w:cs="Times New Roman"/>
          <w:b/>
          <w:sz w:val="28"/>
          <w:szCs w:val="28"/>
        </w:rPr>
        <w:t>A Critical Comparison of two Secondary Sources</w:t>
      </w:r>
    </w:p>
    <w:p w:rsidR="00374154" w:rsidRPr="00374154" w:rsidRDefault="00374154" w:rsidP="00374154">
      <w:pPr>
        <w:pStyle w:val="NormalWeb"/>
        <w:spacing w:line="360" w:lineRule="auto"/>
        <w:jc w:val="center"/>
        <w:rPr>
          <w:b/>
          <w:bCs/>
        </w:rPr>
      </w:pPr>
      <w:r>
        <w:rPr>
          <w:b/>
          <w:bCs/>
        </w:rPr>
        <w:t>Words: 2,525</w:t>
      </w:r>
    </w:p>
    <w:p w:rsidR="00374154" w:rsidRPr="00374154" w:rsidRDefault="00374154" w:rsidP="00374154">
      <w:pPr>
        <w:pStyle w:val="NormalWeb"/>
        <w:spacing w:line="360" w:lineRule="auto"/>
        <w:rPr>
          <w:b/>
          <w:bCs/>
        </w:rPr>
      </w:pPr>
      <w:r w:rsidRPr="00374154">
        <w:rPr>
          <w:b/>
          <w:bCs/>
        </w:rPr>
        <w:t>Introduction</w:t>
      </w:r>
    </w:p>
    <w:p w:rsidR="00374154" w:rsidRDefault="00374154" w:rsidP="00374154">
      <w:pPr>
        <w:pStyle w:val="NormalWeb"/>
        <w:spacing w:line="360" w:lineRule="auto"/>
      </w:pPr>
      <w:r>
        <w:t>This essay compares and contrasts two secondary sources; T. L. Brink's article "Inconsistency of Belief among Roman Catholic Girls: Concerning Religion, Astrology, Reincarnation," published in the Review of Religious Research in 1978,</w:t>
      </w:r>
      <w:r>
        <w:rPr>
          <w:rStyle w:val="FootnoteReference"/>
        </w:rPr>
        <w:footnoteReference w:id="1"/>
      </w:r>
      <w:r>
        <w:t xml:space="preserve"> with Gillian Bennett's chapter "'If I Knew You Were Coming, I'd Have Baked a Cake': The Folklore of Foreknowledge in a </w:t>
      </w:r>
      <w:proofErr w:type="spellStart"/>
      <w:r>
        <w:t>Neighborhood</w:t>
      </w:r>
      <w:proofErr w:type="spellEnd"/>
      <w:r>
        <w:t xml:space="preserve"> Group," published in Out of the Ordinary: Folklore and the Supernatural by Utah State University Press in 1995.</w:t>
      </w:r>
      <w:r>
        <w:rPr>
          <w:rStyle w:val="FootnoteReference"/>
        </w:rPr>
        <w:footnoteReference w:id="2"/>
      </w:r>
      <w:r>
        <w:t xml:space="preserve"> Both studies examine belief systems that challenge traditional religious teachings but employ different research methods and researcher-subject relationships. Brink uses surveys to study contradictory beliefs among Catholic schoolgirls, while Bennett uses interviews and folklore studies to explore elderly women's supernatural experiences. This essay will analyse how each researcher's methods serve their goals, how their relationship to subjects shapes their work, and how effectively each connects their research to broader academic discussions.</w:t>
      </w:r>
    </w:p>
    <w:p w:rsidR="00374154" w:rsidRPr="00374154" w:rsidRDefault="00374154" w:rsidP="00374154">
      <w:pPr>
        <w:pStyle w:val="NormalWeb"/>
        <w:spacing w:line="360" w:lineRule="auto"/>
      </w:pPr>
      <w:r w:rsidRPr="00374154">
        <w:rPr>
          <w:b/>
          <w:bCs/>
        </w:rPr>
        <w:t>Contextualising the Research Papers and Summary of Arguments</w:t>
      </w:r>
    </w:p>
    <w:p w:rsidR="00374154" w:rsidRPr="00374154" w:rsidRDefault="00374154" w:rsidP="00374154">
      <w:pPr>
        <w:pStyle w:val="NormalWeb"/>
        <w:spacing w:line="360" w:lineRule="auto"/>
        <w:rPr>
          <w:b/>
          <w:bCs/>
        </w:rPr>
      </w:pPr>
      <w:r w:rsidRPr="00374154">
        <w:rPr>
          <w:b/>
          <w:bCs/>
        </w:rPr>
        <w:lastRenderedPageBreak/>
        <w:t>Brink's Study</w:t>
      </w:r>
    </w:p>
    <w:p w:rsidR="00374154" w:rsidRDefault="00374154" w:rsidP="00374154">
      <w:pPr>
        <w:pStyle w:val="NormalWeb"/>
        <w:spacing w:line="360" w:lineRule="auto"/>
      </w:pPr>
      <w:r>
        <w:t>Brink's 1978 article studied 227 students at a Catholic girls' high school in Chicago</w:t>
      </w:r>
      <w:r>
        <w:rPr>
          <w:rStyle w:val="FootnoteReference"/>
        </w:rPr>
        <w:footnoteReference w:id="3"/>
      </w:r>
      <w:r>
        <w:t>. He wanted to test whether believing in Catholic doctrine, astrology, and reincarnation at the same time was logically impossible. He gave questionnaires to students during their required religion classes, asking them to agree or disagree with statements about these belief systems. His results surprised him: many students believed in multiple incompatible systems at once. Brink concludes that these findings challenge theories about logical thinking. He suggests that beliefs that seem incompatible might actually serve similar psychological purposes for teenagers – they provide security rather than forming a logical system.</w:t>
      </w:r>
      <w:r>
        <w:rPr>
          <w:rStyle w:val="FootnoteReference"/>
        </w:rPr>
        <w:footnoteReference w:id="4"/>
      </w:r>
    </w:p>
    <w:p w:rsidR="00374154" w:rsidRPr="00374154" w:rsidRDefault="00374154" w:rsidP="00374154">
      <w:pPr>
        <w:pStyle w:val="NormalWeb"/>
        <w:spacing w:line="360" w:lineRule="auto"/>
        <w:rPr>
          <w:b/>
          <w:bCs/>
        </w:rPr>
      </w:pPr>
      <w:r w:rsidRPr="00374154">
        <w:rPr>
          <w:b/>
          <w:bCs/>
        </w:rPr>
        <w:t>Bennett's Study</w:t>
      </w:r>
    </w:p>
    <w:p w:rsidR="00374154" w:rsidRDefault="00374154" w:rsidP="00374154">
      <w:pPr>
        <w:pStyle w:val="NormalWeb"/>
        <w:spacing w:line="360" w:lineRule="auto"/>
      </w:pPr>
      <w:r>
        <w:t>Bennett's 1995 chapter examines beliefs about premonitions, dreams, and fortune-telling among 87 elderly women (aged 60 to 95) in a middle-class British suburb.</w:t>
      </w:r>
      <w:r>
        <w:rPr>
          <w:rStyle w:val="FootnoteReference"/>
        </w:rPr>
        <w:footnoteReference w:id="5"/>
      </w:r>
      <w:r>
        <w:t xml:space="preserve"> Her main argument is that these women's beliefs reflect their social situation and moral values, particularly their commitment to traditional feminine roles. Bennett identifies two historical types of British supernatural tradition: the "divinatory" tradition (astrology, fortune-telling) and the "visionary" tradition (dreams, premonitions, ESP). She shows that her subjects strongly prefer the visionary tradition while being sceptical of the divinatory tradition. Bennett argues that this preference reflects the women's moral framework: involuntary psychic experiences are valued because they demonstrate feminine virtues like intuition and caring for others, while deliberate fortune-telling is suspicious because it represents selfish action. Bennett concludes that beliefs about involuntary ESP allow these women to claim authority while staying within traditional feminine roles</w:t>
      </w:r>
      <w:r>
        <w:rPr>
          <w:rStyle w:val="FootnoteReference"/>
        </w:rPr>
        <w:footnoteReference w:id="6"/>
      </w:r>
      <w:r>
        <w:t>.</w:t>
      </w:r>
    </w:p>
    <w:p w:rsidR="00374154" w:rsidRPr="00374154" w:rsidRDefault="00374154" w:rsidP="00374154">
      <w:pPr>
        <w:pStyle w:val="NormalWeb"/>
        <w:spacing w:line="360" w:lineRule="auto"/>
        <w:rPr>
          <w:b/>
          <w:bCs/>
        </w:rPr>
      </w:pPr>
      <w:r w:rsidRPr="00374154">
        <w:rPr>
          <w:b/>
          <w:bCs/>
        </w:rPr>
        <w:t>Methodology Employed by the Researchers</w:t>
      </w:r>
    </w:p>
    <w:p w:rsidR="00374154" w:rsidRPr="00374154" w:rsidRDefault="00374154" w:rsidP="00374154">
      <w:pPr>
        <w:pStyle w:val="NormalWeb"/>
        <w:spacing w:line="360" w:lineRule="auto"/>
        <w:rPr>
          <w:b/>
          <w:bCs/>
        </w:rPr>
      </w:pPr>
      <w:r w:rsidRPr="00374154">
        <w:rPr>
          <w:b/>
          <w:bCs/>
        </w:rPr>
        <w:t>Brink's Quantitative Approach</w:t>
      </w:r>
    </w:p>
    <w:p w:rsidR="00374154" w:rsidRDefault="00374154" w:rsidP="00374154">
      <w:pPr>
        <w:pStyle w:val="NormalWeb"/>
        <w:spacing w:line="360" w:lineRule="auto"/>
      </w:pPr>
      <w:r>
        <w:lastRenderedPageBreak/>
        <w:t>Brink uses a quantitative survey method, giving questionnaires to students in their required religion classes</w:t>
      </w:r>
      <w:r w:rsidR="00583AE5">
        <w:t>.</w:t>
      </w:r>
      <w:r>
        <w:rPr>
          <w:rStyle w:val="FootnoteReference"/>
        </w:rPr>
        <w:footnoteReference w:id="7"/>
      </w:r>
      <w:r>
        <w:t xml:space="preserve"> This approach has several strengths: it collects data from a relatively large sample (227 students), allows him to measure how strongly students believe things, ensures a high response rate, and captures students after they've received maximum religious education.</w:t>
      </w:r>
    </w:p>
    <w:p w:rsidR="00374154" w:rsidRDefault="00374154" w:rsidP="00374154">
      <w:pPr>
        <w:pStyle w:val="NormalWeb"/>
        <w:spacing w:line="360" w:lineRule="auto"/>
      </w:pPr>
      <w:r>
        <w:t>However, the method has significant problems. Most importantly, the questionnaire assumes that complex, potentially contradictory beliefs can be captured through simple agree/disagree responses to isolated statements. This oversimplified approach ignores the nuanced ways people actually hold and manage beliefs in real life. As Bennett's work shows, beliefs are embedded in social contexts, stories, and moral frameworks. Brink's method cannot capture how students might separate beliefs into different mental compartments or understand them in ways that resolve apparent contradictions. As Walter and Waterhouse demonstrate in their study of reincarnation beliefs, attempting to categorise belief into simple yes-don't know-no categories "bears little relationship to the way in which people think and talk about the concept, at least in the situation of an unstructured interview".</w:t>
      </w:r>
      <w:r>
        <w:rPr>
          <w:rStyle w:val="FootnoteReference"/>
        </w:rPr>
        <w:footnoteReference w:id="8"/>
      </w:r>
      <w:r>
        <w:t xml:space="preserve"> Their respondents rarely stated "I believe" categorically, instead prefacing statements with "I think..." or "Maybe..." or "Perhaps..."</w:t>
      </w:r>
      <w:r>
        <w:rPr>
          <w:rStyle w:val="FootnoteReference"/>
        </w:rPr>
        <w:footnoteReference w:id="9"/>
      </w:r>
      <w:r>
        <w:t xml:space="preserve"> This finding suggests that Brink's forced-choice questionnaire format may have artificially imposed certainty on beliefs that students actually held more tentatively or contextually.</w:t>
      </w:r>
      <w:r>
        <w:br/>
        <w:t>Brink provides no information about how he developed the questionnaire, whether he tested it first, or whether it actually measures what he thinks it measures. His sampling strategy is essentially a convenience sample, excluding students who were absent that day.</w:t>
      </w:r>
    </w:p>
    <w:p w:rsidR="00374154" w:rsidRDefault="00374154" w:rsidP="00374154">
      <w:pPr>
        <w:pStyle w:val="NormalWeb"/>
        <w:spacing w:line="360" w:lineRule="auto"/>
      </w:pPr>
      <w:r>
        <w:t>The study lacks any interviews or open-ended questions that might explain why students hold these beliefs or how they understand the relationships among them. Finally, Brink's theoretical framework – cognitive consistency theory – may not be appropriate for the subject. When the results contradict consistency theories, he doesn't adequately consider whether the problem lies with the theory rather than with how teenagers think.</w:t>
      </w:r>
    </w:p>
    <w:p w:rsidR="00374154" w:rsidRPr="00374154" w:rsidRDefault="00374154" w:rsidP="00374154">
      <w:pPr>
        <w:pStyle w:val="NormalWeb"/>
        <w:spacing w:line="360" w:lineRule="auto"/>
        <w:rPr>
          <w:b/>
          <w:bCs/>
        </w:rPr>
      </w:pPr>
      <w:r w:rsidRPr="00374154">
        <w:rPr>
          <w:b/>
          <w:bCs/>
        </w:rPr>
        <w:t>Bennett's Qualitative Ethnographic Approach</w:t>
      </w:r>
    </w:p>
    <w:p w:rsidR="00374154" w:rsidRDefault="00374154" w:rsidP="00374154">
      <w:pPr>
        <w:pStyle w:val="NormalWeb"/>
        <w:spacing w:line="360" w:lineRule="auto"/>
      </w:pPr>
      <w:r>
        <w:lastRenderedPageBreak/>
        <w:t>Bennett uses a qualitative ethnographic method centred on recorded conversations with elderly women during their podiatry appointments.</w:t>
      </w:r>
      <w:r>
        <w:rPr>
          <w:rStyle w:val="FootnoteReference"/>
        </w:rPr>
        <w:footnoteReference w:id="10"/>
      </w:r>
      <w:r>
        <w:t xml:space="preserve"> This approach has numerous strengths. First, the setting is natural and comfortable: women are in a familiar environment, speaking with their trusted podiatrist's daughter. Second, Bennett's father serves as both gatekeeper and guarantor of her trustworthiness. Third, the extended timeframe (five months) means Bennett becomes a familiar presence.</w:t>
      </w:r>
    </w:p>
    <w:p w:rsidR="00374154" w:rsidRDefault="00374154" w:rsidP="00374154">
      <w:pPr>
        <w:pStyle w:val="NormalWeb"/>
        <w:spacing w:line="360" w:lineRule="auto"/>
      </w:pPr>
      <w:r>
        <w:t>Most importantly, Bennett's method allows her to collect rich narrative data that reveals not just what women believe but how they talk about beliefs, what storytelling strategies they use, and what moral frameworks shape their understanding. The recorded conversations capture natural speech patterns and the interactive negotiation of meaning. Bennett immerses herself in the community, learns its specialised vocabulary, and seeks to understand beliefs from the participants' own perspectives.</w:t>
      </w:r>
      <w:r>
        <w:rPr>
          <w:rStyle w:val="FootnoteReference"/>
        </w:rPr>
        <w:footnoteReference w:id="11"/>
      </w:r>
      <w:r>
        <w:t xml:space="preserve"> She doesn't impose external categories but rather discovers the women's own classification systems and moral distinctions.</w:t>
      </w:r>
    </w:p>
    <w:p w:rsidR="0013158F" w:rsidRDefault="00374154" w:rsidP="00374154">
      <w:pPr>
        <w:pStyle w:val="NormalWeb"/>
        <w:spacing w:line="360" w:lineRule="auto"/>
      </w:pPr>
      <w:r>
        <w:t>Bennett demonstrates methodological awareness by explicitly discussing her research strategy and its limitations. She acknowledges that her sample represents a specific social network of middle-class, largely Methodist women in a particular British suburb, and she appropriately frames her conclusions as applying to this particular group.</w:t>
      </w:r>
      <w:r>
        <w:rPr>
          <w:rStyle w:val="FootnoteReference"/>
        </w:rPr>
        <w:footnoteReference w:id="12"/>
      </w:r>
    </w:p>
    <w:p w:rsidR="00374154" w:rsidRDefault="00374154" w:rsidP="00374154">
      <w:pPr>
        <w:pStyle w:val="NormalWeb"/>
        <w:spacing w:line="360" w:lineRule="auto"/>
      </w:pPr>
      <w:r>
        <w:t>However, the research exhibits certain methodological limitations. The researcher's physical presence and recording equipment may have introduced observer effects, though the naturalistic setting likely reduced this concern. Additionally, participants' awareness of the researcher's familial relationship to the physician could have affected their openness. The paper does not clarify whether participants were informed of this relationship, whether a confidentiality agreement was established, or that their experiences would be published in book form – raising important questions about informed consent and ethical parameters.</w:t>
      </w:r>
    </w:p>
    <w:p w:rsidR="0013158F" w:rsidRDefault="0013158F" w:rsidP="00374154">
      <w:pPr>
        <w:pStyle w:val="NormalWeb"/>
        <w:spacing w:line="360" w:lineRule="auto"/>
        <w:rPr>
          <w:b/>
          <w:bCs/>
        </w:rPr>
      </w:pPr>
    </w:p>
    <w:p w:rsidR="00374154" w:rsidRPr="00374154" w:rsidRDefault="00374154" w:rsidP="00374154">
      <w:pPr>
        <w:pStyle w:val="NormalWeb"/>
        <w:spacing w:line="360" w:lineRule="auto"/>
        <w:rPr>
          <w:b/>
          <w:bCs/>
        </w:rPr>
      </w:pPr>
      <w:r w:rsidRPr="00374154">
        <w:rPr>
          <w:b/>
          <w:bCs/>
        </w:rPr>
        <w:t>Comparing the Two Methods</w:t>
      </w:r>
    </w:p>
    <w:p w:rsidR="00374154" w:rsidRDefault="00374154" w:rsidP="00374154">
      <w:pPr>
        <w:pStyle w:val="NormalWeb"/>
        <w:spacing w:line="360" w:lineRule="auto"/>
      </w:pPr>
      <w:r>
        <w:lastRenderedPageBreak/>
        <w:t>The two studies' methods reflect fundamentally different assumptions and research goals. Brink's quantitative approach assumes that beliefs can be measured and analysed statistically to test theoretical predictions</w:t>
      </w:r>
      <w:r>
        <w:rPr>
          <w:rStyle w:val="FootnoteReference"/>
        </w:rPr>
        <w:footnoteReference w:id="13"/>
      </w:r>
      <w:r>
        <w:t>. Bennett's qualitative approach assumes that beliefs are socially constructed, expressed through stories, and embedded in moral frameworks that require interpretive understanding.</w:t>
      </w:r>
      <w:r>
        <w:rPr>
          <w:rStyle w:val="FootnoteReference"/>
        </w:rPr>
        <w:footnoteReference w:id="14"/>
      </w:r>
    </w:p>
    <w:p w:rsidR="00374154" w:rsidRDefault="00374154" w:rsidP="00374154">
      <w:pPr>
        <w:pStyle w:val="NormalWeb"/>
        <w:spacing w:line="360" w:lineRule="auto"/>
      </w:pPr>
      <w:r>
        <w:t>For Brink's stated goal, which is testing whether adolescents maintain logical consistency, a quantitative approach makes sense in principle, though the execution is flawed. However, when his hypothesis is not confirmed, Brink shifts to functional explanations that his method cannot adequately support.</w:t>
      </w:r>
      <w:r>
        <w:rPr>
          <w:rStyle w:val="FootnoteReference"/>
        </w:rPr>
        <w:footnoteReference w:id="15"/>
      </w:r>
      <w:r>
        <w:t xml:space="preserve"> Bennett's research question, how do beliefs about foreknowledge function within a social group and reflect moral values, requires qualitative methods from the start, and her method is well-designed to address this question.</w:t>
      </w:r>
      <w:r>
        <w:rPr>
          <w:rStyle w:val="FootnoteReference"/>
        </w:rPr>
        <w:footnoteReference w:id="16"/>
      </w:r>
    </w:p>
    <w:p w:rsidR="00374154" w:rsidRDefault="00374154" w:rsidP="00374154">
      <w:pPr>
        <w:pStyle w:val="NormalWeb"/>
        <w:spacing w:line="360" w:lineRule="auto"/>
      </w:pPr>
      <w:r>
        <w:t>The contrast shows that research on belief systems benefits from methods that can capture the complexity, context, and meaning of beliefs rather than reducing them to questionnaire responses. Walter and Waterhouse's interview-based study of reincarnation beliefs supports this conclusion, finding that their respondents had "great difficulty articulating their musings, especially when it came to discussing what happens between death and re-birth; several said that the interview was the first time they had been required to articulate their thoughts, hopes, and beliefs on the matter".</w:t>
      </w:r>
      <w:r>
        <w:rPr>
          <w:rStyle w:val="FootnoteReference"/>
        </w:rPr>
        <w:footnoteReference w:id="17"/>
      </w:r>
      <w:r>
        <w:t xml:space="preserve"> This suggests that beliefs about non-orthodox religious concepts are often inchoate and contextual, requiring qualitative methods to capture their actual nature rather than imposing artificial clarity through survey instruments.</w:t>
      </w:r>
    </w:p>
    <w:p w:rsidR="00583AE5" w:rsidRDefault="00583AE5" w:rsidP="00374154">
      <w:pPr>
        <w:pStyle w:val="NormalWeb"/>
        <w:spacing w:line="360" w:lineRule="auto"/>
        <w:rPr>
          <w:b/>
          <w:bCs/>
        </w:rPr>
      </w:pPr>
    </w:p>
    <w:p w:rsidR="00374154" w:rsidRPr="00374154" w:rsidRDefault="00374154" w:rsidP="00374154">
      <w:pPr>
        <w:pStyle w:val="NormalWeb"/>
        <w:spacing w:line="360" w:lineRule="auto"/>
        <w:rPr>
          <w:b/>
          <w:bCs/>
        </w:rPr>
      </w:pPr>
      <w:r w:rsidRPr="00374154">
        <w:rPr>
          <w:b/>
          <w:bCs/>
        </w:rPr>
        <w:t>The Researchers' Relationships to Their Subjects</w:t>
      </w:r>
    </w:p>
    <w:p w:rsidR="00374154" w:rsidRPr="00374154" w:rsidRDefault="00374154" w:rsidP="00374154">
      <w:pPr>
        <w:pStyle w:val="NormalWeb"/>
        <w:spacing w:line="360" w:lineRule="auto"/>
        <w:rPr>
          <w:b/>
          <w:bCs/>
        </w:rPr>
      </w:pPr>
      <w:r w:rsidRPr="00374154">
        <w:rPr>
          <w:b/>
          <w:bCs/>
        </w:rPr>
        <w:t>Brink's Outsider Position</w:t>
      </w:r>
    </w:p>
    <w:p w:rsidR="00374154" w:rsidRDefault="00374154" w:rsidP="00374154">
      <w:pPr>
        <w:pStyle w:val="NormalWeb"/>
        <w:spacing w:line="360" w:lineRule="auto"/>
      </w:pPr>
      <w:r>
        <w:lastRenderedPageBreak/>
        <w:t>Brink is clearly an outsider relative to his research subjects. As a male researcher studying female adolescents, as an adult studying teenagers, and as a college professor studying high school students, he is separated from his subjects by multiple dimensions of social distance.</w:t>
      </w:r>
      <w:r>
        <w:rPr>
          <w:rStyle w:val="FootnoteReference"/>
        </w:rPr>
        <w:footnoteReference w:id="18"/>
      </w:r>
      <w:r>
        <w:t xml:space="preserve"> There is no indication that Brink shares the Catholic faith of his subjects or has any personal connection to the school or community.</w:t>
      </w:r>
    </w:p>
    <w:p w:rsidR="00374154" w:rsidRDefault="00374154" w:rsidP="00374154">
      <w:pPr>
        <w:pStyle w:val="NormalWeb"/>
        <w:spacing w:line="360" w:lineRule="auto"/>
      </w:pPr>
      <w:r>
        <w:t>This outsider position has both advantages and disadvantages. While Brink's distance may allow him to see contradictions that insiders take for granted, the disadvantages are more significant. His outsider status means he has no access to the lived experience of being a Catholic schoolgirl in 1970s Chicago and no understanding of how these young women actually experience and manage their beliefs in daily life. Moreover, adolescent girls responding to questionnaires given by an adult male researcher in a school setting may have provided socially acceptable responses or been reluctant to fully disclose non-traditional beliefs. Brink makes no attempt to reflect on his position or to consider how his status as an outsider might have shaped the research.</w:t>
      </w:r>
    </w:p>
    <w:p w:rsidR="00374154" w:rsidRPr="00374154" w:rsidRDefault="00374154" w:rsidP="00374154">
      <w:pPr>
        <w:pStyle w:val="NormalWeb"/>
        <w:spacing w:line="360" w:lineRule="auto"/>
        <w:rPr>
          <w:b/>
          <w:bCs/>
        </w:rPr>
      </w:pPr>
      <w:r w:rsidRPr="00374154">
        <w:rPr>
          <w:b/>
          <w:bCs/>
        </w:rPr>
        <w:t>Bennett's Complex Insider/Outsider Position</w:t>
      </w:r>
    </w:p>
    <w:p w:rsidR="00374154" w:rsidRDefault="00374154" w:rsidP="00374154">
      <w:pPr>
        <w:pStyle w:val="NormalWeb"/>
        <w:spacing w:line="360" w:lineRule="auto"/>
      </w:pPr>
      <w:r>
        <w:t>Bennett occupies a complex insider-outsider position. She is an insider in key ways: female, British, researching in her hometown among women who share her cultural background. Her father's fourteen-year relationship with these women as their podiatrist provides insider access and credibility.</w:t>
      </w:r>
      <w:r>
        <w:rPr>
          <w:rStyle w:val="FootnoteReference"/>
        </w:rPr>
        <w:footnoteReference w:id="19"/>
      </w:r>
    </w:p>
    <w:p w:rsidR="00374154" w:rsidRDefault="00374154" w:rsidP="00374154">
      <w:pPr>
        <w:pStyle w:val="NormalWeb"/>
        <w:spacing w:line="360" w:lineRule="auto"/>
      </w:pPr>
      <w:r>
        <w:t>Yet she is also an outsider: separated by generational distance as a younger woman studying elderly women, by social class as an academic with a Ph.D., and most significantly by her analytical stance as a folklore scholar trained to examine beliefs that the women themselves participate in unreflectively. She also had to familiarise herself with the participants' vocabulary.</w:t>
      </w:r>
      <w:r>
        <w:rPr>
          <w:rStyle w:val="FootnoteReference"/>
        </w:rPr>
        <w:footnoteReference w:id="20"/>
      </w:r>
    </w:p>
    <w:p w:rsidR="00374154" w:rsidRDefault="00374154" w:rsidP="00374154">
      <w:pPr>
        <w:pStyle w:val="NormalWeb"/>
        <w:spacing w:line="360" w:lineRule="auto"/>
      </w:pPr>
      <w:r>
        <w:t xml:space="preserve">This hybrid position offers advantages: her partial insider status provides access, trust, and cultural competence a complete outsider would lack, while her partial outsider status allows </w:t>
      </w:r>
      <w:r>
        <w:lastRenderedPageBreak/>
        <w:t>her to identify patterns and develop interpretations the women themselves might not articulate. Bennett demonstrates considerable awareness of her position, explicitly discussing her research strategy, her use of her father as intermediary, and being careful not to overgeneralise from her demographically specific sample.</w:t>
      </w:r>
      <w:r>
        <w:rPr>
          <w:rStyle w:val="FootnoteReference"/>
        </w:rPr>
        <w:footnoteReference w:id="21"/>
      </w:r>
    </w:p>
    <w:p w:rsidR="00374154" w:rsidRPr="00374154" w:rsidRDefault="00374154" w:rsidP="00374154">
      <w:pPr>
        <w:pStyle w:val="NormalWeb"/>
        <w:spacing w:line="360" w:lineRule="auto"/>
        <w:rPr>
          <w:b/>
          <w:bCs/>
        </w:rPr>
      </w:pPr>
      <w:r w:rsidRPr="00374154">
        <w:rPr>
          <w:b/>
          <w:bCs/>
        </w:rPr>
        <w:t>How the Researcher Position Shaped the Projects</w:t>
      </w:r>
    </w:p>
    <w:p w:rsidR="00374154" w:rsidRDefault="00374154" w:rsidP="00374154">
      <w:pPr>
        <w:pStyle w:val="NormalWeb"/>
        <w:spacing w:line="360" w:lineRule="auto"/>
      </w:pPr>
      <w:r>
        <w:t>Brink's outsider position fundamentally shaped his research in problematic ways. His external stance led him to frame the study around abstract theoretical questions disconnected from how students understood their own beliefs. This distance meant he captured only surface-level data through questionnaires, missing the deeper meanings and contexts these beliefs held in students' lives. The result is a study theoretically sophisticated yet empirically shallow – rich in conceptual framework but poor in understanding lived religious experience.</w:t>
      </w:r>
    </w:p>
    <w:p w:rsidR="00374154" w:rsidRDefault="00374154" w:rsidP="00374154">
      <w:pPr>
        <w:pStyle w:val="NormalWeb"/>
        <w:spacing w:line="360" w:lineRule="auto"/>
      </w:pPr>
      <w:r>
        <w:t>This detachment also affected how Brink treated his subjects. Students became data points rather than complex individuals, their nuanced belief systems reduced to coded questionnaire responses. While Brink avoids explicit criticism, his characterisation of beliefs as "inconsistent" reveals an underlying normative assumption – one privileging logical coherence and orthodox doctrine over the fluid, contextual, and personally meaningful ways individuals actually construct their beliefs.</w:t>
      </w:r>
      <w:r>
        <w:rPr>
          <w:rStyle w:val="FootnoteReference"/>
        </w:rPr>
        <w:footnoteReference w:id="22"/>
      </w:r>
    </w:p>
    <w:p w:rsidR="00374154" w:rsidRDefault="00374154" w:rsidP="00374154">
      <w:pPr>
        <w:pStyle w:val="NormalWeb"/>
        <w:spacing w:line="360" w:lineRule="auto"/>
      </w:pPr>
      <w:r>
        <w:t>Bennett's insider access allowed her to collect detailed narratives and observe subtle patterns in conversation. Her outsider analytical stance allowed her to develop interpretations that connect individual narratives to broader social structures, historical traditions, and moral frameworks.</w:t>
      </w:r>
    </w:p>
    <w:p w:rsidR="00374154" w:rsidRDefault="00374154" w:rsidP="00374154">
      <w:pPr>
        <w:pStyle w:val="NormalWeb"/>
        <w:spacing w:line="360" w:lineRule="auto"/>
      </w:pPr>
      <w:r>
        <w:t>Bennett's position also shaped her ethical approach. She treats her subjects with evident respect and empathy, presenting their beliefs as rational responses to their social situations. She allows the women's voices to come through clearly in extensive quotations.</w:t>
      </w:r>
    </w:p>
    <w:p w:rsidR="00374154" w:rsidRPr="00374154" w:rsidRDefault="00374154" w:rsidP="00374154">
      <w:pPr>
        <w:pStyle w:val="NormalWeb"/>
        <w:spacing w:line="360" w:lineRule="auto"/>
        <w:rPr>
          <w:b/>
          <w:bCs/>
        </w:rPr>
      </w:pPr>
      <w:r w:rsidRPr="00374154">
        <w:rPr>
          <w:b/>
          <w:bCs/>
        </w:rPr>
        <w:t>How the Researchers Used Academic Literature</w:t>
      </w:r>
    </w:p>
    <w:p w:rsidR="00374154" w:rsidRPr="00374154" w:rsidRDefault="00374154" w:rsidP="00374154">
      <w:pPr>
        <w:pStyle w:val="NormalWeb"/>
        <w:spacing w:line="360" w:lineRule="auto"/>
        <w:rPr>
          <w:b/>
          <w:bCs/>
        </w:rPr>
      </w:pPr>
      <w:r w:rsidRPr="00374154">
        <w:rPr>
          <w:b/>
          <w:bCs/>
        </w:rPr>
        <w:lastRenderedPageBreak/>
        <w:t>Brink's Use of Literature</w:t>
      </w:r>
    </w:p>
    <w:p w:rsidR="00374154" w:rsidRDefault="00374154" w:rsidP="00374154">
      <w:pPr>
        <w:pStyle w:val="NormalWeb"/>
        <w:spacing w:line="360" w:lineRule="auto"/>
      </w:pPr>
      <w:r>
        <w:t>Brink's literature review is brief and narrowly focused on social psychological theories of cognitive consistency, citing six theoretical frameworks from the 1940s through 1960s.</w:t>
      </w:r>
      <w:r>
        <w:rPr>
          <w:rStyle w:val="FootnoteReference"/>
        </w:rPr>
        <w:footnoteReference w:id="23"/>
      </w:r>
      <w:r>
        <w:t xml:space="preserve"> This establishes the study's intellectual context within social psychology and provides the framework for the hypothesis that belief inconsistency should be rare.</w:t>
      </w:r>
    </w:p>
    <w:p w:rsidR="00374154" w:rsidRDefault="00374154" w:rsidP="00374154">
      <w:pPr>
        <w:pStyle w:val="NormalWeb"/>
        <w:spacing w:line="360" w:lineRule="auto"/>
      </w:pPr>
      <w:r>
        <w:t>However, the review has significant limitations. It is entirely confined to one theoretical tradition within one discipline, ignoring potentially relevant work in sociology of religion, anthropology, or developmental psychology. All cited works are at least eleven years old, suggesting limited engagement with current scholarship. The review is purely theoretical – Brink cites no empirical studies of religious belief or belief inconsistency that might provide comparative context.</w:t>
      </w:r>
      <w:r>
        <w:rPr>
          <w:rStyle w:val="FootnoteReference"/>
        </w:rPr>
        <w:footnoteReference w:id="24"/>
      </w:r>
    </w:p>
    <w:p w:rsidR="00374154" w:rsidRDefault="00374154" w:rsidP="00374154">
      <w:pPr>
        <w:pStyle w:val="NormalWeb"/>
        <w:spacing w:line="360" w:lineRule="auto"/>
      </w:pPr>
      <w:r>
        <w:t xml:space="preserve">When Brink's hypothesis is not confirmed, he pivots to a functional explanation, citing </w:t>
      </w:r>
      <w:proofErr w:type="spellStart"/>
      <w:r>
        <w:t>Wuthnow's</w:t>
      </w:r>
      <w:proofErr w:type="spellEnd"/>
      <w:r>
        <w:t xml:space="preserve"> work on astrology and marginality, Erikson's developmental theory, and also Freud’s theory of denying death with the belief in </w:t>
      </w:r>
      <w:proofErr w:type="spellStart"/>
      <w:r>
        <w:t>reincartation</w:t>
      </w:r>
      <w:proofErr w:type="spellEnd"/>
      <w:r>
        <w:t>. This expanded literature review is more appropriate for the functional interpretation he ultimately adopts, but comes too late – these frameworks should have informed the study's design from the beginning.</w:t>
      </w:r>
      <w:r>
        <w:rPr>
          <w:rStyle w:val="FootnoteReference"/>
        </w:rPr>
        <w:footnoteReference w:id="25"/>
      </w:r>
    </w:p>
    <w:p w:rsidR="00374154" w:rsidRDefault="00374154" w:rsidP="00374154">
      <w:pPr>
        <w:pStyle w:val="NormalWeb"/>
        <w:spacing w:line="360" w:lineRule="auto"/>
      </w:pPr>
      <w:r>
        <w:t>Overall, Brink's engagement with literature is adequate for establishing a theoretical framework but inadequate for positioning his study within a broader empirical research tradition.</w:t>
      </w:r>
    </w:p>
    <w:p w:rsidR="00374154" w:rsidRPr="00374154" w:rsidRDefault="00374154" w:rsidP="00374154">
      <w:pPr>
        <w:pStyle w:val="NormalWeb"/>
        <w:spacing w:line="360" w:lineRule="auto"/>
        <w:rPr>
          <w:b/>
          <w:bCs/>
        </w:rPr>
      </w:pPr>
      <w:r w:rsidRPr="00374154">
        <w:rPr>
          <w:b/>
          <w:bCs/>
        </w:rPr>
        <w:t>Bennett's Use of Literature</w:t>
      </w:r>
    </w:p>
    <w:p w:rsidR="00374154" w:rsidRDefault="00374154" w:rsidP="00374154">
      <w:pPr>
        <w:pStyle w:val="NormalWeb"/>
        <w:spacing w:line="360" w:lineRule="auto"/>
      </w:pPr>
      <w:r>
        <w:t>Bennett's literature review is extensive and multi-layered, demonstrating deep engagement with historical sources, folklore scholarship, and contemporary belief studies. She begins with a historical survey of British traditions of foreknowledge, drawing on seventeenth-</w:t>
      </w:r>
      <w:r>
        <w:lastRenderedPageBreak/>
        <w:t>century antiquarians through nineteenth-century folklorists, establishing the antiquity and continuity of the beliefs she is studying.</w:t>
      </w:r>
      <w:r>
        <w:rPr>
          <w:rStyle w:val="FootnoteReference"/>
        </w:rPr>
        <w:footnoteReference w:id="26"/>
      </w:r>
    </w:p>
    <w:p w:rsidR="00374154" w:rsidRDefault="00374154" w:rsidP="00374154">
      <w:pPr>
        <w:pStyle w:val="NormalWeb"/>
        <w:spacing w:line="360" w:lineRule="auto"/>
      </w:pPr>
      <w:r>
        <w:t>Bennett then reviews twentieth-century survey research on belief in astrology, fortune-telling, and ESP, citing studies from 1925 through 1985. This review is notably more comprehensive and methodologically sophisticated than Brink's, discussing variations in findings across different studies and considering whether these reflect genuine population differences, temporal changes, or methodological artifacts.</w:t>
      </w:r>
      <w:r>
        <w:rPr>
          <w:rStyle w:val="FootnoteReference"/>
        </w:rPr>
        <w:footnoteReference w:id="27"/>
      </w:r>
      <w:r>
        <w:t xml:space="preserve"> </w:t>
      </w:r>
    </w:p>
    <w:p w:rsidR="00374154" w:rsidRDefault="00374154" w:rsidP="00374154">
      <w:pPr>
        <w:pStyle w:val="NormalWeb"/>
        <w:spacing w:line="360" w:lineRule="auto"/>
      </w:pPr>
      <w:r>
        <w:t>Bennett also engages substantively with contemporary folklore scholarship, particularly Virtanen's study of ESP in Finland and Hufford's concept of "traditions of disbelief," demonstrating participation in ongoing scholarly conversations.</w:t>
      </w:r>
      <w:r>
        <w:rPr>
          <w:rStyle w:val="FootnoteReference"/>
        </w:rPr>
        <w:footnoteReference w:id="28"/>
      </w:r>
    </w:p>
    <w:p w:rsidR="00374154" w:rsidRDefault="00374154" w:rsidP="00374154">
      <w:pPr>
        <w:pStyle w:val="NormalWeb"/>
        <w:spacing w:line="360" w:lineRule="auto"/>
      </w:pPr>
      <w:r>
        <w:t xml:space="preserve">Bennett integrates her literature review throughout the chapter rather than confining it to an introductory section. She uses historical sources to provide context, draws on survey research to situate her findings, and employs theoretical concepts to interpret her data. Bennett's engagement extends beyond citation to critical analysis and synthesis, identifying two historical strands of tradition and tracing their evolution, noting a gradual "internalising and </w:t>
      </w:r>
      <w:proofErr w:type="spellStart"/>
      <w:r>
        <w:t>subjectifying</w:t>
      </w:r>
      <w:proofErr w:type="spellEnd"/>
      <w:r>
        <w:t>" of supernatural beliefs.</w:t>
      </w:r>
      <w:r>
        <w:rPr>
          <w:rStyle w:val="FootnoteReference"/>
        </w:rPr>
        <w:footnoteReference w:id="29"/>
      </w:r>
    </w:p>
    <w:p w:rsidR="00374154" w:rsidRPr="00374154" w:rsidRDefault="00374154" w:rsidP="00374154">
      <w:pPr>
        <w:pStyle w:val="NormalWeb"/>
        <w:spacing w:line="360" w:lineRule="auto"/>
        <w:rPr>
          <w:b/>
          <w:bCs/>
        </w:rPr>
      </w:pPr>
      <w:r w:rsidRPr="00374154">
        <w:rPr>
          <w:b/>
          <w:bCs/>
        </w:rPr>
        <w:t>Conclusion</w:t>
      </w:r>
    </w:p>
    <w:p w:rsidR="00374154" w:rsidRDefault="00374154" w:rsidP="00374154">
      <w:pPr>
        <w:pStyle w:val="NormalWeb"/>
        <w:spacing w:line="360" w:lineRule="auto"/>
      </w:pPr>
      <w:r>
        <w:t>This comparative analysis reveals fundamental differences in research approach and scholarly effectiveness between Brink's and Bennett's studies. Brink's quantitative survey of Catholic schoolgirls, while documenting belief prevalence, inadequately captures the meanings, functions, and contexts of those beliefs. His outsider position and lack of self-reflection limit interpretation, resulting in a study that raises more questions than it answers. His engagement with literature, though establishing a theoretical framework, remains narrow.</w:t>
      </w:r>
    </w:p>
    <w:p w:rsidR="00374154" w:rsidRDefault="00374154" w:rsidP="00374154">
      <w:pPr>
        <w:pStyle w:val="NormalWeb"/>
        <w:spacing w:line="360" w:lineRule="auto"/>
      </w:pPr>
      <w:r>
        <w:t xml:space="preserve">Bennett's qualitative ethnographic study collects rich narrative data illuminating not just what women believe but how they understand, narrate, and morally evaluate their beliefs. Her complex insider/outsider position facilitates both access and analytical distance, enabling </w:t>
      </w:r>
      <w:r>
        <w:lastRenderedPageBreak/>
        <w:t>interpretations that are empirically grounded and theoretically sophisticated. Her extensive engagement with historical sources, survey research, and folklore scholarship positions her work within multiple scholarly conversations.</w:t>
      </w:r>
    </w:p>
    <w:p w:rsidR="00374154" w:rsidRDefault="00374154" w:rsidP="00374154">
      <w:pPr>
        <w:pStyle w:val="NormalWeb"/>
        <w:spacing w:line="360" w:lineRule="auto"/>
      </w:pPr>
      <w:r>
        <w:t xml:space="preserve">This comparison illustrates several lessons. Research on belief systems benefits from qualitative methods capturing complexity, context, and meaning rather than reducing beliefs to questionnaire responses. Second, the researcher's self-reflection about positioning is essential for understanding how research relationships shape data collection and interpretation. An effective scholarship requires integrating literature throughout analysis to provide context and theoretical grounding. And last, </w:t>
      </w:r>
      <w:proofErr w:type="gramStart"/>
      <w:r>
        <w:t>a compelling research</w:t>
      </w:r>
      <w:proofErr w:type="gramEnd"/>
      <w:r>
        <w:t xml:space="preserve"> connects individual cases to broader patterns and scholarly conversations.</w:t>
      </w:r>
    </w:p>
    <w:p w:rsidR="00374154" w:rsidRDefault="00374154" w:rsidP="00374154">
      <w:pPr>
        <w:pStyle w:val="NormalWeb"/>
        <w:spacing w:line="360" w:lineRule="auto"/>
      </w:pPr>
      <w:r>
        <w:t>Both studies contribute to understanding religious and supernatural beliefs in modern Western societies, but Bennett's work more successfully achieves its aims and advances scholarly knowledge. Her study demonstrates that folklore scholarship, emphasising narrative, context, and insider understanding, significantly contributes to studying contemporary belief. It models how rigorous qualitative research can illuminate complex relationships among belief, narrative, social roles, and moral values in ways quantitative approaches alone cannot achieve.</w:t>
      </w:r>
    </w:p>
    <w:p w:rsidR="0013158F" w:rsidRDefault="0013158F" w:rsidP="00374154">
      <w:pPr>
        <w:pStyle w:val="NormalWeb"/>
        <w:spacing w:line="360" w:lineRule="auto"/>
        <w:rPr>
          <w:b/>
          <w:bCs/>
        </w:rPr>
      </w:pPr>
    </w:p>
    <w:p w:rsidR="00374154" w:rsidRPr="00374154" w:rsidRDefault="00374154" w:rsidP="00374154">
      <w:pPr>
        <w:pStyle w:val="NormalWeb"/>
        <w:spacing w:line="360" w:lineRule="auto"/>
        <w:rPr>
          <w:b/>
          <w:bCs/>
        </w:rPr>
      </w:pPr>
      <w:r w:rsidRPr="00374154">
        <w:rPr>
          <w:b/>
          <w:bCs/>
        </w:rPr>
        <w:t>Bibliography</w:t>
      </w:r>
    </w:p>
    <w:p w:rsidR="00374154" w:rsidRDefault="00374154" w:rsidP="00374154">
      <w:pPr>
        <w:pStyle w:val="NormalWeb"/>
        <w:spacing w:line="360" w:lineRule="auto"/>
      </w:pPr>
      <w:r>
        <w:t xml:space="preserve">Bennett, Gillian, </w:t>
      </w:r>
      <w:r w:rsidRPr="00374154">
        <w:rPr>
          <w:i/>
          <w:iCs/>
        </w:rPr>
        <w:t xml:space="preserve">'If I Knew You Were Coming, I'd Have Baked a Cake': The Folklore of Foreknowledge in a </w:t>
      </w:r>
      <w:proofErr w:type="spellStart"/>
      <w:r w:rsidRPr="00374154">
        <w:rPr>
          <w:i/>
          <w:iCs/>
        </w:rPr>
        <w:t>Neighborhood</w:t>
      </w:r>
      <w:proofErr w:type="spellEnd"/>
      <w:r w:rsidRPr="00374154">
        <w:rPr>
          <w:i/>
          <w:iCs/>
        </w:rPr>
        <w:t xml:space="preserve"> Group. In Out of the Ordinary: Folklore and the Supernatural. </w:t>
      </w:r>
      <w:r>
        <w:t>Logan: Utah State University Press, 1995.</w:t>
      </w:r>
    </w:p>
    <w:p w:rsidR="00374154" w:rsidRDefault="00374154" w:rsidP="00374154">
      <w:pPr>
        <w:pStyle w:val="NormalWeb"/>
        <w:spacing w:line="360" w:lineRule="auto"/>
      </w:pPr>
      <w:r>
        <w:t xml:space="preserve">Brink, T. L. </w:t>
      </w:r>
      <w:r w:rsidRPr="00374154">
        <w:rPr>
          <w:i/>
          <w:iCs/>
        </w:rPr>
        <w:t>Inconsistency of Belief among Roman Catholic Girls: Concerning Religion, Astrology, Reincarnation. Review of Religious Research.</w:t>
      </w:r>
      <w:r>
        <w:t xml:space="preserve"> Springer, 1978.</w:t>
      </w:r>
    </w:p>
    <w:p w:rsidR="00374154" w:rsidRDefault="00374154" w:rsidP="00374154">
      <w:pPr>
        <w:pStyle w:val="NormalWeb"/>
        <w:spacing w:line="360" w:lineRule="auto"/>
      </w:pPr>
      <w:r>
        <w:t xml:space="preserve">Walter, Tony., &amp; Waterhouse, Helen. </w:t>
      </w:r>
      <w:r w:rsidRPr="00374154">
        <w:rPr>
          <w:i/>
          <w:iCs/>
        </w:rPr>
        <w:t>A Very Private Belief: Reincarnation in Contemporary England. Sociology of Religion</w:t>
      </w:r>
      <w:r>
        <w:t xml:space="preserve">. </w:t>
      </w:r>
      <w:r w:rsidRPr="00374154">
        <w:rPr>
          <w:color w:val="000000" w:themeColor="text1"/>
        </w:rPr>
        <w:t xml:space="preserve">Association for the Sociology of Religion, </w:t>
      </w:r>
      <w:r>
        <w:t>2001.</w:t>
      </w:r>
    </w:p>
    <w:sectPr w:rsidR="00374154">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B50BC" w:rsidRDefault="001B50BC" w:rsidP="00374154">
      <w:r>
        <w:separator/>
      </w:r>
    </w:p>
  </w:endnote>
  <w:endnote w:type="continuationSeparator" w:id="0">
    <w:p w:rsidR="001B50BC" w:rsidRDefault="001B50BC" w:rsidP="00374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2824257"/>
      <w:docPartObj>
        <w:docPartGallery w:val="Page Numbers (Bottom of Page)"/>
        <w:docPartUnique/>
      </w:docPartObj>
    </w:sdtPr>
    <w:sdtContent>
      <w:p w:rsidR="00374154" w:rsidRDefault="00374154" w:rsidP="00A049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74154" w:rsidRDefault="00374154" w:rsidP="003741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4365498"/>
      <w:docPartObj>
        <w:docPartGallery w:val="Page Numbers (Bottom of Page)"/>
        <w:docPartUnique/>
      </w:docPartObj>
    </w:sdtPr>
    <w:sdtContent>
      <w:p w:rsidR="00374154" w:rsidRDefault="00374154" w:rsidP="00A049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74154" w:rsidRDefault="00374154" w:rsidP="003741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B50BC" w:rsidRDefault="001B50BC" w:rsidP="00374154">
      <w:r>
        <w:separator/>
      </w:r>
    </w:p>
  </w:footnote>
  <w:footnote w:type="continuationSeparator" w:id="0">
    <w:p w:rsidR="001B50BC" w:rsidRDefault="001B50BC" w:rsidP="00374154">
      <w:r>
        <w:continuationSeparator/>
      </w:r>
    </w:p>
  </w:footnote>
  <w:footnote w:id="1">
    <w:p w:rsidR="00374154" w:rsidRDefault="00374154">
      <w:pPr>
        <w:pStyle w:val="FootnoteText"/>
      </w:pPr>
      <w:r>
        <w:rPr>
          <w:rStyle w:val="FootnoteReference"/>
        </w:rPr>
        <w:footnoteRef/>
      </w:r>
      <w:r>
        <w:t xml:space="preserve"> </w:t>
      </w:r>
      <w:r w:rsidRPr="00786CB4">
        <w:rPr>
          <w:rFonts w:cstheme="minorHAnsi"/>
          <w:sz w:val="18"/>
          <w:szCs w:val="18"/>
        </w:rPr>
        <w:t xml:space="preserve">T. L. Brink, </w:t>
      </w:r>
      <w:r w:rsidRPr="0013158F">
        <w:rPr>
          <w:rFonts w:cstheme="minorHAnsi"/>
          <w:i/>
          <w:iCs/>
          <w:sz w:val="18"/>
          <w:szCs w:val="18"/>
        </w:rPr>
        <w:t>Review of Religious Research, Inconsistency of Belief among Roman Catholic Girls: Concerning Religion, Astrology, Reincarnation</w:t>
      </w:r>
      <w:r w:rsidRPr="00786CB4">
        <w:rPr>
          <w:rFonts w:cstheme="minorHAnsi"/>
          <w:sz w:val="18"/>
          <w:szCs w:val="18"/>
        </w:rPr>
        <w:t xml:space="preserve">, </w:t>
      </w:r>
      <w:r w:rsidR="0013158F">
        <w:rPr>
          <w:rFonts w:cstheme="minorHAnsi"/>
          <w:sz w:val="18"/>
          <w:szCs w:val="18"/>
        </w:rPr>
        <w:t>(</w:t>
      </w:r>
      <w:r w:rsidRPr="00786CB4">
        <w:rPr>
          <w:rFonts w:cstheme="minorHAnsi"/>
          <w:sz w:val="18"/>
          <w:szCs w:val="18"/>
        </w:rPr>
        <w:t>Springer,</w:t>
      </w:r>
      <w:r w:rsidR="0013158F">
        <w:rPr>
          <w:rFonts w:cstheme="minorHAnsi"/>
          <w:sz w:val="18"/>
          <w:szCs w:val="18"/>
        </w:rPr>
        <w:t xml:space="preserve"> </w:t>
      </w:r>
      <w:r w:rsidRPr="00786CB4">
        <w:rPr>
          <w:rFonts w:cstheme="minorHAnsi"/>
          <w:sz w:val="18"/>
          <w:szCs w:val="18"/>
        </w:rPr>
        <w:t>1978</w:t>
      </w:r>
      <w:r w:rsidR="0013158F">
        <w:rPr>
          <w:rFonts w:cstheme="minorHAnsi"/>
          <w:sz w:val="18"/>
          <w:szCs w:val="18"/>
        </w:rPr>
        <w:t>)</w:t>
      </w:r>
      <w:r w:rsidRPr="00786CB4">
        <w:rPr>
          <w:rFonts w:cstheme="minorHAnsi"/>
          <w:sz w:val="18"/>
          <w:szCs w:val="18"/>
        </w:rPr>
        <w:t xml:space="preserve"> pp. 82-85.</w:t>
      </w:r>
    </w:p>
  </w:footnote>
  <w:footnote w:id="2">
    <w:p w:rsidR="00374154" w:rsidRDefault="00374154">
      <w:pPr>
        <w:pStyle w:val="FootnoteText"/>
      </w:pPr>
      <w:r>
        <w:rPr>
          <w:rStyle w:val="FootnoteReference"/>
        </w:rPr>
        <w:footnoteRef/>
      </w:r>
      <w:r>
        <w:t xml:space="preserve"> </w:t>
      </w:r>
      <w:r w:rsidRPr="00786CB4">
        <w:rPr>
          <w:rFonts w:cstheme="minorHAnsi"/>
          <w:sz w:val="18"/>
          <w:szCs w:val="18"/>
        </w:rPr>
        <w:t xml:space="preserve">Gillian Bennett, </w:t>
      </w:r>
      <w:r w:rsidRPr="0013158F">
        <w:rPr>
          <w:rFonts w:cstheme="minorHAnsi"/>
          <w:i/>
          <w:iCs/>
          <w:sz w:val="18"/>
          <w:szCs w:val="18"/>
        </w:rPr>
        <w:t xml:space="preserve">'If I Knew You Were Coming, I'd Have Baked a Cake': The Folklore of Foreknowledge in a </w:t>
      </w:r>
      <w:proofErr w:type="spellStart"/>
      <w:r w:rsidRPr="0013158F">
        <w:rPr>
          <w:rFonts w:cstheme="minorHAnsi"/>
          <w:i/>
          <w:iCs/>
          <w:sz w:val="18"/>
          <w:szCs w:val="18"/>
        </w:rPr>
        <w:t>Neighborhood</w:t>
      </w:r>
      <w:proofErr w:type="spellEnd"/>
      <w:r w:rsidRPr="0013158F">
        <w:rPr>
          <w:rFonts w:cstheme="minorHAnsi"/>
          <w:i/>
          <w:iCs/>
          <w:sz w:val="18"/>
          <w:szCs w:val="18"/>
        </w:rPr>
        <w:t xml:space="preserve"> Group," in Out of the Ordinary: Folklore and the Supernatural,</w:t>
      </w:r>
      <w:r w:rsidRPr="00786CB4">
        <w:rPr>
          <w:rFonts w:cstheme="minorHAnsi"/>
          <w:sz w:val="18"/>
          <w:szCs w:val="18"/>
        </w:rPr>
        <w:t xml:space="preserve"> (Utah: Utah State University Press, 1995), pp. 122-141.</w:t>
      </w:r>
    </w:p>
  </w:footnote>
  <w:footnote w:id="3">
    <w:p w:rsidR="00374154" w:rsidRDefault="00374154">
      <w:pPr>
        <w:pStyle w:val="FootnoteText"/>
      </w:pPr>
      <w:r>
        <w:rPr>
          <w:rStyle w:val="FootnoteReference"/>
        </w:rPr>
        <w:footnoteRef/>
      </w:r>
      <w:r>
        <w:t xml:space="preserve"> </w:t>
      </w:r>
      <w:r w:rsidR="0013158F" w:rsidRPr="00786CB4">
        <w:rPr>
          <w:rFonts w:cstheme="minorHAnsi"/>
          <w:sz w:val="18"/>
          <w:szCs w:val="18"/>
        </w:rPr>
        <w:t xml:space="preserve">T. L. Brink, </w:t>
      </w:r>
      <w:r w:rsidR="0013158F" w:rsidRPr="0013158F">
        <w:rPr>
          <w:rFonts w:cstheme="minorHAnsi"/>
          <w:i/>
          <w:iCs/>
          <w:sz w:val="18"/>
          <w:szCs w:val="18"/>
        </w:rPr>
        <w:t>Review of Religious Research, Inconsistency of Belief among Roman Catholic Girls: Concerning Religion, Astrology, Reincarnation</w:t>
      </w:r>
      <w:r w:rsidR="0013158F" w:rsidRPr="00786CB4">
        <w:rPr>
          <w:rFonts w:cstheme="minorHAnsi"/>
          <w:sz w:val="18"/>
          <w:szCs w:val="18"/>
        </w:rPr>
        <w:t xml:space="preserve">, </w:t>
      </w:r>
      <w:r w:rsidR="0013158F">
        <w:rPr>
          <w:rFonts w:cstheme="minorHAnsi"/>
          <w:sz w:val="18"/>
          <w:szCs w:val="18"/>
        </w:rPr>
        <w:t>(</w:t>
      </w:r>
      <w:r w:rsidR="0013158F" w:rsidRPr="00786CB4">
        <w:rPr>
          <w:rFonts w:cstheme="minorHAnsi"/>
          <w:sz w:val="18"/>
          <w:szCs w:val="18"/>
        </w:rPr>
        <w:t>Springer,</w:t>
      </w:r>
      <w:r w:rsidR="0013158F">
        <w:rPr>
          <w:rFonts w:cstheme="minorHAnsi"/>
          <w:sz w:val="18"/>
          <w:szCs w:val="18"/>
        </w:rPr>
        <w:t xml:space="preserve"> </w:t>
      </w:r>
      <w:r w:rsidR="0013158F" w:rsidRPr="00786CB4">
        <w:rPr>
          <w:rFonts w:cstheme="minorHAnsi"/>
          <w:sz w:val="18"/>
          <w:szCs w:val="18"/>
        </w:rPr>
        <w:t>1978</w:t>
      </w:r>
      <w:r w:rsidR="0013158F">
        <w:rPr>
          <w:rFonts w:cstheme="minorHAnsi"/>
          <w:sz w:val="18"/>
          <w:szCs w:val="18"/>
        </w:rPr>
        <w:t>)</w:t>
      </w:r>
      <w:r w:rsidR="0013158F" w:rsidRPr="00786CB4">
        <w:rPr>
          <w:rFonts w:cstheme="minorHAnsi"/>
          <w:sz w:val="18"/>
          <w:szCs w:val="18"/>
        </w:rPr>
        <w:t xml:space="preserve"> p. 82.</w:t>
      </w:r>
    </w:p>
  </w:footnote>
  <w:footnote w:id="4">
    <w:p w:rsidR="00374154" w:rsidRDefault="00374154">
      <w:pPr>
        <w:pStyle w:val="FootnoteText"/>
      </w:pPr>
      <w:r>
        <w:rPr>
          <w:rStyle w:val="FootnoteReference"/>
        </w:rPr>
        <w:footnoteRef/>
      </w:r>
      <w:r>
        <w:t xml:space="preserve"> </w:t>
      </w:r>
      <w:r w:rsidRPr="00374154">
        <w:rPr>
          <w:sz w:val="18"/>
          <w:szCs w:val="18"/>
        </w:rPr>
        <w:t xml:space="preserve">Brink, </w:t>
      </w:r>
      <w:r w:rsidRPr="0013158F">
        <w:rPr>
          <w:i/>
          <w:iCs/>
          <w:sz w:val="18"/>
          <w:szCs w:val="18"/>
        </w:rPr>
        <w:t>Inconsistency of Belief,</w:t>
      </w:r>
      <w:r w:rsidR="0013158F">
        <w:rPr>
          <w:sz w:val="18"/>
          <w:szCs w:val="18"/>
        </w:rPr>
        <w:t xml:space="preserve"> </w:t>
      </w:r>
      <w:r>
        <w:rPr>
          <w:sz w:val="18"/>
          <w:szCs w:val="18"/>
        </w:rPr>
        <w:t xml:space="preserve">p. </w:t>
      </w:r>
      <w:r w:rsidRPr="00374154">
        <w:rPr>
          <w:sz w:val="18"/>
          <w:szCs w:val="18"/>
        </w:rPr>
        <w:t>8</w:t>
      </w:r>
      <w:r>
        <w:rPr>
          <w:sz w:val="18"/>
          <w:szCs w:val="18"/>
        </w:rPr>
        <w:t>4.</w:t>
      </w:r>
    </w:p>
  </w:footnote>
  <w:footnote w:id="5">
    <w:p w:rsidR="00374154" w:rsidRDefault="00374154">
      <w:pPr>
        <w:pStyle w:val="FootnoteText"/>
      </w:pPr>
      <w:r>
        <w:rPr>
          <w:rStyle w:val="FootnoteReference"/>
        </w:rPr>
        <w:footnoteRef/>
      </w:r>
      <w:r>
        <w:t xml:space="preserve"> </w:t>
      </w:r>
      <w:r w:rsidR="0013158F" w:rsidRPr="00786CB4">
        <w:rPr>
          <w:rFonts w:cstheme="minorHAnsi"/>
          <w:sz w:val="18"/>
          <w:szCs w:val="18"/>
        </w:rPr>
        <w:t xml:space="preserve">Gillian Bennett, </w:t>
      </w:r>
      <w:r w:rsidR="0013158F" w:rsidRPr="0013158F">
        <w:rPr>
          <w:rFonts w:cstheme="minorHAnsi"/>
          <w:i/>
          <w:iCs/>
          <w:sz w:val="18"/>
          <w:szCs w:val="18"/>
        </w:rPr>
        <w:t xml:space="preserve">'If I Knew You Were Coming, I'd Have Baked a Cake': The Folklore of Foreknowledge in a </w:t>
      </w:r>
      <w:proofErr w:type="spellStart"/>
      <w:r w:rsidR="0013158F" w:rsidRPr="0013158F">
        <w:rPr>
          <w:rFonts w:cstheme="minorHAnsi"/>
          <w:i/>
          <w:iCs/>
          <w:sz w:val="18"/>
          <w:szCs w:val="18"/>
        </w:rPr>
        <w:t>Neighborhood</w:t>
      </w:r>
      <w:proofErr w:type="spellEnd"/>
      <w:r w:rsidR="0013158F" w:rsidRPr="0013158F">
        <w:rPr>
          <w:rFonts w:cstheme="minorHAnsi"/>
          <w:i/>
          <w:iCs/>
          <w:sz w:val="18"/>
          <w:szCs w:val="18"/>
        </w:rPr>
        <w:t xml:space="preserve"> Group," in Out of the Ordinary: Folklore and the Supernatural,</w:t>
      </w:r>
      <w:r w:rsidR="0013158F" w:rsidRPr="00786CB4">
        <w:rPr>
          <w:rFonts w:cstheme="minorHAnsi"/>
          <w:sz w:val="18"/>
          <w:szCs w:val="18"/>
        </w:rPr>
        <w:t xml:space="preserve"> (Utah: Utah State University Press, 1995), pp. 12</w:t>
      </w:r>
      <w:r w:rsidR="0013158F">
        <w:rPr>
          <w:rFonts w:cstheme="minorHAnsi"/>
          <w:sz w:val="18"/>
          <w:szCs w:val="18"/>
        </w:rPr>
        <w:t>7</w:t>
      </w:r>
      <w:r w:rsidR="0013158F" w:rsidRPr="00786CB4">
        <w:rPr>
          <w:rFonts w:cstheme="minorHAnsi"/>
          <w:sz w:val="18"/>
          <w:szCs w:val="18"/>
        </w:rPr>
        <w:t>-1</w:t>
      </w:r>
      <w:r w:rsidR="0013158F">
        <w:rPr>
          <w:rFonts w:cstheme="minorHAnsi"/>
          <w:sz w:val="18"/>
          <w:szCs w:val="18"/>
        </w:rPr>
        <w:t>28</w:t>
      </w:r>
      <w:r w:rsidR="0013158F" w:rsidRPr="00786CB4">
        <w:rPr>
          <w:rFonts w:cstheme="minorHAnsi"/>
          <w:sz w:val="18"/>
          <w:szCs w:val="18"/>
        </w:rPr>
        <w:t>.</w:t>
      </w:r>
    </w:p>
  </w:footnote>
  <w:footnote w:id="6">
    <w:p w:rsidR="00374154" w:rsidRPr="00374154" w:rsidRDefault="00374154">
      <w:pPr>
        <w:pStyle w:val="FootnoteText"/>
        <w:rPr>
          <w:sz w:val="18"/>
          <w:szCs w:val="18"/>
        </w:rPr>
      </w:pPr>
      <w:r>
        <w:rPr>
          <w:rStyle w:val="FootnoteReference"/>
        </w:rPr>
        <w:footnoteRef/>
      </w:r>
      <w:r>
        <w:t xml:space="preserve"> </w:t>
      </w:r>
      <w:r w:rsidR="0013158F" w:rsidRPr="00374154">
        <w:rPr>
          <w:sz w:val="18"/>
          <w:szCs w:val="18"/>
        </w:rPr>
        <w:t xml:space="preserve">Bennett, </w:t>
      </w:r>
      <w:r w:rsidR="0013158F" w:rsidRPr="0013158F">
        <w:rPr>
          <w:i/>
          <w:iCs/>
          <w:sz w:val="18"/>
          <w:szCs w:val="18"/>
        </w:rPr>
        <w:t>If I Knew You Were Coming,</w:t>
      </w:r>
      <w:r w:rsidR="0013158F" w:rsidRPr="00374154">
        <w:rPr>
          <w:sz w:val="18"/>
          <w:szCs w:val="18"/>
        </w:rPr>
        <w:t xml:space="preserve"> </w:t>
      </w:r>
      <w:r w:rsidR="0013158F">
        <w:rPr>
          <w:sz w:val="18"/>
          <w:szCs w:val="18"/>
        </w:rPr>
        <w:t xml:space="preserve">pp. </w:t>
      </w:r>
      <w:r w:rsidR="0013158F" w:rsidRPr="00374154">
        <w:rPr>
          <w:sz w:val="18"/>
          <w:szCs w:val="18"/>
        </w:rPr>
        <w:t>12</w:t>
      </w:r>
      <w:r w:rsidR="0013158F">
        <w:rPr>
          <w:sz w:val="18"/>
          <w:szCs w:val="18"/>
        </w:rPr>
        <w:t>2-141</w:t>
      </w:r>
      <w:r w:rsidR="0013158F" w:rsidRPr="00374154">
        <w:rPr>
          <w:sz w:val="18"/>
          <w:szCs w:val="18"/>
        </w:rPr>
        <w:t>.</w:t>
      </w:r>
    </w:p>
  </w:footnote>
  <w:footnote w:id="7">
    <w:p w:rsidR="00374154" w:rsidRPr="00374154" w:rsidRDefault="00374154">
      <w:pPr>
        <w:pStyle w:val="FootnoteText"/>
        <w:rPr>
          <w:sz w:val="18"/>
          <w:szCs w:val="18"/>
        </w:rPr>
      </w:pPr>
      <w:r w:rsidRPr="00374154">
        <w:rPr>
          <w:rStyle w:val="FootnoteReference"/>
          <w:sz w:val="18"/>
          <w:szCs w:val="18"/>
        </w:rPr>
        <w:footnoteRef/>
      </w:r>
      <w:r w:rsidRPr="00374154">
        <w:rPr>
          <w:sz w:val="18"/>
          <w:szCs w:val="18"/>
        </w:rPr>
        <w:t xml:space="preserve"> </w:t>
      </w:r>
      <w:r w:rsidR="0013158F" w:rsidRPr="00786CB4">
        <w:rPr>
          <w:rFonts w:cstheme="minorHAnsi"/>
          <w:sz w:val="18"/>
          <w:szCs w:val="18"/>
        </w:rPr>
        <w:t xml:space="preserve">T. L. Brink, </w:t>
      </w:r>
      <w:r w:rsidR="0013158F" w:rsidRPr="0013158F">
        <w:rPr>
          <w:rFonts w:cstheme="minorHAnsi"/>
          <w:i/>
          <w:iCs/>
          <w:sz w:val="18"/>
          <w:szCs w:val="18"/>
        </w:rPr>
        <w:t>Review of Religious Research, Inconsistency of Belief among Roman Catholic Girls: Concerning Religion, Astrology, Reincarnation</w:t>
      </w:r>
      <w:r w:rsidR="0013158F" w:rsidRPr="00786CB4">
        <w:rPr>
          <w:rFonts w:cstheme="minorHAnsi"/>
          <w:sz w:val="18"/>
          <w:szCs w:val="18"/>
        </w:rPr>
        <w:t xml:space="preserve">, </w:t>
      </w:r>
      <w:r w:rsidR="0013158F">
        <w:rPr>
          <w:rFonts w:cstheme="minorHAnsi"/>
          <w:sz w:val="18"/>
          <w:szCs w:val="18"/>
        </w:rPr>
        <w:t>(</w:t>
      </w:r>
      <w:r w:rsidR="0013158F" w:rsidRPr="00786CB4">
        <w:rPr>
          <w:rFonts w:cstheme="minorHAnsi"/>
          <w:sz w:val="18"/>
          <w:szCs w:val="18"/>
        </w:rPr>
        <w:t>Springer,</w:t>
      </w:r>
      <w:r w:rsidR="0013158F">
        <w:rPr>
          <w:rFonts w:cstheme="minorHAnsi"/>
          <w:sz w:val="18"/>
          <w:szCs w:val="18"/>
        </w:rPr>
        <w:t xml:space="preserve"> </w:t>
      </w:r>
      <w:r w:rsidR="0013158F" w:rsidRPr="00786CB4">
        <w:rPr>
          <w:rFonts w:cstheme="minorHAnsi"/>
          <w:sz w:val="18"/>
          <w:szCs w:val="18"/>
        </w:rPr>
        <w:t>1978</w:t>
      </w:r>
      <w:r w:rsidR="0013158F">
        <w:rPr>
          <w:rFonts w:cstheme="minorHAnsi"/>
          <w:sz w:val="18"/>
          <w:szCs w:val="18"/>
        </w:rPr>
        <w:t>)</w:t>
      </w:r>
      <w:r w:rsidR="002471F1">
        <w:rPr>
          <w:rFonts w:cstheme="minorHAnsi"/>
          <w:sz w:val="18"/>
          <w:szCs w:val="18"/>
        </w:rPr>
        <w:t>,</w:t>
      </w:r>
      <w:r w:rsidR="0013158F" w:rsidRPr="00786CB4">
        <w:rPr>
          <w:rFonts w:cstheme="minorHAnsi"/>
          <w:sz w:val="18"/>
          <w:szCs w:val="18"/>
        </w:rPr>
        <w:t xml:space="preserve"> p. 8</w:t>
      </w:r>
      <w:r w:rsidR="0013158F">
        <w:rPr>
          <w:rFonts w:cstheme="minorHAnsi"/>
          <w:sz w:val="18"/>
          <w:szCs w:val="18"/>
        </w:rPr>
        <w:t>4</w:t>
      </w:r>
      <w:r w:rsidR="0013158F" w:rsidRPr="00786CB4">
        <w:rPr>
          <w:rFonts w:cstheme="minorHAnsi"/>
          <w:sz w:val="18"/>
          <w:szCs w:val="18"/>
        </w:rPr>
        <w:t>.</w:t>
      </w:r>
    </w:p>
  </w:footnote>
  <w:footnote w:id="8">
    <w:p w:rsidR="00374154" w:rsidRPr="00374154" w:rsidRDefault="00374154">
      <w:pPr>
        <w:pStyle w:val="FootnoteText"/>
        <w:rPr>
          <w:sz w:val="18"/>
          <w:szCs w:val="18"/>
        </w:rPr>
      </w:pPr>
      <w:r w:rsidRPr="00374154">
        <w:rPr>
          <w:rStyle w:val="FootnoteReference"/>
          <w:sz w:val="18"/>
          <w:szCs w:val="18"/>
        </w:rPr>
        <w:footnoteRef/>
      </w:r>
      <w:r w:rsidRPr="00374154">
        <w:rPr>
          <w:sz w:val="18"/>
          <w:szCs w:val="18"/>
        </w:rPr>
        <w:t xml:space="preserve"> Tony Walter, and Helen Waterhouse. </w:t>
      </w:r>
      <w:r w:rsidRPr="002471F1">
        <w:rPr>
          <w:i/>
          <w:iCs/>
          <w:sz w:val="18"/>
          <w:szCs w:val="18"/>
        </w:rPr>
        <w:t>A Very Private Belief: Reincarnation in Contemporary England.</w:t>
      </w:r>
      <w:r w:rsidRPr="00374154">
        <w:rPr>
          <w:sz w:val="18"/>
          <w:szCs w:val="18"/>
        </w:rPr>
        <w:t xml:space="preserve"> </w:t>
      </w:r>
      <w:r w:rsidR="002471F1">
        <w:rPr>
          <w:sz w:val="18"/>
          <w:szCs w:val="18"/>
        </w:rPr>
        <w:t>(</w:t>
      </w:r>
      <w:r w:rsidRPr="002471F1">
        <w:rPr>
          <w:sz w:val="18"/>
          <w:szCs w:val="18"/>
        </w:rPr>
        <w:t>Sociology of Religion</w:t>
      </w:r>
      <w:r w:rsidR="002471F1" w:rsidRPr="002471F1">
        <w:rPr>
          <w:sz w:val="18"/>
          <w:szCs w:val="18"/>
        </w:rPr>
        <w:t>, 2001</w:t>
      </w:r>
      <w:r w:rsidR="002471F1">
        <w:rPr>
          <w:sz w:val="18"/>
          <w:szCs w:val="18"/>
        </w:rPr>
        <w:t>)</w:t>
      </w:r>
      <w:r w:rsidRPr="00374154">
        <w:rPr>
          <w:sz w:val="18"/>
          <w:szCs w:val="18"/>
        </w:rPr>
        <w:t>, p. 14.</w:t>
      </w:r>
    </w:p>
  </w:footnote>
  <w:footnote w:id="9">
    <w:p w:rsidR="00374154" w:rsidRPr="00374154" w:rsidRDefault="00374154">
      <w:pPr>
        <w:pStyle w:val="FootnoteText"/>
        <w:rPr>
          <w:sz w:val="18"/>
          <w:szCs w:val="18"/>
        </w:rPr>
      </w:pPr>
      <w:r w:rsidRPr="00374154">
        <w:rPr>
          <w:rStyle w:val="FootnoteReference"/>
          <w:sz w:val="18"/>
          <w:szCs w:val="18"/>
        </w:rPr>
        <w:footnoteRef/>
      </w:r>
      <w:r w:rsidRPr="00374154">
        <w:rPr>
          <w:sz w:val="18"/>
          <w:szCs w:val="18"/>
        </w:rPr>
        <w:t xml:space="preserve"> Walter and </w:t>
      </w:r>
      <w:r w:rsidRPr="00374154">
        <w:rPr>
          <w:rStyle w:val="bold"/>
          <w:sz w:val="18"/>
          <w:szCs w:val="18"/>
        </w:rPr>
        <w:t xml:space="preserve">Waterhouse, </w:t>
      </w:r>
      <w:r w:rsidRPr="00583AE5">
        <w:rPr>
          <w:rStyle w:val="bold"/>
          <w:i/>
          <w:iCs/>
          <w:sz w:val="18"/>
          <w:szCs w:val="18"/>
        </w:rPr>
        <w:t>Very Private Belief,</w:t>
      </w:r>
      <w:r w:rsidRPr="00374154">
        <w:rPr>
          <w:rStyle w:val="bold"/>
          <w:sz w:val="18"/>
          <w:szCs w:val="18"/>
        </w:rPr>
        <w:t xml:space="preserve"> p. 13.</w:t>
      </w:r>
    </w:p>
  </w:footnote>
  <w:footnote w:id="10">
    <w:p w:rsidR="00374154" w:rsidRDefault="00374154">
      <w:pPr>
        <w:pStyle w:val="FootnoteText"/>
      </w:pPr>
      <w:r>
        <w:rPr>
          <w:rStyle w:val="FootnoteReference"/>
        </w:rPr>
        <w:footnoteRef/>
      </w:r>
      <w:r>
        <w:t xml:space="preserve"> </w:t>
      </w:r>
      <w:r w:rsidR="00583AE5" w:rsidRPr="00786CB4">
        <w:rPr>
          <w:rFonts w:cstheme="minorHAnsi"/>
          <w:sz w:val="18"/>
          <w:szCs w:val="18"/>
        </w:rPr>
        <w:t xml:space="preserve">Gillian Bennett, </w:t>
      </w:r>
      <w:r w:rsidR="00583AE5" w:rsidRPr="0013158F">
        <w:rPr>
          <w:rFonts w:cstheme="minorHAnsi"/>
          <w:i/>
          <w:iCs/>
          <w:sz w:val="18"/>
          <w:szCs w:val="18"/>
        </w:rPr>
        <w:t xml:space="preserve">'If I Knew You Were Coming, I'd Have Baked a Cake': The Folklore of Foreknowledge in a </w:t>
      </w:r>
      <w:proofErr w:type="spellStart"/>
      <w:r w:rsidR="00583AE5" w:rsidRPr="0013158F">
        <w:rPr>
          <w:rFonts w:cstheme="minorHAnsi"/>
          <w:i/>
          <w:iCs/>
          <w:sz w:val="18"/>
          <w:szCs w:val="18"/>
        </w:rPr>
        <w:t>Neighborhood</w:t>
      </w:r>
      <w:proofErr w:type="spellEnd"/>
      <w:r w:rsidR="00583AE5" w:rsidRPr="0013158F">
        <w:rPr>
          <w:rFonts w:cstheme="minorHAnsi"/>
          <w:i/>
          <w:iCs/>
          <w:sz w:val="18"/>
          <w:szCs w:val="18"/>
        </w:rPr>
        <w:t xml:space="preserve"> Group," in Out of the Ordinary: Folklore and the Supernatural,</w:t>
      </w:r>
      <w:r w:rsidR="00583AE5" w:rsidRPr="00786CB4">
        <w:rPr>
          <w:rFonts w:cstheme="minorHAnsi"/>
          <w:sz w:val="18"/>
          <w:szCs w:val="18"/>
        </w:rPr>
        <w:t xml:space="preserve"> (Utah: Utah State University Press, 1995), p. 12</w:t>
      </w:r>
      <w:r w:rsidR="00583AE5">
        <w:rPr>
          <w:rFonts w:cstheme="minorHAnsi"/>
          <w:sz w:val="18"/>
          <w:szCs w:val="18"/>
        </w:rPr>
        <w:t>7</w:t>
      </w:r>
      <w:r w:rsidR="00583AE5" w:rsidRPr="00786CB4">
        <w:rPr>
          <w:rFonts w:cstheme="minorHAnsi"/>
          <w:sz w:val="18"/>
          <w:szCs w:val="18"/>
        </w:rPr>
        <w:t>.</w:t>
      </w:r>
    </w:p>
  </w:footnote>
  <w:footnote w:id="11">
    <w:p w:rsidR="00374154" w:rsidRDefault="00374154">
      <w:pPr>
        <w:pStyle w:val="FootnoteText"/>
      </w:pPr>
      <w:r>
        <w:rPr>
          <w:rStyle w:val="FootnoteReference"/>
        </w:rPr>
        <w:footnoteRef/>
      </w:r>
      <w:r>
        <w:t xml:space="preserve"> </w:t>
      </w:r>
      <w:r w:rsidRPr="00374154">
        <w:rPr>
          <w:sz w:val="18"/>
          <w:szCs w:val="18"/>
        </w:rPr>
        <w:t xml:space="preserve">Bennett, </w:t>
      </w:r>
      <w:r w:rsidRPr="00583AE5">
        <w:rPr>
          <w:i/>
          <w:iCs/>
          <w:sz w:val="18"/>
          <w:szCs w:val="18"/>
        </w:rPr>
        <w:t xml:space="preserve">If I Knew You Were Coming, </w:t>
      </w:r>
      <w:r>
        <w:rPr>
          <w:sz w:val="18"/>
          <w:szCs w:val="18"/>
        </w:rPr>
        <w:t xml:space="preserve">p. </w:t>
      </w:r>
      <w:r w:rsidRPr="00374154">
        <w:rPr>
          <w:sz w:val="18"/>
          <w:szCs w:val="18"/>
        </w:rPr>
        <w:t>12</w:t>
      </w:r>
      <w:r>
        <w:rPr>
          <w:sz w:val="18"/>
          <w:szCs w:val="18"/>
        </w:rPr>
        <w:t>9</w:t>
      </w:r>
      <w:r w:rsidRPr="00374154">
        <w:rPr>
          <w:sz w:val="18"/>
          <w:szCs w:val="18"/>
        </w:rPr>
        <w:t>.</w:t>
      </w:r>
    </w:p>
  </w:footnote>
  <w:footnote w:id="12">
    <w:p w:rsidR="00374154" w:rsidRDefault="00374154">
      <w:pPr>
        <w:pStyle w:val="FootnoteText"/>
      </w:pPr>
      <w:r>
        <w:rPr>
          <w:rStyle w:val="FootnoteReference"/>
        </w:rPr>
        <w:footnoteRef/>
      </w:r>
      <w:r>
        <w:t xml:space="preserve"> </w:t>
      </w:r>
      <w:r w:rsidRPr="00374154">
        <w:rPr>
          <w:sz w:val="18"/>
          <w:szCs w:val="18"/>
        </w:rPr>
        <w:t xml:space="preserve">Bennett, </w:t>
      </w:r>
      <w:r w:rsidRPr="00583AE5">
        <w:rPr>
          <w:i/>
          <w:iCs/>
          <w:sz w:val="18"/>
          <w:szCs w:val="18"/>
        </w:rPr>
        <w:t>If I Knew You Were Coming,</w:t>
      </w:r>
      <w:r w:rsidRPr="00374154">
        <w:rPr>
          <w:sz w:val="18"/>
          <w:szCs w:val="18"/>
        </w:rPr>
        <w:t xml:space="preserve"> </w:t>
      </w:r>
      <w:r>
        <w:rPr>
          <w:sz w:val="18"/>
          <w:szCs w:val="18"/>
        </w:rPr>
        <w:t xml:space="preserve">p. </w:t>
      </w:r>
      <w:r w:rsidRPr="00374154">
        <w:rPr>
          <w:sz w:val="18"/>
          <w:szCs w:val="18"/>
        </w:rPr>
        <w:t>12</w:t>
      </w:r>
      <w:r>
        <w:rPr>
          <w:sz w:val="18"/>
          <w:szCs w:val="18"/>
        </w:rPr>
        <w:t>7</w:t>
      </w:r>
      <w:r w:rsidRPr="00374154">
        <w:rPr>
          <w:sz w:val="18"/>
          <w:szCs w:val="18"/>
        </w:rPr>
        <w:t>.</w:t>
      </w:r>
    </w:p>
  </w:footnote>
  <w:footnote w:id="13">
    <w:p w:rsidR="00374154" w:rsidRDefault="00374154">
      <w:pPr>
        <w:pStyle w:val="FootnoteText"/>
      </w:pPr>
      <w:r>
        <w:rPr>
          <w:rStyle w:val="FootnoteReference"/>
        </w:rPr>
        <w:footnoteRef/>
      </w:r>
      <w:r>
        <w:t xml:space="preserve"> </w:t>
      </w:r>
      <w:r w:rsidR="0013158F" w:rsidRPr="00786CB4">
        <w:rPr>
          <w:rFonts w:cstheme="minorHAnsi"/>
          <w:sz w:val="18"/>
          <w:szCs w:val="18"/>
        </w:rPr>
        <w:t xml:space="preserve">T. L. Brink, </w:t>
      </w:r>
      <w:r w:rsidR="0013158F" w:rsidRPr="0013158F">
        <w:rPr>
          <w:rFonts w:cstheme="minorHAnsi"/>
          <w:i/>
          <w:iCs/>
          <w:sz w:val="18"/>
          <w:szCs w:val="18"/>
        </w:rPr>
        <w:t>Review of Religious Research, Inconsistency of Belief among Roman Catholic Girls: Concerning Religion, Astrology, Reincarnation</w:t>
      </w:r>
      <w:r w:rsidR="0013158F" w:rsidRPr="00786CB4">
        <w:rPr>
          <w:rFonts w:cstheme="minorHAnsi"/>
          <w:sz w:val="18"/>
          <w:szCs w:val="18"/>
        </w:rPr>
        <w:t xml:space="preserve">, </w:t>
      </w:r>
      <w:r w:rsidR="0013158F">
        <w:rPr>
          <w:rFonts w:cstheme="minorHAnsi"/>
          <w:sz w:val="18"/>
          <w:szCs w:val="18"/>
        </w:rPr>
        <w:t>(</w:t>
      </w:r>
      <w:r w:rsidR="0013158F" w:rsidRPr="00786CB4">
        <w:rPr>
          <w:rFonts w:cstheme="minorHAnsi"/>
          <w:sz w:val="18"/>
          <w:szCs w:val="18"/>
        </w:rPr>
        <w:t>Springer,</w:t>
      </w:r>
      <w:r w:rsidR="0013158F">
        <w:rPr>
          <w:rFonts w:cstheme="minorHAnsi"/>
          <w:sz w:val="18"/>
          <w:szCs w:val="18"/>
        </w:rPr>
        <w:t xml:space="preserve"> </w:t>
      </w:r>
      <w:r w:rsidR="0013158F" w:rsidRPr="00786CB4">
        <w:rPr>
          <w:rFonts w:cstheme="minorHAnsi"/>
          <w:sz w:val="18"/>
          <w:szCs w:val="18"/>
        </w:rPr>
        <w:t>1978</w:t>
      </w:r>
      <w:r w:rsidR="0013158F">
        <w:rPr>
          <w:rFonts w:cstheme="minorHAnsi"/>
          <w:sz w:val="18"/>
          <w:szCs w:val="18"/>
        </w:rPr>
        <w:t>)</w:t>
      </w:r>
      <w:r w:rsidR="002471F1">
        <w:rPr>
          <w:rFonts w:cstheme="minorHAnsi"/>
          <w:sz w:val="18"/>
          <w:szCs w:val="18"/>
        </w:rPr>
        <w:t>,</w:t>
      </w:r>
      <w:r w:rsidR="0013158F" w:rsidRPr="00786CB4">
        <w:rPr>
          <w:rFonts w:cstheme="minorHAnsi"/>
          <w:sz w:val="18"/>
          <w:szCs w:val="18"/>
        </w:rPr>
        <w:t xml:space="preserve"> p</w:t>
      </w:r>
      <w:r w:rsidR="0013158F">
        <w:rPr>
          <w:rFonts w:cstheme="minorHAnsi"/>
          <w:sz w:val="18"/>
          <w:szCs w:val="18"/>
        </w:rPr>
        <w:t>p</w:t>
      </w:r>
      <w:r w:rsidR="0013158F" w:rsidRPr="00786CB4">
        <w:rPr>
          <w:rFonts w:cstheme="minorHAnsi"/>
          <w:sz w:val="18"/>
          <w:szCs w:val="18"/>
        </w:rPr>
        <w:t>. 8</w:t>
      </w:r>
      <w:r w:rsidR="0013158F">
        <w:rPr>
          <w:rFonts w:cstheme="minorHAnsi"/>
          <w:sz w:val="18"/>
          <w:szCs w:val="18"/>
        </w:rPr>
        <w:t>4-85</w:t>
      </w:r>
      <w:r w:rsidR="0013158F" w:rsidRPr="00786CB4">
        <w:rPr>
          <w:rFonts w:cstheme="minorHAnsi"/>
          <w:sz w:val="18"/>
          <w:szCs w:val="18"/>
        </w:rPr>
        <w:t>.</w:t>
      </w:r>
    </w:p>
  </w:footnote>
  <w:footnote w:id="14">
    <w:p w:rsidR="00374154" w:rsidRDefault="00374154">
      <w:pPr>
        <w:pStyle w:val="FootnoteText"/>
      </w:pPr>
      <w:r>
        <w:rPr>
          <w:rStyle w:val="FootnoteReference"/>
        </w:rPr>
        <w:footnoteRef/>
      </w:r>
      <w:r>
        <w:t xml:space="preserve"> </w:t>
      </w:r>
      <w:r w:rsidR="00583AE5" w:rsidRPr="00786CB4">
        <w:rPr>
          <w:rFonts w:cstheme="minorHAnsi"/>
          <w:sz w:val="18"/>
          <w:szCs w:val="18"/>
        </w:rPr>
        <w:t xml:space="preserve">Gillian Bennett, </w:t>
      </w:r>
      <w:r w:rsidR="00583AE5" w:rsidRPr="0013158F">
        <w:rPr>
          <w:rFonts w:cstheme="minorHAnsi"/>
          <w:i/>
          <w:iCs/>
          <w:sz w:val="18"/>
          <w:szCs w:val="18"/>
        </w:rPr>
        <w:t xml:space="preserve">'If I Knew You Were Coming, I'd Have Baked a Cake': The Folklore of Foreknowledge in a </w:t>
      </w:r>
      <w:proofErr w:type="spellStart"/>
      <w:r w:rsidR="00583AE5" w:rsidRPr="0013158F">
        <w:rPr>
          <w:rFonts w:cstheme="minorHAnsi"/>
          <w:i/>
          <w:iCs/>
          <w:sz w:val="18"/>
          <w:szCs w:val="18"/>
        </w:rPr>
        <w:t>Neighborhood</w:t>
      </w:r>
      <w:proofErr w:type="spellEnd"/>
      <w:r w:rsidR="00583AE5" w:rsidRPr="0013158F">
        <w:rPr>
          <w:rFonts w:cstheme="minorHAnsi"/>
          <w:i/>
          <w:iCs/>
          <w:sz w:val="18"/>
          <w:szCs w:val="18"/>
        </w:rPr>
        <w:t xml:space="preserve"> Group," in Out of the Ordinary: Folklore and the Supernatural,</w:t>
      </w:r>
      <w:r w:rsidR="00583AE5" w:rsidRPr="00786CB4">
        <w:rPr>
          <w:rFonts w:cstheme="minorHAnsi"/>
          <w:sz w:val="18"/>
          <w:szCs w:val="18"/>
        </w:rPr>
        <w:t xml:space="preserve"> (Utah: Utah State University Press, 1995), pp. 12</w:t>
      </w:r>
      <w:r w:rsidR="00583AE5">
        <w:rPr>
          <w:rFonts w:cstheme="minorHAnsi"/>
          <w:sz w:val="18"/>
          <w:szCs w:val="18"/>
        </w:rPr>
        <w:t>4</w:t>
      </w:r>
      <w:r w:rsidR="00583AE5" w:rsidRPr="00786CB4">
        <w:rPr>
          <w:rFonts w:cstheme="minorHAnsi"/>
          <w:sz w:val="18"/>
          <w:szCs w:val="18"/>
        </w:rPr>
        <w:t>-1</w:t>
      </w:r>
      <w:r w:rsidR="00583AE5">
        <w:rPr>
          <w:rFonts w:cstheme="minorHAnsi"/>
          <w:sz w:val="18"/>
          <w:szCs w:val="18"/>
        </w:rPr>
        <w:t>26</w:t>
      </w:r>
      <w:r w:rsidR="00583AE5" w:rsidRPr="00786CB4">
        <w:rPr>
          <w:rFonts w:cstheme="minorHAnsi"/>
          <w:sz w:val="18"/>
          <w:szCs w:val="18"/>
        </w:rPr>
        <w:t>.</w:t>
      </w:r>
    </w:p>
  </w:footnote>
  <w:footnote w:id="15">
    <w:p w:rsidR="00374154" w:rsidRDefault="00374154">
      <w:pPr>
        <w:pStyle w:val="FootnoteText"/>
      </w:pPr>
      <w:r>
        <w:rPr>
          <w:rStyle w:val="FootnoteReference"/>
        </w:rPr>
        <w:footnoteRef/>
      </w:r>
      <w:r w:rsidR="00583AE5">
        <w:rPr>
          <w:rFonts w:cstheme="minorHAnsi"/>
          <w:sz w:val="18"/>
          <w:szCs w:val="18"/>
        </w:rPr>
        <w:t xml:space="preserve"> </w:t>
      </w:r>
      <w:r w:rsidR="0013158F" w:rsidRPr="00786CB4">
        <w:rPr>
          <w:rFonts w:cstheme="minorHAnsi"/>
          <w:sz w:val="18"/>
          <w:szCs w:val="18"/>
        </w:rPr>
        <w:t xml:space="preserve">T. L. Brink, </w:t>
      </w:r>
      <w:r w:rsidR="0013158F" w:rsidRPr="0013158F">
        <w:rPr>
          <w:rFonts w:cstheme="minorHAnsi"/>
          <w:i/>
          <w:iCs/>
          <w:sz w:val="18"/>
          <w:szCs w:val="18"/>
        </w:rPr>
        <w:t>Review of Religious Research, Inconsistency of Belief among Roman Catholic Girls: Concerning Religion, Astrology, Reincarnation</w:t>
      </w:r>
      <w:r w:rsidR="0013158F" w:rsidRPr="00786CB4">
        <w:rPr>
          <w:rFonts w:cstheme="minorHAnsi"/>
          <w:sz w:val="18"/>
          <w:szCs w:val="18"/>
        </w:rPr>
        <w:t xml:space="preserve">, </w:t>
      </w:r>
      <w:r w:rsidR="0013158F">
        <w:rPr>
          <w:rFonts w:cstheme="minorHAnsi"/>
          <w:sz w:val="18"/>
          <w:szCs w:val="18"/>
        </w:rPr>
        <w:t>(</w:t>
      </w:r>
      <w:r w:rsidR="0013158F" w:rsidRPr="00786CB4">
        <w:rPr>
          <w:rFonts w:cstheme="minorHAnsi"/>
          <w:sz w:val="18"/>
          <w:szCs w:val="18"/>
        </w:rPr>
        <w:t>Springer,</w:t>
      </w:r>
      <w:r w:rsidR="0013158F">
        <w:rPr>
          <w:rFonts w:cstheme="minorHAnsi"/>
          <w:sz w:val="18"/>
          <w:szCs w:val="18"/>
        </w:rPr>
        <w:t xml:space="preserve"> </w:t>
      </w:r>
      <w:r w:rsidR="0013158F" w:rsidRPr="00786CB4">
        <w:rPr>
          <w:rFonts w:cstheme="minorHAnsi"/>
          <w:sz w:val="18"/>
          <w:szCs w:val="18"/>
        </w:rPr>
        <w:t>1978</w:t>
      </w:r>
      <w:r w:rsidR="0013158F">
        <w:rPr>
          <w:rFonts w:cstheme="minorHAnsi"/>
          <w:sz w:val="18"/>
          <w:szCs w:val="18"/>
        </w:rPr>
        <w:t>)</w:t>
      </w:r>
      <w:r w:rsidR="002471F1">
        <w:rPr>
          <w:rFonts w:cstheme="minorHAnsi"/>
          <w:sz w:val="18"/>
          <w:szCs w:val="18"/>
        </w:rPr>
        <w:t>,</w:t>
      </w:r>
      <w:r w:rsidR="0013158F" w:rsidRPr="00786CB4">
        <w:rPr>
          <w:rFonts w:cstheme="minorHAnsi"/>
          <w:sz w:val="18"/>
          <w:szCs w:val="18"/>
        </w:rPr>
        <w:t xml:space="preserve"> p. 8</w:t>
      </w:r>
      <w:r w:rsidR="0013158F">
        <w:rPr>
          <w:rFonts w:cstheme="minorHAnsi"/>
          <w:sz w:val="18"/>
          <w:szCs w:val="18"/>
        </w:rPr>
        <w:t>4</w:t>
      </w:r>
      <w:r w:rsidR="0013158F" w:rsidRPr="00786CB4">
        <w:rPr>
          <w:rFonts w:cstheme="minorHAnsi"/>
          <w:sz w:val="18"/>
          <w:szCs w:val="18"/>
        </w:rPr>
        <w:t>.</w:t>
      </w:r>
    </w:p>
  </w:footnote>
  <w:footnote w:id="16">
    <w:p w:rsidR="00374154" w:rsidRDefault="00374154">
      <w:pPr>
        <w:pStyle w:val="FootnoteText"/>
      </w:pPr>
      <w:r>
        <w:rPr>
          <w:rStyle w:val="FootnoteReference"/>
        </w:rPr>
        <w:footnoteRef/>
      </w:r>
      <w:r>
        <w:t xml:space="preserve"> </w:t>
      </w:r>
      <w:r w:rsidR="00583AE5" w:rsidRPr="00786CB4">
        <w:rPr>
          <w:rFonts w:cstheme="minorHAnsi"/>
          <w:sz w:val="18"/>
          <w:szCs w:val="18"/>
        </w:rPr>
        <w:t xml:space="preserve">Gillian Bennett, </w:t>
      </w:r>
      <w:r w:rsidR="00583AE5" w:rsidRPr="0013158F">
        <w:rPr>
          <w:rFonts w:cstheme="minorHAnsi"/>
          <w:i/>
          <w:iCs/>
          <w:sz w:val="18"/>
          <w:szCs w:val="18"/>
        </w:rPr>
        <w:t xml:space="preserve">'If I Knew You Were Coming, I'd Have Baked a Cake': The Folklore of Foreknowledge in a </w:t>
      </w:r>
      <w:proofErr w:type="spellStart"/>
      <w:r w:rsidR="00583AE5" w:rsidRPr="0013158F">
        <w:rPr>
          <w:rFonts w:cstheme="minorHAnsi"/>
          <w:i/>
          <w:iCs/>
          <w:sz w:val="18"/>
          <w:szCs w:val="18"/>
        </w:rPr>
        <w:t>Neighborhood</w:t>
      </w:r>
      <w:proofErr w:type="spellEnd"/>
      <w:r w:rsidR="00583AE5" w:rsidRPr="0013158F">
        <w:rPr>
          <w:rFonts w:cstheme="minorHAnsi"/>
          <w:i/>
          <w:iCs/>
          <w:sz w:val="18"/>
          <w:szCs w:val="18"/>
        </w:rPr>
        <w:t xml:space="preserve"> Group," in Out of the Ordinary: Folklore and the Supernatural,</w:t>
      </w:r>
      <w:r w:rsidR="00583AE5" w:rsidRPr="00786CB4">
        <w:rPr>
          <w:rFonts w:cstheme="minorHAnsi"/>
          <w:sz w:val="18"/>
          <w:szCs w:val="18"/>
        </w:rPr>
        <w:t xml:space="preserve"> (Utah: Utah State University Press, 1995), pp. 12</w:t>
      </w:r>
      <w:r w:rsidR="00583AE5">
        <w:rPr>
          <w:rFonts w:cstheme="minorHAnsi"/>
          <w:sz w:val="18"/>
          <w:szCs w:val="18"/>
        </w:rPr>
        <w:t>4</w:t>
      </w:r>
      <w:r w:rsidR="00583AE5" w:rsidRPr="00786CB4">
        <w:rPr>
          <w:rFonts w:cstheme="minorHAnsi"/>
          <w:sz w:val="18"/>
          <w:szCs w:val="18"/>
        </w:rPr>
        <w:t>-1</w:t>
      </w:r>
      <w:r w:rsidR="00583AE5">
        <w:rPr>
          <w:rFonts w:cstheme="minorHAnsi"/>
          <w:sz w:val="18"/>
          <w:szCs w:val="18"/>
        </w:rPr>
        <w:t>30</w:t>
      </w:r>
      <w:r w:rsidR="00583AE5" w:rsidRPr="00786CB4">
        <w:rPr>
          <w:rFonts w:cstheme="minorHAnsi"/>
          <w:sz w:val="18"/>
          <w:szCs w:val="18"/>
        </w:rPr>
        <w:t>.</w:t>
      </w:r>
    </w:p>
  </w:footnote>
  <w:footnote w:id="17">
    <w:p w:rsidR="00374154" w:rsidRPr="00374154" w:rsidRDefault="00374154">
      <w:pPr>
        <w:pStyle w:val="FootnoteText"/>
        <w:rPr>
          <w:sz w:val="18"/>
          <w:szCs w:val="18"/>
        </w:rPr>
      </w:pPr>
      <w:r w:rsidRPr="00374154">
        <w:rPr>
          <w:rStyle w:val="FootnoteReference"/>
          <w:sz w:val="18"/>
          <w:szCs w:val="18"/>
        </w:rPr>
        <w:footnoteRef/>
      </w:r>
      <w:r w:rsidRPr="00374154">
        <w:rPr>
          <w:sz w:val="18"/>
          <w:szCs w:val="18"/>
        </w:rPr>
        <w:t xml:space="preserve"> </w:t>
      </w:r>
      <w:r w:rsidR="002471F1" w:rsidRPr="00374154">
        <w:rPr>
          <w:sz w:val="18"/>
          <w:szCs w:val="18"/>
        </w:rPr>
        <w:t xml:space="preserve">Tony Walter, and Helen Waterhouse. </w:t>
      </w:r>
      <w:r w:rsidR="002471F1" w:rsidRPr="002471F1">
        <w:rPr>
          <w:i/>
          <w:iCs/>
          <w:sz w:val="18"/>
          <w:szCs w:val="18"/>
        </w:rPr>
        <w:t>A Very Private Belief: Reincarnation in Contemporary England.</w:t>
      </w:r>
      <w:r w:rsidR="002471F1" w:rsidRPr="00374154">
        <w:rPr>
          <w:sz w:val="18"/>
          <w:szCs w:val="18"/>
        </w:rPr>
        <w:t xml:space="preserve"> </w:t>
      </w:r>
      <w:r w:rsidR="002471F1">
        <w:rPr>
          <w:sz w:val="18"/>
          <w:szCs w:val="18"/>
        </w:rPr>
        <w:t>(</w:t>
      </w:r>
      <w:r w:rsidR="002471F1" w:rsidRPr="002471F1">
        <w:rPr>
          <w:sz w:val="18"/>
          <w:szCs w:val="18"/>
        </w:rPr>
        <w:t>Sociology of Religion, 2001</w:t>
      </w:r>
      <w:r w:rsidR="002471F1">
        <w:rPr>
          <w:sz w:val="18"/>
          <w:szCs w:val="18"/>
        </w:rPr>
        <w:t>)</w:t>
      </w:r>
      <w:r w:rsidR="002471F1" w:rsidRPr="00374154">
        <w:rPr>
          <w:sz w:val="18"/>
          <w:szCs w:val="18"/>
        </w:rPr>
        <w:t>, p. 14.</w:t>
      </w:r>
    </w:p>
  </w:footnote>
  <w:footnote w:id="18">
    <w:p w:rsidR="00374154" w:rsidRDefault="00374154">
      <w:pPr>
        <w:pStyle w:val="FootnoteText"/>
      </w:pPr>
      <w:r>
        <w:rPr>
          <w:rStyle w:val="FootnoteReference"/>
        </w:rPr>
        <w:footnoteRef/>
      </w:r>
      <w:r>
        <w:t xml:space="preserve"> </w:t>
      </w:r>
      <w:r w:rsidR="0013158F" w:rsidRPr="00786CB4">
        <w:rPr>
          <w:rFonts w:cstheme="minorHAnsi"/>
          <w:sz w:val="18"/>
          <w:szCs w:val="18"/>
        </w:rPr>
        <w:t xml:space="preserve">T. L. Brink, </w:t>
      </w:r>
      <w:r w:rsidR="0013158F" w:rsidRPr="0013158F">
        <w:rPr>
          <w:rFonts w:cstheme="minorHAnsi"/>
          <w:i/>
          <w:iCs/>
          <w:sz w:val="18"/>
          <w:szCs w:val="18"/>
        </w:rPr>
        <w:t>Review of Religious Research, Inconsistency of Belief among Roman Catholic Girls: Concerning Religion, Astrology, Reincarnation</w:t>
      </w:r>
      <w:r w:rsidR="0013158F" w:rsidRPr="00786CB4">
        <w:rPr>
          <w:rFonts w:cstheme="minorHAnsi"/>
          <w:sz w:val="18"/>
          <w:szCs w:val="18"/>
        </w:rPr>
        <w:t xml:space="preserve">, </w:t>
      </w:r>
      <w:r w:rsidR="0013158F">
        <w:rPr>
          <w:rFonts w:cstheme="minorHAnsi"/>
          <w:sz w:val="18"/>
          <w:szCs w:val="18"/>
        </w:rPr>
        <w:t>(</w:t>
      </w:r>
      <w:r w:rsidR="0013158F" w:rsidRPr="00786CB4">
        <w:rPr>
          <w:rFonts w:cstheme="minorHAnsi"/>
          <w:sz w:val="18"/>
          <w:szCs w:val="18"/>
        </w:rPr>
        <w:t>Springer,</w:t>
      </w:r>
      <w:r w:rsidR="0013158F">
        <w:rPr>
          <w:rFonts w:cstheme="minorHAnsi"/>
          <w:sz w:val="18"/>
          <w:szCs w:val="18"/>
        </w:rPr>
        <w:t xml:space="preserve"> </w:t>
      </w:r>
      <w:r w:rsidR="0013158F" w:rsidRPr="00786CB4">
        <w:rPr>
          <w:rFonts w:cstheme="minorHAnsi"/>
          <w:sz w:val="18"/>
          <w:szCs w:val="18"/>
        </w:rPr>
        <w:t>1978</w:t>
      </w:r>
      <w:r w:rsidR="0013158F">
        <w:rPr>
          <w:rFonts w:cstheme="minorHAnsi"/>
          <w:sz w:val="18"/>
          <w:szCs w:val="18"/>
        </w:rPr>
        <w:t>)</w:t>
      </w:r>
      <w:r w:rsidR="002471F1">
        <w:rPr>
          <w:rFonts w:cstheme="minorHAnsi"/>
          <w:sz w:val="18"/>
          <w:szCs w:val="18"/>
        </w:rPr>
        <w:t>,</w:t>
      </w:r>
      <w:r w:rsidR="0013158F" w:rsidRPr="00786CB4">
        <w:rPr>
          <w:rFonts w:cstheme="minorHAnsi"/>
          <w:sz w:val="18"/>
          <w:szCs w:val="18"/>
        </w:rPr>
        <w:t xml:space="preserve"> p. 8</w:t>
      </w:r>
      <w:r w:rsidR="0013158F">
        <w:rPr>
          <w:rFonts w:cstheme="minorHAnsi"/>
          <w:sz w:val="18"/>
          <w:szCs w:val="18"/>
        </w:rPr>
        <w:t>2</w:t>
      </w:r>
      <w:r w:rsidR="0013158F" w:rsidRPr="00786CB4">
        <w:rPr>
          <w:rFonts w:cstheme="minorHAnsi"/>
          <w:sz w:val="18"/>
          <w:szCs w:val="18"/>
        </w:rPr>
        <w:t>.</w:t>
      </w:r>
    </w:p>
  </w:footnote>
  <w:footnote w:id="19">
    <w:p w:rsidR="00374154" w:rsidRDefault="00374154">
      <w:pPr>
        <w:pStyle w:val="FootnoteText"/>
      </w:pPr>
      <w:r>
        <w:rPr>
          <w:rStyle w:val="FootnoteReference"/>
        </w:rPr>
        <w:footnoteRef/>
      </w:r>
      <w:r>
        <w:t xml:space="preserve"> </w:t>
      </w:r>
      <w:r w:rsidR="00583AE5" w:rsidRPr="00786CB4">
        <w:rPr>
          <w:rFonts w:cstheme="minorHAnsi"/>
          <w:sz w:val="18"/>
          <w:szCs w:val="18"/>
        </w:rPr>
        <w:t xml:space="preserve">Gillian Bennett, </w:t>
      </w:r>
      <w:r w:rsidR="00583AE5" w:rsidRPr="0013158F">
        <w:rPr>
          <w:rFonts w:cstheme="minorHAnsi"/>
          <w:i/>
          <w:iCs/>
          <w:sz w:val="18"/>
          <w:szCs w:val="18"/>
        </w:rPr>
        <w:t xml:space="preserve">'If I Knew You Were Coming, I'd Have Baked a Cake': The Folklore of Foreknowledge in a </w:t>
      </w:r>
      <w:proofErr w:type="spellStart"/>
      <w:r w:rsidR="00583AE5" w:rsidRPr="0013158F">
        <w:rPr>
          <w:rFonts w:cstheme="minorHAnsi"/>
          <w:i/>
          <w:iCs/>
          <w:sz w:val="18"/>
          <w:szCs w:val="18"/>
        </w:rPr>
        <w:t>Neighborhood</w:t>
      </w:r>
      <w:proofErr w:type="spellEnd"/>
      <w:r w:rsidR="00583AE5" w:rsidRPr="0013158F">
        <w:rPr>
          <w:rFonts w:cstheme="minorHAnsi"/>
          <w:i/>
          <w:iCs/>
          <w:sz w:val="18"/>
          <w:szCs w:val="18"/>
        </w:rPr>
        <w:t xml:space="preserve"> Group," in Out of the Ordinary: Folklore and the Supernatural,</w:t>
      </w:r>
      <w:r w:rsidR="00583AE5" w:rsidRPr="00786CB4">
        <w:rPr>
          <w:rFonts w:cstheme="minorHAnsi"/>
          <w:sz w:val="18"/>
          <w:szCs w:val="18"/>
        </w:rPr>
        <w:t xml:space="preserve"> (Utah: Utah State University Press, 1995), p. 12</w:t>
      </w:r>
      <w:r w:rsidR="00583AE5">
        <w:rPr>
          <w:rFonts w:cstheme="minorHAnsi"/>
          <w:sz w:val="18"/>
          <w:szCs w:val="18"/>
        </w:rPr>
        <w:t>7</w:t>
      </w:r>
      <w:r w:rsidR="00583AE5" w:rsidRPr="00786CB4">
        <w:rPr>
          <w:rFonts w:cstheme="minorHAnsi"/>
          <w:sz w:val="18"/>
          <w:szCs w:val="18"/>
        </w:rPr>
        <w:t>.</w:t>
      </w:r>
    </w:p>
  </w:footnote>
  <w:footnote w:id="20">
    <w:p w:rsidR="00374154" w:rsidRDefault="00374154">
      <w:pPr>
        <w:pStyle w:val="FootnoteText"/>
      </w:pPr>
      <w:r>
        <w:rPr>
          <w:rStyle w:val="FootnoteReference"/>
        </w:rPr>
        <w:footnoteRef/>
      </w:r>
      <w:r>
        <w:t xml:space="preserve"> </w:t>
      </w:r>
      <w:r w:rsidRPr="00374154">
        <w:rPr>
          <w:sz w:val="18"/>
          <w:szCs w:val="18"/>
        </w:rPr>
        <w:t xml:space="preserve">Bennett, </w:t>
      </w:r>
      <w:r w:rsidRPr="0013158F">
        <w:rPr>
          <w:i/>
          <w:iCs/>
          <w:sz w:val="18"/>
          <w:szCs w:val="18"/>
        </w:rPr>
        <w:t>If I Knew You Were Coming,</w:t>
      </w:r>
      <w:r w:rsidR="0013158F">
        <w:rPr>
          <w:sz w:val="18"/>
          <w:szCs w:val="18"/>
        </w:rPr>
        <w:t xml:space="preserve"> p. </w:t>
      </w:r>
      <w:r w:rsidRPr="00374154">
        <w:rPr>
          <w:sz w:val="18"/>
          <w:szCs w:val="18"/>
        </w:rPr>
        <w:t>12</w:t>
      </w:r>
      <w:r>
        <w:rPr>
          <w:sz w:val="18"/>
          <w:szCs w:val="18"/>
        </w:rPr>
        <w:t>7</w:t>
      </w:r>
      <w:r w:rsidRPr="00374154">
        <w:rPr>
          <w:sz w:val="18"/>
          <w:szCs w:val="18"/>
        </w:rPr>
        <w:t>.</w:t>
      </w:r>
    </w:p>
  </w:footnote>
  <w:footnote w:id="21">
    <w:p w:rsidR="00374154" w:rsidRDefault="00374154">
      <w:pPr>
        <w:pStyle w:val="FootnoteText"/>
      </w:pPr>
      <w:r>
        <w:rPr>
          <w:rStyle w:val="FootnoteReference"/>
        </w:rPr>
        <w:footnoteRef/>
      </w:r>
      <w:r>
        <w:t xml:space="preserve"> </w:t>
      </w:r>
      <w:r w:rsidR="00583AE5" w:rsidRPr="00786CB4">
        <w:rPr>
          <w:rFonts w:cstheme="minorHAnsi"/>
          <w:sz w:val="18"/>
          <w:szCs w:val="18"/>
        </w:rPr>
        <w:t xml:space="preserve">Gillian Bennett, </w:t>
      </w:r>
      <w:r w:rsidR="00583AE5" w:rsidRPr="0013158F">
        <w:rPr>
          <w:rFonts w:cstheme="minorHAnsi"/>
          <w:i/>
          <w:iCs/>
          <w:sz w:val="18"/>
          <w:szCs w:val="18"/>
        </w:rPr>
        <w:t xml:space="preserve">'If I Knew You Were Coming, I'd Have Baked a Cake': The Folklore of Foreknowledge in a </w:t>
      </w:r>
      <w:proofErr w:type="spellStart"/>
      <w:r w:rsidR="00583AE5" w:rsidRPr="0013158F">
        <w:rPr>
          <w:rFonts w:cstheme="minorHAnsi"/>
          <w:i/>
          <w:iCs/>
          <w:sz w:val="18"/>
          <w:szCs w:val="18"/>
        </w:rPr>
        <w:t>Neighborhood</w:t>
      </w:r>
      <w:proofErr w:type="spellEnd"/>
      <w:r w:rsidR="00583AE5" w:rsidRPr="0013158F">
        <w:rPr>
          <w:rFonts w:cstheme="minorHAnsi"/>
          <w:i/>
          <w:iCs/>
          <w:sz w:val="18"/>
          <w:szCs w:val="18"/>
        </w:rPr>
        <w:t xml:space="preserve"> Group," in Out of the Ordinary: Folklore and the Supernatural,</w:t>
      </w:r>
      <w:r w:rsidR="00583AE5" w:rsidRPr="00786CB4">
        <w:rPr>
          <w:rFonts w:cstheme="minorHAnsi"/>
          <w:sz w:val="18"/>
          <w:szCs w:val="18"/>
        </w:rPr>
        <w:t xml:space="preserve"> (Utah: Utah State University Press, 1995), p</w:t>
      </w:r>
      <w:r w:rsidR="00583AE5">
        <w:rPr>
          <w:rFonts w:cstheme="minorHAnsi"/>
          <w:sz w:val="18"/>
          <w:szCs w:val="18"/>
        </w:rPr>
        <w:t>p</w:t>
      </w:r>
      <w:r w:rsidR="00583AE5" w:rsidRPr="00786CB4">
        <w:rPr>
          <w:rFonts w:cstheme="minorHAnsi"/>
          <w:sz w:val="18"/>
          <w:szCs w:val="18"/>
        </w:rPr>
        <w:t>. 12</w:t>
      </w:r>
      <w:r w:rsidR="00583AE5">
        <w:rPr>
          <w:rFonts w:cstheme="minorHAnsi"/>
          <w:sz w:val="18"/>
          <w:szCs w:val="18"/>
        </w:rPr>
        <w:t>8-140</w:t>
      </w:r>
      <w:r w:rsidR="00583AE5" w:rsidRPr="00786CB4">
        <w:rPr>
          <w:rFonts w:cstheme="minorHAnsi"/>
          <w:sz w:val="18"/>
          <w:szCs w:val="18"/>
        </w:rPr>
        <w:t>.</w:t>
      </w:r>
    </w:p>
  </w:footnote>
  <w:footnote w:id="22">
    <w:p w:rsidR="00374154" w:rsidRDefault="00374154">
      <w:pPr>
        <w:pStyle w:val="FootnoteText"/>
      </w:pPr>
      <w:r>
        <w:rPr>
          <w:rStyle w:val="FootnoteReference"/>
        </w:rPr>
        <w:footnoteRef/>
      </w:r>
      <w:r>
        <w:t xml:space="preserve"> </w:t>
      </w:r>
      <w:r w:rsidR="0013158F" w:rsidRPr="00786CB4">
        <w:rPr>
          <w:rFonts w:cstheme="minorHAnsi"/>
          <w:sz w:val="18"/>
          <w:szCs w:val="18"/>
        </w:rPr>
        <w:t xml:space="preserve">T. L. Brink, </w:t>
      </w:r>
      <w:r w:rsidR="0013158F" w:rsidRPr="0013158F">
        <w:rPr>
          <w:rFonts w:cstheme="minorHAnsi"/>
          <w:i/>
          <w:iCs/>
          <w:sz w:val="18"/>
          <w:szCs w:val="18"/>
        </w:rPr>
        <w:t>Review of Religious Research, Inconsistency of Belief among Roman Catholic Girls: Concerning Religion, Astrology, Reincarnation</w:t>
      </w:r>
      <w:r w:rsidR="0013158F" w:rsidRPr="00786CB4">
        <w:rPr>
          <w:rFonts w:cstheme="minorHAnsi"/>
          <w:sz w:val="18"/>
          <w:szCs w:val="18"/>
        </w:rPr>
        <w:t xml:space="preserve">, </w:t>
      </w:r>
      <w:r w:rsidR="0013158F">
        <w:rPr>
          <w:rFonts w:cstheme="minorHAnsi"/>
          <w:sz w:val="18"/>
          <w:szCs w:val="18"/>
        </w:rPr>
        <w:t>(</w:t>
      </w:r>
      <w:r w:rsidR="0013158F" w:rsidRPr="00786CB4">
        <w:rPr>
          <w:rFonts w:cstheme="minorHAnsi"/>
          <w:sz w:val="18"/>
          <w:szCs w:val="18"/>
        </w:rPr>
        <w:t>Springer,</w:t>
      </w:r>
      <w:r w:rsidR="0013158F">
        <w:rPr>
          <w:rFonts w:cstheme="minorHAnsi"/>
          <w:sz w:val="18"/>
          <w:szCs w:val="18"/>
        </w:rPr>
        <w:t xml:space="preserve"> </w:t>
      </w:r>
      <w:r w:rsidR="0013158F" w:rsidRPr="00786CB4">
        <w:rPr>
          <w:rFonts w:cstheme="minorHAnsi"/>
          <w:sz w:val="18"/>
          <w:szCs w:val="18"/>
        </w:rPr>
        <w:t>1978</w:t>
      </w:r>
      <w:r w:rsidR="0013158F">
        <w:rPr>
          <w:rFonts w:cstheme="minorHAnsi"/>
          <w:sz w:val="18"/>
          <w:szCs w:val="18"/>
        </w:rPr>
        <w:t>)</w:t>
      </w:r>
      <w:r w:rsidR="002471F1">
        <w:rPr>
          <w:rFonts w:cstheme="minorHAnsi"/>
          <w:sz w:val="18"/>
          <w:szCs w:val="18"/>
        </w:rPr>
        <w:t>,</w:t>
      </w:r>
      <w:r w:rsidR="0013158F" w:rsidRPr="00786CB4">
        <w:rPr>
          <w:rFonts w:cstheme="minorHAnsi"/>
          <w:sz w:val="18"/>
          <w:szCs w:val="18"/>
        </w:rPr>
        <w:t xml:space="preserve"> p. 8</w:t>
      </w:r>
      <w:r w:rsidR="0013158F">
        <w:rPr>
          <w:rFonts w:cstheme="minorHAnsi"/>
          <w:sz w:val="18"/>
          <w:szCs w:val="18"/>
        </w:rPr>
        <w:t>3</w:t>
      </w:r>
      <w:r w:rsidR="0013158F" w:rsidRPr="00786CB4">
        <w:rPr>
          <w:rFonts w:cstheme="minorHAnsi"/>
          <w:sz w:val="18"/>
          <w:szCs w:val="18"/>
        </w:rPr>
        <w:t>.</w:t>
      </w:r>
    </w:p>
  </w:footnote>
  <w:footnote w:id="23">
    <w:p w:rsidR="00374154" w:rsidRDefault="00374154">
      <w:pPr>
        <w:pStyle w:val="FootnoteText"/>
      </w:pPr>
      <w:r>
        <w:rPr>
          <w:rStyle w:val="FootnoteReference"/>
        </w:rPr>
        <w:footnoteRef/>
      </w:r>
      <w:r>
        <w:t xml:space="preserve"> </w:t>
      </w:r>
      <w:r w:rsidR="0013158F" w:rsidRPr="00786CB4">
        <w:rPr>
          <w:rFonts w:cstheme="minorHAnsi"/>
          <w:sz w:val="18"/>
          <w:szCs w:val="18"/>
        </w:rPr>
        <w:t xml:space="preserve">T. L. Brink, </w:t>
      </w:r>
      <w:r w:rsidR="0013158F" w:rsidRPr="0013158F">
        <w:rPr>
          <w:rFonts w:cstheme="minorHAnsi"/>
          <w:i/>
          <w:iCs/>
          <w:sz w:val="18"/>
          <w:szCs w:val="18"/>
        </w:rPr>
        <w:t>Review of Religious Research, Inconsistency of Belief among Roman Catholic Girls: Concerning Religion, Astrology, Reincarnation</w:t>
      </w:r>
      <w:r w:rsidR="0013158F" w:rsidRPr="00786CB4">
        <w:rPr>
          <w:rFonts w:cstheme="minorHAnsi"/>
          <w:sz w:val="18"/>
          <w:szCs w:val="18"/>
        </w:rPr>
        <w:t xml:space="preserve">, </w:t>
      </w:r>
      <w:r w:rsidR="0013158F">
        <w:rPr>
          <w:rFonts w:cstheme="minorHAnsi"/>
          <w:sz w:val="18"/>
          <w:szCs w:val="18"/>
        </w:rPr>
        <w:t>(</w:t>
      </w:r>
      <w:r w:rsidR="0013158F" w:rsidRPr="00786CB4">
        <w:rPr>
          <w:rFonts w:cstheme="minorHAnsi"/>
          <w:sz w:val="18"/>
          <w:szCs w:val="18"/>
        </w:rPr>
        <w:t>Springer,</w:t>
      </w:r>
      <w:r w:rsidR="0013158F">
        <w:rPr>
          <w:rFonts w:cstheme="minorHAnsi"/>
          <w:sz w:val="18"/>
          <w:szCs w:val="18"/>
        </w:rPr>
        <w:t xml:space="preserve"> </w:t>
      </w:r>
      <w:r w:rsidR="0013158F" w:rsidRPr="00786CB4">
        <w:rPr>
          <w:rFonts w:cstheme="minorHAnsi"/>
          <w:sz w:val="18"/>
          <w:szCs w:val="18"/>
        </w:rPr>
        <w:t>1978</w:t>
      </w:r>
      <w:r w:rsidR="0013158F">
        <w:rPr>
          <w:rFonts w:cstheme="minorHAnsi"/>
          <w:sz w:val="18"/>
          <w:szCs w:val="18"/>
        </w:rPr>
        <w:t>)</w:t>
      </w:r>
      <w:r w:rsidR="002471F1">
        <w:rPr>
          <w:rFonts w:cstheme="minorHAnsi"/>
          <w:sz w:val="18"/>
          <w:szCs w:val="18"/>
        </w:rPr>
        <w:t>,</w:t>
      </w:r>
      <w:r w:rsidR="0013158F" w:rsidRPr="00786CB4">
        <w:rPr>
          <w:rFonts w:cstheme="minorHAnsi"/>
          <w:sz w:val="18"/>
          <w:szCs w:val="18"/>
        </w:rPr>
        <w:t xml:space="preserve"> p. 8</w:t>
      </w:r>
      <w:r w:rsidR="0013158F">
        <w:rPr>
          <w:rFonts w:cstheme="minorHAnsi"/>
          <w:sz w:val="18"/>
          <w:szCs w:val="18"/>
        </w:rPr>
        <w:t>3</w:t>
      </w:r>
      <w:r w:rsidR="0013158F" w:rsidRPr="00786CB4">
        <w:rPr>
          <w:rFonts w:cstheme="minorHAnsi"/>
          <w:sz w:val="18"/>
          <w:szCs w:val="18"/>
        </w:rPr>
        <w:t>.</w:t>
      </w:r>
    </w:p>
  </w:footnote>
  <w:footnote w:id="24">
    <w:p w:rsidR="00374154" w:rsidRDefault="00374154">
      <w:pPr>
        <w:pStyle w:val="FootnoteText"/>
      </w:pPr>
      <w:r>
        <w:rPr>
          <w:rStyle w:val="FootnoteReference"/>
        </w:rPr>
        <w:footnoteRef/>
      </w:r>
      <w:r>
        <w:t xml:space="preserve"> </w:t>
      </w:r>
      <w:r w:rsidRPr="00374154">
        <w:rPr>
          <w:sz w:val="18"/>
          <w:szCs w:val="18"/>
        </w:rPr>
        <w:t xml:space="preserve">Brink, </w:t>
      </w:r>
      <w:r w:rsidRPr="0013158F">
        <w:rPr>
          <w:i/>
          <w:iCs/>
          <w:sz w:val="18"/>
          <w:szCs w:val="18"/>
        </w:rPr>
        <w:t>Inconsistency of Belief,</w:t>
      </w:r>
      <w:r w:rsidRPr="00374154">
        <w:rPr>
          <w:sz w:val="18"/>
          <w:szCs w:val="18"/>
        </w:rPr>
        <w:t xml:space="preserve"> </w:t>
      </w:r>
      <w:r w:rsidR="0013158F">
        <w:rPr>
          <w:sz w:val="18"/>
          <w:szCs w:val="18"/>
        </w:rPr>
        <w:t xml:space="preserve">pp. </w:t>
      </w:r>
      <w:r w:rsidRPr="00374154">
        <w:rPr>
          <w:sz w:val="18"/>
          <w:szCs w:val="18"/>
        </w:rPr>
        <w:t>83</w:t>
      </w:r>
      <w:r w:rsidR="0013158F">
        <w:rPr>
          <w:sz w:val="18"/>
          <w:szCs w:val="18"/>
        </w:rPr>
        <w:t>-84</w:t>
      </w:r>
      <w:r>
        <w:rPr>
          <w:sz w:val="18"/>
          <w:szCs w:val="18"/>
        </w:rPr>
        <w:t>.</w:t>
      </w:r>
    </w:p>
  </w:footnote>
  <w:footnote w:id="25">
    <w:p w:rsidR="00374154" w:rsidRDefault="00374154">
      <w:pPr>
        <w:pStyle w:val="FootnoteText"/>
      </w:pPr>
      <w:r>
        <w:rPr>
          <w:rStyle w:val="FootnoteReference"/>
        </w:rPr>
        <w:footnoteRef/>
      </w:r>
      <w:r>
        <w:t xml:space="preserve"> </w:t>
      </w:r>
      <w:r w:rsidR="0013158F" w:rsidRPr="00374154">
        <w:rPr>
          <w:sz w:val="18"/>
          <w:szCs w:val="18"/>
        </w:rPr>
        <w:t xml:space="preserve">Brink, </w:t>
      </w:r>
      <w:r w:rsidR="0013158F" w:rsidRPr="0013158F">
        <w:rPr>
          <w:i/>
          <w:iCs/>
          <w:sz w:val="18"/>
          <w:szCs w:val="18"/>
        </w:rPr>
        <w:t>Inconsistency of Belief,</w:t>
      </w:r>
      <w:r w:rsidR="0013158F" w:rsidRPr="00374154">
        <w:rPr>
          <w:sz w:val="18"/>
          <w:szCs w:val="18"/>
        </w:rPr>
        <w:t xml:space="preserve"> </w:t>
      </w:r>
      <w:r w:rsidR="0013158F">
        <w:rPr>
          <w:sz w:val="18"/>
          <w:szCs w:val="18"/>
        </w:rPr>
        <w:t xml:space="preserve">pp. </w:t>
      </w:r>
      <w:r w:rsidR="0013158F" w:rsidRPr="00374154">
        <w:rPr>
          <w:sz w:val="18"/>
          <w:szCs w:val="18"/>
        </w:rPr>
        <w:t>8</w:t>
      </w:r>
      <w:r w:rsidR="0013158F">
        <w:rPr>
          <w:sz w:val="18"/>
          <w:szCs w:val="18"/>
        </w:rPr>
        <w:t>4-85.</w:t>
      </w:r>
    </w:p>
  </w:footnote>
  <w:footnote w:id="26">
    <w:p w:rsidR="00374154" w:rsidRDefault="00374154">
      <w:pPr>
        <w:pStyle w:val="FootnoteText"/>
      </w:pPr>
      <w:r>
        <w:rPr>
          <w:rStyle w:val="FootnoteReference"/>
        </w:rPr>
        <w:footnoteRef/>
      </w:r>
      <w:r>
        <w:t xml:space="preserve"> </w:t>
      </w:r>
      <w:r w:rsidR="00583AE5" w:rsidRPr="00786CB4">
        <w:rPr>
          <w:rFonts w:cstheme="minorHAnsi"/>
          <w:sz w:val="18"/>
          <w:szCs w:val="18"/>
        </w:rPr>
        <w:t xml:space="preserve">Gillian Bennett, </w:t>
      </w:r>
      <w:r w:rsidR="00583AE5" w:rsidRPr="0013158F">
        <w:rPr>
          <w:rFonts w:cstheme="minorHAnsi"/>
          <w:i/>
          <w:iCs/>
          <w:sz w:val="18"/>
          <w:szCs w:val="18"/>
        </w:rPr>
        <w:t xml:space="preserve">'If I Knew You Were Coming, I'd Have Baked a Cake': The Folklore of Foreknowledge in a </w:t>
      </w:r>
      <w:proofErr w:type="spellStart"/>
      <w:r w:rsidR="00583AE5" w:rsidRPr="0013158F">
        <w:rPr>
          <w:rFonts w:cstheme="minorHAnsi"/>
          <w:i/>
          <w:iCs/>
          <w:sz w:val="18"/>
          <w:szCs w:val="18"/>
        </w:rPr>
        <w:t>Neighborhood</w:t>
      </w:r>
      <w:proofErr w:type="spellEnd"/>
      <w:r w:rsidR="00583AE5" w:rsidRPr="0013158F">
        <w:rPr>
          <w:rFonts w:cstheme="minorHAnsi"/>
          <w:i/>
          <w:iCs/>
          <w:sz w:val="18"/>
          <w:szCs w:val="18"/>
        </w:rPr>
        <w:t xml:space="preserve"> Group," in Out of the Ordinary: Folklore and the Supernatural,</w:t>
      </w:r>
      <w:r w:rsidR="00583AE5" w:rsidRPr="00786CB4">
        <w:rPr>
          <w:rFonts w:cstheme="minorHAnsi"/>
          <w:sz w:val="18"/>
          <w:szCs w:val="18"/>
        </w:rPr>
        <w:t xml:space="preserve"> (Utah: Utah State University Press, 1995), p</w:t>
      </w:r>
      <w:r w:rsidR="00583AE5">
        <w:rPr>
          <w:rFonts w:cstheme="minorHAnsi"/>
          <w:sz w:val="18"/>
          <w:szCs w:val="18"/>
        </w:rPr>
        <w:t>p</w:t>
      </w:r>
      <w:r w:rsidR="00583AE5" w:rsidRPr="00786CB4">
        <w:rPr>
          <w:rFonts w:cstheme="minorHAnsi"/>
          <w:sz w:val="18"/>
          <w:szCs w:val="18"/>
        </w:rPr>
        <w:t>. 12</w:t>
      </w:r>
      <w:r w:rsidR="00583AE5">
        <w:rPr>
          <w:rFonts w:cstheme="minorHAnsi"/>
          <w:sz w:val="18"/>
          <w:szCs w:val="18"/>
        </w:rPr>
        <w:t>2-140</w:t>
      </w:r>
      <w:r w:rsidR="00583AE5" w:rsidRPr="00786CB4">
        <w:rPr>
          <w:rFonts w:cstheme="minorHAnsi"/>
          <w:sz w:val="18"/>
          <w:szCs w:val="18"/>
        </w:rPr>
        <w:t>.</w:t>
      </w:r>
    </w:p>
  </w:footnote>
  <w:footnote w:id="27">
    <w:p w:rsidR="00374154" w:rsidRDefault="00374154">
      <w:pPr>
        <w:pStyle w:val="FootnoteText"/>
      </w:pPr>
      <w:r>
        <w:rPr>
          <w:rStyle w:val="FootnoteReference"/>
        </w:rPr>
        <w:footnoteRef/>
      </w:r>
      <w:r>
        <w:t xml:space="preserve"> </w:t>
      </w:r>
      <w:r w:rsidRPr="00374154">
        <w:rPr>
          <w:sz w:val="18"/>
          <w:szCs w:val="18"/>
        </w:rPr>
        <w:t xml:space="preserve">Bennett, </w:t>
      </w:r>
      <w:r w:rsidRPr="00583AE5">
        <w:rPr>
          <w:i/>
          <w:iCs/>
          <w:sz w:val="18"/>
          <w:szCs w:val="18"/>
        </w:rPr>
        <w:t>If I Knew You Were Coming</w:t>
      </w:r>
      <w:r w:rsidRPr="00374154">
        <w:rPr>
          <w:sz w:val="18"/>
          <w:szCs w:val="18"/>
        </w:rPr>
        <w:t xml:space="preserve">, </w:t>
      </w:r>
      <w:r>
        <w:rPr>
          <w:sz w:val="18"/>
          <w:szCs w:val="18"/>
        </w:rPr>
        <w:t xml:space="preserve">pp. </w:t>
      </w:r>
      <w:r w:rsidRPr="00374154">
        <w:rPr>
          <w:sz w:val="18"/>
          <w:szCs w:val="18"/>
        </w:rPr>
        <w:t>12</w:t>
      </w:r>
      <w:r>
        <w:rPr>
          <w:sz w:val="18"/>
          <w:szCs w:val="18"/>
        </w:rPr>
        <w:t>2-127</w:t>
      </w:r>
      <w:r w:rsidRPr="00374154">
        <w:rPr>
          <w:sz w:val="18"/>
          <w:szCs w:val="18"/>
        </w:rPr>
        <w:t>.</w:t>
      </w:r>
    </w:p>
  </w:footnote>
  <w:footnote w:id="28">
    <w:p w:rsidR="00374154" w:rsidRDefault="00374154">
      <w:pPr>
        <w:pStyle w:val="FootnoteText"/>
      </w:pPr>
      <w:r>
        <w:rPr>
          <w:rStyle w:val="FootnoteReference"/>
        </w:rPr>
        <w:footnoteRef/>
      </w:r>
      <w:r>
        <w:t xml:space="preserve"> </w:t>
      </w:r>
      <w:r w:rsidRPr="00374154">
        <w:rPr>
          <w:sz w:val="18"/>
          <w:szCs w:val="18"/>
        </w:rPr>
        <w:t xml:space="preserve">Bennett, </w:t>
      </w:r>
      <w:r w:rsidRPr="00583AE5">
        <w:rPr>
          <w:i/>
          <w:iCs/>
          <w:sz w:val="18"/>
          <w:szCs w:val="18"/>
        </w:rPr>
        <w:t>If I Knew You Were Coming,</w:t>
      </w:r>
      <w:r w:rsidRPr="00374154">
        <w:rPr>
          <w:sz w:val="18"/>
          <w:szCs w:val="18"/>
        </w:rPr>
        <w:t xml:space="preserve"> </w:t>
      </w:r>
      <w:r>
        <w:rPr>
          <w:sz w:val="18"/>
          <w:szCs w:val="18"/>
        </w:rPr>
        <w:t xml:space="preserve">pp. </w:t>
      </w:r>
      <w:r w:rsidRPr="00374154">
        <w:rPr>
          <w:sz w:val="18"/>
          <w:szCs w:val="18"/>
        </w:rPr>
        <w:t>12</w:t>
      </w:r>
      <w:r>
        <w:rPr>
          <w:sz w:val="18"/>
          <w:szCs w:val="18"/>
        </w:rPr>
        <w:t>3-127</w:t>
      </w:r>
      <w:r w:rsidRPr="00374154">
        <w:rPr>
          <w:sz w:val="18"/>
          <w:szCs w:val="18"/>
        </w:rPr>
        <w:t>.</w:t>
      </w:r>
    </w:p>
  </w:footnote>
  <w:footnote w:id="29">
    <w:p w:rsidR="00374154" w:rsidRDefault="00374154">
      <w:pPr>
        <w:pStyle w:val="FootnoteText"/>
      </w:pPr>
      <w:r>
        <w:rPr>
          <w:rStyle w:val="FootnoteReference"/>
        </w:rPr>
        <w:footnoteRef/>
      </w:r>
      <w:r>
        <w:t xml:space="preserve"> </w:t>
      </w:r>
      <w:r w:rsidR="00583AE5" w:rsidRPr="00374154">
        <w:rPr>
          <w:sz w:val="18"/>
          <w:szCs w:val="18"/>
        </w:rPr>
        <w:t xml:space="preserve">Bennett, </w:t>
      </w:r>
      <w:r w:rsidR="00583AE5" w:rsidRPr="00583AE5">
        <w:rPr>
          <w:i/>
          <w:iCs/>
          <w:sz w:val="18"/>
          <w:szCs w:val="18"/>
        </w:rPr>
        <w:t>If I Knew You Were Coming,</w:t>
      </w:r>
      <w:r w:rsidR="00583AE5" w:rsidRPr="00374154">
        <w:rPr>
          <w:sz w:val="18"/>
          <w:szCs w:val="18"/>
        </w:rPr>
        <w:t xml:space="preserve"> </w:t>
      </w:r>
      <w:r w:rsidR="00583AE5">
        <w:rPr>
          <w:sz w:val="18"/>
          <w:szCs w:val="18"/>
        </w:rPr>
        <w:t xml:space="preserve">pp. </w:t>
      </w:r>
      <w:r w:rsidR="00583AE5" w:rsidRPr="00374154">
        <w:rPr>
          <w:sz w:val="18"/>
          <w:szCs w:val="18"/>
        </w:rPr>
        <w:t>12</w:t>
      </w:r>
      <w:r w:rsidR="00583AE5">
        <w:rPr>
          <w:sz w:val="18"/>
          <w:szCs w:val="18"/>
        </w:rPr>
        <w:t>3-140</w:t>
      </w:r>
      <w:r w:rsidR="00583AE5" w:rsidRPr="00374154">
        <w:rPr>
          <w:sz w:val="18"/>
          <w:szCs w:val="18"/>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827"/>
    <w:rsid w:val="0013158F"/>
    <w:rsid w:val="001B50BC"/>
    <w:rsid w:val="002471F1"/>
    <w:rsid w:val="00374154"/>
    <w:rsid w:val="00563827"/>
    <w:rsid w:val="00583AE5"/>
    <w:rsid w:val="009D3B10"/>
    <w:rsid w:val="00A05D6C"/>
    <w:rsid w:val="00AC3B43"/>
    <w:rsid w:val="00C14955"/>
    <w:rsid w:val="00CA10F3"/>
    <w:rsid w:val="00CF1C60"/>
    <w:rsid w:val="00D52D6F"/>
    <w:rsid w:val="00F22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7D9B81B-D77D-E04B-BF1B-6FFF58883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74154"/>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415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3Char">
    <w:name w:val="Heading 3 Char"/>
    <w:basedOn w:val="DefaultParagraphFont"/>
    <w:link w:val="Heading3"/>
    <w:uiPriority w:val="9"/>
    <w:rsid w:val="00374154"/>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unhideWhenUsed/>
    <w:rsid w:val="00374154"/>
    <w:rPr>
      <w:color w:val="0563C1" w:themeColor="hyperlink"/>
      <w:u w:val="single"/>
    </w:rPr>
  </w:style>
  <w:style w:type="paragraph" w:styleId="FootnoteText">
    <w:name w:val="footnote text"/>
    <w:basedOn w:val="Normal"/>
    <w:link w:val="FootnoteTextChar"/>
    <w:uiPriority w:val="99"/>
    <w:semiHidden/>
    <w:unhideWhenUsed/>
    <w:rsid w:val="00374154"/>
    <w:rPr>
      <w:sz w:val="20"/>
      <w:szCs w:val="20"/>
    </w:rPr>
  </w:style>
  <w:style w:type="character" w:customStyle="1" w:styleId="FootnoteTextChar">
    <w:name w:val="Footnote Text Char"/>
    <w:basedOn w:val="DefaultParagraphFont"/>
    <w:link w:val="FootnoteText"/>
    <w:uiPriority w:val="99"/>
    <w:semiHidden/>
    <w:rsid w:val="00374154"/>
    <w:rPr>
      <w:sz w:val="20"/>
      <w:szCs w:val="20"/>
    </w:rPr>
  </w:style>
  <w:style w:type="character" w:styleId="FootnoteReference">
    <w:name w:val="footnote reference"/>
    <w:basedOn w:val="DefaultParagraphFont"/>
    <w:uiPriority w:val="99"/>
    <w:semiHidden/>
    <w:unhideWhenUsed/>
    <w:rsid w:val="00374154"/>
    <w:rPr>
      <w:vertAlign w:val="superscript"/>
    </w:rPr>
  </w:style>
  <w:style w:type="paragraph" w:styleId="Footer">
    <w:name w:val="footer"/>
    <w:basedOn w:val="Normal"/>
    <w:link w:val="FooterChar"/>
    <w:uiPriority w:val="99"/>
    <w:unhideWhenUsed/>
    <w:rsid w:val="00374154"/>
    <w:pPr>
      <w:tabs>
        <w:tab w:val="center" w:pos="4513"/>
        <w:tab w:val="right" w:pos="9026"/>
      </w:tabs>
    </w:pPr>
  </w:style>
  <w:style w:type="character" w:customStyle="1" w:styleId="FooterChar">
    <w:name w:val="Footer Char"/>
    <w:basedOn w:val="DefaultParagraphFont"/>
    <w:link w:val="Footer"/>
    <w:uiPriority w:val="99"/>
    <w:rsid w:val="00374154"/>
  </w:style>
  <w:style w:type="character" w:styleId="PageNumber">
    <w:name w:val="page number"/>
    <w:basedOn w:val="DefaultParagraphFont"/>
    <w:uiPriority w:val="99"/>
    <w:semiHidden/>
    <w:unhideWhenUsed/>
    <w:rsid w:val="00374154"/>
  </w:style>
  <w:style w:type="character" w:customStyle="1" w:styleId="bold">
    <w:name w:val="bold"/>
    <w:basedOn w:val="DefaultParagraphFont"/>
    <w:rsid w:val="00374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467141">
      <w:bodyDiv w:val="1"/>
      <w:marLeft w:val="0"/>
      <w:marRight w:val="0"/>
      <w:marTop w:val="0"/>
      <w:marBottom w:val="0"/>
      <w:divBdr>
        <w:top w:val="none" w:sz="0" w:space="0" w:color="auto"/>
        <w:left w:val="none" w:sz="0" w:space="0" w:color="auto"/>
        <w:bottom w:val="none" w:sz="0" w:space="0" w:color="auto"/>
        <w:right w:val="none" w:sz="0" w:space="0" w:color="auto"/>
      </w:divBdr>
      <w:divsChild>
        <w:div w:id="386998102">
          <w:marLeft w:val="0"/>
          <w:marRight w:val="0"/>
          <w:marTop w:val="0"/>
          <w:marBottom w:val="0"/>
          <w:divBdr>
            <w:top w:val="none" w:sz="0" w:space="0" w:color="auto"/>
            <w:left w:val="none" w:sz="0" w:space="0" w:color="auto"/>
            <w:bottom w:val="none" w:sz="0" w:space="0" w:color="auto"/>
            <w:right w:val="none" w:sz="0" w:space="0" w:color="auto"/>
          </w:divBdr>
        </w:div>
      </w:divsChild>
    </w:div>
    <w:div w:id="679939853">
      <w:bodyDiv w:val="1"/>
      <w:marLeft w:val="0"/>
      <w:marRight w:val="0"/>
      <w:marTop w:val="0"/>
      <w:marBottom w:val="0"/>
      <w:divBdr>
        <w:top w:val="none" w:sz="0" w:space="0" w:color="auto"/>
        <w:left w:val="none" w:sz="0" w:space="0" w:color="auto"/>
        <w:bottom w:val="none" w:sz="0" w:space="0" w:color="auto"/>
        <w:right w:val="none" w:sz="0" w:space="0" w:color="auto"/>
      </w:divBdr>
      <w:divsChild>
        <w:div w:id="337005007">
          <w:marLeft w:val="0"/>
          <w:marRight w:val="0"/>
          <w:marTop w:val="0"/>
          <w:marBottom w:val="0"/>
          <w:divBdr>
            <w:top w:val="none" w:sz="0" w:space="0" w:color="auto"/>
            <w:left w:val="none" w:sz="0" w:space="0" w:color="auto"/>
            <w:bottom w:val="none" w:sz="0" w:space="0" w:color="auto"/>
            <w:right w:val="none" w:sz="0" w:space="0" w:color="auto"/>
          </w:divBdr>
        </w:div>
      </w:divsChild>
    </w:div>
    <w:div w:id="822964337">
      <w:bodyDiv w:val="1"/>
      <w:marLeft w:val="0"/>
      <w:marRight w:val="0"/>
      <w:marTop w:val="0"/>
      <w:marBottom w:val="0"/>
      <w:divBdr>
        <w:top w:val="none" w:sz="0" w:space="0" w:color="auto"/>
        <w:left w:val="none" w:sz="0" w:space="0" w:color="auto"/>
        <w:bottom w:val="none" w:sz="0" w:space="0" w:color="auto"/>
        <w:right w:val="none" w:sz="0" w:space="0" w:color="auto"/>
      </w:divBdr>
      <w:divsChild>
        <w:div w:id="1013189611">
          <w:marLeft w:val="0"/>
          <w:marRight w:val="0"/>
          <w:marTop w:val="0"/>
          <w:marBottom w:val="0"/>
          <w:divBdr>
            <w:top w:val="none" w:sz="0" w:space="0" w:color="auto"/>
            <w:left w:val="none" w:sz="0" w:space="0" w:color="auto"/>
            <w:bottom w:val="none" w:sz="0" w:space="0" w:color="auto"/>
            <w:right w:val="none" w:sz="0" w:space="0" w:color="auto"/>
          </w:divBdr>
        </w:div>
      </w:divsChild>
    </w:div>
    <w:div w:id="1472357106">
      <w:bodyDiv w:val="1"/>
      <w:marLeft w:val="0"/>
      <w:marRight w:val="0"/>
      <w:marTop w:val="0"/>
      <w:marBottom w:val="0"/>
      <w:divBdr>
        <w:top w:val="none" w:sz="0" w:space="0" w:color="auto"/>
        <w:left w:val="none" w:sz="0" w:space="0" w:color="auto"/>
        <w:bottom w:val="none" w:sz="0" w:space="0" w:color="auto"/>
        <w:right w:val="none" w:sz="0" w:space="0" w:color="auto"/>
      </w:divBdr>
      <w:divsChild>
        <w:div w:id="1299648976">
          <w:marLeft w:val="0"/>
          <w:marRight w:val="0"/>
          <w:marTop w:val="0"/>
          <w:marBottom w:val="0"/>
          <w:divBdr>
            <w:top w:val="none" w:sz="0" w:space="0" w:color="auto"/>
            <w:left w:val="none" w:sz="0" w:space="0" w:color="auto"/>
            <w:bottom w:val="none" w:sz="0" w:space="0" w:color="auto"/>
            <w:right w:val="none" w:sz="0" w:space="0" w:color="auto"/>
          </w:divBdr>
        </w:div>
      </w:divsChild>
    </w:div>
    <w:div w:id="1518154799">
      <w:bodyDiv w:val="1"/>
      <w:marLeft w:val="0"/>
      <w:marRight w:val="0"/>
      <w:marTop w:val="0"/>
      <w:marBottom w:val="0"/>
      <w:divBdr>
        <w:top w:val="none" w:sz="0" w:space="0" w:color="auto"/>
        <w:left w:val="none" w:sz="0" w:space="0" w:color="auto"/>
        <w:bottom w:val="none" w:sz="0" w:space="0" w:color="auto"/>
        <w:right w:val="none" w:sz="0" w:space="0" w:color="auto"/>
      </w:divBdr>
      <w:divsChild>
        <w:div w:id="1521554132">
          <w:marLeft w:val="0"/>
          <w:marRight w:val="0"/>
          <w:marTop w:val="0"/>
          <w:marBottom w:val="0"/>
          <w:divBdr>
            <w:top w:val="none" w:sz="0" w:space="0" w:color="auto"/>
            <w:left w:val="none" w:sz="0" w:space="0" w:color="auto"/>
            <w:bottom w:val="none" w:sz="0" w:space="0" w:color="auto"/>
            <w:right w:val="none" w:sz="0" w:space="0" w:color="auto"/>
          </w:divBdr>
        </w:div>
      </w:divsChild>
    </w:div>
    <w:div w:id="1999575815">
      <w:bodyDiv w:val="1"/>
      <w:marLeft w:val="0"/>
      <w:marRight w:val="0"/>
      <w:marTop w:val="0"/>
      <w:marBottom w:val="0"/>
      <w:divBdr>
        <w:top w:val="none" w:sz="0" w:space="0" w:color="auto"/>
        <w:left w:val="none" w:sz="0" w:space="0" w:color="auto"/>
        <w:bottom w:val="none" w:sz="0" w:space="0" w:color="auto"/>
        <w:right w:val="none" w:sz="0" w:space="0" w:color="auto"/>
      </w:divBdr>
      <w:divsChild>
        <w:div w:id="2051606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01577@student.uwtsd.ac.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5539E-2128-E445-B223-AE76AC7AD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12</Pages>
  <Words>3111</Words>
  <Characters>17736</Characters>
  <Application>Microsoft Office Word</Application>
  <DocSecurity>0</DocSecurity>
  <Lines>147</Lines>
  <Paragraphs>41</Paragraphs>
  <ScaleCrop>false</ScaleCrop>
  <Company/>
  <LinksUpToDate>false</LinksUpToDate>
  <CharactersWithSpaces>20806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Neubert-Garton</dc:creator>
  <cp:keywords/>
  <dc:description/>
  <cp:lastModifiedBy>Jessica Neubert-Garton</cp:lastModifiedBy>
  <cp:revision>6</cp:revision>
  <cp:lastPrinted>2026-03-05T13:05:00Z</cp:lastPrinted>
  <dcterms:created xsi:type="dcterms:W3CDTF">2026-03-05T11:57:00Z</dcterms:created>
  <dcterms:modified xsi:type="dcterms:W3CDTF">2026-03-11T12:23:00Z</dcterms:modified>
</cp:coreProperties>
</file>