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F8F38" w14:textId="7F9272C1" w:rsidR="00767D59" w:rsidRPr="00767D59" w:rsidRDefault="001553A7">
      <w:pPr>
        <w:pStyle w:val="Heading1"/>
      </w:pPr>
      <w:r>
        <w:rPr>
          <w:noProof/>
        </w:rPr>
        <w:drawing>
          <wp:inline distT="0" distB="0" distL="0" distR="0" wp14:anchorId="30494349" wp14:editId="05A71406">
            <wp:extent cx="4343400" cy="1615440"/>
            <wp:effectExtent l="0" t="0" r="0" b="381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3400" cy="1615440"/>
                    </a:xfrm>
                    <a:prstGeom prst="rect">
                      <a:avLst/>
                    </a:prstGeom>
                    <a:noFill/>
                    <a:ln>
                      <a:noFill/>
                    </a:ln>
                  </pic:spPr>
                </pic:pic>
              </a:graphicData>
            </a:graphic>
          </wp:inline>
        </w:drawing>
      </w:r>
    </w:p>
    <w:p w14:paraId="77470A43" w14:textId="77777777" w:rsidR="00767D59" w:rsidRPr="00767D59" w:rsidRDefault="00767D59">
      <w:pPr>
        <w:pStyle w:val="Heading1"/>
      </w:pPr>
    </w:p>
    <w:p w14:paraId="61D3FFEA" w14:textId="77777777" w:rsidR="001553A7" w:rsidRDefault="001553A7" w:rsidP="001553A7">
      <w:pPr>
        <w:pStyle w:val="paragraph"/>
        <w:spacing w:before="0" w:beforeAutospacing="0" w:after="0" w:afterAutospacing="0"/>
        <w:textAlignment w:val="baseline"/>
        <w:rPr>
          <w:rStyle w:val="normaltextrun"/>
          <w:rFonts w:ascii="Arial" w:hAnsi="Arial" w:cs="Arial"/>
          <w:b/>
          <w:bCs/>
          <w:color w:val="000000"/>
          <w:sz w:val="28"/>
          <w:szCs w:val="28"/>
        </w:rPr>
      </w:pPr>
    </w:p>
    <w:p w14:paraId="1D0DABE5"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Module Name: Human Capital Management</w:t>
      </w:r>
    </w:p>
    <w:p w14:paraId="30883BA5"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 </w:t>
      </w:r>
    </w:p>
    <w:p w14:paraId="7564FF68"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Module Code: LCMB7023</w:t>
      </w:r>
    </w:p>
    <w:p w14:paraId="3EA72A26"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 </w:t>
      </w:r>
    </w:p>
    <w:p w14:paraId="2E08C6E7"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Title of Submission: Assessment Component 1: Individual report</w:t>
      </w:r>
    </w:p>
    <w:p w14:paraId="21C35041"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 </w:t>
      </w:r>
    </w:p>
    <w:p w14:paraId="5CEA9A43"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Lecturer’s Name: Eno Maycock</w:t>
      </w:r>
    </w:p>
    <w:p w14:paraId="2F2CF593"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 </w:t>
      </w:r>
    </w:p>
    <w:p w14:paraId="6AD5DE31"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lang w:val="pt-PT"/>
        </w:rPr>
      </w:pPr>
      <w:r w:rsidRPr="00606407">
        <w:rPr>
          <w:rStyle w:val="normaltextrun"/>
          <w:rFonts w:ascii="Arial" w:hAnsi="Arial" w:cs="Arial"/>
          <w:b/>
          <w:bCs/>
          <w:color w:val="000000"/>
          <w:sz w:val="28"/>
          <w:szCs w:val="28"/>
          <w:lang w:val="pt-PT"/>
        </w:rPr>
        <w:t>Student Name: Tania de Fatima Agostinho dos Santos</w:t>
      </w:r>
    </w:p>
    <w:p w14:paraId="29B9FD2E"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 </w:t>
      </w:r>
    </w:p>
    <w:p w14:paraId="5F329F75"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Student ID: 2313904</w:t>
      </w:r>
    </w:p>
    <w:p w14:paraId="341C2BDD"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 </w:t>
      </w:r>
    </w:p>
    <w:p w14:paraId="37CB8764"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Word Count: 2,500</w:t>
      </w:r>
    </w:p>
    <w:p w14:paraId="1615D375"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p>
    <w:p w14:paraId="5E5DF7F5"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Submission Date: 15</w:t>
      </w:r>
      <w:r w:rsidRPr="00606407">
        <w:rPr>
          <w:rStyle w:val="normaltextrun"/>
          <w:rFonts w:ascii="Arial" w:hAnsi="Arial" w:cs="Arial"/>
          <w:b/>
          <w:bCs/>
          <w:color w:val="000000"/>
          <w:sz w:val="22"/>
          <w:szCs w:val="22"/>
          <w:vertAlign w:val="superscript"/>
        </w:rPr>
        <w:t>th</w:t>
      </w:r>
      <w:r w:rsidRPr="00606407">
        <w:rPr>
          <w:rStyle w:val="normaltextrun"/>
          <w:rFonts w:ascii="Arial" w:hAnsi="Arial" w:cs="Arial"/>
          <w:b/>
          <w:bCs/>
          <w:color w:val="000000"/>
          <w:sz w:val="28"/>
          <w:szCs w:val="28"/>
        </w:rPr>
        <w:t xml:space="preserve"> October 2026</w:t>
      </w:r>
    </w:p>
    <w:p w14:paraId="55FE64A5" w14:textId="77777777" w:rsidR="001553A7" w:rsidRPr="00606407" w:rsidRDefault="001553A7" w:rsidP="001553A7">
      <w:pPr>
        <w:pStyle w:val="paragraph"/>
        <w:spacing w:before="0" w:beforeAutospacing="0" w:after="0" w:afterAutospacing="0"/>
        <w:jc w:val="both"/>
        <w:textAlignment w:val="baseline"/>
        <w:rPr>
          <w:rFonts w:ascii="Segoe UI" w:hAnsi="Segoe UI" w:cs="Segoe UI"/>
          <w:b/>
          <w:bCs/>
          <w:sz w:val="18"/>
          <w:szCs w:val="18"/>
        </w:rPr>
      </w:pPr>
      <w:r w:rsidRPr="00606407">
        <w:rPr>
          <w:rStyle w:val="normaltextrun"/>
          <w:rFonts w:ascii="Arial" w:hAnsi="Arial" w:cs="Arial"/>
          <w:b/>
          <w:bCs/>
          <w:color w:val="000000"/>
          <w:sz w:val="28"/>
          <w:szCs w:val="28"/>
        </w:rPr>
        <w:t> </w:t>
      </w:r>
    </w:p>
    <w:p w14:paraId="1B67E456" w14:textId="77777777" w:rsidR="001553A7" w:rsidRPr="00606407" w:rsidRDefault="001553A7" w:rsidP="001553A7">
      <w:pPr>
        <w:pStyle w:val="paragraph"/>
        <w:spacing w:before="0" w:beforeAutospacing="0" w:after="0" w:afterAutospacing="0"/>
        <w:textAlignment w:val="baseline"/>
        <w:rPr>
          <w:rFonts w:ascii="Segoe UI" w:hAnsi="Segoe UI" w:cs="Segoe UI"/>
          <w:b/>
          <w:bCs/>
          <w:sz w:val="18"/>
          <w:szCs w:val="18"/>
        </w:rPr>
      </w:pPr>
    </w:p>
    <w:p w14:paraId="7BAF7B46" w14:textId="77777777" w:rsidR="001553A7" w:rsidRDefault="001553A7" w:rsidP="001553A7">
      <w:pPr>
        <w:pStyle w:val="paragraph"/>
        <w:spacing w:before="0" w:beforeAutospacing="0" w:after="0" w:afterAutospacing="0"/>
        <w:textAlignment w:val="baseline"/>
        <w:rPr>
          <w:rFonts w:ascii="Segoe UI" w:hAnsi="Segoe UI" w:cs="Segoe UI"/>
          <w:sz w:val="18"/>
          <w:szCs w:val="18"/>
        </w:rPr>
      </w:pPr>
    </w:p>
    <w:p w14:paraId="161929F0" w14:textId="77777777" w:rsidR="001553A7" w:rsidRDefault="001553A7" w:rsidP="001553A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5E6A9941" w14:textId="77777777" w:rsidR="001553A7" w:rsidRDefault="001553A7" w:rsidP="001553A7">
      <w:pPr>
        <w:pStyle w:val="Heading1"/>
      </w:pPr>
    </w:p>
    <w:p w14:paraId="3A862DE0" w14:textId="77777777" w:rsidR="001553A7" w:rsidRDefault="001553A7" w:rsidP="001553A7"/>
    <w:p w14:paraId="5632A285" w14:textId="77777777" w:rsidR="00767D59" w:rsidRDefault="00767D59">
      <w:pPr>
        <w:pStyle w:val="Heading1"/>
      </w:pPr>
    </w:p>
    <w:p w14:paraId="5F8923BC" w14:textId="77777777" w:rsidR="001553A7" w:rsidRDefault="001553A7" w:rsidP="001553A7"/>
    <w:p w14:paraId="7323828D" w14:textId="77777777" w:rsidR="001553A7" w:rsidRDefault="001553A7" w:rsidP="001553A7"/>
    <w:p w14:paraId="200E1B55" w14:textId="77777777" w:rsidR="001553A7" w:rsidRDefault="001553A7" w:rsidP="001553A7"/>
    <w:p w14:paraId="791BFCA0" w14:textId="77777777" w:rsidR="001553A7" w:rsidRPr="001553A7" w:rsidRDefault="001553A7" w:rsidP="001553A7">
      <w:pPr>
        <w:jc w:val="right"/>
      </w:pPr>
    </w:p>
    <w:p w14:paraId="41B32272" w14:textId="77777777" w:rsidR="00767D59" w:rsidRPr="00767D59" w:rsidRDefault="00767D59">
      <w:pPr>
        <w:pStyle w:val="Heading1"/>
      </w:pPr>
    </w:p>
    <w:p w14:paraId="3B8B8FCE" w14:textId="4DC89AFA" w:rsidR="00F94256" w:rsidRPr="001553A7" w:rsidRDefault="008A766D" w:rsidP="00767D59">
      <w:pPr>
        <w:rPr>
          <w:rFonts w:ascii="Arial" w:hAnsi="Arial" w:cs="Arial"/>
          <w:b/>
          <w:bCs/>
          <w:sz w:val="28"/>
          <w:szCs w:val="28"/>
        </w:rPr>
      </w:pPr>
      <w:r>
        <w:rPr>
          <w:rFonts w:ascii="Arial" w:hAnsi="Arial" w:cs="Arial"/>
          <w:b/>
          <w:bCs/>
          <w:sz w:val="28"/>
          <w:szCs w:val="28"/>
        </w:rPr>
        <w:t xml:space="preserve">     </w:t>
      </w:r>
      <w:r w:rsidRPr="001553A7">
        <w:rPr>
          <w:rFonts w:ascii="Arial" w:hAnsi="Arial" w:cs="Arial"/>
          <w:b/>
          <w:bCs/>
          <w:sz w:val="28"/>
          <w:szCs w:val="28"/>
        </w:rPr>
        <w:t xml:space="preserve">List of </w:t>
      </w:r>
      <w:r>
        <w:rPr>
          <w:rFonts w:ascii="Arial" w:hAnsi="Arial" w:cs="Arial"/>
          <w:b/>
          <w:bCs/>
          <w:sz w:val="28"/>
          <w:szCs w:val="28"/>
        </w:rPr>
        <w:t>A</w:t>
      </w:r>
      <w:r w:rsidRPr="001553A7">
        <w:rPr>
          <w:rFonts w:ascii="Arial" w:hAnsi="Arial" w:cs="Arial"/>
          <w:b/>
          <w:bCs/>
          <w:sz w:val="28"/>
          <w:szCs w:val="28"/>
        </w:rPr>
        <w:t>bbreviations</w:t>
      </w:r>
    </w:p>
    <w:p w14:paraId="2AA3CE2F" w14:textId="77777777" w:rsidR="00767D59" w:rsidRPr="00767D59" w:rsidRDefault="00767D59" w:rsidP="00767D59">
      <w:pPr>
        <w:jc w:val="both"/>
        <w:rPr>
          <w:rFonts w:ascii="Arial" w:hAnsi="Arial" w:cs="Arial"/>
          <w:sz w:val="28"/>
          <w:szCs w:val="28"/>
        </w:rPr>
      </w:pPr>
      <w:r w:rsidRPr="00767D59">
        <w:rPr>
          <w:rFonts w:ascii="Arial" w:hAnsi="Arial" w:cs="Arial"/>
          <w:sz w:val="28"/>
          <w:szCs w:val="28"/>
        </w:rPr>
        <w:t xml:space="preserve">    </w:t>
      </w:r>
    </w:p>
    <w:p w14:paraId="6E984E88" w14:textId="4EC88239" w:rsidR="00767D59"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 xml:space="preserve">AI – Artificial </w:t>
      </w:r>
      <w:r w:rsidR="00767D59" w:rsidRPr="001553A7">
        <w:rPr>
          <w:rFonts w:ascii="Arial" w:hAnsi="Arial" w:cs="Arial"/>
          <w:sz w:val="24"/>
          <w:szCs w:val="24"/>
        </w:rPr>
        <w:t xml:space="preserve">Intelligence </w:t>
      </w:r>
      <w:r w:rsidRPr="001553A7">
        <w:rPr>
          <w:rFonts w:ascii="Arial" w:hAnsi="Arial" w:cs="Arial"/>
          <w:sz w:val="24"/>
          <w:szCs w:val="24"/>
        </w:rPr>
        <w:t xml:space="preserve"> </w:t>
      </w:r>
    </w:p>
    <w:p w14:paraId="555ED6B9" w14:textId="77777777" w:rsidR="00767D59" w:rsidRPr="001553A7" w:rsidRDefault="00767D59" w:rsidP="00767D59">
      <w:pPr>
        <w:jc w:val="both"/>
        <w:rPr>
          <w:rFonts w:ascii="Arial" w:hAnsi="Arial" w:cs="Arial"/>
          <w:sz w:val="24"/>
          <w:szCs w:val="24"/>
        </w:rPr>
      </w:pPr>
    </w:p>
    <w:p w14:paraId="64376905" w14:textId="3C6DA4FA" w:rsidR="00767D59"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 xml:space="preserve">CTO – Chief Technology </w:t>
      </w:r>
      <w:r w:rsidR="00767D59" w:rsidRPr="001553A7">
        <w:rPr>
          <w:rFonts w:ascii="Arial" w:hAnsi="Arial" w:cs="Arial"/>
          <w:sz w:val="24"/>
          <w:szCs w:val="24"/>
        </w:rPr>
        <w:t xml:space="preserve">Officer </w:t>
      </w:r>
      <w:r w:rsidRPr="001553A7">
        <w:rPr>
          <w:rFonts w:ascii="Arial" w:hAnsi="Arial" w:cs="Arial"/>
          <w:sz w:val="24"/>
          <w:szCs w:val="24"/>
        </w:rPr>
        <w:t xml:space="preserve"> </w:t>
      </w:r>
    </w:p>
    <w:p w14:paraId="3414EAE7" w14:textId="77777777" w:rsidR="00767D59" w:rsidRPr="001553A7" w:rsidRDefault="00767D59" w:rsidP="00767D59">
      <w:pPr>
        <w:jc w:val="both"/>
        <w:rPr>
          <w:rFonts w:ascii="Arial" w:hAnsi="Arial" w:cs="Arial"/>
          <w:sz w:val="24"/>
          <w:szCs w:val="24"/>
        </w:rPr>
      </w:pPr>
    </w:p>
    <w:p w14:paraId="65CCC26E" w14:textId="3260511F" w:rsidR="00767D59"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ERA – Experience–Reflection–</w:t>
      </w:r>
      <w:r w:rsidR="00767D59" w:rsidRPr="001553A7">
        <w:rPr>
          <w:rFonts w:ascii="Arial" w:hAnsi="Arial" w:cs="Arial"/>
          <w:sz w:val="24"/>
          <w:szCs w:val="24"/>
        </w:rPr>
        <w:t xml:space="preserve">Action </w:t>
      </w:r>
    </w:p>
    <w:p w14:paraId="63545F5E" w14:textId="77777777" w:rsidR="00767D59" w:rsidRPr="001553A7" w:rsidRDefault="00767D59" w:rsidP="00767D59">
      <w:pPr>
        <w:ind w:left="360"/>
        <w:jc w:val="both"/>
        <w:rPr>
          <w:rFonts w:ascii="Arial" w:hAnsi="Arial" w:cs="Arial"/>
          <w:sz w:val="24"/>
          <w:szCs w:val="24"/>
        </w:rPr>
      </w:pPr>
    </w:p>
    <w:p w14:paraId="296F3A9E" w14:textId="1D15AB2B" w:rsidR="00767D59"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 xml:space="preserve">HIWS – High-Involvement Work Systems  </w:t>
      </w:r>
    </w:p>
    <w:p w14:paraId="210A09B5" w14:textId="77777777" w:rsidR="00767D59" w:rsidRPr="001553A7" w:rsidRDefault="00767D59" w:rsidP="00767D59">
      <w:pPr>
        <w:ind w:left="360"/>
        <w:jc w:val="both"/>
        <w:rPr>
          <w:rFonts w:ascii="Arial" w:hAnsi="Arial" w:cs="Arial"/>
          <w:sz w:val="24"/>
          <w:szCs w:val="24"/>
        </w:rPr>
      </w:pPr>
    </w:p>
    <w:p w14:paraId="4B91F89D" w14:textId="36DB95AE" w:rsidR="00767D59"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 xml:space="preserve">HPWS – High-Performance Work Systems  </w:t>
      </w:r>
    </w:p>
    <w:p w14:paraId="73D8306B" w14:textId="77777777" w:rsidR="00767D59" w:rsidRPr="001553A7" w:rsidRDefault="00767D59" w:rsidP="004F3E49"/>
    <w:p w14:paraId="7F6FFA02" w14:textId="192321E6" w:rsidR="00767D59"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 xml:space="preserve">HR – Human Resources  </w:t>
      </w:r>
    </w:p>
    <w:p w14:paraId="24E03710" w14:textId="77777777" w:rsidR="00767D59" w:rsidRPr="004F3E49" w:rsidRDefault="00767D59" w:rsidP="00767D59">
      <w:pPr>
        <w:ind w:left="360"/>
        <w:jc w:val="both"/>
        <w:rPr>
          <w:rFonts w:ascii="Arial" w:hAnsi="Arial" w:cs="Arial"/>
          <w:sz w:val="24"/>
          <w:szCs w:val="24"/>
        </w:rPr>
      </w:pPr>
    </w:p>
    <w:p w14:paraId="298819AD" w14:textId="47C67E18" w:rsidR="00767D59" w:rsidRPr="004F3E49" w:rsidRDefault="000B1CA9" w:rsidP="00767D59">
      <w:pPr>
        <w:pStyle w:val="ListParagraph"/>
        <w:numPr>
          <w:ilvl w:val="0"/>
          <w:numId w:val="14"/>
        </w:numPr>
        <w:jc w:val="both"/>
        <w:rPr>
          <w:rFonts w:ascii="Arial" w:hAnsi="Arial" w:cs="Arial"/>
          <w:sz w:val="24"/>
          <w:szCs w:val="24"/>
        </w:rPr>
      </w:pPr>
      <w:r w:rsidRPr="004F3E49">
        <w:rPr>
          <w:rFonts w:ascii="Arial" w:hAnsi="Arial" w:cs="Arial"/>
          <w:sz w:val="24"/>
          <w:szCs w:val="24"/>
        </w:rPr>
        <w:t xml:space="preserve">NHSX – </w:t>
      </w:r>
      <w:proofErr w:type="spellStart"/>
      <w:r w:rsidRPr="004F3E49">
        <w:rPr>
          <w:rFonts w:ascii="Arial" w:hAnsi="Arial" w:cs="Arial"/>
          <w:sz w:val="24"/>
          <w:szCs w:val="24"/>
        </w:rPr>
        <w:t>NexSpace</w:t>
      </w:r>
      <w:proofErr w:type="spellEnd"/>
      <w:r w:rsidRPr="004F3E49">
        <w:rPr>
          <w:rFonts w:ascii="Arial" w:hAnsi="Arial" w:cs="Arial"/>
          <w:sz w:val="24"/>
          <w:szCs w:val="24"/>
        </w:rPr>
        <w:t xml:space="preserve"> Health Systems  </w:t>
      </w:r>
    </w:p>
    <w:p w14:paraId="11EB7290" w14:textId="77777777" w:rsidR="00423D59" w:rsidRPr="004F3E49" w:rsidRDefault="00423D59" w:rsidP="00423D59">
      <w:pPr>
        <w:pStyle w:val="ListParagraph"/>
        <w:rPr>
          <w:rFonts w:ascii="Arial" w:hAnsi="Arial" w:cs="Arial"/>
          <w:sz w:val="24"/>
          <w:szCs w:val="24"/>
        </w:rPr>
      </w:pPr>
    </w:p>
    <w:p w14:paraId="6A5675A0" w14:textId="70A9BDEF" w:rsidR="00423D59" w:rsidRPr="004F3E49" w:rsidRDefault="00423D59" w:rsidP="00767D59">
      <w:pPr>
        <w:pStyle w:val="ListParagraph"/>
        <w:numPr>
          <w:ilvl w:val="0"/>
          <w:numId w:val="14"/>
        </w:numPr>
        <w:jc w:val="both"/>
        <w:rPr>
          <w:rFonts w:ascii="Arial" w:hAnsi="Arial" w:cs="Arial"/>
          <w:sz w:val="24"/>
          <w:szCs w:val="24"/>
        </w:rPr>
      </w:pPr>
      <w:r w:rsidRPr="004F3E49">
        <w:rPr>
          <w:rFonts w:ascii="Arial" w:hAnsi="Arial" w:cs="Arial"/>
          <w:sz w:val="24"/>
          <w:szCs w:val="24"/>
        </w:rPr>
        <w:t xml:space="preserve">ICO </w:t>
      </w:r>
      <w:r w:rsidR="004F3E49" w:rsidRPr="004F3E49">
        <w:rPr>
          <w:rFonts w:ascii="Arial" w:hAnsi="Arial" w:cs="Arial"/>
          <w:sz w:val="24"/>
          <w:szCs w:val="24"/>
        </w:rPr>
        <w:t xml:space="preserve">- </w:t>
      </w:r>
      <w:r w:rsidR="004F3E49" w:rsidRPr="004F3E49">
        <w:rPr>
          <w:rStyle w:val="gstkn"/>
          <w:rFonts w:ascii="Arial" w:hAnsi="Arial" w:cs="Arial"/>
          <w:sz w:val="24"/>
          <w:szCs w:val="24"/>
          <w:shd w:val="clear" w:color="auto" w:fill="F3F9FE"/>
        </w:rPr>
        <w:t>Information Commissioner’s Office</w:t>
      </w:r>
    </w:p>
    <w:p w14:paraId="33D34257" w14:textId="77777777" w:rsidR="00767D59" w:rsidRPr="004F3E49" w:rsidRDefault="00767D59" w:rsidP="00767D59">
      <w:pPr>
        <w:ind w:left="360"/>
        <w:jc w:val="both"/>
        <w:rPr>
          <w:rFonts w:ascii="Arial" w:hAnsi="Arial" w:cs="Arial"/>
          <w:sz w:val="24"/>
          <w:szCs w:val="24"/>
        </w:rPr>
      </w:pPr>
    </w:p>
    <w:p w14:paraId="64FC76AF" w14:textId="48AD1A35" w:rsidR="00767D59" w:rsidRPr="004F3E49" w:rsidRDefault="000B1CA9" w:rsidP="00767D59">
      <w:pPr>
        <w:pStyle w:val="ListParagraph"/>
        <w:numPr>
          <w:ilvl w:val="0"/>
          <w:numId w:val="14"/>
        </w:numPr>
        <w:jc w:val="both"/>
        <w:rPr>
          <w:rFonts w:ascii="Arial" w:hAnsi="Arial" w:cs="Arial"/>
          <w:sz w:val="24"/>
          <w:szCs w:val="24"/>
        </w:rPr>
      </w:pPr>
      <w:r w:rsidRPr="004F3E49">
        <w:rPr>
          <w:rFonts w:ascii="Arial" w:hAnsi="Arial" w:cs="Arial"/>
          <w:sz w:val="24"/>
          <w:szCs w:val="24"/>
        </w:rPr>
        <w:t xml:space="preserve">RACI – Responsible, Accountable, Consulted, Informed  </w:t>
      </w:r>
    </w:p>
    <w:p w14:paraId="2EF33111" w14:textId="77777777" w:rsidR="00767D59" w:rsidRPr="004F3E49" w:rsidRDefault="00767D59" w:rsidP="00767D59">
      <w:pPr>
        <w:ind w:left="360"/>
        <w:jc w:val="both"/>
        <w:rPr>
          <w:rFonts w:ascii="Arial" w:hAnsi="Arial" w:cs="Arial"/>
          <w:sz w:val="24"/>
          <w:szCs w:val="24"/>
        </w:rPr>
      </w:pPr>
    </w:p>
    <w:p w14:paraId="71A7DD85" w14:textId="4AA4CA56" w:rsidR="00767D59"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 xml:space="preserve">STS – Sociotechnical Systems   </w:t>
      </w:r>
    </w:p>
    <w:p w14:paraId="18F2C723" w14:textId="77777777" w:rsidR="00767D59" w:rsidRPr="001553A7" w:rsidRDefault="00767D59" w:rsidP="00767D59">
      <w:pPr>
        <w:ind w:left="360"/>
        <w:jc w:val="both"/>
        <w:rPr>
          <w:rFonts w:ascii="Arial" w:hAnsi="Arial" w:cs="Arial"/>
          <w:sz w:val="24"/>
          <w:szCs w:val="24"/>
        </w:rPr>
      </w:pPr>
    </w:p>
    <w:p w14:paraId="74189B56" w14:textId="17043F08" w:rsidR="00F94256" w:rsidRPr="001553A7" w:rsidRDefault="000B1CA9" w:rsidP="00767D59">
      <w:pPr>
        <w:pStyle w:val="ListParagraph"/>
        <w:numPr>
          <w:ilvl w:val="0"/>
          <w:numId w:val="14"/>
        </w:numPr>
        <w:jc w:val="both"/>
        <w:rPr>
          <w:rFonts w:ascii="Arial" w:hAnsi="Arial" w:cs="Arial"/>
          <w:sz w:val="24"/>
          <w:szCs w:val="24"/>
        </w:rPr>
      </w:pPr>
      <w:r w:rsidRPr="001553A7">
        <w:rPr>
          <w:rFonts w:ascii="Arial" w:hAnsi="Arial" w:cs="Arial"/>
          <w:sz w:val="24"/>
          <w:szCs w:val="24"/>
        </w:rPr>
        <w:t>UAE – United Arab Emirates</w:t>
      </w:r>
    </w:p>
    <w:p w14:paraId="7804C2D3" w14:textId="77777777" w:rsidR="00767D59" w:rsidRPr="001553A7" w:rsidRDefault="00767D59" w:rsidP="00767D59">
      <w:pPr>
        <w:jc w:val="both"/>
        <w:rPr>
          <w:rFonts w:ascii="Arial" w:hAnsi="Arial" w:cs="Arial"/>
          <w:sz w:val="24"/>
          <w:szCs w:val="24"/>
        </w:rPr>
      </w:pPr>
    </w:p>
    <w:p w14:paraId="1665DFF7" w14:textId="77777777" w:rsidR="00767D59" w:rsidRPr="001553A7" w:rsidRDefault="00767D59" w:rsidP="00767D59">
      <w:pPr>
        <w:pStyle w:val="Heading1"/>
        <w:rPr>
          <w:rFonts w:ascii="Arial" w:hAnsi="Arial" w:cs="Arial"/>
          <w:sz w:val="24"/>
          <w:szCs w:val="24"/>
        </w:rPr>
      </w:pPr>
    </w:p>
    <w:p w14:paraId="0A23F279" w14:textId="77777777" w:rsidR="00767D59" w:rsidRPr="001553A7" w:rsidRDefault="00767D59">
      <w:pPr>
        <w:pStyle w:val="Heading1"/>
        <w:rPr>
          <w:rFonts w:ascii="Arial" w:hAnsi="Arial" w:cs="Arial"/>
          <w:sz w:val="24"/>
          <w:szCs w:val="24"/>
        </w:rPr>
      </w:pPr>
    </w:p>
    <w:p w14:paraId="1523C61C" w14:textId="77777777" w:rsidR="00767D59" w:rsidRPr="00767D59" w:rsidRDefault="00767D59" w:rsidP="00767D59">
      <w:pPr>
        <w:rPr>
          <w:rFonts w:ascii="Arial" w:hAnsi="Arial" w:cs="Arial"/>
          <w:sz w:val="24"/>
          <w:szCs w:val="24"/>
        </w:rPr>
      </w:pPr>
    </w:p>
    <w:p w14:paraId="6F0C39B6" w14:textId="34DD7E0A" w:rsidR="00F94256" w:rsidRPr="00767D59" w:rsidRDefault="000B1CA9">
      <w:pPr>
        <w:pStyle w:val="Heading1"/>
        <w:rPr>
          <w:rFonts w:ascii="Arial" w:hAnsi="Arial" w:cs="Arial"/>
          <w:color w:val="auto"/>
          <w:sz w:val="28"/>
        </w:rPr>
      </w:pPr>
      <w:r w:rsidRPr="00767D59">
        <w:rPr>
          <w:rFonts w:ascii="Arial" w:hAnsi="Arial" w:cs="Arial"/>
          <w:color w:val="auto"/>
          <w:sz w:val="28"/>
        </w:rPr>
        <w:t>Introduction</w:t>
      </w:r>
    </w:p>
    <w:p w14:paraId="430EE48B" w14:textId="77777777" w:rsidR="00F94256" w:rsidRPr="00767D59" w:rsidRDefault="000B1CA9">
      <w:pPr>
        <w:rPr>
          <w:rFonts w:ascii="Arial" w:hAnsi="Arial" w:cs="Arial"/>
          <w:sz w:val="24"/>
          <w:szCs w:val="24"/>
        </w:rPr>
      </w:pPr>
      <w:proofErr w:type="spellStart"/>
      <w:r w:rsidRPr="00767D59">
        <w:rPr>
          <w:rFonts w:ascii="Arial" w:hAnsi="Arial" w:cs="Arial"/>
          <w:sz w:val="24"/>
          <w:szCs w:val="24"/>
        </w:rPr>
        <w:t>NexSpace</w:t>
      </w:r>
      <w:proofErr w:type="spellEnd"/>
      <w:r w:rsidRPr="00767D59">
        <w:rPr>
          <w:rFonts w:ascii="Arial" w:hAnsi="Arial" w:cs="Arial"/>
          <w:sz w:val="24"/>
          <w:szCs w:val="24"/>
        </w:rPr>
        <w:t xml:space="preserve"> Health Systems (NHSX) is a hypothetical 600-person health-technology organisation operating in the UK, India, and the United Arab Emirates (UAE). Its AI-enabled clinical platforms require continuous innovation while ensuring patient safety. The scenario identifies slow hierarchical decision-making, limited experimentation, weak cross-border collaboration, high turnover among top performers, and managerial challenges in balancing wellbeing with performance. These issues are interrelated: excessive approval layers reduce autonomy, while fragmented coordination increases workload and undermines retention. This consultancy report evaluates work design (Task A), proposes an integrated talent strategy (Task B), and includes a reflection on responsible AI use and professional development (Task C). The recommendations are presented as proposals for a twelve-month pilot, rather than definitive statements about NHSX’s measured performance.</w:t>
      </w:r>
    </w:p>
    <w:p w14:paraId="2D6271DA" w14:textId="77777777" w:rsidR="00F94256" w:rsidRPr="00767D59" w:rsidRDefault="000B1CA9">
      <w:pPr>
        <w:pStyle w:val="Heading1"/>
        <w:rPr>
          <w:rFonts w:ascii="Arial" w:hAnsi="Arial" w:cs="Arial"/>
          <w:color w:val="auto"/>
          <w:sz w:val="28"/>
        </w:rPr>
      </w:pPr>
      <w:r w:rsidRPr="00767D59">
        <w:rPr>
          <w:rFonts w:ascii="Arial" w:hAnsi="Arial" w:cs="Arial"/>
          <w:color w:val="auto"/>
          <w:sz w:val="28"/>
        </w:rPr>
        <w:t>Task A: Innovative working practices</w:t>
      </w:r>
    </w:p>
    <w:p w14:paraId="34B68B5E" w14:textId="77777777" w:rsidR="00F94256" w:rsidRPr="00767D59" w:rsidRDefault="000B1CA9">
      <w:pPr>
        <w:pStyle w:val="Heading2"/>
        <w:rPr>
          <w:rFonts w:ascii="Arial" w:hAnsi="Arial" w:cs="Arial"/>
          <w:sz w:val="24"/>
          <w:szCs w:val="24"/>
        </w:rPr>
      </w:pPr>
      <w:r w:rsidRPr="00767D59">
        <w:rPr>
          <w:rFonts w:ascii="Arial" w:hAnsi="Arial" w:cs="Arial"/>
          <w:color w:val="auto"/>
          <w:sz w:val="24"/>
          <w:szCs w:val="24"/>
        </w:rPr>
        <w:t>A1. Critical comparison of work-design approaches</w:t>
      </w:r>
    </w:p>
    <w:p w14:paraId="5A0D6073" w14:textId="77777777" w:rsidR="00F94256" w:rsidRPr="00767D59" w:rsidRDefault="000B1CA9">
      <w:pPr>
        <w:rPr>
          <w:rFonts w:ascii="Arial" w:hAnsi="Arial" w:cs="Arial"/>
          <w:sz w:val="24"/>
          <w:szCs w:val="24"/>
        </w:rPr>
      </w:pPr>
      <w:r w:rsidRPr="00767D59">
        <w:rPr>
          <w:rFonts w:ascii="Arial" w:hAnsi="Arial" w:cs="Arial"/>
          <w:sz w:val="24"/>
          <w:szCs w:val="24"/>
        </w:rPr>
        <w:t xml:space="preserve">Traditional bureaucracy provides role clarity, auditability and standardised approvals. These strengths matter when software may influence clinical decisions, but applying identical controls to every routine technical change can delay delivery. Sociotechnical Systems (STS) theory instead treats organisational performance as the joint outcome of technology and social arrangements (Trist and Bamforth, 1951). </w:t>
      </w:r>
      <w:proofErr w:type="spellStart"/>
      <w:r w:rsidRPr="00767D59">
        <w:rPr>
          <w:rFonts w:ascii="Arial" w:hAnsi="Arial" w:cs="Arial"/>
          <w:sz w:val="24"/>
          <w:szCs w:val="24"/>
        </w:rPr>
        <w:t>Cherns</w:t>
      </w:r>
      <w:proofErr w:type="spellEnd"/>
      <w:r w:rsidRPr="00767D59">
        <w:rPr>
          <w:rFonts w:ascii="Arial" w:hAnsi="Arial" w:cs="Arial"/>
          <w:sz w:val="24"/>
          <w:szCs w:val="24"/>
        </w:rPr>
        <w:t xml:space="preserve"> (1976) argues for specifying essential constraints while allowing local discretion. For NHSX, this means clinical-safety gates remain central, whereas low-risk technical implementation can be delegated. The limitation is that autonomy can fragment standards unless teams share architecture rules and escalation routes.</w:t>
      </w:r>
    </w:p>
    <w:p w14:paraId="4E3A0AAC" w14:textId="77777777" w:rsidR="00F94256" w:rsidRPr="00767D59" w:rsidRDefault="000B1CA9">
      <w:pPr>
        <w:rPr>
          <w:rFonts w:ascii="Arial" w:hAnsi="Arial" w:cs="Arial"/>
          <w:sz w:val="24"/>
          <w:szCs w:val="24"/>
        </w:rPr>
      </w:pPr>
      <w:r w:rsidRPr="00767D59">
        <w:rPr>
          <w:rFonts w:ascii="Arial" w:hAnsi="Arial" w:cs="Arial"/>
          <w:sz w:val="24"/>
          <w:szCs w:val="24"/>
        </w:rPr>
        <w:t>High-Performance Work Systems (HPWS), as conceptualised within the ability–motivation–opportunity framework, integrate skills development, incentives, and employee participation (Boxall and Purcell, 2016). Unlike STS, HPWS explicitly delineates HR practices that facilitate effective autonomy. However, performance targets may unintentionally increase workload and diminish wellbeing, while participation without genuine authority risks becoming merely symbolic. High-Involvement Work Systems (HIWS) prioritise employee voice, shared information, and influence. NHSX should implement regular employee forums and local consultation, but a one-size-fits-all approach may not work across all three countries.</w:t>
      </w:r>
    </w:p>
    <w:p w14:paraId="23B83BBB" w14:textId="77777777" w:rsidR="00F94256" w:rsidRPr="00767D59" w:rsidRDefault="000B1CA9">
      <w:pPr>
        <w:rPr>
          <w:rFonts w:ascii="Arial" w:hAnsi="Arial" w:cs="Arial"/>
          <w:sz w:val="24"/>
          <w:szCs w:val="24"/>
        </w:rPr>
      </w:pPr>
      <w:r w:rsidRPr="00767D59">
        <w:rPr>
          <w:rFonts w:ascii="Arial" w:hAnsi="Arial" w:cs="Arial"/>
          <w:sz w:val="24"/>
          <w:szCs w:val="24"/>
        </w:rPr>
        <w:t>Agile work design facilitates short iterations, multidisciplinary delivery, and rapid feedback. Although it can reduce hand-offs more effectively than traditional hierarchies, increased speed does not inherently ensure safety or quality. STS serves as the overarching design framework, Agile provides team-level delivery routines, and HPWS/HIWS supply the necessary people practices. While hybrid and flexible work arrangements broaden access to talent, they do not automatically promote collaboration. Yang et al. (2022) found that remote work in a large technology company resulted in more siloed collaboration networks. These findings are informative but not directly generalisable to NHSX, underscoring the importance of gathering local baseline evidence.</w:t>
      </w:r>
    </w:p>
    <w:p w14:paraId="6DD84734" w14:textId="77777777" w:rsidR="00F94256" w:rsidRPr="00767D59" w:rsidRDefault="000B1CA9">
      <w:pPr>
        <w:pStyle w:val="Heading2"/>
        <w:rPr>
          <w:rFonts w:ascii="Arial" w:hAnsi="Arial" w:cs="Arial"/>
          <w:color w:val="auto"/>
          <w:sz w:val="24"/>
          <w:szCs w:val="24"/>
        </w:rPr>
      </w:pPr>
      <w:r w:rsidRPr="00767D59">
        <w:rPr>
          <w:rFonts w:ascii="Arial" w:hAnsi="Arial" w:cs="Arial"/>
          <w:color w:val="auto"/>
          <w:sz w:val="24"/>
          <w:szCs w:val="24"/>
        </w:rPr>
        <w:t>A2. Three problems and three recommended innovative working practices</w:t>
      </w:r>
    </w:p>
    <w:p w14:paraId="0251CDD9" w14:textId="77777777" w:rsidR="00767D59" w:rsidRPr="00767D59" w:rsidRDefault="00767D59">
      <w:pPr>
        <w:pStyle w:val="Caption"/>
        <w:rPr>
          <w:rFonts w:ascii="Arial" w:hAnsi="Arial" w:cs="Arial"/>
          <w:color w:val="auto"/>
          <w:sz w:val="24"/>
          <w:szCs w:val="24"/>
        </w:rPr>
      </w:pPr>
    </w:p>
    <w:p w14:paraId="1D3080AA" w14:textId="4569AE55" w:rsidR="00F94256" w:rsidRPr="00767D59" w:rsidRDefault="000B1CA9">
      <w:pPr>
        <w:pStyle w:val="Caption"/>
        <w:rPr>
          <w:rFonts w:ascii="Arial" w:hAnsi="Arial" w:cs="Arial"/>
          <w:color w:val="auto"/>
          <w:sz w:val="24"/>
          <w:szCs w:val="24"/>
        </w:rPr>
      </w:pPr>
      <w:r w:rsidRPr="00767D59">
        <w:rPr>
          <w:rFonts w:ascii="Arial" w:hAnsi="Arial" w:cs="Arial"/>
          <w:color w:val="auto"/>
          <w:sz w:val="24"/>
          <w:szCs w:val="24"/>
        </w:rPr>
        <w:t>Table 1. Explicit problem–recommendation–implementation alignment</w:t>
      </w:r>
    </w:p>
    <w:tbl>
      <w:tblPr>
        <w:tblStyle w:val="TableGrid"/>
        <w:tblW w:w="0" w:type="auto"/>
        <w:jc w:val="center"/>
        <w:tblLook w:val="04A0" w:firstRow="1" w:lastRow="0" w:firstColumn="1" w:lastColumn="0" w:noHBand="0" w:noVBand="1"/>
      </w:tblPr>
      <w:tblGrid>
        <w:gridCol w:w="3264"/>
        <w:gridCol w:w="3264"/>
        <w:gridCol w:w="3264"/>
      </w:tblGrid>
      <w:tr w:rsidR="00F94256" w:rsidRPr="00767D59" w14:paraId="2BFE34F7" w14:textId="77777777">
        <w:trPr>
          <w:tblHeader/>
          <w:jc w:val="center"/>
        </w:trPr>
        <w:tc>
          <w:tcPr>
            <w:tcW w:w="3264" w:type="dxa"/>
            <w:shd w:val="clear" w:color="auto" w:fill="EAF1F6"/>
          </w:tcPr>
          <w:p w14:paraId="68C4CD73" w14:textId="77777777" w:rsidR="00F94256" w:rsidRPr="00767D59" w:rsidRDefault="000B1CA9">
            <w:pPr>
              <w:spacing w:after="40"/>
              <w:rPr>
                <w:rFonts w:ascii="Arial" w:hAnsi="Arial" w:cs="Arial"/>
                <w:sz w:val="24"/>
                <w:szCs w:val="24"/>
              </w:rPr>
            </w:pPr>
            <w:r w:rsidRPr="00767D59">
              <w:rPr>
                <w:rFonts w:ascii="Arial" w:hAnsi="Arial" w:cs="Arial"/>
                <w:sz w:val="24"/>
                <w:szCs w:val="24"/>
              </w:rPr>
              <w:t>Existing problem and effect</w:t>
            </w:r>
          </w:p>
        </w:tc>
        <w:tc>
          <w:tcPr>
            <w:tcW w:w="3264" w:type="dxa"/>
            <w:shd w:val="clear" w:color="auto" w:fill="EAF1F6"/>
          </w:tcPr>
          <w:p w14:paraId="610AB0DB" w14:textId="77777777" w:rsidR="00F94256" w:rsidRPr="00767D59" w:rsidRDefault="000B1CA9">
            <w:pPr>
              <w:spacing w:after="40"/>
              <w:rPr>
                <w:rFonts w:ascii="Arial" w:hAnsi="Arial" w:cs="Arial"/>
                <w:sz w:val="24"/>
                <w:szCs w:val="24"/>
              </w:rPr>
            </w:pPr>
            <w:r w:rsidRPr="00767D59">
              <w:rPr>
                <w:rFonts w:ascii="Arial" w:hAnsi="Arial" w:cs="Arial"/>
                <w:sz w:val="24"/>
                <w:szCs w:val="24"/>
              </w:rPr>
              <w:t>Recommended working practice</w:t>
            </w:r>
          </w:p>
        </w:tc>
        <w:tc>
          <w:tcPr>
            <w:tcW w:w="3264" w:type="dxa"/>
            <w:shd w:val="clear" w:color="auto" w:fill="EAF1F6"/>
          </w:tcPr>
          <w:p w14:paraId="722FB9F7" w14:textId="77777777" w:rsidR="00F94256" w:rsidRPr="00767D59" w:rsidRDefault="000B1CA9">
            <w:pPr>
              <w:spacing w:after="40"/>
              <w:rPr>
                <w:rFonts w:ascii="Arial" w:hAnsi="Arial" w:cs="Arial"/>
                <w:sz w:val="24"/>
                <w:szCs w:val="24"/>
              </w:rPr>
            </w:pPr>
            <w:r w:rsidRPr="00767D59">
              <w:rPr>
                <w:rFonts w:ascii="Arial" w:hAnsi="Arial" w:cs="Arial"/>
                <w:sz w:val="24"/>
                <w:szCs w:val="24"/>
              </w:rPr>
              <w:t>Implementation, ownership and evaluation</w:t>
            </w:r>
          </w:p>
        </w:tc>
      </w:tr>
      <w:tr w:rsidR="00F94256" w:rsidRPr="00767D59" w14:paraId="7874FCAA" w14:textId="77777777">
        <w:trPr>
          <w:jc w:val="center"/>
        </w:trPr>
        <w:tc>
          <w:tcPr>
            <w:tcW w:w="3264" w:type="dxa"/>
            <w:vAlign w:val="center"/>
          </w:tcPr>
          <w:p w14:paraId="5242A180" w14:textId="77777777" w:rsidR="00F94256" w:rsidRPr="00767D59" w:rsidRDefault="000B1CA9">
            <w:pPr>
              <w:spacing w:after="40"/>
              <w:rPr>
                <w:rFonts w:ascii="Arial" w:hAnsi="Arial" w:cs="Arial"/>
                <w:sz w:val="24"/>
                <w:szCs w:val="24"/>
              </w:rPr>
            </w:pPr>
            <w:r w:rsidRPr="00767D59">
              <w:rPr>
                <w:rFonts w:ascii="Arial" w:hAnsi="Arial" w:cs="Arial"/>
                <w:sz w:val="24"/>
                <w:szCs w:val="24"/>
              </w:rPr>
              <w:t>Hierarchical approvals slow delivery and discourage initiative.</w:t>
            </w:r>
          </w:p>
        </w:tc>
        <w:tc>
          <w:tcPr>
            <w:tcW w:w="3264" w:type="dxa"/>
            <w:vAlign w:val="center"/>
          </w:tcPr>
          <w:p w14:paraId="613A8710" w14:textId="77777777" w:rsidR="00F94256" w:rsidRPr="00767D59" w:rsidRDefault="000B1CA9">
            <w:pPr>
              <w:spacing w:after="40"/>
              <w:rPr>
                <w:rFonts w:ascii="Arial" w:hAnsi="Arial" w:cs="Arial"/>
                <w:sz w:val="24"/>
                <w:szCs w:val="24"/>
              </w:rPr>
            </w:pPr>
            <w:r w:rsidRPr="00767D59">
              <w:rPr>
                <w:rFonts w:ascii="Arial" w:hAnsi="Arial" w:cs="Arial"/>
                <w:sz w:val="24"/>
                <w:szCs w:val="24"/>
              </w:rPr>
              <w:t>Flatter, cross-functional clinical–engineering pods replace sequential hand-offs while retaining clinical accountability.</w:t>
            </w:r>
          </w:p>
        </w:tc>
        <w:tc>
          <w:tcPr>
            <w:tcW w:w="3264" w:type="dxa"/>
            <w:vAlign w:val="center"/>
          </w:tcPr>
          <w:p w14:paraId="1D5C494E" w14:textId="77777777" w:rsidR="00F94256" w:rsidRPr="00767D59" w:rsidRDefault="000B1CA9">
            <w:pPr>
              <w:spacing w:after="40"/>
              <w:rPr>
                <w:rFonts w:ascii="Arial" w:hAnsi="Arial" w:cs="Arial"/>
                <w:sz w:val="24"/>
                <w:szCs w:val="24"/>
              </w:rPr>
            </w:pPr>
            <w:r w:rsidRPr="00767D59">
              <w:rPr>
                <w:rFonts w:ascii="Arial" w:hAnsi="Arial" w:cs="Arial"/>
                <w:sz w:val="24"/>
                <w:szCs w:val="24"/>
              </w:rPr>
              <w:t>CTO and clinical-safety lead publish a RACI charter. Pods decide routine design and testing; safety specialists approve regulated releases. Compare approval times and safety exceptions.</w:t>
            </w:r>
          </w:p>
        </w:tc>
      </w:tr>
      <w:tr w:rsidR="00F94256" w:rsidRPr="00767D59" w14:paraId="4E376B2F" w14:textId="77777777">
        <w:trPr>
          <w:jc w:val="center"/>
        </w:trPr>
        <w:tc>
          <w:tcPr>
            <w:tcW w:w="3264" w:type="dxa"/>
            <w:vAlign w:val="center"/>
          </w:tcPr>
          <w:p w14:paraId="3B0E02F7" w14:textId="77777777" w:rsidR="00F94256" w:rsidRPr="00767D59" w:rsidRDefault="000B1CA9">
            <w:pPr>
              <w:spacing w:after="40"/>
              <w:rPr>
                <w:rFonts w:ascii="Arial" w:hAnsi="Arial" w:cs="Arial"/>
                <w:sz w:val="24"/>
                <w:szCs w:val="24"/>
              </w:rPr>
            </w:pPr>
            <w:r w:rsidRPr="00767D59">
              <w:rPr>
                <w:rFonts w:ascii="Arial" w:hAnsi="Arial" w:cs="Arial"/>
                <w:sz w:val="24"/>
                <w:szCs w:val="24"/>
              </w:rPr>
              <w:t>Limited opportunity to test ideas and fear of failure.</w:t>
            </w:r>
          </w:p>
        </w:tc>
        <w:tc>
          <w:tcPr>
            <w:tcW w:w="3264" w:type="dxa"/>
            <w:vAlign w:val="center"/>
          </w:tcPr>
          <w:p w14:paraId="2394854A" w14:textId="77777777" w:rsidR="00F94256" w:rsidRPr="00767D59" w:rsidRDefault="000B1CA9">
            <w:pPr>
              <w:spacing w:after="40"/>
              <w:rPr>
                <w:rFonts w:ascii="Arial" w:hAnsi="Arial" w:cs="Arial"/>
                <w:sz w:val="24"/>
                <w:szCs w:val="24"/>
              </w:rPr>
            </w:pPr>
            <w:r w:rsidRPr="00767D59">
              <w:rPr>
                <w:rFonts w:ascii="Arial" w:hAnsi="Arial" w:cs="Arial"/>
                <w:sz w:val="24"/>
                <w:szCs w:val="24"/>
              </w:rPr>
              <w:t>Protected innovation sprints and a safe testing sandbox enable experimentation without risking live patient systems.</w:t>
            </w:r>
          </w:p>
        </w:tc>
        <w:tc>
          <w:tcPr>
            <w:tcW w:w="3264" w:type="dxa"/>
            <w:vAlign w:val="center"/>
          </w:tcPr>
          <w:p w14:paraId="13CA2D45" w14:textId="77777777" w:rsidR="00F94256" w:rsidRPr="00767D59" w:rsidRDefault="000B1CA9">
            <w:pPr>
              <w:spacing w:after="40"/>
              <w:rPr>
                <w:rFonts w:ascii="Arial" w:hAnsi="Arial" w:cs="Arial"/>
                <w:sz w:val="24"/>
                <w:szCs w:val="24"/>
              </w:rPr>
            </w:pPr>
            <w:r w:rsidRPr="00767D59">
              <w:rPr>
                <w:rFonts w:ascii="Arial" w:hAnsi="Arial" w:cs="Arial"/>
                <w:sz w:val="24"/>
                <w:szCs w:val="24"/>
              </w:rPr>
              <w:t>Head of Product reserves 10% of capacity by reducing other commitments. Use synthetic or authorised data; review prototypes, participation and workload quarterly.</w:t>
            </w:r>
          </w:p>
        </w:tc>
      </w:tr>
      <w:tr w:rsidR="00F94256" w:rsidRPr="00767D59" w14:paraId="278F4FD1" w14:textId="77777777">
        <w:trPr>
          <w:jc w:val="center"/>
        </w:trPr>
        <w:tc>
          <w:tcPr>
            <w:tcW w:w="3264" w:type="dxa"/>
            <w:vAlign w:val="center"/>
          </w:tcPr>
          <w:p w14:paraId="3F17CFFA" w14:textId="77777777" w:rsidR="00F94256" w:rsidRPr="00767D59" w:rsidRDefault="000B1CA9">
            <w:pPr>
              <w:spacing w:after="40"/>
              <w:rPr>
                <w:rFonts w:ascii="Arial" w:hAnsi="Arial" w:cs="Arial"/>
                <w:sz w:val="24"/>
                <w:szCs w:val="24"/>
              </w:rPr>
            </w:pPr>
            <w:r w:rsidRPr="00767D59">
              <w:rPr>
                <w:rFonts w:ascii="Arial" w:hAnsi="Arial" w:cs="Arial"/>
                <w:sz w:val="24"/>
                <w:szCs w:val="24"/>
              </w:rPr>
              <w:t>Disconnected hybrid schedules, delayed handovers and out-of-hours meetings.</w:t>
            </w:r>
          </w:p>
        </w:tc>
        <w:tc>
          <w:tcPr>
            <w:tcW w:w="3264" w:type="dxa"/>
            <w:vAlign w:val="center"/>
          </w:tcPr>
          <w:p w14:paraId="0F9284DD" w14:textId="579A55B4" w:rsidR="00F94256" w:rsidRPr="00767D59" w:rsidRDefault="000B1CA9">
            <w:pPr>
              <w:spacing w:after="40"/>
              <w:rPr>
                <w:rFonts w:ascii="Arial" w:hAnsi="Arial" w:cs="Arial"/>
                <w:sz w:val="24"/>
                <w:szCs w:val="24"/>
              </w:rPr>
            </w:pPr>
            <w:r w:rsidRPr="00767D59">
              <w:rPr>
                <w:rFonts w:ascii="Arial" w:hAnsi="Arial" w:cs="Arial"/>
                <w:sz w:val="24"/>
                <w:szCs w:val="24"/>
              </w:rPr>
              <w:t xml:space="preserve">Coordinated hybrid </w:t>
            </w:r>
            <w:r w:rsidR="00767D59" w:rsidRPr="00767D59">
              <w:rPr>
                <w:rFonts w:ascii="Arial" w:hAnsi="Arial" w:cs="Arial"/>
                <w:sz w:val="24"/>
                <w:szCs w:val="24"/>
              </w:rPr>
              <w:t>working</w:t>
            </w:r>
            <w:r w:rsidRPr="00767D59">
              <w:rPr>
                <w:rFonts w:ascii="Arial" w:hAnsi="Arial" w:cs="Arial"/>
                <w:sz w:val="24"/>
                <w:szCs w:val="24"/>
              </w:rPr>
              <w:t xml:space="preserve"> equitable overlap periods, purposeful office collaboration and asynchronous handovers.</w:t>
            </w:r>
          </w:p>
        </w:tc>
        <w:tc>
          <w:tcPr>
            <w:tcW w:w="3264" w:type="dxa"/>
            <w:vAlign w:val="center"/>
          </w:tcPr>
          <w:p w14:paraId="02FFBA00" w14:textId="77777777" w:rsidR="00F94256" w:rsidRPr="00767D59" w:rsidRDefault="000B1CA9">
            <w:pPr>
              <w:spacing w:after="40"/>
              <w:rPr>
                <w:rFonts w:ascii="Arial" w:hAnsi="Arial" w:cs="Arial"/>
                <w:sz w:val="24"/>
                <w:szCs w:val="24"/>
              </w:rPr>
            </w:pPr>
            <w:r w:rsidRPr="00767D59">
              <w:rPr>
                <w:rFonts w:ascii="Arial" w:hAnsi="Arial" w:cs="Arial"/>
                <w:sz w:val="24"/>
                <w:szCs w:val="24"/>
              </w:rPr>
              <w:t>Regional leads co-design rotating meeting windows, document decisions and track delays, out-of-hours meetings and employee feedback.</w:t>
            </w:r>
          </w:p>
        </w:tc>
      </w:tr>
    </w:tbl>
    <w:p w14:paraId="08598FC1" w14:textId="77777777" w:rsidR="00767D59" w:rsidRPr="00767D59" w:rsidRDefault="00767D59">
      <w:pPr>
        <w:rPr>
          <w:rFonts w:ascii="Arial" w:hAnsi="Arial" w:cs="Arial"/>
          <w:sz w:val="24"/>
          <w:szCs w:val="24"/>
        </w:rPr>
      </w:pPr>
    </w:p>
    <w:p w14:paraId="55985794" w14:textId="5752CCF5" w:rsidR="00F94256" w:rsidRPr="00767D59" w:rsidRDefault="000B1CA9">
      <w:pPr>
        <w:rPr>
          <w:rFonts w:ascii="Arial" w:hAnsi="Arial" w:cs="Arial"/>
          <w:sz w:val="24"/>
          <w:szCs w:val="24"/>
        </w:rPr>
      </w:pPr>
      <w:r w:rsidRPr="00767D59">
        <w:rPr>
          <w:rFonts w:ascii="Arial" w:hAnsi="Arial" w:cs="Arial"/>
          <w:sz w:val="24"/>
          <w:szCs w:val="24"/>
        </w:rPr>
        <w:t>These recommendations address distinct underlying issues: flatter pods resolve approval bottlenecks</w:t>
      </w:r>
      <w:r w:rsidR="019EA16C" w:rsidRPr="65E568A9">
        <w:rPr>
          <w:rFonts w:ascii="Arial" w:hAnsi="Arial" w:cs="Arial"/>
          <w:sz w:val="24"/>
          <w:szCs w:val="24"/>
        </w:rPr>
        <w:t>;</w:t>
      </w:r>
      <w:r w:rsidRPr="00767D59">
        <w:rPr>
          <w:rFonts w:ascii="Arial" w:hAnsi="Arial" w:cs="Arial"/>
          <w:sz w:val="24"/>
          <w:szCs w:val="24"/>
        </w:rPr>
        <w:t xml:space="preserve"> protected experimentation encourages innovation and coordinated hybrid routines reduce fragmented collaboration. Coordinated hybrid working does not require all employees to work simultaneously. Teams should establish a brief, equitable overlap for decisions that require live discussion, followed by written handovers for focused work across time zones (Yang et al., 2022). To facilitate learning, each pod should document the problem, decision owner, anticipated benefit, and clinical escalation procedure. For instance, routine user-interface changes may be approved locally, whereas modifications affecting diagnostic outputs require independent review. This distinction ensures the operational feasibility of the proposed flatter structure.</w:t>
      </w:r>
    </w:p>
    <w:p w14:paraId="4E5EE754" w14:textId="77777777" w:rsidR="00767D59" w:rsidRPr="00767D59" w:rsidRDefault="00767D59">
      <w:pPr>
        <w:pStyle w:val="Heading2"/>
        <w:rPr>
          <w:rFonts w:ascii="Arial" w:hAnsi="Arial" w:cs="Arial"/>
          <w:color w:val="auto"/>
          <w:sz w:val="24"/>
          <w:szCs w:val="24"/>
        </w:rPr>
      </w:pPr>
    </w:p>
    <w:p w14:paraId="518E7609" w14:textId="582D90FF" w:rsidR="00767D59" w:rsidRPr="001553A7" w:rsidRDefault="000B1CA9" w:rsidP="001553A7">
      <w:pPr>
        <w:pStyle w:val="Heading2"/>
        <w:rPr>
          <w:rFonts w:ascii="Arial" w:hAnsi="Arial" w:cs="Arial"/>
          <w:color w:val="auto"/>
          <w:sz w:val="24"/>
          <w:szCs w:val="24"/>
        </w:rPr>
      </w:pPr>
      <w:r w:rsidRPr="00767D59">
        <w:rPr>
          <w:rFonts w:ascii="Arial" w:hAnsi="Arial" w:cs="Arial"/>
          <w:color w:val="auto"/>
          <w:sz w:val="24"/>
          <w:szCs w:val="24"/>
        </w:rPr>
        <w:t>A3. Implementation risks and evaluation</w:t>
      </w:r>
    </w:p>
    <w:p w14:paraId="1DB4DCC2" w14:textId="77777777" w:rsidR="00E919E4" w:rsidRDefault="000B1CA9">
      <w:pPr>
        <w:rPr>
          <w:rFonts w:ascii="Arial" w:hAnsi="Arial" w:cs="Arial"/>
          <w:sz w:val="24"/>
          <w:szCs w:val="24"/>
        </w:rPr>
      </w:pPr>
      <w:r w:rsidRPr="00767D59">
        <w:rPr>
          <w:rFonts w:ascii="Arial" w:hAnsi="Arial" w:cs="Arial"/>
          <w:sz w:val="24"/>
          <w:szCs w:val="24"/>
        </w:rPr>
        <w:t>A flatter organisational structure may result in inconsistent decisions unless teams have a clear understanding of their responsibilities and escalation protocols. NHSX should therefore combine delegated routine decision-making with established architecture standards and independent clinical-safety review (</w:t>
      </w:r>
      <w:proofErr w:type="spellStart"/>
      <w:r w:rsidRPr="00767D59">
        <w:rPr>
          <w:rFonts w:ascii="Arial" w:hAnsi="Arial" w:cs="Arial"/>
          <w:sz w:val="24"/>
          <w:szCs w:val="24"/>
        </w:rPr>
        <w:t>Cherns</w:t>
      </w:r>
      <w:proofErr w:type="spellEnd"/>
      <w:r w:rsidRPr="00767D59">
        <w:rPr>
          <w:rFonts w:ascii="Arial" w:hAnsi="Arial" w:cs="Arial"/>
          <w:sz w:val="24"/>
          <w:szCs w:val="24"/>
        </w:rPr>
        <w:t xml:space="preserve">, 1976). Experimentation may increase </w:t>
      </w:r>
      <w:r w:rsidR="00767D59" w:rsidRPr="00767D59">
        <w:rPr>
          <w:rFonts w:ascii="Arial" w:hAnsi="Arial" w:cs="Arial"/>
          <w:sz w:val="24"/>
          <w:szCs w:val="24"/>
        </w:rPr>
        <w:t>workload</w:t>
      </w:r>
      <w:r w:rsidRPr="00767D59">
        <w:rPr>
          <w:rFonts w:ascii="Arial" w:hAnsi="Arial" w:cs="Arial"/>
          <w:sz w:val="24"/>
          <w:szCs w:val="24"/>
        </w:rPr>
        <w:t xml:space="preserve"> unless the 10% innovation allowance replaces, rather than adds to, existing tasks. Coordinated hybrid schedules could disadvantage certain regions; managers should rotate inconvenient meeting times, consult employees about local working hours, and avoid mandating office attendance unless it demonstrably enhances collaboration. </w:t>
      </w:r>
    </w:p>
    <w:p w14:paraId="3EA532A8" w14:textId="081EB93C" w:rsidR="00F94256" w:rsidRPr="00767D59" w:rsidRDefault="000B1CA9">
      <w:pPr>
        <w:rPr>
          <w:rFonts w:ascii="Arial" w:hAnsi="Arial" w:cs="Arial"/>
          <w:sz w:val="24"/>
          <w:szCs w:val="24"/>
        </w:rPr>
      </w:pPr>
      <w:r w:rsidRPr="00767D59">
        <w:rPr>
          <w:rFonts w:ascii="Arial" w:hAnsi="Arial" w:cs="Arial"/>
          <w:sz w:val="24"/>
          <w:szCs w:val="24"/>
        </w:rPr>
        <w:t>Pilot outcomes should be assessed using metrics for speed, learning, safety, and wellbeing, rather than focusing solely on meeting attendance. Evaluation should use a before-and-after dashboard and brief staff interviews, disaggregated by hub. Reducing approval time is not a success if clinical incidents rise or if Indian colleagues experience more evening meetings. Management should pause or adjust practices if safety, fairness, or wellbeing indicators decline. Evaluation must distinguish between efficiency and clinical assurance. The Chief Technology Officer should monitor median decision turnaround, deployment lead time, and reopened defects monthly, while the clinical safety lead independently reviews incidents and escalation records. Accelerated releases are not advantageous if they increase rework or patient risk. Therefore, pilot results should be compared to the initial three-month baseline, rather than assuming specific percentage improvements.</w:t>
      </w:r>
    </w:p>
    <w:p w14:paraId="62951E49" w14:textId="77777777" w:rsidR="00F94256" w:rsidRPr="00767D59" w:rsidRDefault="000B1CA9">
      <w:pPr>
        <w:pStyle w:val="Heading1"/>
        <w:rPr>
          <w:rFonts w:ascii="Arial" w:hAnsi="Arial" w:cs="Arial"/>
          <w:color w:val="auto"/>
          <w:sz w:val="28"/>
        </w:rPr>
      </w:pPr>
      <w:r w:rsidRPr="00767D59">
        <w:rPr>
          <w:rFonts w:ascii="Arial" w:hAnsi="Arial" w:cs="Arial"/>
          <w:color w:val="auto"/>
          <w:sz w:val="28"/>
        </w:rPr>
        <w:t>Task B: Creating an environment where talent grows</w:t>
      </w:r>
    </w:p>
    <w:p w14:paraId="0DB7CCC3" w14:textId="77777777" w:rsidR="00F94256" w:rsidRPr="00767D59" w:rsidRDefault="000B1CA9">
      <w:pPr>
        <w:pStyle w:val="Heading2"/>
        <w:rPr>
          <w:rFonts w:ascii="Arial" w:hAnsi="Arial" w:cs="Arial"/>
          <w:color w:val="auto"/>
          <w:sz w:val="24"/>
          <w:szCs w:val="24"/>
        </w:rPr>
      </w:pPr>
      <w:r w:rsidRPr="00767D59">
        <w:rPr>
          <w:rFonts w:ascii="Arial" w:hAnsi="Arial" w:cs="Arial"/>
          <w:color w:val="auto"/>
          <w:sz w:val="24"/>
          <w:szCs w:val="24"/>
        </w:rPr>
        <w:t>B1. Critical evaluation of learning, progression and wellbeing</w:t>
      </w:r>
    </w:p>
    <w:p w14:paraId="5F36FA14" w14:textId="6AACBE2B" w:rsidR="00F94256" w:rsidRPr="00767D59" w:rsidRDefault="000B1CA9">
      <w:pPr>
        <w:rPr>
          <w:rFonts w:ascii="Arial" w:hAnsi="Arial" w:cs="Arial"/>
          <w:sz w:val="24"/>
          <w:szCs w:val="24"/>
        </w:rPr>
      </w:pPr>
      <w:r w:rsidRPr="00767D59">
        <w:rPr>
          <w:rFonts w:ascii="Arial" w:hAnsi="Arial" w:cs="Arial"/>
          <w:sz w:val="24"/>
          <w:szCs w:val="24"/>
        </w:rPr>
        <w:t xml:space="preserve">A learning organisation cultivates the capacity to question assumptions and </w:t>
      </w:r>
      <w:r w:rsidR="72F0F832" w:rsidRPr="68B63286">
        <w:rPr>
          <w:rFonts w:ascii="Arial" w:hAnsi="Arial" w:cs="Arial"/>
          <w:sz w:val="24"/>
          <w:szCs w:val="24"/>
        </w:rPr>
        <w:t>shares</w:t>
      </w:r>
      <w:r w:rsidRPr="00767D59">
        <w:rPr>
          <w:rFonts w:ascii="Arial" w:hAnsi="Arial" w:cs="Arial"/>
          <w:sz w:val="24"/>
          <w:szCs w:val="24"/>
        </w:rPr>
        <w:t xml:space="preserve"> knowledge, rather than merely offering courses. Senge (2006) highlights the importance of systems thinking and team learning, while Garvin, Edmondson, and Gino (2008) emphasise supportive conditions, learning processes, and reinforcing leadership. Edmondson (1999) demonstrates the significance of psychological safety: employees must be able to report errors and challenge decisions. In healthcare technology, however, a “blameless” culture must still differentiate between honest error and deliberate disregard for safety procedures. Psychological safety aligns with accountability, rather than replacing it (Dekker, 2016).</w:t>
      </w:r>
    </w:p>
    <w:p w14:paraId="5B24B5AB" w14:textId="77777777" w:rsidR="00F94256" w:rsidRPr="00767D59" w:rsidRDefault="000B1CA9">
      <w:pPr>
        <w:rPr>
          <w:rFonts w:ascii="Arial" w:hAnsi="Arial" w:cs="Arial"/>
          <w:sz w:val="24"/>
          <w:szCs w:val="24"/>
        </w:rPr>
      </w:pPr>
      <w:r w:rsidRPr="00767D59">
        <w:rPr>
          <w:rFonts w:ascii="Arial" w:hAnsi="Arial" w:cs="Arial"/>
          <w:sz w:val="24"/>
          <w:szCs w:val="24"/>
        </w:rPr>
        <w:t xml:space="preserve">Self-Determination Theory associates sustained motivation with autonomy, competence, and relatedness (Deci and Ryan, 2000). Hackman and Oldham (1976) similarly emphasise meaningful work, feedback, and discretion. NHSX should therefore link technical training to visible career pathways and opportunities for decision-making influence. Collings and </w:t>
      </w:r>
      <w:proofErr w:type="spellStart"/>
      <w:r w:rsidRPr="00767D59">
        <w:rPr>
          <w:rFonts w:ascii="Arial" w:hAnsi="Arial" w:cs="Arial"/>
          <w:sz w:val="24"/>
          <w:szCs w:val="24"/>
        </w:rPr>
        <w:t>Mellahi</w:t>
      </w:r>
      <w:proofErr w:type="spellEnd"/>
      <w:r w:rsidRPr="00767D59">
        <w:rPr>
          <w:rFonts w:ascii="Arial" w:hAnsi="Arial" w:cs="Arial"/>
          <w:sz w:val="24"/>
          <w:szCs w:val="24"/>
        </w:rPr>
        <w:t xml:space="preserve"> (2009) advocate investment in strategically pivotal roles, but concentrating resources on a select group may undermine perceptions of fairness. A dual-track career system should recognise specialist excellence while ensuring transparent access to development for all employees. Job crafting can enhance ownership, but it cannot compensate for inadequate staffing (</w:t>
      </w:r>
      <w:proofErr w:type="spellStart"/>
      <w:r w:rsidRPr="00767D59">
        <w:rPr>
          <w:rFonts w:ascii="Arial" w:hAnsi="Arial" w:cs="Arial"/>
          <w:sz w:val="24"/>
          <w:szCs w:val="24"/>
        </w:rPr>
        <w:t>Wrzesniewski</w:t>
      </w:r>
      <w:proofErr w:type="spellEnd"/>
      <w:r w:rsidRPr="00767D59">
        <w:rPr>
          <w:rFonts w:ascii="Arial" w:hAnsi="Arial" w:cs="Arial"/>
          <w:sz w:val="24"/>
          <w:szCs w:val="24"/>
        </w:rPr>
        <w:t xml:space="preserve"> and Dutton, 2001).</w:t>
      </w:r>
    </w:p>
    <w:p w14:paraId="2A5A4A3F" w14:textId="15FD48EE" w:rsidR="00F94256" w:rsidRPr="00767D59" w:rsidRDefault="000B1CA9">
      <w:pPr>
        <w:rPr>
          <w:rFonts w:ascii="Arial" w:hAnsi="Arial" w:cs="Arial"/>
          <w:sz w:val="24"/>
          <w:szCs w:val="24"/>
        </w:rPr>
      </w:pPr>
      <w:r w:rsidRPr="00767D59">
        <w:rPr>
          <w:rFonts w:ascii="Arial" w:hAnsi="Arial" w:cs="Arial"/>
          <w:sz w:val="24"/>
          <w:szCs w:val="24"/>
        </w:rPr>
        <w:t xml:space="preserve">The Job Demands–Resources framework indicates that demanding work can result in staff exhaustion if adequate support and control are absent (Bakker and Demerouti, 2017). Guest (2017) critiques HR strategies that treat wellbeing solely </w:t>
      </w:r>
      <w:r w:rsidR="00767D59" w:rsidRPr="00767D59">
        <w:rPr>
          <w:rFonts w:ascii="Arial" w:hAnsi="Arial" w:cs="Arial"/>
          <w:sz w:val="24"/>
          <w:szCs w:val="24"/>
        </w:rPr>
        <w:t>to</w:t>
      </w:r>
      <w:r w:rsidRPr="00767D59">
        <w:rPr>
          <w:rFonts w:ascii="Arial" w:hAnsi="Arial" w:cs="Arial"/>
          <w:sz w:val="24"/>
          <w:szCs w:val="24"/>
        </w:rPr>
        <w:t xml:space="preserve"> increase productivity. NHSX should assess workload and rest time as primary outcomes. (Bakker and Demerouti, 2017) Learning, retention, and wellbeing must be managed collectively; assigning additional training or cross-border projects to already heavy workloads is counterproductive. It is essential to distinguish between development opportunities that enhance employee resources and mandatory activities that increase demands. NHSX should provide protected learning time during paid hours, allow employees to select relevant development pathways, and evaluate whether new opportunities improve both skills and perceived control over work.</w:t>
      </w:r>
    </w:p>
    <w:p w14:paraId="64DF26A8" w14:textId="77777777" w:rsidR="00F94256" w:rsidRPr="00767D59" w:rsidRDefault="000B1CA9">
      <w:pPr>
        <w:pStyle w:val="Heading2"/>
        <w:rPr>
          <w:rFonts w:ascii="Arial" w:hAnsi="Arial" w:cs="Arial"/>
          <w:color w:val="auto"/>
          <w:sz w:val="24"/>
          <w:szCs w:val="24"/>
        </w:rPr>
      </w:pPr>
      <w:r w:rsidRPr="00767D59">
        <w:rPr>
          <w:rFonts w:ascii="Arial" w:hAnsi="Arial" w:cs="Arial"/>
          <w:color w:val="auto"/>
          <w:sz w:val="24"/>
          <w:szCs w:val="24"/>
        </w:rPr>
        <w:t>B2. Integrated talent and management strategy</w:t>
      </w:r>
    </w:p>
    <w:p w14:paraId="2539C6FB" w14:textId="77777777" w:rsidR="00767D59" w:rsidRDefault="00767D59">
      <w:pPr>
        <w:pStyle w:val="Caption"/>
        <w:rPr>
          <w:rFonts w:ascii="Arial" w:hAnsi="Arial" w:cs="Arial"/>
          <w:color w:val="auto"/>
          <w:sz w:val="24"/>
          <w:szCs w:val="24"/>
        </w:rPr>
      </w:pPr>
    </w:p>
    <w:p w14:paraId="5FDAD7B7" w14:textId="30E390E1" w:rsidR="00F94256" w:rsidRPr="00767D59" w:rsidRDefault="000B1CA9">
      <w:pPr>
        <w:pStyle w:val="Caption"/>
        <w:rPr>
          <w:rFonts w:ascii="Arial" w:hAnsi="Arial" w:cs="Arial"/>
          <w:color w:val="auto"/>
          <w:sz w:val="24"/>
          <w:szCs w:val="24"/>
        </w:rPr>
      </w:pPr>
      <w:r w:rsidRPr="00767D59">
        <w:rPr>
          <w:rFonts w:ascii="Arial" w:hAnsi="Arial" w:cs="Arial"/>
          <w:color w:val="auto"/>
          <w:sz w:val="24"/>
          <w:szCs w:val="24"/>
        </w:rPr>
        <w:t>Table 2. Talent-development actions and proposed evidence</w:t>
      </w:r>
    </w:p>
    <w:tbl>
      <w:tblPr>
        <w:tblStyle w:val="TableGrid"/>
        <w:tblW w:w="0" w:type="auto"/>
        <w:jc w:val="center"/>
        <w:tblLook w:val="04A0" w:firstRow="1" w:lastRow="0" w:firstColumn="1" w:lastColumn="0" w:noHBand="0" w:noVBand="1"/>
      </w:tblPr>
      <w:tblGrid>
        <w:gridCol w:w="3264"/>
        <w:gridCol w:w="3264"/>
        <w:gridCol w:w="3264"/>
      </w:tblGrid>
      <w:tr w:rsidR="00F94256" w:rsidRPr="00767D59" w14:paraId="5CE1C9C7" w14:textId="77777777">
        <w:trPr>
          <w:tblHeader/>
          <w:jc w:val="center"/>
        </w:trPr>
        <w:tc>
          <w:tcPr>
            <w:tcW w:w="3264" w:type="dxa"/>
            <w:shd w:val="clear" w:color="auto" w:fill="EAF1F6"/>
          </w:tcPr>
          <w:p w14:paraId="69927BC4" w14:textId="77777777" w:rsidR="00F94256" w:rsidRPr="00767D59" w:rsidRDefault="000B1CA9">
            <w:pPr>
              <w:spacing w:after="40"/>
              <w:rPr>
                <w:rFonts w:ascii="Arial" w:hAnsi="Arial" w:cs="Arial"/>
                <w:sz w:val="24"/>
                <w:szCs w:val="24"/>
              </w:rPr>
            </w:pPr>
            <w:r w:rsidRPr="00767D59">
              <w:rPr>
                <w:rFonts w:ascii="Arial" w:hAnsi="Arial" w:cs="Arial"/>
                <w:sz w:val="24"/>
                <w:szCs w:val="24"/>
              </w:rPr>
              <w:t>Priority</w:t>
            </w:r>
          </w:p>
        </w:tc>
        <w:tc>
          <w:tcPr>
            <w:tcW w:w="3264" w:type="dxa"/>
            <w:shd w:val="clear" w:color="auto" w:fill="EAF1F6"/>
          </w:tcPr>
          <w:p w14:paraId="33A30ACF" w14:textId="77777777" w:rsidR="00F94256" w:rsidRPr="00767D59" w:rsidRDefault="000B1CA9">
            <w:pPr>
              <w:spacing w:after="40"/>
              <w:rPr>
                <w:rFonts w:ascii="Arial" w:hAnsi="Arial" w:cs="Arial"/>
                <w:sz w:val="24"/>
                <w:szCs w:val="24"/>
              </w:rPr>
            </w:pPr>
            <w:r w:rsidRPr="00767D59">
              <w:rPr>
                <w:rFonts w:ascii="Arial" w:hAnsi="Arial" w:cs="Arial"/>
                <w:sz w:val="24"/>
                <w:szCs w:val="24"/>
              </w:rPr>
              <w:t>Action and owner</w:t>
            </w:r>
          </w:p>
        </w:tc>
        <w:tc>
          <w:tcPr>
            <w:tcW w:w="3264" w:type="dxa"/>
            <w:shd w:val="clear" w:color="auto" w:fill="EAF1F6"/>
          </w:tcPr>
          <w:p w14:paraId="10E283AA" w14:textId="77777777" w:rsidR="00F94256" w:rsidRPr="00767D59" w:rsidRDefault="000B1CA9">
            <w:pPr>
              <w:spacing w:after="40"/>
              <w:rPr>
                <w:rFonts w:ascii="Arial" w:hAnsi="Arial" w:cs="Arial"/>
                <w:sz w:val="24"/>
                <w:szCs w:val="24"/>
              </w:rPr>
            </w:pPr>
            <w:r w:rsidRPr="00767D59">
              <w:rPr>
                <w:rFonts w:ascii="Arial" w:hAnsi="Arial" w:cs="Arial"/>
                <w:sz w:val="24"/>
                <w:szCs w:val="24"/>
              </w:rPr>
              <w:t>Evidence of progress</w:t>
            </w:r>
          </w:p>
        </w:tc>
      </w:tr>
      <w:tr w:rsidR="00F94256" w:rsidRPr="00767D59" w14:paraId="7A97E8FC" w14:textId="77777777">
        <w:trPr>
          <w:jc w:val="center"/>
        </w:trPr>
        <w:tc>
          <w:tcPr>
            <w:tcW w:w="3264" w:type="dxa"/>
            <w:vAlign w:val="center"/>
          </w:tcPr>
          <w:p w14:paraId="5D06B9E6" w14:textId="77777777" w:rsidR="00F94256" w:rsidRPr="00767D59" w:rsidRDefault="000B1CA9">
            <w:pPr>
              <w:spacing w:after="40"/>
              <w:rPr>
                <w:rFonts w:ascii="Arial" w:hAnsi="Arial" w:cs="Arial"/>
                <w:sz w:val="24"/>
                <w:szCs w:val="24"/>
              </w:rPr>
            </w:pPr>
            <w:r w:rsidRPr="00767D59">
              <w:rPr>
                <w:rFonts w:ascii="Arial" w:hAnsi="Arial" w:cs="Arial"/>
                <w:sz w:val="24"/>
                <w:szCs w:val="24"/>
              </w:rPr>
              <w:t>Learning</w:t>
            </w:r>
          </w:p>
        </w:tc>
        <w:tc>
          <w:tcPr>
            <w:tcW w:w="3264" w:type="dxa"/>
            <w:vAlign w:val="center"/>
          </w:tcPr>
          <w:p w14:paraId="661687E4" w14:textId="77777777" w:rsidR="00F94256" w:rsidRPr="00767D59" w:rsidRDefault="000B1CA9">
            <w:pPr>
              <w:spacing w:after="40"/>
              <w:rPr>
                <w:rFonts w:ascii="Arial" w:hAnsi="Arial" w:cs="Arial"/>
                <w:sz w:val="24"/>
                <w:szCs w:val="24"/>
              </w:rPr>
            </w:pPr>
            <w:r w:rsidRPr="00767D59">
              <w:rPr>
                <w:rFonts w:ascii="Arial" w:hAnsi="Arial" w:cs="Arial"/>
                <w:sz w:val="24"/>
                <w:szCs w:val="24"/>
              </w:rPr>
              <w:t>Cross-hub technical guilds, mentoring and post-release reviews; L&amp;D lead.</w:t>
            </w:r>
          </w:p>
        </w:tc>
        <w:tc>
          <w:tcPr>
            <w:tcW w:w="3264" w:type="dxa"/>
            <w:vAlign w:val="center"/>
          </w:tcPr>
          <w:p w14:paraId="09681FC8" w14:textId="77777777" w:rsidR="00F94256" w:rsidRPr="00767D59" w:rsidRDefault="000B1CA9">
            <w:pPr>
              <w:spacing w:after="40"/>
              <w:rPr>
                <w:rFonts w:ascii="Arial" w:hAnsi="Arial" w:cs="Arial"/>
                <w:sz w:val="24"/>
                <w:szCs w:val="24"/>
              </w:rPr>
            </w:pPr>
            <w:r w:rsidRPr="00767D59">
              <w:rPr>
                <w:rFonts w:ascii="Arial" w:hAnsi="Arial" w:cs="Arial"/>
                <w:sz w:val="24"/>
                <w:szCs w:val="24"/>
              </w:rPr>
              <w:t>Participation by region, shared artefacts and staff-rated learning value.</w:t>
            </w:r>
          </w:p>
        </w:tc>
      </w:tr>
      <w:tr w:rsidR="00F94256" w:rsidRPr="00767D59" w14:paraId="5D503B32" w14:textId="77777777">
        <w:trPr>
          <w:jc w:val="center"/>
        </w:trPr>
        <w:tc>
          <w:tcPr>
            <w:tcW w:w="3264" w:type="dxa"/>
            <w:vAlign w:val="center"/>
          </w:tcPr>
          <w:p w14:paraId="30D207A1" w14:textId="77777777" w:rsidR="00F94256" w:rsidRPr="00767D59" w:rsidRDefault="000B1CA9">
            <w:pPr>
              <w:spacing w:after="40"/>
              <w:rPr>
                <w:rFonts w:ascii="Arial" w:hAnsi="Arial" w:cs="Arial"/>
                <w:sz w:val="24"/>
                <w:szCs w:val="24"/>
              </w:rPr>
            </w:pPr>
            <w:r w:rsidRPr="00767D59">
              <w:rPr>
                <w:rFonts w:ascii="Arial" w:hAnsi="Arial" w:cs="Arial"/>
                <w:sz w:val="24"/>
                <w:szCs w:val="24"/>
              </w:rPr>
              <w:t>Career progression</w:t>
            </w:r>
          </w:p>
        </w:tc>
        <w:tc>
          <w:tcPr>
            <w:tcW w:w="3264" w:type="dxa"/>
            <w:vAlign w:val="center"/>
          </w:tcPr>
          <w:p w14:paraId="047B7D8A" w14:textId="77777777" w:rsidR="00F94256" w:rsidRPr="00767D59" w:rsidRDefault="000B1CA9">
            <w:pPr>
              <w:spacing w:after="40"/>
              <w:rPr>
                <w:rFonts w:ascii="Arial" w:hAnsi="Arial" w:cs="Arial"/>
                <w:sz w:val="24"/>
                <w:szCs w:val="24"/>
              </w:rPr>
            </w:pPr>
            <w:r w:rsidRPr="00767D59">
              <w:rPr>
                <w:rFonts w:ascii="Arial" w:hAnsi="Arial" w:cs="Arial"/>
                <w:sz w:val="24"/>
                <w:szCs w:val="24"/>
              </w:rPr>
              <w:t>Transparent specialist and leadership pathways with published criteria and pay bands; Global HR Director.</w:t>
            </w:r>
          </w:p>
        </w:tc>
        <w:tc>
          <w:tcPr>
            <w:tcW w:w="3264" w:type="dxa"/>
            <w:vAlign w:val="center"/>
          </w:tcPr>
          <w:p w14:paraId="108BC6A4" w14:textId="77777777" w:rsidR="00F94256" w:rsidRPr="00767D59" w:rsidRDefault="000B1CA9">
            <w:pPr>
              <w:spacing w:after="40"/>
              <w:rPr>
                <w:rFonts w:ascii="Arial" w:hAnsi="Arial" w:cs="Arial"/>
                <w:sz w:val="24"/>
                <w:szCs w:val="24"/>
              </w:rPr>
            </w:pPr>
            <w:r w:rsidRPr="00767D59">
              <w:rPr>
                <w:rFonts w:ascii="Arial" w:hAnsi="Arial" w:cs="Arial"/>
                <w:sz w:val="24"/>
                <w:szCs w:val="24"/>
              </w:rPr>
              <w:t>Internal applications, promotion equity and regretted turnover.</w:t>
            </w:r>
          </w:p>
        </w:tc>
      </w:tr>
      <w:tr w:rsidR="00F94256" w:rsidRPr="00767D59" w14:paraId="2C6D3D89" w14:textId="77777777">
        <w:trPr>
          <w:jc w:val="center"/>
        </w:trPr>
        <w:tc>
          <w:tcPr>
            <w:tcW w:w="3264" w:type="dxa"/>
            <w:vAlign w:val="center"/>
          </w:tcPr>
          <w:p w14:paraId="69FBE127" w14:textId="77777777" w:rsidR="00F94256" w:rsidRPr="00767D59" w:rsidRDefault="000B1CA9">
            <w:pPr>
              <w:spacing w:after="40"/>
              <w:rPr>
                <w:rFonts w:ascii="Arial" w:hAnsi="Arial" w:cs="Arial"/>
                <w:sz w:val="24"/>
                <w:szCs w:val="24"/>
              </w:rPr>
            </w:pPr>
            <w:r w:rsidRPr="00767D59">
              <w:rPr>
                <w:rFonts w:ascii="Arial" w:hAnsi="Arial" w:cs="Arial"/>
                <w:sz w:val="24"/>
                <w:szCs w:val="24"/>
              </w:rPr>
              <w:t>Wellbeing</w:t>
            </w:r>
          </w:p>
        </w:tc>
        <w:tc>
          <w:tcPr>
            <w:tcW w:w="3264" w:type="dxa"/>
            <w:vAlign w:val="center"/>
          </w:tcPr>
          <w:p w14:paraId="7EF975E6" w14:textId="77777777" w:rsidR="00F94256" w:rsidRPr="00767D59" w:rsidRDefault="000B1CA9">
            <w:pPr>
              <w:spacing w:after="40"/>
              <w:rPr>
                <w:rFonts w:ascii="Arial" w:hAnsi="Arial" w:cs="Arial"/>
                <w:sz w:val="24"/>
                <w:szCs w:val="24"/>
              </w:rPr>
            </w:pPr>
            <w:r w:rsidRPr="00767D59">
              <w:rPr>
                <w:rFonts w:ascii="Arial" w:hAnsi="Arial" w:cs="Arial"/>
                <w:sz w:val="24"/>
                <w:szCs w:val="24"/>
              </w:rPr>
              <w:t>Quarterly capacity audits, equitable on-call allocation and protected focus time; regional HR partners.</w:t>
            </w:r>
          </w:p>
        </w:tc>
        <w:tc>
          <w:tcPr>
            <w:tcW w:w="3264" w:type="dxa"/>
            <w:vAlign w:val="center"/>
          </w:tcPr>
          <w:p w14:paraId="432CE580" w14:textId="77777777" w:rsidR="00F94256" w:rsidRPr="00767D59" w:rsidRDefault="000B1CA9">
            <w:pPr>
              <w:spacing w:after="40"/>
              <w:rPr>
                <w:rFonts w:ascii="Arial" w:hAnsi="Arial" w:cs="Arial"/>
                <w:sz w:val="24"/>
                <w:szCs w:val="24"/>
              </w:rPr>
            </w:pPr>
            <w:r w:rsidRPr="00767D59">
              <w:rPr>
                <w:rFonts w:ascii="Arial" w:hAnsi="Arial" w:cs="Arial"/>
                <w:sz w:val="24"/>
                <w:szCs w:val="24"/>
              </w:rPr>
              <w:t>Overtime, absence, pulse surveys and recovery time.</w:t>
            </w:r>
          </w:p>
        </w:tc>
      </w:tr>
    </w:tbl>
    <w:p w14:paraId="119816E5" w14:textId="77777777" w:rsidR="00767D59" w:rsidRDefault="00767D59">
      <w:pPr>
        <w:rPr>
          <w:rFonts w:ascii="Arial" w:hAnsi="Arial" w:cs="Arial"/>
          <w:sz w:val="24"/>
          <w:szCs w:val="24"/>
        </w:rPr>
      </w:pPr>
    </w:p>
    <w:p w14:paraId="753BF70F" w14:textId="34934A59" w:rsidR="00F94256" w:rsidRPr="00767D59" w:rsidRDefault="000B1CA9">
      <w:pPr>
        <w:rPr>
          <w:rFonts w:ascii="Arial" w:hAnsi="Arial" w:cs="Arial"/>
          <w:sz w:val="24"/>
          <w:szCs w:val="24"/>
        </w:rPr>
      </w:pPr>
      <w:r w:rsidRPr="00767D59">
        <w:rPr>
          <w:rFonts w:ascii="Arial" w:hAnsi="Arial" w:cs="Arial"/>
          <w:sz w:val="24"/>
          <w:szCs w:val="24"/>
        </w:rPr>
        <w:t>Managerial behaviour is critical to the credibility of these practices. Leaders should encourage questions during design reviews, acknowledge their own mistakes, and address concerns without assigning blame (Edmondson, 1999; Schein, 2013). To support flatter pods as described in Task A, managers should prioritise coaching over reapproving routine decisions. To foster innovation, they must allocate time within workloads and recognise documented learning, including from unsuccessful experiments. For effective hybrid work, managers should establish shared working agreements, rotate meeting times, and assess performance based on outcomes rather than visibility. These routines operationalize recommendations into consistent daily practices.</w:t>
      </w:r>
    </w:p>
    <w:p w14:paraId="49DFD8F1" w14:textId="77777777" w:rsidR="00767D59" w:rsidRDefault="00767D59">
      <w:pPr>
        <w:pStyle w:val="Heading2"/>
        <w:rPr>
          <w:rFonts w:ascii="Arial" w:hAnsi="Arial" w:cs="Arial"/>
          <w:color w:val="auto"/>
          <w:sz w:val="24"/>
          <w:szCs w:val="24"/>
        </w:rPr>
      </w:pPr>
    </w:p>
    <w:p w14:paraId="79CD5C87" w14:textId="2205EBA3" w:rsidR="00767D59" w:rsidRPr="001553A7" w:rsidRDefault="000B1CA9" w:rsidP="001553A7">
      <w:pPr>
        <w:pStyle w:val="Heading2"/>
        <w:rPr>
          <w:rFonts w:ascii="Arial" w:hAnsi="Arial" w:cs="Arial"/>
          <w:color w:val="auto"/>
          <w:sz w:val="24"/>
          <w:szCs w:val="24"/>
        </w:rPr>
      </w:pPr>
      <w:r w:rsidRPr="00767D59">
        <w:rPr>
          <w:rFonts w:ascii="Arial" w:hAnsi="Arial" w:cs="Arial"/>
          <w:color w:val="auto"/>
          <w:sz w:val="24"/>
          <w:szCs w:val="24"/>
        </w:rPr>
        <w:t>B3. Fair implementation and governance</w:t>
      </w:r>
    </w:p>
    <w:p w14:paraId="49241C56" w14:textId="12B30B83" w:rsidR="00F94256" w:rsidRPr="00767D59" w:rsidRDefault="000B1CA9">
      <w:pPr>
        <w:rPr>
          <w:rFonts w:ascii="Arial" w:hAnsi="Arial" w:cs="Arial"/>
          <w:sz w:val="24"/>
          <w:szCs w:val="24"/>
        </w:rPr>
      </w:pPr>
      <w:r w:rsidRPr="00767D59">
        <w:rPr>
          <w:rFonts w:ascii="Arial" w:hAnsi="Arial" w:cs="Arial"/>
          <w:sz w:val="24"/>
          <w:szCs w:val="24"/>
        </w:rPr>
        <w:t>A global talent equity group, comprising representatives from all three hubs, should review access to mentoring, stretch assignments, and promotions. Comparisons must consider role, grade, and local context, rather than imposing uniform outcomes. During months 1–3, NHSX should collect workforce baselines and consult employees; months 4–8 should pilot guilds, career pathways, and workload controls; months 9–12 should evaluate results and scale only effective practices. Targets such as reduced regretted turnover should be adjusted according to observed baselines. This phased approach is more credible than assuming training alone will reduce attrition. Managers should conduct regular stay conversations with skilled employees, rather than relying solely on exit interviews. These discussions should explore what makes work meaningful, barriers to progression, and practical changes that could encourage retention. Aggregate responses should be reviewed to identify systemic issues while maintaining confidentiality. Fairness also requires transparency in decision-making processes. Promotion criteria should be clearly communicated, with evidence-based feedback and an appeals process. Regional managers should monitor participation rates by location and job level, without presuming all differences indicate discrimination. Where disparities are identified, confidential staff discussions should be used to uncover practical barriers before implementing corrective actions.</w:t>
      </w:r>
    </w:p>
    <w:p w14:paraId="095FDB13" w14:textId="77777777" w:rsidR="00F94256" w:rsidRPr="00767D59" w:rsidRDefault="000B1CA9">
      <w:pPr>
        <w:pStyle w:val="Heading1"/>
        <w:rPr>
          <w:rFonts w:ascii="Arial" w:hAnsi="Arial" w:cs="Arial"/>
          <w:color w:val="auto"/>
          <w:sz w:val="28"/>
        </w:rPr>
      </w:pPr>
      <w:r w:rsidRPr="00767D59">
        <w:rPr>
          <w:rFonts w:ascii="Arial" w:hAnsi="Arial" w:cs="Arial"/>
          <w:color w:val="auto"/>
          <w:sz w:val="28"/>
        </w:rPr>
        <w:t>Task C: AI decision support and personal development</w:t>
      </w:r>
    </w:p>
    <w:p w14:paraId="3D64147C" w14:textId="77777777" w:rsidR="00F94256" w:rsidRPr="00767D59" w:rsidRDefault="000B1CA9">
      <w:pPr>
        <w:pStyle w:val="Heading2"/>
        <w:rPr>
          <w:rFonts w:ascii="Arial" w:hAnsi="Arial" w:cs="Arial"/>
          <w:sz w:val="24"/>
          <w:szCs w:val="24"/>
        </w:rPr>
      </w:pPr>
      <w:r w:rsidRPr="00767D59">
        <w:rPr>
          <w:rFonts w:ascii="Arial" w:hAnsi="Arial" w:cs="Arial"/>
          <w:color w:val="auto"/>
          <w:sz w:val="24"/>
          <w:szCs w:val="24"/>
        </w:rPr>
        <w:t>C1. Critical assessment of AI in human capital management</w:t>
      </w:r>
    </w:p>
    <w:p w14:paraId="4372B5CF" w14:textId="77777777" w:rsidR="00F94256" w:rsidRPr="00767D59" w:rsidRDefault="000B1CA9">
      <w:pPr>
        <w:rPr>
          <w:rFonts w:ascii="Arial" w:hAnsi="Arial" w:cs="Arial"/>
          <w:sz w:val="24"/>
          <w:szCs w:val="24"/>
        </w:rPr>
      </w:pPr>
      <w:r w:rsidRPr="00767D59">
        <w:rPr>
          <w:rFonts w:ascii="Arial" w:hAnsi="Arial" w:cs="Arial"/>
          <w:sz w:val="24"/>
          <w:szCs w:val="24"/>
        </w:rPr>
        <w:t>AI can assist HR teams with workforce forecasting, skills mapping, and identifying trends in aggregated survey data. Although AI processes information rapidly, its outputs depend on data quality, model design, and organisational context. Tambe, Cappelli, and Yakubovich (2019) warn that historical employment data may perpetuate existing inequalities. For instance, if previous promotions disproportionately benefited headquarters staff, automated models could reinforce geographic disadvantages. Furthermore, sentiment monitoring may erode trust, particularly when employees lack clarity about what data is collected and how it is used.</w:t>
      </w:r>
    </w:p>
    <w:p w14:paraId="22B59B18" w14:textId="77777777" w:rsidR="00F94256" w:rsidRPr="00767D59" w:rsidRDefault="000B1CA9">
      <w:pPr>
        <w:rPr>
          <w:rFonts w:ascii="Arial" w:hAnsi="Arial" w:cs="Arial"/>
          <w:sz w:val="24"/>
          <w:szCs w:val="24"/>
        </w:rPr>
      </w:pPr>
      <w:r w:rsidRPr="00767D59">
        <w:rPr>
          <w:rFonts w:ascii="Arial" w:hAnsi="Arial" w:cs="Arial"/>
          <w:sz w:val="24"/>
          <w:szCs w:val="24"/>
        </w:rPr>
        <w:t>For NHSX, AI should initially be used to support aggregate workforce analysis rather than to make automatic decisions about promotions or dismissals. Appropriate controls should include a documented lawful basis, data minimisation, privacy impact assessments where necessary, regional bias testing, transparent communication with employees, and a meaningful process for challenging outcomes. The Information Commissioner’s Office (ICO, 2026) highlights the importance of fairness, transparency, and safeguards in automated recruitment. As regulations vary across the UK, India, and UAE, local legal review is essential prior to implementation. Human involvement must be substantive; merely approving an algorithmic score does not constitute independent judgment. Employees must be informed when automated tools influence decisions and be told who can review or overturn outcomes. NHSX should avoid intrusive individual-level sentiment analysis when less invasive staff surveys are sufficient. Data availability alone does not justify collection. This distinction is critical because statistical patterns may obscure differences in job design, working hours, or project access. Employees should be informed about what data is collected, its purpose, and retention periods. Consulting staff representatives and conducting periodic model accuracy reviews can enhance accountability, although these measures alone do not eliminate bias.</w:t>
      </w:r>
    </w:p>
    <w:p w14:paraId="2C0BB9D7" w14:textId="77777777" w:rsidR="00F94256" w:rsidRPr="00767D59" w:rsidRDefault="000B1CA9">
      <w:pPr>
        <w:pStyle w:val="Heading2"/>
        <w:rPr>
          <w:rFonts w:ascii="Arial" w:hAnsi="Arial" w:cs="Arial"/>
          <w:sz w:val="24"/>
          <w:szCs w:val="24"/>
        </w:rPr>
      </w:pPr>
      <w:r w:rsidRPr="00767D59">
        <w:rPr>
          <w:rFonts w:ascii="Arial" w:hAnsi="Arial" w:cs="Arial"/>
          <w:color w:val="auto"/>
          <w:sz w:val="24"/>
          <w:szCs w:val="24"/>
        </w:rPr>
        <w:t>C2. Reflection using the Experience–Reflection–Action (ERA) model</w:t>
      </w:r>
    </w:p>
    <w:p w14:paraId="58E549F1" w14:textId="77777777" w:rsidR="00F94256" w:rsidRPr="00767D59" w:rsidRDefault="000B1CA9">
      <w:pPr>
        <w:rPr>
          <w:rFonts w:ascii="Arial" w:hAnsi="Arial" w:cs="Arial"/>
          <w:sz w:val="24"/>
          <w:szCs w:val="24"/>
        </w:rPr>
      </w:pPr>
      <w:r w:rsidRPr="00767D59">
        <w:rPr>
          <w:rFonts w:ascii="Arial" w:hAnsi="Arial" w:cs="Arial"/>
          <w:sz w:val="24"/>
          <w:szCs w:val="24"/>
        </w:rPr>
        <w:t>The Experience–Reflection–Action (ERA) cycle encourages examining an event, its meaning, and a practical response (Jasper, 2013). I apply it to three experiences, considering both the value and limitations of AI.</w:t>
      </w:r>
    </w:p>
    <w:p w14:paraId="6F527E69" w14:textId="77777777" w:rsidR="00F94256" w:rsidRPr="00767D59" w:rsidRDefault="000B1CA9">
      <w:pPr>
        <w:pStyle w:val="Heading2"/>
        <w:rPr>
          <w:rFonts w:ascii="Arial" w:hAnsi="Arial" w:cs="Arial"/>
          <w:color w:val="auto"/>
          <w:sz w:val="24"/>
          <w:szCs w:val="24"/>
        </w:rPr>
      </w:pPr>
      <w:r w:rsidRPr="00767D59">
        <w:rPr>
          <w:rFonts w:ascii="Arial" w:hAnsi="Arial" w:cs="Arial"/>
          <w:color w:val="auto"/>
          <w:sz w:val="24"/>
          <w:szCs w:val="24"/>
        </w:rPr>
        <w:t>Experience 1 – Organising my assignment</w:t>
      </w:r>
    </w:p>
    <w:p w14:paraId="4AC87682" w14:textId="4335AA11" w:rsidR="00F94256" w:rsidRPr="00767D59" w:rsidRDefault="000B1CA9">
      <w:pPr>
        <w:rPr>
          <w:rFonts w:ascii="Arial" w:hAnsi="Arial" w:cs="Arial"/>
          <w:sz w:val="24"/>
          <w:szCs w:val="24"/>
        </w:rPr>
      </w:pPr>
      <w:r w:rsidRPr="00767D59">
        <w:rPr>
          <w:rFonts w:ascii="Arial" w:hAnsi="Arial" w:cs="Arial"/>
          <w:sz w:val="24"/>
          <w:szCs w:val="24"/>
        </w:rPr>
        <w:t>I used AI to organise my thoughts, distinguish Tasks A, B, and C, and plan the report more efficiently. Reflection: Its structure was helpful, but I still had to compare the output with the brief, conduct research, and decide which arguments were relevant. I learned that speed does not guarantee academic quality. Action: I will use AI to plan initial outlines, then independently assess each section against the learning outcomes and supporting literature.</w:t>
      </w:r>
    </w:p>
    <w:p w14:paraId="07773684" w14:textId="77777777" w:rsidR="00F94256" w:rsidRPr="001553A7" w:rsidRDefault="000B1CA9">
      <w:pPr>
        <w:pStyle w:val="Heading2"/>
        <w:rPr>
          <w:rFonts w:ascii="Arial" w:hAnsi="Arial" w:cs="Arial"/>
          <w:color w:val="auto"/>
          <w:sz w:val="24"/>
          <w:szCs w:val="24"/>
        </w:rPr>
      </w:pPr>
      <w:r w:rsidRPr="001553A7">
        <w:rPr>
          <w:rFonts w:ascii="Arial" w:hAnsi="Arial" w:cs="Arial"/>
          <w:color w:val="auto"/>
          <w:sz w:val="24"/>
          <w:szCs w:val="24"/>
        </w:rPr>
        <w:t>Experience 2 – Checking information about a book</w:t>
      </w:r>
    </w:p>
    <w:p w14:paraId="03731EE7" w14:textId="6B36EAEF" w:rsidR="00F94256" w:rsidRPr="00767D59" w:rsidRDefault="000B1CA9">
      <w:pPr>
        <w:rPr>
          <w:rFonts w:ascii="Arial" w:hAnsi="Arial" w:cs="Arial"/>
          <w:sz w:val="24"/>
          <w:szCs w:val="24"/>
        </w:rPr>
      </w:pPr>
      <w:r w:rsidRPr="00767D59">
        <w:rPr>
          <w:rFonts w:ascii="Arial" w:hAnsi="Arial" w:cs="Arial"/>
          <w:sz w:val="24"/>
          <w:szCs w:val="24"/>
        </w:rPr>
        <w:t>I asked AI for information about a book. The answer sounded convincing, but when I read the book, I found inaccuracies. Reflection: Confident language can conceal errors, creating risks for academic credibility and HR decisions. Action: I will verify claims against original books and peer-reviewed sources, checking quotations, authors, and citations before relying on them.</w:t>
      </w:r>
    </w:p>
    <w:p w14:paraId="72753930" w14:textId="77777777" w:rsidR="00F94256" w:rsidRPr="001553A7" w:rsidRDefault="000B1CA9">
      <w:pPr>
        <w:pStyle w:val="Heading2"/>
        <w:rPr>
          <w:rFonts w:ascii="Arial" w:hAnsi="Arial" w:cs="Arial"/>
          <w:color w:val="auto"/>
          <w:sz w:val="24"/>
          <w:szCs w:val="24"/>
        </w:rPr>
      </w:pPr>
      <w:r w:rsidRPr="001553A7">
        <w:rPr>
          <w:rFonts w:ascii="Arial" w:hAnsi="Arial" w:cs="Arial"/>
          <w:color w:val="auto"/>
          <w:sz w:val="24"/>
          <w:szCs w:val="24"/>
        </w:rPr>
        <w:t>Experience 3 – Collaboration and judgment</w:t>
      </w:r>
    </w:p>
    <w:p w14:paraId="161FEC43" w14:textId="0C2797CA" w:rsidR="00F94256" w:rsidRPr="00767D59" w:rsidRDefault="000B1CA9">
      <w:pPr>
        <w:rPr>
          <w:rFonts w:ascii="Arial" w:hAnsi="Arial" w:cs="Arial"/>
          <w:sz w:val="24"/>
          <w:szCs w:val="24"/>
        </w:rPr>
      </w:pPr>
      <w:r w:rsidRPr="00767D59">
        <w:rPr>
          <w:rFonts w:ascii="Arial" w:hAnsi="Arial" w:cs="Arial"/>
          <w:sz w:val="24"/>
          <w:szCs w:val="24"/>
        </w:rPr>
        <w:t xml:space="preserve">During a collaborative project, I considered using AI to organise competing ideas. Reflection: Achieving consensus still requires active listening, discussion, and understanding of colleagues’ perspectives. While AI can help organise suggestions, it cannot replace empathy or collective judgment. Action: I will use AI for brainstorming and </w:t>
      </w:r>
      <w:r w:rsidR="00767D59" w:rsidRPr="00767D59">
        <w:rPr>
          <w:rFonts w:ascii="Arial" w:hAnsi="Arial" w:cs="Arial"/>
          <w:sz w:val="24"/>
          <w:szCs w:val="24"/>
        </w:rPr>
        <w:t>preparation but</w:t>
      </w:r>
      <w:r w:rsidRPr="00767D59">
        <w:rPr>
          <w:rFonts w:ascii="Arial" w:hAnsi="Arial" w:cs="Arial"/>
          <w:sz w:val="24"/>
          <w:szCs w:val="24"/>
        </w:rPr>
        <w:t xml:space="preserve"> will </w:t>
      </w:r>
      <w:r w:rsidR="00767D59" w:rsidRPr="00767D59">
        <w:rPr>
          <w:rFonts w:ascii="Arial" w:hAnsi="Arial" w:cs="Arial"/>
          <w:sz w:val="24"/>
          <w:szCs w:val="24"/>
        </w:rPr>
        <w:t>priorities</w:t>
      </w:r>
      <w:r w:rsidRPr="00767D59">
        <w:rPr>
          <w:rFonts w:ascii="Arial" w:hAnsi="Arial" w:cs="Arial"/>
          <w:sz w:val="24"/>
          <w:szCs w:val="24"/>
        </w:rPr>
        <w:t xml:space="preserve"> inclusive dialogue and shared decision-making. Collectively, these experiences demonstrate that responsible AI use depends on critical thinking and human accountability. I have also learned to differentiate between using AI as a preparatory tool and allowing it to dictate discussions. In the future, I will encourage quieter colleagues to contribute before finalising group decisions and will document the rationale for each choice.</w:t>
      </w:r>
    </w:p>
    <w:p w14:paraId="6379B5DD" w14:textId="77777777" w:rsidR="001A1C31" w:rsidRDefault="001A1C31">
      <w:pPr>
        <w:pStyle w:val="Heading2"/>
        <w:rPr>
          <w:rFonts w:ascii="Arial" w:hAnsi="Arial" w:cs="Arial"/>
          <w:color w:val="auto"/>
          <w:sz w:val="24"/>
          <w:szCs w:val="24"/>
        </w:rPr>
      </w:pPr>
    </w:p>
    <w:p w14:paraId="532E53F6" w14:textId="77777777" w:rsidR="001A1C31" w:rsidRPr="001A1C31" w:rsidRDefault="001A1C31" w:rsidP="001A1C31"/>
    <w:p w14:paraId="39DCDF72" w14:textId="77777777" w:rsidR="00380453" w:rsidRDefault="00380453">
      <w:pPr>
        <w:pStyle w:val="Heading2"/>
        <w:rPr>
          <w:rFonts w:ascii="Arial" w:hAnsi="Arial" w:cs="Arial"/>
          <w:color w:val="auto"/>
          <w:sz w:val="24"/>
          <w:szCs w:val="24"/>
        </w:rPr>
      </w:pPr>
    </w:p>
    <w:p w14:paraId="61B789B3" w14:textId="216BA670" w:rsidR="00F94256" w:rsidRPr="00767D59" w:rsidRDefault="000B1CA9">
      <w:pPr>
        <w:pStyle w:val="Heading2"/>
        <w:rPr>
          <w:rFonts w:ascii="Arial" w:hAnsi="Arial" w:cs="Arial"/>
          <w:color w:val="auto"/>
          <w:sz w:val="24"/>
          <w:szCs w:val="24"/>
        </w:rPr>
      </w:pPr>
      <w:r w:rsidRPr="00767D59">
        <w:rPr>
          <w:rFonts w:ascii="Arial" w:hAnsi="Arial" w:cs="Arial"/>
          <w:color w:val="auto"/>
          <w:sz w:val="24"/>
          <w:szCs w:val="24"/>
        </w:rPr>
        <w:t>C3. Personal capability development plan</w:t>
      </w:r>
    </w:p>
    <w:p w14:paraId="0BA74872" w14:textId="77777777" w:rsidR="00767D59" w:rsidRPr="00767D59" w:rsidRDefault="00767D59">
      <w:pPr>
        <w:pStyle w:val="Caption"/>
        <w:rPr>
          <w:rFonts w:ascii="Arial" w:hAnsi="Arial" w:cs="Arial"/>
          <w:color w:val="auto"/>
          <w:sz w:val="24"/>
          <w:szCs w:val="24"/>
        </w:rPr>
      </w:pPr>
    </w:p>
    <w:p w14:paraId="592A7D2E" w14:textId="1576DA74" w:rsidR="00F94256" w:rsidRPr="00767D59" w:rsidRDefault="000B1CA9">
      <w:pPr>
        <w:pStyle w:val="Caption"/>
        <w:rPr>
          <w:rFonts w:ascii="Arial" w:hAnsi="Arial" w:cs="Arial"/>
          <w:color w:val="auto"/>
          <w:sz w:val="24"/>
          <w:szCs w:val="24"/>
        </w:rPr>
      </w:pPr>
      <w:r w:rsidRPr="00767D59">
        <w:rPr>
          <w:rFonts w:ascii="Arial" w:hAnsi="Arial" w:cs="Arial"/>
          <w:color w:val="auto"/>
          <w:sz w:val="24"/>
          <w:szCs w:val="24"/>
        </w:rPr>
        <w:t>Table 3. Twelve-month professional development plan</w:t>
      </w:r>
    </w:p>
    <w:tbl>
      <w:tblPr>
        <w:tblStyle w:val="TableGrid"/>
        <w:tblW w:w="0" w:type="auto"/>
        <w:jc w:val="center"/>
        <w:tblLook w:val="04A0" w:firstRow="1" w:lastRow="0" w:firstColumn="1" w:lastColumn="0" w:noHBand="0" w:noVBand="1"/>
      </w:tblPr>
      <w:tblGrid>
        <w:gridCol w:w="3264"/>
        <w:gridCol w:w="3264"/>
        <w:gridCol w:w="3264"/>
      </w:tblGrid>
      <w:tr w:rsidR="00F94256" w:rsidRPr="00767D59" w14:paraId="636A9FA8" w14:textId="77777777">
        <w:trPr>
          <w:tblHeader/>
          <w:jc w:val="center"/>
        </w:trPr>
        <w:tc>
          <w:tcPr>
            <w:tcW w:w="3264" w:type="dxa"/>
            <w:shd w:val="clear" w:color="auto" w:fill="EAF1F6"/>
          </w:tcPr>
          <w:p w14:paraId="4E112FCB" w14:textId="77777777" w:rsidR="00F94256" w:rsidRPr="00767D59" w:rsidRDefault="000B1CA9">
            <w:pPr>
              <w:spacing w:after="40"/>
              <w:rPr>
                <w:rFonts w:ascii="Arial" w:hAnsi="Arial" w:cs="Arial"/>
                <w:sz w:val="24"/>
                <w:szCs w:val="24"/>
              </w:rPr>
            </w:pPr>
            <w:r w:rsidRPr="00767D59">
              <w:rPr>
                <w:rFonts w:ascii="Arial" w:hAnsi="Arial" w:cs="Arial"/>
                <w:sz w:val="24"/>
                <w:szCs w:val="24"/>
              </w:rPr>
              <w:t>Development need</w:t>
            </w:r>
          </w:p>
        </w:tc>
        <w:tc>
          <w:tcPr>
            <w:tcW w:w="3264" w:type="dxa"/>
            <w:shd w:val="clear" w:color="auto" w:fill="EAF1F6"/>
          </w:tcPr>
          <w:p w14:paraId="04634FAC" w14:textId="77777777" w:rsidR="00F94256" w:rsidRPr="00767D59" w:rsidRDefault="000B1CA9">
            <w:pPr>
              <w:spacing w:after="40"/>
              <w:rPr>
                <w:rFonts w:ascii="Arial" w:hAnsi="Arial" w:cs="Arial"/>
                <w:sz w:val="24"/>
                <w:szCs w:val="24"/>
              </w:rPr>
            </w:pPr>
            <w:r w:rsidRPr="00767D59">
              <w:rPr>
                <w:rFonts w:ascii="Arial" w:hAnsi="Arial" w:cs="Arial"/>
                <w:sz w:val="24"/>
                <w:szCs w:val="24"/>
              </w:rPr>
              <w:t>Planned action</w:t>
            </w:r>
          </w:p>
        </w:tc>
        <w:tc>
          <w:tcPr>
            <w:tcW w:w="3264" w:type="dxa"/>
            <w:shd w:val="clear" w:color="auto" w:fill="EAF1F6"/>
          </w:tcPr>
          <w:p w14:paraId="70F4338D" w14:textId="77777777" w:rsidR="00F94256" w:rsidRPr="00767D59" w:rsidRDefault="000B1CA9">
            <w:pPr>
              <w:spacing w:after="40"/>
              <w:rPr>
                <w:rFonts w:ascii="Arial" w:hAnsi="Arial" w:cs="Arial"/>
                <w:sz w:val="24"/>
                <w:szCs w:val="24"/>
              </w:rPr>
            </w:pPr>
            <w:r w:rsidRPr="00767D59">
              <w:rPr>
                <w:rFonts w:ascii="Arial" w:hAnsi="Arial" w:cs="Arial"/>
                <w:sz w:val="24"/>
                <w:szCs w:val="24"/>
              </w:rPr>
              <w:t>Evidence and timeframe</w:t>
            </w:r>
          </w:p>
        </w:tc>
      </w:tr>
      <w:tr w:rsidR="00F94256" w:rsidRPr="00767D59" w14:paraId="2F61DCEC" w14:textId="77777777">
        <w:trPr>
          <w:jc w:val="center"/>
        </w:trPr>
        <w:tc>
          <w:tcPr>
            <w:tcW w:w="3264" w:type="dxa"/>
            <w:vAlign w:val="center"/>
          </w:tcPr>
          <w:p w14:paraId="0C7BDE8E" w14:textId="77777777" w:rsidR="00F94256" w:rsidRPr="00767D59" w:rsidRDefault="000B1CA9">
            <w:pPr>
              <w:spacing w:after="40"/>
              <w:rPr>
                <w:rFonts w:ascii="Arial" w:hAnsi="Arial" w:cs="Arial"/>
                <w:sz w:val="24"/>
                <w:szCs w:val="24"/>
              </w:rPr>
            </w:pPr>
            <w:r w:rsidRPr="00767D59">
              <w:rPr>
                <w:rFonts w:ascii="Arial" w:hAnsi="Arial" w:cs="Arial"/>
                <w:sz w:val="24"/>
                <w:szCs w:val="24"/>
              </w:rPr>
              <w:t>People analytics</w:t>
            </w:r>
          </w:p>
        </w:tc>
        <w:tc>
          <w:tcPr>
            <w:tcW w:w="3264" w:type="dxa"/>
            <w:vAlign w:val="center"/>
          </w:tcPr>
          <w:p w14:paraId="07159DFE" w14:textId="77777777" w:rsidR="00F94256" w:rsidRPr="00767D59" w:rsidRDefault="000B1CA9">
            <w:pPr>
              <w:spacing w:after="40"/>
              <w:rPr>
                <w:rFonts w:ascii="Arial" w:hAnsi="Arial" w:cs="Arial"/>
                <w:sz w:val="24"/>
                <w:szCs w:val="24"/>
              </w:rPr>
            </w:pPr>
            <w:r w:rsidRPr="00767D59">
              <w:rPr>
                <w:rFonts w:ascii="Arial" w:hAnsi="Arial" w:cs="Arial"/>
                <w:sz w:val="24"/>
                <w:szCs w:val="24"/>
              </w:rPr>
              <w:t>Complete an introductory people-analytics course and analyse anonymised data.</w:t>
            </w:r>
          </w:p>
        </w:tc>
        <w:tc>
          <w:tcPr>
            <w:tcW w:w="3264" w:type="dxa"/>
            <w:vAlign w:val="center"/>
          </w:tcPr>
          <w:p w14:paraId="635AD9C9" w14:textId="77777777" w:rsidR="00F94256" w:rsidRPr="00767D59" w:rsidRDefault="000B1CA9">
            <w:pPr>
              <w:spacing w:after="40"/>
              <w:rPr>
                <w:rFonts w:ascii="Arial" w:hAnsi="Arial" w:cs="Arial"/>
                <w:sz w:val="24"/>
                <w:szCs w:val="24"/>
              </w:rPr>
            </w:pPr>
            <w:r w:rsidRPr="00767D59">
              <w:rPr>
                <w:rFonts w:ascii="Arial" w:hAnsi="Arial" w:cs="Arial"/>
                <w:sz w:val="24"/>
                <w:szCs w:val="24"/>
              </w:rPr>
              <w:t>Months 1–4: completion and short analysis portfolio.</w:t>
            </w:r>
          </w:p>
        </w:tc>
      </w:tr>
      <w:tr w:rsidR="00F94256" w:rsidRPr="00767D59" w14:paraId="26C9FC7A" w14:textId="77777777">
        <w:trPr>
          <w:jc w:val="center"/>
        </w:trPr>
        <w:tc>
          <w:tcPr>
            <w:tcW w:w="3264" w:type="dxa"/>
            <w:vAlign w:val="center"/>
          </w:tcPr>
          <w:p w14:paraId="58650899" w14:textId="77777777" w:rsidR="00F94256" w:rsidRPr="00767D59" w:rsidRDefault="000B1CA9">
            <w:pPr>
              <w:spacing w:after="40"/>
              <w:rPr>
                <w:rFonts w:ascii="Arial" w:hAnsi="Arial" w:cs="Arial"/>
                <w:sz w:val="24"/>
                <w:szCs w:val="24"/>
              </w:rPr>
            </w:pPr>
            <w:r w:rsidRPr="00767D59">
              <w:rPr>
                <w:rFonts w:ascii="Arial" w:hAnsi="Arial" w:cs="Arial"/>
                <w:sz w:val="24"/>
                <w:szCs w:val="24"/>
              </w:rPr>
              <w:t>Ethical AI</w:t>
            </w:r>
          </w:p>
        </w:tc>
        <w:tc>
          <w:tcPr>
            <w:tcW w:w="3264" w:type="dxa"/>
            <w:vAlign w:val="center"/>
          </w:tcPr>
          <w:p w14:paraId="3707BEA2" w14:textId="77777777" w:rsidR="00F94256" w:rsidRPr="00767D59" w:rsidRDefault="000B1CA9">
            <w:pPr>
              <w:spacing w:after="40"/>
              <w:rPr>
                <w:rFonts w:ascii="Arial" w:hAnsi="Arial" w:cs="Arial"/>
                <w:sz w:val="24"/>
                <w:szCs w:val="24"/>
              </w:rPr>
            </w:pPr>
            <w:r w:rsidRPr="00767D59">
              <w:rPr>
                <w:rFonts w:ascii="Arial" w:hAnsi="Arial" w:cs="Arial"/>
                <w:sz w:val="24"/>
                <w:szCs w:val="24"/>
              </w:rPr>
              <w:t>Study ICO guidance and assess a public model or case study for bias and transparency.</w:t>
            </w:r>
          </w:p>
        </w:tc>
        <w:tc>
          <w:tcPr>
            <w:tcW w:w="3264" w:type="dxa"/>
            <w:vAlign w:val="center"/>
          </w:tcPr>
          <w:p w14:paraId="3F2919A7" w14:textId="77777777" w:rsidR="00F94256" w:rsidRPr="00767D59" w:rsidRDefault="000B1CA9">
            <w:pPr>
              <w:spacing w:after="40"/>
              <w:rPr>
                <w:rFonts w:ascii="Arial" w:hAnsi="Arial" w:cs="Arial"/>
                <w:sz w:val="24"/>
                <w:szCs w:val="24"/>
              </w:rPr>
            </w:pPr>
            <w:r w:rsidRPr="00767D59">
              <w:rPr>
                <w:rFonts w:ascii="Arial" w:hAnsi="Arial" w:cs="Arial"/>
                <w:sz w:val="24"/>
                <w:szCs w:val="24"/>
              </w:rPr>
              <w:t>Months 4–8: risk checklist and audit reflection.</w:t>
            </w:r>
          </w:p>
        </w:tc>
      </w:tr>
      <w:tr w:rsidR="00F94256" w:rsidRPr="00767D59" w14:paraId="16AB4926" w14:textId="77777777">
        <w:trPr>
          <w:jc w:val="center"/>
        </w:trPr>
        <w:tc>
          <w:tcPr>
            <w:tcW w:w="3264" w:type="dxa"/>
            <w:vAlign w:val="center"/>
          </w:tcPr>
          <w:p w14:paraId="2DE7A1DF" w14:textId="77777777" w:rsidR="00F94256" w:rsidRPr="00767D59" w:rsidRDefault="000B1CA9">
            <w:pPr>
              <w:spacing w:after="40"/>
              <w:rPr>
                <w:rFonts w:ascii="Arial" w:hAnsi="Arial" w:cs="Arial"/>
                <w:sz w:val="24"/>
                <w:szCs w:val="24"/>
              </w:rPr>
            </w:pPr>
            <w:r w:rsidRPr="00767D59">
              <w:rPr>
                <w:rFonts w:ascii="Arial" w:hAnsi="Arial" w:cs="Arial"/>
                <w:sz w:val="24"/>
                <w:szCs w:val="24"/>
              </w:rPr>
              <w:t>Coaching and inclusion</w:t>
            </w:r>
          </w:p>
        </w:tc>
        <w:tc>
          <w:tcPr>
            <w:tcW w:w="3264" w:type="dxa"/>
            <w:vAlign w:val="center"/>
          </w:tcPr>
          <w:p w14:paraId="2A39C1C7" w14:textId="77777777" w:rsidR="00F94256" w:rsidRPr="00767D59" w:rsidRDefault="000B1CA9">
            <w:pPr>
              <w:spacing w:after="40"/>
              <w:rPr>
                <w:rFonts w:ascii="Arial" w:hAnsi="Arial" w:cs="Arial"/>
                <w:sz w:val="24"/>
                <w:szCs w:val="24"/>
              </w:rPr>
            </w:pPr>
            <w:r w:rsidRPr="00767D59">
              <w:rPr>
                <w:rFonts w:ascii="Arial" w:hAnsi="Arial" w:cs="Arial"/>
                <w:sz w:val="24"/>
                <w:szCs w:val="24"/>
              </w:rPr>
              <w:t>Practise listening, reflective questioning and feedback in study or work.</w:t>
            </w:r>
          </w:p>
        </w:tc>
        <w:tc>
          <w:tcPr>
            <w:tcW w:w="3264" w:type="dxa"/>
            <w:vAlign w:val="center"/>
          </w:tcPr>
          <w:p w14:paraId="04CBBA00" w14:textId="77777777" w:rsidR="00F94256" w:rsidRPr="00767D59" w:rsidRDefault="000B1CA9">
            <w:pPr>
              <w:spacing w:after="40"/>
              <w:rPr>
                <w:rFonts w:ascii="Arial" w:hAnsi="Arial" w:cs="Arial"/>
                <w:sz w:val="24"/>
                <w:szCs w:val="24"/>
              </w:rPr>
            </w:pPr>
            <w:r w:rsidRPr="00767D59">
              <w:rPr>
                <w:rFonts w:ascii="Arial" w:hAnsi="Arial" w:cs="Arial"/>
                <w:sz w:val="24"/>
                <w:szCs w:val="24"/>
              </w:rPr>
              <w:t>Months 8–12: reflective log and participant feedback.</w:t>
            </w:r>
          </w:p>
        </w:tc>
      </w:tr>
    </w:tbl>
    <w:p w14:paraId="40A135F1" w14:textId="77777777" w:rsidR="001553A7" w:rsidRDefault="001553A7">
      <w:pPr>
        <w:rPr>
          <w:rFonts w:ascii="Arial" w:hAnsi="Arial" w:cs="Arial"/>
          <w:sz w:val="24"/>
          <w:szCs w:val="24"/>
        </w:rPr>
      </w:pPr>
    </w:p>
    <w:p w14:paraId="6819704E" w14:textId="5CF86756" w:rsidR="00F94256" w:rsidRPr="00767D59" w:rsidRDefault="000B1CA9">
      <w:pPr>
        <w:rPr>
          <w:rFonts w:ascii="Arial" w:hAnsi="Arial" w:cs="Arial"/>
          <w:sz w:val="24"/>
          <w:szCs w:val="24"/>
        </w:rPr>
      </w:pPr>
      <w:r w:rsidRPr="00767D59">
        <w:rPr>
          <w:rFonts w:ascii="Arial" w:hAnsi="Arial" w:cs="Arial"/>
          <w:sz w:val="24"/>
          <w:szCs w:val="24"/>
        </w:rPr>
        <w:t>For effective governance, NHSX should maintain a concise risk register that specifies named owners, escalation triggers, and review dates. The register should address clinical assurance, employee privacy, unequal access to development, burnout, and cross-border coordination. Quarterly reports should detail not only whether targets were achieved, but also what changes occurred, who benefited, and what corrective actions were implemented. This approach strengthens organisational learning and accountability.</w:t>
      </w:r>
    </w:p>
    <w:p w14:paraId="4C566B2B" w14:textId="3BFBC111" w:rsidR="00047AC7" w:rsidRPr="00047AC7" w:rsidRDefault="0083454B" w:rsidP="00047AC7">
      <w:pPr>
        <w:pStyle w:val="Heading1"/>
      </w:pPr>
      <w:r w:rsidRPr="12561066">
        <w:rPr>
          <w:rFonts w:ascii="Arial" w:hAnsi="Arial" w:cs="Arial"/>
          <w:color w:val="auto"/>
          <w:sz w:val="28"/>
        </w:rPr>
        <w:t>Conclusion</w:t>
      </w:r>
    </w:p>
    <w:p w14:paraId="75F2CC1C" w14:textId="1F0074E1" w:rsidR="00047AC7" w:rsidRPr="00047AC7" w:rsidRDefault="00047AC7" w:rsidP="00047AC7">
      <w:pPr>
        <w:pStyle w:val="Heading1"/>
        <w:rPr>
          <w:rStyle w:val="selectable-text1"/>
          <w:rFonts w:ascii="Arial" w:hAnsi="Arial" w:cs="Arial"/>
          <w:color w:val="auto"/>
          <w:sz w:val="28"/>
        </w:rPr>
      </w:pPr>
      <w:r w:rsidRPr="12561066">
        <w:rPr>
          <w:rStyle w:val="selectable-text1"/>
          <w:rFonts w:ascii="Arial" w:hAnsi="Arial" w:cs="Arial"/>
          <w:b w:val="0"/>
          <w:bCs w:val="0"/>
          <w:color w:val="auto"/>
          <w:sz w:val="24"/>
          <w:szCs w:val="24"/>
        </w:rPr>
        <w:t>NHSX</w:t>
      </w:r>
      <w:r w:rsidRPr="00047AC7">
        <w:rPr>
          <w:rStyle w:val="selectable-text1"/>
          <w:rFonts w:ascii="Arial" w:hAnsi="Arial" w:cs="Arial"/>
          <w:b w:val="0"/>
          <w:bCs w:val="0"/>
          <w:color w:val="auto"/>
          <w:sz w:val="24"/>
          <w:szCs w:val="24"/>
        </w:rPr>
        <w:t xml:space="preserve"> faces interconnected challenges that hinder its progress: slow approval processes stifle innovation, fragmented hybrid coordination limits effective teamwork, and excessive demands combined with limited advancement opportunities undermine staff retention. To address these issues, we must adopt a cohesive change program rather than a patchwork of isolated HR initiatives. Establishing cross-functional teams will enable quicker routine decisions while preserving vital clinical safety checks; protected experimentation will encourage valuable learning without burdening staff workloads; and coordinated overlap periods will enhance collaboration across borders while maintaining essential flexibility. For these practices to be sustainable, it is crucial that managers actively support them through coaching, transparent career pathways, equitable development opportunities, and thorough workload assessments. While AI can play a role in workforce analytics, it is essential to manage privacy, bias, and accountability with vigilant oversight and sound human judgment. </w:t>
      </w:r>
    </w:p>
    <w:p w14:paraId="74480D5D" w14:textId="74E7A6B1" w:rsidR="00047AC7" w:rsidRPr="00047AC7" w:rsidRDefault="00047AC7" w:rsidP="00047AC7">
      <w:pPr>
        <w:pStyle w:val="Heading1"/>
        <w:rPr>
          <w:rFonts w:ascii="Arial" w:hAnsi="Arial" w:cs="Arial"/>
          <w:b w:val="0"/>
          <w:bCs w:val="0"/>
          <w:color w:val="auto"/>
          <w:sz w:val="24"/>
          <w:szCs w:val="24"/>
        </w:rPr>
      </w:pPr>
      <w:r w:rsidRPr="00047AC7">
        <w:rPr>
          <w:rStyle w:val="selectable-text1"/>
          <w:rFonts w:ascii="Arial" w:hAnsi="Arial" w:cs="Arial"/>
          <w:b w:val="0"/>
          <w:bCs w:val="0"/>
          <w:color w:val="auto"/>
          <w:sz w:val="24"/>
          <w:szCs w:val="24"/>
        </w:rPr>
        <w:t>My reflections reinforce that while AI can assist in planning efforts, human skills in source verification and interpersonal communication remain indispensable. NHSX should roll out these recommendations within a twelve-month pilot program, setting baseline metrics first to thoroughly evaluate delivery time, safety incidents, employee wellbeing, engagement, and retention across all three hubs. Leadership must focus on scaling only those changes that enhance performance without sacrificing clinical assurance or fairness. This balanced approach presents a compelling opportunity for fostering innovation, building employee trust, and ensuring long-term organizational resilience.</w:t>
      </w:r>
    </w:p>
    <w:p w14:paraId="421CDB4F" w14:textId="77777777" w:rsidR="001A1C31" w:rsidRPr="00047AC7" w:rsidRDefault="001A1C31">
      <w:pPr>
        <w:pStyle w:val="Heading1"/>
        <w:rPr>
          <w:rFonts w:ascii="Arial" w:hAnsi="Arial" w:cs="Arial"/>
          <w:b w:val="0"/>
          <w:bCs w:val="0"/>
          <w:color w:val="auto"/>
          <w:sz w:val="28"/>
        </w:rPr>
      </w:pPr>
    </w:p>
    <w:p w14:paraId="39429ACA" w14:textId="77777777" w:rsidR="001A1C31" w:rsidRPr="001A1C31" w:rsidRDefault="001A1C31" w:rsidP="001A1C31"/>
    <w:p w14:paraId="41E18F1E" w14:textId="77777777" w:rsidR="00047AC7" w:rsidRDefault="00047AC7">
      <w:pPr>
        <w:pStyle w:val="Heading1"/>
        <w:rPr>
          <w:rFonts w:ascii="Arial" w:hAnsi="Arial" w:cs="Arial"/>
          <w:color w:val="auto"/>
          <w:sz w:val="28"/>
        </w:rPr>
      </w:pPr>
    </w:p>
    <w:p w14:paraId="5F5DB85F" w14:textId="77777777" w:rsidR="00047AC7" w:rsidRDefault="00047AC7">
      <w:pPr>
        <w:pStyle w:val="Heading1"/>
        <w:rPr>
          <w:rFonts w:ascii="Arial" w:hAnsi="Arial" w:cs="Arial"/>
          <w:color w:val="auto"/>
          <w:sz w:val="28"/>
        </w:rPr>
      </w:pPr>
    </w:p>
    <w:p w14:paraId="4E3F84BD" w14:textId="77777777" w:rsidR="00047AC7" w:rsidRDefault="00047AC7">
      <w:pPr>
        <w:pStyle w:val="Heading1"/>
        <w:rPr>
          <w:rFonts w:ascii="Arial" w:hAnsi="Arial" w:cs="Arial"/>
          <w:color w:val="auto"/>
          <w:sz w:val="28"/>
        </w:rPr>
      </w:pPr>
    </w:p>
    <w:p w14:paraId="693FA57C" w14:textId="77777777" w:rsidR="00047AC7" w:rsidRDefault="00047AC7" w:rsidP="00047AC7"/>
    <w:p w14:paraId="5B4152ED" w14:textId="77777777" w:rsidR="00047AC7" w:rsidRDefault="00047AC7" w:rsidP="00047AC7"/>
    <w:p w14:paraId="3C2C7CC4" w14:textId="77777777" w:rsidR="00047AC7" w:rsidRPr="00D56E42" w:rsidRDefault="00047AC7" w:rsidP="00047AC7">
      <w:pPr>
        <w:rPr>
          <w:rFonts w:ascii="Arial" w:hAnsi="Arial" w:cs="Arial"/>
          <w:sz w:val="24"/>
          <w:szCs w:val="24"/>
        </w:rPr>
      </w:pPr>
    </w:p>
    <w:p w14:paraId="2F6FAD5E" w14:textId="0E40375E" w:rsidR="00F94256" w:rsidRPr="001553A7" w:rsidRDefault="000B1CA9">
      <w:pPr>
        <w:pStyle w:val="Heading1"/>
        <w:rPr>
          <w:rFonts w:ascii="Arial" w:hAnsi="Arial" w:cs="Arial"/>
          <w:color w:val="auto"/>
          <w:sz w:val="28"/>
        </w:rPr>
      </w:pPr>
      <w:r w:rsidRPr="001553A7">
        <w:rPr>
          <w:rFonts w:ascii="Arial" w:hAnsi="Arial" w:cs="Arial"/>
          <w:color w:val="auto"/>
          <w:sz w:val="28"/>
        </w:rPr>
        <w:t>References</w:t>
      </w:r>
    </w:p>
    <w:p w14:paraId="6A5AB8BA" w14:textId="77777777" w:rsidR="00F94256" w:rsidRPr="00767D59" w:rsidRDefault="000B1CA9">
      <w:pPr>
        <w:rPr>
          <w:rFonts w:ascii="Arial" w:hAnsi="Arial" w:cs="Arial"/>
          <w:sz w:val="24"/>
          <w:szCs w:val="24"/>
        </w:rPr>
      </w:pPr>
      <w:r w:rsidRPr="00767D59">
        <w:rPr>
          <w:rFonts w:ascii="Arial" w:hAnsi="Arial" w:cs="Arial"/>
          <w:sz w:val="24"/>
          <w:szCs w:val="24"/>
        </w:rPr>
        <w:t>Bakker, A.B. and Demerouti, E. (2017) ‘Job demands–resources theory: Taking stock and looking forward’, Journal of Occupational Health Psychology, 22(3), pp. 273–285.</w:t>
      </w:r>
    </w:p>
    <w:p w14:paraId="356D9FA6" w14:textId="77777777" w:rsidR="00F94256" w:rsidRPr="00767D59" w:rsidRDefault="000B1CA9">
      <w:pPr>
        <w:rPr>
          <w:rFonts w:ascii="Arial" w:hAnsi="Arial" w:cs="Arial"/>
          <w:sz w:val="24"/>
          <w:szCs w:val="24"/>
        </w:rPr>
      </w:pPr>
      <w:r w:rsidRPr="00767D59">
        <w:rPr>
          <w:rFonts w:ascii="Arial" w:hAnsi="Arial" w:cs="Arial"/>
          <w:sz w:val="24"/>
          <w:szCs w:val="24"/>
        </w:rPr>
        <w:t xml:space="preserve">Boxall, P. and Purcell, J. (2016) Strategy and Human Resource Management. 4th </w:t>
      </w:r>
      <w:proofErr w:type="spellStart"/>
      <w:r w:rsidRPr="00767D59">
        <w:rPr>
          <w:rFonts w:ascii="Arial" w:hAnsi="Arial" w:cs="Arial"/>
          <w:sz w:val="24"/>
          <w:szCs w:val="24"/>
        </w:rPr>
        <w:t>edn</w:t>
      </w:r>
      <w:proofErr w:type="spellEnd"/>
      <w:r w:rsidRPr="00767D59">
        <w:rPr>
          <w:rFonts w:ascii="Arial" w:hAnsi="Arial" w:cs="Arial"/>
          <w:sz w:val="24"/>
          <w:szCs w:val="24"/>
        </w:rPr>
        <w:t>. London: Palgrave Macmillan.</w:t>
      </w:r>
    </w:p>
    <w:p w14:paraId="4992623F" w14:textId="77777777" w:rsidR="00F94256" w:rsidRPr="00767D59" w:rsidRDefault="000B1CA9">
      <w:pPr>
        <w:rPr>
          <w:rFonts w:ascii="Arial" w:hAnsi="Arial" w:cs="Arial"/>
          <w:sz w:val="24"/>
          <w:szCs w:val="24"/>
        </w:rPr>
      </w:pPr>
      <w:proofErr w:type="spellStart"/>
      <w:r w:rsidRPr="00767D59">
        <w:rPr>
          <w:rFonts w:ascii="Arial" w:hAnsi="Arial" w:cs="Arial"/>
          <w:sz w:val="24"/>
          <w:szCs w:val="24"/>
        </w:rPr>
        <w:t>Cherns</w:t>
      </w:r>
      <w:proofErr w:type="spellEnd"/>
      <w:r w:rsidRPr="00767D59">
        <w:rPr>
          <w:rFonts w:ascii="Arial" w:hAnsi="Arial" w:cs="Arial"/>
          <w:sz w:val="24"/>
          <w:szCs w:val="24"/>
        </w:rPr>
        <w:t>, A. (1976) ‘The principles of sociotechnical design’, Human Relations, 29(8), pp. 783–792.</w:t>
      </w:r>
    </w:p>
    <w:p w14:paraId="0FCFD48B" w14:textId="77777777" w:rsidR="00F94256" w:rsidRPr="00767D59" w:rsidRDefault="000B1CA9">
      <w:pPr>
        <w:rPr>
          <w:rFonts w:ascii="Arial" w:hAnsi="Arial" w:cs="Arial"/>
          <w:sz w:val="24"/>
          <w:szCs w:val="24"/>
        </w:rPr>
      </w:pPr>
      <w:r w:rsidRPr="00767D59">
        <w:rPr>
          <w:rFonts w:ascii="Arial" w:hAnsi="Arial" w:cs="Arial"/>
          <w:sz w:val="24"/>
          <w:szCs w:val="24"/>
        </w:rPr>
        <w:t xml:space="preserve">Collings, D.G. and </w:t>
      </w:r>
      <w:proofErr w:type="spellStart"/>
      <w:r w:rsidRPr="00767D59">
        <w:rPr>
          <w:rFonts w:ascii="Arial" w:hAnsi="Arial" w:cs="Arial"/>
          <w:sz w:val="24"/>
          <w:szCs w:val="24"/>
        </w:rPr>
        <w:t>Mellahi</w:t>
      </w:r>
      <w:proofErr w:type="spellEnd"/>
      <w:r w:rsidRPr="00767D59">
        <w:rPr>
          <w:rFonts w:ascii="Arial" w:hAnsi="Arial" w:cs="Arial"/>
          <w:sz w:val="24"/>
          <w:szCs w:val="24"/>
        </w:rPr>
        <w:t>, K. (2009) ‘Strategic talent management: A review and research agenda’, Human Resource Management Review, 19(4), pp. 304–313.</w:t>
      </w:r>
    </w:p>
    <w:p w14:paraId="3319A12D" w14:textId="2BB19F5B" w:rsidR="00F94256" w:rsidRPr="00767D59" w:rsidRDefault="000B1CA9">
      <w:pPr>
        <w:rPr>
          <w:rFonts w:ascii="Arial" w:hAnsi="Arial" w:cs="Arial"/>
          <w:sz w:val="24"/>
          <w:szCs w:val="24"/>
        </w:rPr>
      </w:pPr>
      <w:r w:rsidRPr="00767D59">
        <w:rPr>
          <w:rFonts w:ascii="Arial" w:hAnsi="Arial" w:cs="Arial"/>
          <w:sz w:val="24"/>
          <w:szCs w:val="24"/>
        </w:rPr>
        <w:t xml:space="preserve">Deci, E.L. and Ryan, R.M. (2000) ‘The “what” and “why” of goal pursuits: Human needs and the self-determination of </w:t>
      </w:r>
      <w:r w:rsidR="001553A7" w:rsidRPr="00767D59">
        <w:rPr>
          <w:rFonts w:ascii="Arial" w:hAnsi="Arial" w:cs="Arial"/>
          <w:sz w:val="24"/>
          <w:szCs w:val="24"/>
        </w:rPr>
        <w:t>behaviour</w:t>
      </w:r>
      <w:r w:rsidRPr="00767D59">
        <w:rPr>
          <w:rFonts w:ascii="Arial" w:hAnsi="Arial" w:cs="Arial"/>
          <w:sz w:val="24"/>
          <w:szCs w:val="24"/>
        </w:rPr>
        <w:t>’, Psychological Inquiry, 11(4), pp. 227–268.</w:t>
      </w:r>
    </w:p>
    <w:p w14:paraId="79491C87" w14:textId="77777777" w:rsidR="00F94256" w:rsidRPr="00767D59" w:rsidRDefault="000B1CA9">
      <w:pPr>
        <w:rPr>
          <w:rFonts w:ascii="Arial" w:hAnsi="Arial" w:cs="Arial"/>
          <w:sz w:val="24"/>
          <w:szCs w:val="24"/>
        </w:rPr>
      </w:pPr>
      <w:r w:rsidRPr="00767D59">
        <w:rPr>
          <w:rFonts w:ascii="Arial" w:hAnsi="Arial" w:cs="Arial"/>
          <w:sz w:val="24"/>
          <w:szCs w:val="24"/>
        </w:rPr>
        <w:t xml:space="preserve">Dekker, S. (2016) Just Culture: Balancing Safety and Accountability. 3rd </w:t>
      </w:r>
      <w:proofErr w:type="spellStart"/>
      <w:r w:rsidRPr="00767D59">
        <w:rPr>
          <w:rFonts w:ascii="Arial" w:hAnsi="Arial" w:cs="Arial"/>
          <w:sz w:val="24"/>
          <w:szCs w:val="24"/>
        </w:rPr>
        <w:t>edn</w:t>
      </w:r>
      <w:proofErr w:type="spellEnd"/>
      <w:r w:rsidRPr="00767D59">
        <w:rPr>
          <w:rFonts w:ascii="Arial" w:hAnsi="Arial" w:cs="Arial"/>
          <w:sz w:val="24"/>
          <w:szCs w:val="24"/>
        </w:rPr>
        <w:t>. Boca Raton: CRC Press.</w:t>
      </w:r>
    </w:p>
    <w:p w14:paraId="04D85770" w14:textId="24BD4241" w:rsidR="00F94256" w:rsidRPr="00767D59" w:rsidRDefault="000B1CA9">
      <w:pPr>
        <w:rPr>
          <w:rFonts w:ascii="Arial" w:hAnsi="Arial" w:cs="Arial"/>
          <w:sz w:val="24"/>
          <w:szCs w:val="24"/>
        </w:rPr>
      </w:pPr>
      <w:r w:rsidRPr="00767D59">
        <w:rPr>
          <w:rFonts w:ascii="Arial" w:hAnsi="Arial" w:cs="Arial"/>
          <w:sz w:val="24"/>
          <w:szCs w:val="24"/>
        </w:rPr>
        <w:t xml:space="preserve">Edmondson, A.C. (1999) ‘Psychological safety and learning </w:t>
      </w:r>
      <w:r w:rsidR="001553A7" w:rsidRPr="00767D59">
        <w:rPr>
          <w:rFonts w:ascii="Arial" w:hAnsi="Arial" w:cs="Arial"/>
          <w:sz w:val="24"/>
          <w:szCs w:val="24"/>
        </w:rPr>
        <w:t>behaviour</w:t>
      </w:r>
      <w:r w:rsidRPr="00767D59">
        <w:rPr>
          <w:rFonts w:ascii="Arial" w:hAnsi="Arial" w:cs="Arial"/>
          <w:sz w:val="24"/>
          <w:szCs w:val="24"/>
        </w:rPr>
        <w:t xml:space="preserve"> in work teams’, Administrative Science Quarterly, 44(2), pp. 350–383.</w:t>
      </w:r>
    </w:p>
    <w:p w14:paraId="7A9F28D8" w14:textId="77777777" w:rsidR="00F94256" w:rsidRPr="00767D59" w:rsidRDefault="000B1CA9">
      <w:pPr>
        <w:rPr>
          <w:rFonts w:ascii="Arial" w:hAnsi="Arial" w:cs="Arial"/>
          <w:sz w:val="24"/>
          <w:szCs w:val="24"/>
        </w:rPr>
      </w:pPr>
      <w:r w:rsidRPr="00767D59">
        <w:rPr>
          <w:rFonts w:ascii="Arial" w:hAnsi="Arial" w:cs="Arial"/>
          <w:sz w:val="24"/>
          <w:szCs w:val="24"/>
        </w:rPr>
        <w:t>Garvin, D.A., Edmondson, A.C. and Gino, F. (2008) ‘Is yours a learning organization?’, Harvard Business Review, 86(3), pp. 109–116.</w:t>
      </w:r>
    </w:p>
    <w:p w14:paraId="46EED969" w14:textId="77777777" w:rsidR="00F94256" w:rsidRPr="00767D59" w:rsidRDefault="000B1CA9">
      <w:pPr>
        <w:rPr>
          <w:rFonts w:ascii="Arial" w:hAnsi="Arial" w:cs="Arial"/>
          <w:sz w:val="24"/>
          <w:szCs w:val="24"/>
        </w:rPr>
      </w:pPr>
      <w:r w:rsidRPr="00767D59">
        <w:rPr>
          <w:rFonts w:ascii="Arial" w:hAnsi="Arial" w:cs="Arial"/>
          <w:sz w:val="24"/>
          <w:szCs w:val="24"/>
        </w:rPr>
        <w:t>Guest, D.E. (2017) ‘Human resource management and employee well-being: Towards a new analytic framework’, Human Resource Management Journal, 27(1), pp. 22–38.</w:t>
      </w:r>
    </w:p>
    <w:p w14:paraId="54175D32" w14:textId="0171DB71" w:rsidR="00F94256" w:rsidRPr="00767D59" w:rsidRDefault="000B1CA9">
      <w:pPr>
        <w:rPr>
          <w:rFonts w:ascii="Arial" w:hAnsi="Arial" w:cs="Arial"/>
          <w:sz w:val="24"/>
          <w:szCs w:val="24"/>
        </w:rPr>
      </w:pPr>
      <w:r w:rsidRPr="00767D59">
        <w:rPr>
          <w:rFonts w:ascii="Arial" w:hAnsi="Arial" w:cs="Arial"/>
          <w:sz w:val="24"/>
          <w:szCs w:val="24"/>
        </w:rPr>
        <w:t xml:space="preserve">Hackman, J.R. and Oldham, G.R. (1976) ‘Motivation through the design of work: Test of a theory’, Organizational </w:t>
      </w:r>
      <w:r w:rsidR="001553A7" w:rsidRPr="00767D59">
        <w:rPr>
          <w:rFonts w:ascii="Arial" w:hAnsi="Arial" w:cs="Arial"/>
          <w:sz w:val="24"/>
          <w:szCs w:val="24"/>
        </w:rPr>
        <w:t>Behaviour</w:t>
      </w:r>
      <w:r w:rsidRPr="00767D59">
        <w:rPr>
          <w:rFonts w:ascii="Arial" w:hAnsi="Arial" w:cs="Arial"/>
          <w:sz w:val="24"/>
          <w:szCs w:val="24"/>
        </w:rPr>
        <w:t xml:space="preserve"> and Human Performance, 16(2), pp. 250–279.</w:t>
      </w:r>
    </w:p>
    <w:p w14:paraId="1F5F2F04" w14:textId="7668A4D9" w:rsidR="00F94256" w:rsidRPr="00767D59" w:rsidRDefault="000B1CA9">
      <w:pPr>
        <w:rPr>
          <w:rFonts w:ascii="Arial" w:hAnsi="Arial" w:cs="Arial"/>
          <w:sz w:val="24"/>
          <w:szCs w:val="24"/>
        </w:rPr>
      </w:pPr>
      <w:r w:rsidRPr="00767D59">
        <w:rPr>
          <w:rFonts w:ascii="Arial" w:hAnsi="Arial" w:cs="Arial"/>
          <w:sz w:val="24"/>
          <w:szCs w:val="24"/>
        </w:rPr>
        <w:t>Information Commissioner’s Office (ICO) (2026) Recruitment rewired: An update on the ICO’s work on the fair and responsible use of automation in recruitment. Available at: https://ico.org.uk/about-the-ico/what-we-do/recruitment-rewired</w:t>
      </w:r>
      <w:r w:rsidR="008A766D">
        <w:rPr>
          <w:rFonts w:ascii="Arial" w:hAnsi="Arial" w:cs="Arial"/>
          <w:sz w:val="24"/>
          <w:szCs w:val="24"/>
        </w:rPr>
        <w:t>.</w:t>
      </w:r>
    </w:p>
    <w:p w14:paraId="219B7CDA" w14:textId="77777777" w:rsidR="00F94256" w:rsidRPr="00767D59" w:rsidRDefault="000B1CA9">
      <w:pPr>
        <w:rPr>
          <w:rFonts w:ascii="Arial" w:hAnsi="Arial" w:cs="Arial"/>
          <w:sz w:val="24"/>
          <w:szCs w:val="24"/>
        </w:rPr>
      </w:pPr>
      <w:r w:rsidRPr="00767D59">
        <w:rPr>
          <w:rFonts w:ascii="Arial" w:hAnsi="Arial" w:cs="Arial"/>
          <w:sz w:val="24"/>
          <w:szCs w:val="24"/>
        </w:rPr>
        <w:t xml:space="preserve">Jasper, M. (2013) Beginning Reflective Practice. 2nd </w:t>
      </w:r>
      <w:proofErr w:type="spellStart"/>
      <w:r w:rsidRPr="00767D59">
        <w:rPr>
          <w:rFonts w:ascii="Arial" w:hAnsi="Arial" w:cs="Arial"/>
          <w:sz w:val="24"/>
          <w:szCs w:val="24"/>
        </w:rPr>
        <w:t>edn</w:t>
      </w:r>
      <w:proofErr w:type="spellEnd"/>
      <w:r w:rsidRPr="00767D59">
        <w:rPr>
          <w:rFonts w:ascii="Arial" w:hAnsi="Arial" w:cs="Arial"/>
          <w:sz w:val="24"/>
          <w:szCs w:val="24"/>
        </w:rPr>
        <w:t>. Andover: Cengage Learning.</w:t>
      </w:r>
    </w:p>
    <w:p w14:paraId="65118D36" w14:textId="77777777" w:rsidR="00F94256" w:rsidRPr="00767D59" w:rsidRDefault="000B1CA9">
      <w:pPr>
        <w:rPr>
          <w:rFonts w:ascii="Arial" w:hAnsi="Arial" w:cs="Arial"/>
          <w:sz w:val="24"/>
          <w:szCs w:val="24"/>
        </w:rPr>
      </w:pPr>
      <w:r w:rsidRPr="00767D59">
        <w:rPr>
          <w:rFonts w:ascii="Arial" w:hAnsi="Arial" w:cs="Arial"/>
          <w:sz w:val="24"/>
          <w:szCs w:val="24"/>
        </w:rPr>
        <w:t>Schein, E.H. (2013) Humble Inquiry: The Gentle Art of Asking Instead of Telling. San Francisco: Berrett-Koehler.</w:t>
      </w:r>
    </w:p>
    <w:p w14:paraId="6D633E89" w14:textId="77777777" w:rsidR="00F94256" w:rsidRPr="00767D59" w:rsidRDefault="000B1CA9">
      <w:pPr>
        <w:rPr>
          <w:rFonts w:ascii="Arial" w:hAnsi="Arial" w:cs="Arial"/>
          <w:sz w:val="24"/>
          <w:szCs w:val="24"/>
        </w:rPr>
      </w:pPr>
      <w:r w:rsidRPr="00767D59">
        <w:rPr>
          <w:rFonts w:ascii="Arial" w:hAnsi="Arial" w:cs="Arial"/>
          <w:sz w:val="24"/>
          <w:szCs w:val="24"/>
        </w:rPr>
        <w:t xml:space="preserve">Senge, P.M. (2006) The Fifth Discipline: The Art and Practice of the Learning Organization. Revised </w:t>
      </w:r>
      <w:proofErr w:type="spellStart"/>
      <w:r w:rsidRPr="00767D59">
        <w:rPr>
          <w:rFonts w:ascii="Arial" w:hAnsi="Arial" w:cs="Arial"/>
          <w:sz w:val="24"/>
          <w:szCs w:val="24"/>
        </w:rPr>
        <w:t>edn</w:t>
      </w:r>
      <w:proofErr w:type="spellEnd"/>
      <w:r w:rsidRPr="00767D59">
        <w:rPr>
          <w:rFonts w:ascii="Arial" w:hAnsi="Arial" w:cs="Arial"/>
          <w:sz w:val="24"/>
          <w:szCs w:val="24"/>
        </w:rPr>
        <w:t>. London: Random House Business Books.</w:t>
      </w:r>
    </w:p>
    <w:p w14:paraId="1362F985" w14:textId="77777777" w:rsidR="00F94256" w:rsidRPr="00767D59" w:rsidRDefault="000B1CA9">
      <w:pPr>
        <w:rPr>
          <w:rFonts w:ascii="Arial" w:hAnsi="Arial" w:cs="Arial"/>
          <w:sz w:val="24"/>
          <w:szCs w:val="24"/>
        </w:rPr>
      </w:pPr>
      <w:r w:rsidRPr="00767D59">
        <w:rPr>
          <w:rFonts w:ascii="Arial" w:hAnsi="Arial" w:cs="Arial"/>
          <w:sz w:val="24"/>
          <w:szCs w:val="24"/>
        </w:rPr>
        <w:t>Tambe, P., Cappelli, P. and Yakubovich, V. (2019) ‘Artificial intelligence in human resources management: Challenges and a path forward’, California Management Review, 61(4), pp. 15–42.</w:t>
      </w:r>
    </w:p>
    <w:p w14:paraId="570B1E95" w14:textId="77777777" w:rsidR="00F94256" w:rsidRPr="00767D59" w:rsidRDefault="000B1CA9">
      <w:pPr>
        <w:rPr>
          <w:rFonts w:ascii="Arial" w:hAnsi="Arial" w:cs="Arial"/>
          <w:sz w:val="24"/>
          <w:szCs w:val="24"/>
        </w:rPr>
      </w:pPr>
      <w:r w:rsidRPr="00767D59">
        <w:rPr>
          <w:rFonts w:ascii="Arial" w:hAnsi="Arial" w:cs="Arial"/>
          <w:sz w:val="24"/>
          <w:szCs w:val="24"/>
        </w:rPr>
        <w:t>Trist, E.L. and Bamforth, K.W. (1951) ‘Some social and psychological consequences of the longwall method of coal-getting’, Human Relations, 4(1), pp. 3–38.</w:t>
      </w:r>
    </w:p>
    <w:p w14:paraId="60A12DF7" w14:textId="77777777" w:rsidR="00F94256" w:rsidRPr="00767D59" w:rsidRDefault="000B1CA9">
      <w:pPr>
        <w:rPr>
          <w:rFonts w:ascii="Arial" w:hAnsi="Arial" w:cs="Arial"/>
          <w:sz w:val="24"/>
          <w:szCs w:val="24"/>
        </w:rPr>
      </w:pPr>
      <w:r w:rsidRPr="00767D59">
        <w:rPr>
          <w:rFonts w:ascii="Arial" w:hAnsi="Arial" w:cs="Arial"/>
          <w:sz w:val="24"/>
          <w:szCs w:val="24"/>
        </w:rPr>
        <w:t>Wrzesniewski, A. and Dutton, J.E. (2001) ‘Crafting a job: Revisioning employees as active crafters of their work’, Academy of Management Review, 26(2), pp. 179–201.</w:t>
      </w:r>
    </w:p>
    <w:p w14:paraId="226D55E4" w14:textId="77777777" w:rsidR="00F94256" w:rsidRPr="00767D59" w:rsidRDefault="000B1CA9">
      <w:pPr>
        <w:rPr>
          <w:rFonts w:ascii="Arial" w:hAnsi="Arial" w:cs="Arial"/>
          <w:sz w:val="24"/>
          <w:szCs w:val="24"/>
        </w:rPr>
      </w:pPr>
      <w:r w:rsidRPr="00767D59">
        <w:rPr>
          <w:rFonts w:ascii="Arial" w:hAnsi="Arial" w:cs="Arial"/>
          <w:sz w:val="24"/>
          <w:szCs w:val="24"/>
        </w:rPr>
        <w:t>Yang, L. et al. (2022) ‘The effects of remote work on collaboration among information workers’, Nature Human Behaviour, 6(1), pp. 43–54. https://doi.org/10.1038/s41562-021-01196-4.</w:t>
      </w:r>
    </w:p>
    <w:sectPr w:rsidR="00F94256" w:rsidRPr="00767D59" w:rsidSect="00034616">
      <w:footerReference w:type="default" r:id="rId12"/>
      <w:pgSz w:w="12240" w:h="15840"/>
      <w:pgMar w:top="1080"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A8945" w14:textId="77777777" w:rsidR="00452B6A" w:rsidRPr="00767D59" w:rsidRDefault="00452B6A">
      <w:pPr>
        <w:spacing w:after="0" w:line="240" w:lineRule="auto"/>
      </w:pPr>
      <w:r w:rsidRPr="00767D59">
        <w:separator/>
      </w:r>
    </w:p>
  </w:endnote>
  <w:endnote w:type="continuationSeparator" w:id="0">
    <w:p w14:paraId="4E228696" w14:textId="77777777" w:rsidR="00452B6A" w:rsidRPr="00767D59" w:rsidRDefault="00452B6A">
      <w:pPr>
        <w:spacing w:after="0" w:line="240" w:lineRule="auto"/>
      </w:pPr>
      <w:r w:rsidRPr="00767D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810063"/>
      <w:docPartObj>
        <w:docPartGallery w:val="Page Numbers (Bottom of Page)"/>
        <w:docPartUnique/>
      </w:docPartObj>
    </w:sdtPr>
    <w:sdtContent>
      <w:p w14:paraId="497C6684" w14:textId="4E0D7602" w:rsidR="001553A7" w:rsidRDefault="001553A7">
        <w:pPr>
          <w:pStyle w:val="Footer"/>
          <w:jc w:val="right"/>
        </w:pPr>
        <w:r>
          <w:fldChar w:fldCharType="begin"/>
        </w:r>
        <w:r>
          <w:instrText>PAGE   \* MERGEFORMAT</w:instrText>
        </w:r>
        <w:r>
          <w:fldChar w:fldCharType="separate"/>
        </w:r>
        <w:r>
          <w:t>2</w:t>
        </w:r>
        <w:r>
          <w:fldChar w:fldCharType="end"/>
        </w:r>
      </w:p>
    </w:sdtContent>
  </w:sdt>
  <w:p w14:paraId="494F6B11" w14:textId="706AD75C" w:rsidR="00F94256" w:rsidRPr="00767D59" w:rsidRDefault="00F9425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8226B" w14:textId="77777777" w:rsidR="00452B6A" w:rsidRPr="00767D59" w:rsidRDefault="00452B6A">
      <w:pPr>
        <w:spacing w:after="0" w:line="240" w:lineRule="auto"/>
      </w:pPr>
      <w:r w:rsidRPr="00767D59">
        <w:separator/>
      </w:r>
    </w:p>
  </w:footnote>
  <w:footnote w:type="continuationSeparator" w:id="0">
    <w:p w14:paraId="309BC39B" w14:textId="77777777" w:rsidR="00452B6A" w:rsidRPr="00767D59" w:rsidRDefault="00452B6A">
      <w:pPr>
        <w:spacing w:after="0" w:line="240" w:lineRule="auto"/>
      </w:pPr>
      <w:r w:rsidRPr="00767D5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2027999"/>
    <w:multiLevelType w:val="hybridMultilevel"/>
    <w:tmpl w:val="63681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2A4AE2"/>
    <w:multiLevelType w:val="hybridMultilevel"/>
    <w:tmpl w:val="EFF89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E02F97"/>
    <w:multiLevelType w:val="hybridMultilevel"/>
    <w:tmpl w:val="D6507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4923DE"/>
    <w:multiLevelType w:val="hybridMultilevel"/>
    <w:tmpl w:val="84CAA40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F8E4B2A"/>
    <w:multiLevelType w:val="hybridMultilevel"/>
    <w:tmpl w:val="B0D68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5257850">
    <w:abstractNumId w:val="8"/>
  </w:num>
  <w:num w:numId="2" w16cid:durableId="249629736">
    <w:abstractNumId w:val="6"/>
  </w:num>
  <w:num w:numId="3" w16cid:durableId="1620991907">
    <w:abstractNumId w:val="5"/>
  </w:num>
  <w:num w:numId="4" w16cid:durableId="157112563">
    <w:abstractNumId w:val="4"/>
  </w:num>
  <w:num w:numId="5" w16cid:durableId="1835490969">
    <w:abstractNumId w:val="7"/>
  </w:num>
  <w:num w:numId="6" w16cid:durableId="970552444">
    <w:abstractNumId w:val="3"/>
  </w:num>
  <w:num w:numId="7" w16cid:durableId="1543520125">
    <w:abstractNumId w:val="2"/>
  </w:num>
  <w:num w:numId="8" w16cid:durableId="655963608">
    <w:abstractNumId w:val="1"/>
  </w:num>
  <w:num w:numId="9" w16cid:durableId="1527865691">
    <w:abstractNumId w:val="0"/>
  </w:num>
  <w:num w:numId="10" w16cid:durableId="1182015908">
    <w:abstractNumId w:val="11"/>
  </w:num>
  <w:num w:numId="11" w16cid:durableId="646251434">
    <w:abstractNumId w:val="12"/>
  </w:num>
  <w:num w:numId="12" w16cid:durableId="1831948633">
    <w:abstractNumId w:val="13"/>
  </w:num>
  <w:num w:numId="13" w16cid:durableId="1902253894">
    <w:abstractNumId w:val="9"/>
  </w:num>
  <w:num w:numId="14" w16cid:durableId="2065248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37A"/>
    <w:rsid w:val="00025939"/>
    <w:rsid w:val="00034616"/>
    <w:rsid w:val="00035305"/>
    <w:rsid w:val="00035639"/>
    <w:rsid w:val="00047AC7"/>
    <w:rsid w:val="0006063C"/>
    <w:rsid w:val="000747DB"/>
    <w:rsid w:val="00097B7E"/>
    <w:rsid w:val="000B1CA9"/>
    <w:rsid w:val="001019F5"/>
    <w:rsid w:val="00115443"/>
    <w:rsid w:val="0015074B"/>
    <w:rsid w:val="001553A7"/>
    <w:rsid w:val="0019635F"/>
    <w:rsid w:val="001A193B"/>
    <w:rsid w:val="001A1C31"/>
    <w:rsid w:val="001F0C3F"/>
    <w:rsid w:val="00245876"/>
    <w:rsid w:val="00270554"/>
    <w:rsid w:val="0029639D"/>
    <w:rsid w:val="002B1077"/>
    <w:rsid w:val="002F1CE2"/>
    <w:rsid w:val="00314E33"/>
    <w:rsid w:val="00325AD0"/>
    <w:rsid w:val="00326F90"/>
    <w:rsid w:val="00341CCB"/>
    <w:rsid w:val="00356A26"/>
    <w:rsid w:val="00380453"/>
    <w:rsid w:val="00394CAA"/>
    <w:rsid w:val="003A525E"/>
    <w:rsid w:val="003F2F83"/>
    <w:rsid w:val="003F4AF4"/>
    <w:rsid w:val="0040107D"/>
    <w:rsid w:val="00423D59"/>
    <w:rsid w:val="00452B6A"/>
    <w:rsid w:val="00491FC0"/>
    <w:rsid w:val="00494B85"/>
    <w:rsid w:val="004F3E49"/>
    <w:rsid w:val="00501215"/>
    <w:rsid w:val="005705DF"/>
    <w:rsid w:val="00580DC1"/>
    <w:rsid w:val="00582B38"/>
    <w:rsid w:val="005A6F50"/>
    <w:rsid w:val="005E12BA"/>
    <w:rsid w:val="005F17AA"/>
    <w:rsid w:val="005F6474"/>
    <w:rsid w:val="00604011"/>
    <w:rsid w:val="0061762F"/>
    <w:rsid w:val="00656E6B"/>
    <w:rsid w:val="006C03D8"/>
    <w:rsid w:val="0075602A"/>
    <w:rsid w:val="00767D59"/>
    <w:rsid w:val="0081772B"/>
    <w:rsid w:val="0083454B"/>
    <w:rsid w:val="00843D9D"/>
    <w:rsid w:val="00876946"/>
    <w:rsid w:val="008A766D"/>
    <w:rsid w:val="008C71B1"/>
    <w:rsid w:val="00956CDD"/>
    <w:rsid w:val="009629C0"/>
    <w:rsid w:val="009A14F1"/>
    <w:rsid w:val="009E3541"/>
    <w:rsid w:val="009F4C84"/>
    <w:rsid w:val="00A137F1"/>
    <w:rsid w:val="00A41512"/>
    <w:rsid w:val="00A54981"/>
    <w:rsid w:val="00AA1D8D"/>
    <w:rsid w:val="00AA4900"/>
    <w:rsid w:val="00AD0B32"/>
    <w:rsid w:val="00AD5FFB"/>
    <w:rsid w:val="00B47730"/>
    <w:rsid w:val="00B74DC2"/>
    <w:rsid w:val="00C16D63"/>
    <w:rsid w:val="00C226D1"/>
    <w:rsid w:val="00C379D7"/>
    <w:rsid w:val="00C40791"/>
    <w:rsid w:val="00C70AC0"/>
    <w:rsid w:val="00C71E97"/>
    <w:rsid w:val="00CB0664"/>
    <w:rsid w:val="00CE3BEA"/>
    <w:rsid w:val="00D43F81"/>
    <w:rsid w:val="00D53CE7"/>
    <w:rsid w:val="00D54F7E"/>
    <w:rsid w:val="00D56E42"/>
    <w:rsid w:val="00D72596"/>
    <w:rsid w:val="00DB4C61"/>
    <w:rsid w:val="00E534E3"/>
    <w:rsid w:val="00E67204"/>
    <w:rsid w:val="00E919E4"/>
    <w:rsid w:val="00F14298"/>
    <w:rsid w:val="00F55833"/>
    <w:rsid w:val="00F76D01"/>
    <w:rsid w:val="00F94256"/>
    <w:rsid w:val="00FA7E55"/>
    <w:rsid w:val="00FC693F"/>
    <w:rsid w:val="00FF3721"/>
    <w:rsid w:val="019EA16C"/>
    <w:rsid w:val="12561066"/>
    <w:rsid w:val="23CF48FC"/>
    <w:rsid w:val="2AC79FAD"/>
    <w:rsid w:val="428FC5E2"/>
    <w:rsid w:val="437E022C"/>
    <w:rsid w:val="65E568A9"/>
    <w:rsid w:val="68B63286"/>
    <w:rsid w:val="72F0F832"/>
    <w:rsid w:val="7BA1E1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0D1A85"/>
  <w14:defaultImageDpi w14:val="300"/>
  <w15:docId w15:val="{1CD82154-3FEF-4F78-9837-3FF280AD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sz w:val="20"/>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43752"/>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43752"/>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43752"/>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agraph">
    <w:name w:val="paragraph"/>
    <w:basedOn w:val="Normal"/>
    <w:rsid w:val="00155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553A7"/>
  </w:style>
  <w:style w:type="character" w:customStyle="1" w:styleId="eop">
    <w:name w:val="eop"/>
    <w:basedOn w:val="DefaultParagraphFont"/>
    <w:rsid w:val="001553A7"/>
  </w:style>
  <w:style w:type="paragraph" w:customStyle="1" w:styleId="selectable-text">
    <w:name w:val="selectable-text"/>
    <w:basedOn w:val="Normal"/>
    <w:rsid w:val="00047A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text1">
    <w:name w:val="selectable-text1"/>
    <w:basedOn w:val="DefaultParagraphFont"/>
    <w:rsid w:val="00047AC7"/>
  </w:style>
  <w:style w:type="character" w:customStyle="1" w:styleId="gstkn">
    <w:name w:val="gs_tkn"/>
    <w:basedOn w:val="DefaultParagraphFont"/>
    <w:rsid w:val="004F3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c6fcdb77e3ccefb9fb56e37f3251ed9f">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871dfde7679764326101738a2cbaa6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F3EB890-6D23-4000-BDF7-3ED49A4E77EB}">
  <ds:schemaRefs>
    <ds:schemaRef ds:uri="http://schemas.microsoft.com/sharepoint/v3/contenttype/forms"/>
  </ds:schemaRefs>
</ds:datastoreItem>
</file>

<file path=customXml/itemProps3.xml><?xml version="1.0" encoding="utf-8"?>
<ds:datastoreItem xmlns:ds="http://schemas.openxmlformats.org/officeDocument/2006/customXml" ds:itemID="{DBB4A99C-C7AB-464A-A3AB-566017C4F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769D-E022-4FB6-AC0C-257F2D9BC8AE}">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3432</Words>
  <Characters>19566</Characters>
  <Application>Microsoft Office Word</Application>
  <DocSecurity>4</DocSecurity>
  <Lines>163</Lines>
  <Paragraphs>45</Paragraphs>
  <ScaleCrop>false</ScaleCrop>
  <Manager/>
  <Company/>
  <LinksUpToDate>false</LinksUpToDate>
  <CharactersWithSpaces>22953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Tania De Fatima Agostinho Dos Santos (2313904)</cp:lastModifiedBy>
  <cp:revision>43</cp:revision>
  <dcterms:created xsi:type="dcterms:W3CDTF">2026-10-15T03:54:00Z</dcterms:created>
  <dcterms:modified xsi:type="dcterms:W3CDTF">2026-10-14T20:40:00Z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