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A45B9" w14:textId="77777777" w:rsidR="00C2635D" w:rsidRDefault="00C2635D" w:rsidP="00C2635D">
      <w:pPr>
        <w:spacing w:line="360" w:lineRule="auto"/>
        <w:rPr>
          <w:rFonts w:ascii="Arial" w:eastAsiaTheme="majorEastAsia" w:hAnsi="Arial" w:cs="Arial"/>
          <w:bCs/>
          <w:i/>
          <w:sz w:val="22"/>
        </w:rPr>
      </w:pPr>
      <w:r>
        <w:rPr>
          <w:noProof/>
        </w:rPr>
        <w:drawing>
          <wp:inline distT="0" distB="0" distL="0" distR="0" wp14:anchorId="2B3C6834" wp14:editId="47765F3E">
            <wp:extent cx="4152900" cy="1328420"/>
            <wp:effectExtent l="0" t="0" r="0" b="0"/>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Toc232709809"/>
      <w:bookmarkStart w:id="1" w:name="_Toc235118444"/>
      <w:bookmarkStart w:id="2" w:name="_Toc235121176"/>
    </w:p>
    <w:p w14:paraId="40D56800" w14:textId="77777777" w:rsidR="00C2635D" w:rsidRDefault="00C2635D" w:rsidP="00C2635D">
      <w:pPr>
        <w:spacing w:line="360" w:lineRule="auto"/>
        <w:rPr>
          <w:rFonts w:ascii="Arial" w:eastAsiaTheme="majorEastAsia" w:hAnsi="Arial" w:cs="Arial"/>
          <w:bCs/>
          <w:i/>
          <w:sz w:val="22"/>
        </w:rPr>
      </w:pPr>
    </w:p>
    <w:p w14:paraId="64D4A1BB" w14:textId="77777777" w:rsidR="00C2635D" w:rsidRDefault="00C2635D" w:rsidP="00C2635D">
      <w:pPr>
        <w:spacing w:line="360" w:lineRule="auto"/>
        <w:rPr>
          <w:rFonts w:ascii="Arial" w:eastAsiaTheme="majorEastAsia" w:hAnsi="Arial" w:cs="Arial"/>
          <w:bCs/>
          <w:i/>
          <w:sz w:val="22"/>
        </w:rPr>
      </w:pPr>
    </w:p>
    <w:p w14:paraId="5843941F" w14:textId="276AB570" w:rsidR="0070771A" w:rsidRPr="00366557" w:rsidRDefault="00EB2790" w:rsidP="00366557">
      <w:pPr>
        <w:spacing w:line="360" w:lineRule="auto"/>
        <w:rPr>
          <w:rFonts w:ascii="Arial" w:eastAsiaTheme="majorEastAsia" w:hAnsi="Arial" w:cs="Arial"/>
          <w:bCs/>
          <w:i/>
          <w:sz w:val="22"/>
        </w:rPr>
      </w:pPr>
      <w:r w:rsidRPr="00366557">
        <w:rPr>
          <w:rFonts w:ascii="Arial" w:eastAsiaTheme="majorEastAsia" w:hAnsi="Arial" w:cs="Arial"/>
          <w:bCs/>
          <w:i/>
          <w:sz w:val="22"/>
        </w:rPr>
        <w:t>Institute of Inner-City</w:t>
      </w:r>
      <w:r w:rsidR="0062730E" w:rsidRPr="00366557">
        <w:rPr>
          <w:rFonts w:ascii="Arial" w:eastAsiaTheme="majorEastAsia" w:hAnsi="Arial" w:cs="Arial"/>
          <w:bCs/>
          <w:i/>
          <w:sz w:val="22"/>
        </w:rPr>
        <w:t xml:space="preserve"> </w:t>
      </w:r>
      <w:r w:rsidRPr="00366557">
        <w:rPr>
          <w:rFonts w:ascii="Arial" w:eastAsiaTheme="majorEastAsia" w:hAnsi="Arial" w:cs="Arial"/>
          <w:bCs/>
          <w:i/>
          <w:sz w:val="22"/>
        </w:rPr>
        <w:t>Learning Birmingham Campus</w:t>
      </w:r>
    </w:p>
    <w:p w14:paraId="646DAE93" w14:textId="77777777" w:rsidR="0062730E" w:rsidRPr="00366557" w:rsidRDefault="00EB2790" w:rsidP="00366557">
      <w:pPr>
        <w:spacing w:line="360" w:lineRule="auto"/>
        <w:rPr>
          <w:rFonts w:ascii="Arial" w:eastAsiaTheme="majorEastAsia" w:hAnsi="Arial" w:cs="Arial"/>
          <w:bCs/>
          <w:i/>
          <w:sz w:val="22"/>
        </w:rPr>
      </w:pPr>
      <w:r w:rsidRPr="00366557">
        <w:rPr>
          <w:rFonts w:ascii="Arial" w:eastAsiaTheme="majorEastAsia" w:hAnsi="Arial" w:cs="Arial"/>
          <w:bCs/>
          <w:i/>
          <w:sz w:val="22"/>
        </w:rPr>
        <w:t>BSc (Hons) Health and Social Care</w:t>
      </w:r>
      <w:r w:rsidRPr="00366557">
        <w:rPr>
          <w:rFonts w:ascii="Arial" w:eastAsiaTheme="majorEastAsia" w:hAnsi="Arial" w:cs="Arial"/>
          <w:bCs/>
          <w:i/>
          <w:sz w:val="22"/>
        </w:rPr>
        <w:br/>
      </w:r>
      <w:r w:rsidRPr="00366557">
        <w:rPr>
          <w:rFonts w:ascii="Arial" w:eastAsiaTheme="majorEastAsia" w:hAnsi="Arial" w:cs="Arial"/>
          <w:bCs/>
          <w:i/>
          <w:sz w:val="22"/>
          <w:lang w:bidi="en-GB"/>
        </w:rPr>
        <w:t>Disclaimer</w:t>
      </w:r>
      <w:r w:rsidR="0062730E" w:rsidRPr="00366557">
        <w:rPr>
          <w:rFonts w:ascii="Arial" w:eastAsiaTheme="majorEastAsia" w:hAnsi="Arial" w:cs="Arial"/>
          <w:bCs/>
          <w:i/>
          <w:sz w:val="22"/>
          <w:lang w:bidi="en-GB"/>
        </w:rPr>
        <w:t xml:space="preserve"> </w:t>
      </w:r>
      <w:r w:rsidRPr="00366557">
        <w:rPr>
          <w:rFonts w:ascii="Arial" w:eastAsiaTheme="majorEastAsia" w:hAnsi="Arial" w:cs="Arial"/>
          <w:bCs/>
          <w:i/>
          <w:sz w:val="22"/>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7F389E7B" w14:textId="47EC53C8" w:rsidR="0062730E" w:rsidRPr="00366557" w:rsidRDefault="00EB2790" w:rsidP="00366557">
      <w:pPr>
        <w:pStyle w:val="Heading1"/>
        <w:spacing w:line="360" w:lineRule="auto"/>
        <w:rPr>
          <w:rFonts w:ascii="Arial" w:hAnsi="Arial" w:cs="Arial"/>
          <w:b w:val="0"/>
          <w:bCs/>
          <w:sz w:val="22"/>
          <w:szCs w:val="22"/>
        </w:rPr>
      </w:pPr>
      <w:r w:rsidRPr="00366557">
        <w:rPr>
          <w:rFonts w:ascii="Arial" w:hAnsi="Arial" w:cs="Arial"/>
          <w:b w:val="0"/>
          <w:bCs/>
          <w:sz w:val="22"/>
          <w:szCs w:val="22"/>
        </w:rPr>
        <w:lastRenderedPageBreak/>
        <w:t>DECLARATION</w:t>
      </w:r>
      <w:r w:rsidR="0062730E" w:rsidRPr="00366557">
        <w:rPr>
          <w:rFonts w:ascii="Arial" w:hAnsi="Arial" w:cs="Arial"/>
          <w:b w:val="0"/>
          <w:bCs/>
          <w:sz w:val="22"/>
          <w:szCs w:val="22"/>
        </w:rPr>
        <w:t xml:space="preserve"> </w:t>
      </w:r>
      <w:r w:rsidR="0062730E" w:rsidRPr="00366557">
        <w:rPr>
          <w:rFonts w:ascii="Arial" w:hAnsi="Arial" w:cs="Arial"/>
          <w:b w:val="0"/>
          <w:bCs/>
          <w:sz w:val="22"/>
          <w:szCs w:val="22"/>
        </w:rPr>
        <w:t>This work has not previously been accepted in substance for any degree and is not being concurrently submitted in candidature for any degree</w:t>
      </w:r>
      <w:r w:rsidR="0062730E" w:rsidRPr="00366557">
        <w:rPr>
          <w:rFonts w:ascii="Arial" w:hAnsi="Arial" w:cs="Arial"/>
          <w:b w:val="0"/>
          <w:bCs/>
          <w:sz w:val="22"/>
          <w:szCs w:val="22"/>
        </w:rPr>
        <w:t xml:space="preserve"> </w:t>
      </w:r>
      <w:r w:rsidR="0062730E" w:rsidRPr="00366557">
        <w:rPr>
          <w:rFonts w:ascii="Arial" w:hAnsi="Arial" w:cs="Arial"/>
          <w:b w:val="0"/>
          <w:bCs/>
          <w:sz w:val="22"/>
          <w:szCs w:val="22"/>
        </w:rPr>
        <w:t>Signed……………………………………………</w:t>
      </w:r>
    </w:p>
    <w:p w14:paraId="3A24DE05" w14:textId="77777777" w:rsidR="0062730E" w:rsidRPr="00366557" w:rsidRDefault="0062730E" w:rsidP="00366557">
      <w:pPr>
        <w:pStyle w:val="Heading1"/>
        <w:spacing w:line="360" w:lineRule="auto"/>
        <w:rPr>
          <w:rFonts w:ascii="Arial" w:hAnsi="Arial" w:cs="Arial"/>
          <w:b w:val="0"/>
          <w:bCs/>
          <w:sz w:val="22"/>
          <w:szCs w:val="22"/>
        </w:rPr>
      </w:pPr>
      <w:r w:rsidRPr="00366557">
        <w:rPr>
          <w:rFonts w:ascii="Arial" w:hAnsi="Arial" w:cs="Arial"/>
          <w:b w:val="0"/>
          <w:bCs/>
          <w:sz w:val="22"/>
          <w:szCs w:val="22"/>
        </w:rPr>
        <w:t>Date………………………………………………</w:t>
      </w:r>
    </w:p>
    <w:p w14:paraId="33662E6C" w14:textId="77777777" w:rsidR="0062730E" w:rsidRPr="00366557" w:rsidRDefault="0062730E" w:rsidP="00366557">
      <w:pPr>
        <w:pStyle w:val="Heading1"/>
        <w:spacing w:line="360" w:lineRule="auto"/>
        <w:rPr>
          <w:rFonts w:ascii="Arial" w:hAnsi="Arial" w:cs="Arial"/>
          <w:sz w:val="22"/>
          <w:szCs w:val="22"/>
        </w:rPr>
      </w:pPr>
      <w:r w:rsidRPr="00366557">
        <w:rPr>
          <w:rFonts w:ascii="Arial" w:hAnsi="Arial" w:cs="Arial"/>
          <w:sz w:val="22"/>
          <w:szCs w:val="22"/>
        </w:rPr>
        <w:t xml:space="preserve">STATEMENT 1 </w:t>
      </w:r>
    </w:p>
    <w:p w14:paraId="720FBF72" w14:textId="77777777" w:rsidR="0062730E" w:rsidRPr="00366557" w:rsidRDefault="0062730E" w:rsidP="00366557">
      <w:pPr>
        <w:pStyle w:val="Heading1"/>
        <w:spacing w:line="360" w:lineRule="auto"/>
        <w:rPr>
          <w:rFonts w:ascii="Arial" w:hAnsi="Arial" w:cs="Arial"/>
          <w:b w:val="0"/>
          <w:bCs/>
          <w:sz w:val="22"/>
          <w:szCs w:val="22"/>
        </w:rPr>
      </w:pPr>
      <w:r w:rsidRPr="00366557">
        <w:rPr>
          <w:rFonts w:ascii="Arial" w:hAnsi="Arial" w:cs="Arial"/>
          <w:b w:val="0"/>
          <w:bCs/>
          <w:sz w:val="22"/>
          <w:szCs w:val="22"/>
        </w:rPr>
        <w:t>This dissertation is being submitted in partial fulfilment of the requirements for the degree of BSc.</w:t>
      </w:r>
    </w:p>
    <w:p w14:paraId="61306CED" w14:textId="2EEA049E" w:rsidR="0062730E" w:rsidRPr="00366557" w:rsidRDefault="0062730E" w:rsidP="00366557">
      <w:pPr>
        <w:pStyle w:val="Heading1"/>
        <w:spacing w:line="360" w:lineRule="auto"/>
        <w:rPr>
          <w:rFonts w:ascii="Arial" w:hAnsi="Arial" w:cs="Arial"/>
          <w:b w:val="0"/>
          <w:bCs/>
          <w:sz w:val="22"/>
          <w:szCs w:val="22"/>
        </w:rPr>
      </w:pPr>
      <w:r w:rsidRPr="00366557">
        <w:rPr>
          <w:rFonts w:ascii="Arial" w:hAnsi="Arial" w:cs="Arial"/>
          <w:b w:val="0"/>
          <w:bCs/>
          <w:sz w:val="22"/>
          <w:szCs w:val="22"/>
        </w:rPr>
        <w:t>Signed</w:t>
      </w:r>
      <w:r w:rsidR="006475F7" w:rsidRPr="00366557">
        <w:rPr>
          <w:rFonts w:ascii="Arial" w:hAnsi="Arial" w:cs="Arial"/>
          <w:b w:val="0"/>
          <w:bCs/>
          <w:sz w:val="22"/>
          <w:szCs w:val="22"/>
        </w:rPr>
        <w:t xml:space="preserve"> N</w:t>
      </w:r>
      <w:r w:rsidR="0080603D" w:rsidRPr="00366557">
        <w:rPr>
          <w:rFonts w:ascii="Arial" w:hAnsi="Arial" w:cs="Arial"/>
          <w:b w:val="0"/>
          <w:bCs/>
          <w:sz w:val="22"/>
          <w:szCs w:val="22"/>
        </w:rPr>
        <w:t>azia Sharif</w:t>
      </w:r>
      <w:r w:rsidRPr="00366557">
        <w:rPr>
          <w:rFonts w:ascii="Arial" w:hAnsi="Arial" w:cs="Arial"/>
          <w:b w:val="0"/>
          <w:bCs/>
          <w:sz w:val="22"/>
          <w:szCs w:val="22"/>
        </w:rPr>
        <w:t xml:space="preserve">……………………………………………. </w:t>
      </w:r>
    </w:p>
    <w:p w14:paraId="19CFAB53" w14:textId="6212924E" w:rsidR="0062730E" w:rsidRPr="00366557" w:rsidRDefault="0062730E" w:rsidP="00366557">
      <w:pPr>
        <w:pStyle w:val="Heading1"/>
        <w:spacing w:line="360" w:lineRule="auto"/>
        <w:rPr>
          <w:rFonts w:ascii="Arial" w:hAnsi="Arial" w:cs="Arial"/>
          <w:b w:val="0"/>
          <w:bCs/>
          <w:sz w:val="22"/>
          <w:szCs w:val="22"/>
        </w:rPr>
      </w:pPr>
      <w:r w:rsidRPr="00366557">
        <w:rPr>
          <w:rFonts w:ascii="Arial" w:hAnsi="Arial" w:cs="Arial"/>
          <w:b w:val="0"/>
          <w:bCs/>
          <w:sz w:val="22"/>
          <w:szCs w:val="22"/>
        </w:rPr>
        <w:t>Date</w:t>
      </w:r>
      <w:r w:rsidR="0080603D" w:rsidRPr="00366557">
        <w:rPr>
          <w:rFonts w:ascii="Arial" w:hAnsi="Arial" w:cs="Arial"/>
          <w:b w:val="0"/>
          <w:bCs/>
          <w:sz w:val="22"/>
          <w:szCs w:val="22"/>
        </w:rPr>
        <w:t xml:space="preserve"> 23/07/2026</w:t>
      </w:r>
      <w:r w:rsidRPr="00366557">
        <w:rPr>
          <w:rFonts w:ascii="Arial" w:hAnsi="Arial" w:cs="Arial"/>
          <w:b w:val="0"/>
          <w:bCs/>
          <w:sz w:val="22"/>
          <w:szCs w:val="22"/>
        </w:rPr>
        <w:t>……………………………………………</w:t>
      </w:r>
    </w:p>
    <w:p w14:paraId="4EEC3FDB" w14:textId="77777777" w:rsidR="0062730E" w:rsidRPr="00366557" w:rsidRDefault="0062730E" w:rsidP="00366557">
      <w:pPr>
        <w:pStyle w:val="Heading1"/>
        <w:spacing w:line="360" w:lineRule="auto"/>
        <w:rPr>
          <w:rFonts w:ascii="Arial" w:hAnsi="Arial" w:cs="Arial"/>
          <w:sz w:val="22"/>
          <w:szCs w:val="22"/>
        </w:rPr>
      </w:pPr>
      <w:r w:rsidRPr="00366557">
        <w:rPr>
          <w:rFonts w:ascii="Arial" w:hAnsi="Arial" w:cs="Arial"/>
          <w:sz w:val="22"/>
          <w:szCs w:val="22"/>
        </w:rPr>
        <w:t>STATEMENT 2</w:t>
      </w:r>
    </w:p>
    <w:p w14:paraId="585A90F2" w14:textId="77777777" w:rsidR="0062730E" w:rsidRPr="00366557" w:rsidRDefault="0062730E" w:rsidP="00366557">
      <w:pPr>
        <w:pStyle w:val="Heading1"/>
        <w:spacing w:line="360" w:lineRule="auto"/>
        <w:rPr>
          <w:rFonts w:ascii="Arial" w:hAnsi="Arial" w:cs="Arial"/>
          <w:b w:val="0"/>
          <w:bCs/>
          <w:sz w:val="22"/>
          <w:szCs w:val="22"/>
        </w:rPr>
      </w:pPr>
      <w:r w:rsidRPr="00366557">
        <w:rPr>
          <w:rFonts w:ascii="Arial" w:hAnsi="Arial" w:cs="Arial"/>
          <w:b w:val="0"/>
          <w:bCs/>
          <w:sz w:val="22"/>
          <w:szCs w:val="22"/>
        </w:rPr>
        <w:t>This dissertation is the result of my own independent work/investigation, except where otherwise stated. Other sources are acknowledged by footnotes giving explicit references.  A bibliography is appended.</w:t>
      </w:r>
    </w:p>
    <w:p w14:paraId="25776C55" w14:textId="2D6A7475" w:rsidR="0062730E" w:rsidRPr="00366557" w:rsidRDefault="0062730E" w:rsidP="00366557">
      <w:pPr>
        <w:pStyle w:val="Heading1"/>
        <w:spacing w:line="360" w:lineRule="auto"/>
        <w:rPr>
          <w:rFonts w:ascii="Arial" w:hAnsi="Arial" w:cs="Arial"/>
          <w:b w:val="0"/>
          <w:bCs/>
          <w:sz w:val="22"/>
          <w:szCs w:val="22"/>
        </w:rPr>
      </w:pPr>
      <w:r w:rsidRPr="00366557">
        <w:rPr>
          <w:rFonts w:ascii="Arial" w:hAnsi="Arial" w:cs="Arial"/>
          <w:b w:val="0"/>
          <w:bCs/>
          <w:sz w:val="22"/>
          <w:szCs w:val="22"/>
        </w:rPr>
        <w:t>Signed</w:t>
      </w:r>
      <w:r w:rsidR="0080603D" w:rsidRPr="00366557">
        <w:rPr>
          <w:rFonts w:ascii="Arial" w:hAnsi="Arial" w:cs="Arial"/>
          <w:b w:val="0"/>
          <w:bCs/>
          <w:sz w:val="22"/>
          <w:szCs w:val="22"/>
        </w:rPr>
        <w:t xml:space="preserve"> Nazia Sharif</w:t>
      </w:r>
      <w:r w:rsidRPr="00366557">
        <w:rPr>
          <w:rFonts w:ascii="Arial" w:hAnsi="Arial" w:cs="Arial"/>
          <w:b w:val="0"/>
          <w:bCs/>
          <w:sz w:val="22"/>
          <w:szCs w:val="22"/>
        </w:rPr>
        <w:t>……………………………………………</w:t>
      </w:r>
    </w:p>
    <w:p w14:paraId="7183B93D" w14:textId="210907F3" w:rsidR="0062730E" w:rsidRPr="00366557" w:rsidRDefault="0062730E" w:rsidP="00366557">
      <w:pPr>
        <w:pStyle w:val="Heading1"/>
        <w:spacing w:line="360" w:lineRule="auto"/>
        <w:rPr>
          <w:rFonts w:ascii="Arial" w:hAnsi="Arial" w:cs="Arial"/>
          <w:b w:val="0"/>
          <w:bCs/>
          <w:sz w:val="22"/>
          <w:szCs w:val="22"/>
        </w:rPr>
      </w:pPr>
      <w:r w:rsidRPr="00366557">
        <w:rPr>
          <w:rFonts w:ascii="Arial" w:hAnsi="Arial" w:cs="Arial"/>
          <w:b w:val="0"/>
          <w:bCs/>
          <w:sz w:val="22"/>
          <w:szCs w:val="22"/>
        </w:rPr>
        <w:t>Date</w:t>
      </w:r>
      <w:r w:rsidR="0080603D" w:rsidRPr="00366557">
        <w:rPr>
          <w:rFonts w:ascii="Arial" w:hAnsi="Arial" w:cs="Arial"/>
          <w:b w:val="0"/>
          <w:bCs/>
          <w:sz w:val="22"/>
          <w:szCs w:val="22"/>
        </w:rPr>
        <w:t xml:space="preserve"> 23/07/2026</w:t>
      </w:r>
      <w:r w:rsidRPr="00366557">
        <w:rPr>
          <w:rFonts w:ascii="Arial" w:hAnsi="Arial" w:cs="Arial"/>
          <w:b w:val="0"/>
          <w:bCs/>
          <w:sz w:val="22"/>
          <w:szCs w:val="22"/>
        </w:rPr>
        <w:t xml:space="preserve">……………………………………………… </w:t>
      </w:r>
    </w:p>
    <w:p w14:paraId="65665A7C" w14:textId="77777777" w:rsidR="0062730E" w:rsidRPr="00366557" w:rsidRDefault="0062730E" w:rsidP="00366557">
      <w:pPr>
        <w:pStyle w:val="Heading1"/>
        <w:spacing w:line="360" w:lineRule="auto"/>
        <w:rPr>
          <w:rFonts w:ascii="Arial" w:hAnsi="Arial" w:cs="Arial"/>
          <w:sz w:val="22"/>
          <w:szCs w:val="22"/>
        </w:rPr>
      </w:pPr>
      <w:r w:rsidRPr="00366557">
        <w:rPr>
          <w:rFonts w:ascii="Arial" w:hAnsi="Arial" w:cs="Arial"/>
          <w:sz w:val="22"/>
          <w:szCs w:val="22"/>
        </w:rPr>
        <w:t>STATEMENT 3</w:t>
      </w:r>
    </w:p>
    <w:p w14:paraId="22AA34AB" w14:textId="77777777" w:rsidR="0062730E" w:rsidRPr="00366557" w:rsidRDefault="0062730E" w:rsidP="00366557">
      <w:pPr>
        <w:pStyle w:val="Heading1"/>
        <w:spacing w:line="360" w:lineRule="auto"/>
        <w:rPr>
          <w:rFonts w:ascii="Arial" w:hAnsi="Arial" w:cs="Arial"/>
          <w:b w:val="0"/>
          <w:bCs/>
          <w:sz w:val="22"/>
          <w:szCs w:val="22"/>
        </w:rPr>
      </w:pPr>
      <w:r w:rsidRPr="00366557">
        <w:rPr>
          <w:rFonts w:ascii="Arial" w:hAnsi="Arial" w:cs="Arial"/>
          <w:b w:val="0"/>
          <w:bCs/>
          <w:sz w:val="22"/>
          <w:szCs w:val="22"/>
        </w:rPr>
        <w:t>I hereby give consent for my dissertation, if accepted, to be available for photocopying and for interlibrary loan, and for the title and summary to be made available to outside organisations.</w:t>
      </w:r>
    </w:p>
    <w:p w14:paraId="76B353FE" w14:textId="00F03F0B" w:rsidR="0062730E" w:rsidRPr="00366557" w:rsidRDefault="0062730E" w:rsidP="00366557">
      <w:pPr>
        <w:pStyle w:val="Heading1"/>
        <w:spacing w:line="360" w:lineRule="auto"/>
        <w:rPr>
          <w:rFonts w:ascii="Arial" w:hAnsi="Arial" w:cs="Arial"/>
          <w:b w:val="0"/>
          <w:bCs/>
          <w:sz w:val="22"/>
          <w:szCs w:val="22"/>
        </w:rPr>
      </w:pPr>
      <w:r w:rsidRPr="00366557">
        <w:rPr>
          <w:rFonts w:ascii="Arial" w:hAnsi="Arial" w:cs="Arial"/>
          <w:b w:val="0"/>
          <w:bCs/>
          <w:sz w:val="22"/>
          <w:szCs w:val="22"/>
        </w:rPr>
        <w:t>Signed</w:t>
      </w:r>
      <w:r w:rsidR="00294691" w:rsidRPr="00366557">
        <w:rPr>
          <w:rFonts w:ascii="Arial" w:hAnsi="Arial" w:cs="Arial"/>
          <w:b w:val="0"/>
          <w:bCs/>
          <w:sz w:val="22"/>
          <w:szCs w:val="22"/>
        </w:rPr>
        <w:t xml:space="preserve"> Nazia Sharif</w:t>
      </w:r>
      <w:r w:rsidRPr="00366557">
        <w:rPr>
          <w:rFonts w:ascii="Arial" w:hAnsi="Arial" w:cs="Arial"/>
          <w:b w:val="0"/>
          <w:bCs/>
          <w:sz w:val="22"/>
          <w:szCs w:val="22"/>
        </w:rPr>
        <w:t>………………………………………………</w:t>
      </w:r>
    </w:p>
    <w:p w14:paraId="58AA293D" w14:textId="1DCC4AA7" w:rsidR="0062730E" w:rsidRPr="00366557" w:rsidRDefault="0062730E" w:rsidP="00366557">
      <w:pPr>
        <w:pStyle w:val="Heading1"/>
        <w:spacing w:line="360" w:lineRule="auto"/>
        <w:rPr>
          <w:rFonts w:ascii="Arial" w:hAnsi="Arial" w:cs="Arial"/>
          <w:b w:val="0"/>
          <w:bCs/>
          <w:sz w:val="22"/>
          <w:szCs w:val="22"/>
        </w:rPr>
      </w:pPr>
      <w:r w:rsidRPr="00366557">
        <w:rPr>
          <w:rFonts w:ascii="Arial" w:hAnsi="Arial" w:cs="Arial"/>
          <w:b w:val="0"/>
          <w:bCs/>
          <w:sz w:val="22"/>
          <w:szCs w:val="22"/>
        </w:rPr>
        <w:t>Date</w:t>
      </w:r>
      <w:r w:rsidR="00232A07" w:rsidRPr="00366557">
        <w:rPr>
          <w:rFonts w:ascii="Arial" w:hAnsi="Arial" w:cs="Arial"/>
          <w:b w:val="0"/>
          <w:bCs/>
          <w:sz w:val="22"/>
          <w:szCs w:val="22"/>
        </w:rPr>
        <w:t xml:space="preserve"> 23/07</w:t>
      </w:r>
      <w:r w:rsidR="00793551" w:rsidRPr="00366557">
        <w:rPr>
          <w:rFonts w:ascii="Arial" w:hAnsi="Arial" w:cs="Arial"/>
          <w:b w:val="0"/>
          <w:bCs/>
          <w:sz w:val="22"/>
          <w:szCs w:val="22"/>
        </w:rPr>
        <w:t>/2026</w:t>
      </w:r>
      <w:r w:rsidRPr="00366557">
        <w:rPr>
          <w:rFonts w:ascii="Arial" w:hAnsi="Arial" w:cs="Arial"/>
          <w:b w:val="0"/>
          <w:bCs/>
          <w:sz w:val="22"/>
          <w:szCs w:val="22"/>
        </w:rPr>
        <w:t>…………………………………………………</w:t>
      </w:r>
    </w:p>
    <w:p w14:paraId="12FCEDA4" w14:textId="77777777" w:rsidR="0062730E" w:rsidRPr="00366557" w:rsidRDefault="0062730E" w:rsidP="00366557">
      <w:pPr>
        <w:pStyle w:val="Heading1"/>
        <w:spacing w:line="360" w:lineRule="auto"/>
        <w:rPr>
          <w:rFonts w:ascii="Arial" w:hAnsi="Arial" w:cs="Arial"/>
          <w:sz w:val="22"/>
          <w:szCs w:val="22"/>
        </w:rPr>
      </w:pPr>
      <w:r w:rsidRPr="00366557">
        <w:rPr>
          <w:rFonts w:ascii="Arial" w:hAnsi="Arial" w:cs="Arial"/>
          <w:sz w:val="22"/>
          <w:szCs w:val="22"/>
        </w:rPr>
        <w:t>STATEMENT 4</w:t>
      </w:r>
    </w:p>
    <w:p w14:paraId="0C357650" w14:textId="77777777" w:rsidR="0062730E" w:rsidRPr="00366557" w:rsidRDefault="0062730E" w:rsidP="00366557">
      <w:pPr>
        <w:pStyle w:val="Heading1"/>
        <w:spacing w:line="360" w:lineRule="auto"/>
        <w:rPr>
          <w:rFonts w:ascii="Arial" w:hAnsi="Arial" w:cs="Arial"/>
          <w:b w:val="0"/>
          <w:bCs/>
          <w:sz w:val="22"/>
          <w:szCs w:val="22"/>
        </w:rPr>
      </w:pPr>
      <w:r w:rsidRPr="00366557">
        <w:rPr>
          <w:rFonts w:ascii="Arial" w:hAnsi="Arial" w:cs="Arial"/>
          <w:b w:val="0"/>
          <w:bCs/>
          <w:sz w:val="22"/>
          <w:szCs w:val="22"/>
        </w:rPr>
        <w:t>I hereby give consent for my dissertation, if accepted, to be available on the university’s IT system to those who have consent to use the system.</w:t>
      </w:r>
    </w:p>
    <w:p w14:paraId="7A088458" w14:textId="52BFA169" w:rsidR="0062730E" w:rsidRPr="00366557" w:rsidRDefault="0062730E" w:rsidP="00366557">
      <w:pPr>
        <w:pStyle w:val="Heading1"/>
        <w:spacing w:line="360" w:lineRule="auto"/>
        <w:rPr>
          <w:rFonts w:ascii="Arial" w:hAnsi="Arial" w:cs="Arial"/>
          <w:b w:val="0"/>
          <w:bCs/>
          <w:sz w:val="22"/>
          <w:szCs w:val="22"/>
        </w:rPr>
      </w:pPr>
      <w:r w:rsidRPr="00366557">
        <w:rPr>
          <w:rFonts w:ascii="Arial" w:hAnsi="Arial" w:cs="Arial"/>
          <w:b w:val="0"/>
          <w:bCs/>
          <w:sz w:val="22"/>
          <w:szCs w:val="22"/>
        </w:rPr>
        <w:t>Signed</w:t>
      </w:r>
      <w:r w:rsidR="00301EA0" w:rsidRPr="00366557">
        <w:rPr>
          <w:rFonts w:ascii="Arial" w:hAnsi="Arial" w:cs="Arial"/>
          <w:b w:val="0"/>
          <w:bCs/>
          <w:sz w:val="22"/>
          <w:szCs w:val="22"/>
        </w:rPr>
        <w:t xml:space="preserve"> Nazia Sharif</w:t>
      </w:r>
      <w:r w:rsidRPr="00366557">
        <w:rPr>
          <w:rFonts w:ascii="Arial" w:hAnsi="Arial" w:cs="Arial"/>
          <w:b w:val="0"/>
          <w:bCs/>
          <w:sz w:val="22"/>
          <w:szCs w:val="22"/>
        </w:rPr>
        <w:t>………………………………………………</w:t>
      </w:r>
    </w:p>
    <w:p w14:paraId="5D410FA7" w14:textId="439A91E4" w:rsidR="00EB2790" w:rsidRPr="00366557" w:rsidRDefault="0062730E" w:rsidP="00366557">
      <w:pPr>
        <w:pStyle w:val="Heading1"/>
        <w:spacing w:line="360" w:lineRule="auto"/>
        <w:rPr>
          <w:rFonts w:ascii="Arial" w:hAnsi="Arial" w:cs="Arial"/>
          <w:b w:val="0"/>
          <w:bCs/>
          <w:sz w:val="22"/>
          <w:szCs w:val="22"/>
        </w:rPr>
      </w:pPr>
      <w:r w:rsidRPr="00366557">
        <w:rPr>
          <w:rFonts w:ascii="Arial" w:hAnsi="Arial" w:cs="Arial"/>
          <w:b w:val="0"/>
          <w:bCs/>
          <w:sz w:val="22"/>
          <w:szCs w:val="22"/>
        </w:rPr>
        <w:lastRenderedPageBreak/>
        <w:t>Date</w:t>
      </w:r>
      <w:r w:rsidR="00301EA0" w:rsidRPr="00366557">
        <w:rPr>
          <w:rFonts w:ascii="Arial" w:hAnsi="Arial" w:cs="Arial"/>
          <w:b w:val="0"/>
          <w:bCs/>
          <w:sz w:val="22"/>
          <w:szCs w:val="22"/>
        </w:rPr>
        <w:t xml:space="preserve"> 23/07/2026</w:t>
      </w:r>
      <w:r w:rsidRPr="00366557">
        <w:rPr>
          <w:rFonts w:ascii="Arial" w:hAnsi="Arial" w:cs="Arial"/>
          <w:b w:val="0"/>
          <w:bCs/>
          <w:sz w:val="22"/>
          <w:szCs w:val="22"/>
        </w:rPr>
        <w:t>…………………………………………………</w:t>
      </w:r>
    </w:p>
    <w:p w14:paraId="377F6443" w14:textId="77777777" w:rsidR="00E051F9" w:rsidRPr="00366557" w:rsidRDefault="00E051F9" w:rsidP="00366557">
      <w:pPr>
        <w:spacing w:line="360" w:lineRule="auto"/>
        <w:rPr>
          <w:rFonts w:ascii="Arial" w:hAnsi="Arial" w:cs="Arial"/>
          <w:sz w:val="22"/>
        </w:rPr>
      </w:pPr>
    </w:p>
    <w:p w14:paraId="1158ADF1" w14:textId="77777777" w:rsidR="00E051F9" w:rsidRPr="00366557" w:rsidRDefault="00E051F9" w:rsidP="00366557">
      <w:pPr>
        <w:spacing w:line="360" w:lineRule="auto"/>
        <w:rPr>
          <w:rFonts w:ascii="Arial" w:hAnsi="Arial" w:cs="Arial"/>
          <w:sz w:val="22"/>
        </w:rPr>
      </w:pPr>
    </w:p>
    <w:p w14:paraId="09A8E15C" w14:textId="77777777" w:rsidR="00C2635D" w:rsidRPr="00366557" w:rsidRDefault="00C2635D" w:rsidP="00366557">
      <w:pPr>
        <w:spacing w:line="360" w:lineRule="auto"/>
        <w:rPr>
          <w:rFonts w:ascii="Arial" w:hAnsi="Arial" w:cs="Arial"/>
          <w:sz w:val="22"/>
        </w:rPr>
      </w:pPr>
    </w:p>
    <w:p w14:paraId="2EDA37A7" w14:textId="77777777" w:rsidR="00C2635D" w:rsidRPr="00366557" w:rsidRDefault="00C2635D" w:rsidP="00366557">
      <w:pPr>
        <w:spacing w:line="360" w:lineRule="auto"/>
        <w:rPr>
          <w:rFonts w:ascii="Arial" w:hAnsi="Arial" w:cs="Arial"/>
          <w:b/>
          <w:sz w:val="22"/>
        </w:rPr>
      </w:pPr>
      <w:r w:rsidRPr="00366557">
        <w:rPr>
          <w:rFonts w:ascii="Arial" w:hAnsi="Arial" w:cs="Arial"/>
          <w:b/>
          <w:sz w:val="22"/>
        </w:rPr>
        <w:t>Research Dissertation</w:t>
      </w:r>
    </w:p>
    <w:p w14:paraId="0495C21C" w14:textId="77777777" w:rsidR="00C2635D" w:rsidRPr="00366557" w:rsidRDefault="00C2635D" w:rsidP="00366557">
      <w:pPr>
        <w:spacing w:line="360" w:lineRule="auto"/>
        <w:rPr>
          <w:rFonts w:ascii="Arial" w:hAnsi="Arial" w:cs="Arial"/>
          <w:b/>
          <w:sz w:val="22"/>
        </w:rPr>
      </w:pPr>
      <w:r w:rsidRPr="00366557">
        <w:rPr>
          <w:rFonts w:ascii="Arial" w:hAnsi="Arial" w:cs="Arial"/>
          <w:b/>
          <w:sz w:val="22"/>
        </w:rPr>
        <w:t>Difficulties in Providing Transgender People in the UK with Inclusive Health and Social Care: A Review of Practice, Policy, and Experiences</w:t>
      </w:r>
    </w:p>
    <w:p w14:paraId="004467BE" w14:textId="77777777" w:rsidR="00C2635D" w:rsidRPr="00366557" w:rsidRDefault="00C2635D" w:rsidP="00366557">
      <w:pPr>
        <w:spacing w:line="360" w:lineRule="auto"/>
        <w:rPr>
          <w:rFonts w:ascii="Arial" w:hAnsi="Arial" w:cs="Arial"/>
          <w:b/>
          <w:sz w:val="22"/>
        </w:rPr>
      </w:pPr>
      <w:r w:rsidRPr="00366557">
        <w:rPr>
          <w:rFonts w:ascii="Arial" w:hAnsi="Arial" w:cs="Arial"/>
          <w:b/>
          <w:sz w:val="22"/>
        </w:rPr>
        <w:t>Student Name- Nazia Sharif</w:t>
      </w:r>
    </w:p>
    <w:p w14:paraId="368E4BB4" w14:textId="48C4B6DA" w:rsidR="00986E33" w:rsidRPr="00366557" w:rsidRDefault="007D1A3B" w:rsidP="00366557">
      <w:pPr>
        <w:spacing w:line="360" w:lineRule="auto"/>
        <w:rPr>
          <w:rFonts w:ascii="Arial" w:hAnsi="Arial" w:cs="Arial"/>
          <w:b/>
          <w:sz w:val="22"/>
        </w:rPr>
      </w:pPr>
      <w:r w:rsidRPr="00366557">
        <w:rPr>
          <w:rFonts w:ascii="Arial" w:hAnsi="Arial" w:cs="Arial"/>
          <w:b/>
          <w:sz w:val="22"/>
        </w:rPr>
        <w:t>Student Number-1907313</w:t>
      </w:r>
    </w:p>
    <w:p w14:paraId="5B4CA702" w14:textId="77777777" w:rsidR="00C2635D" w:rsidRPr="00366557" w:rsidRDefault="00C2635D" w:rsidP="00366557">
      <w:pPr>
        <w:spacing w:line="360" w:lineRule="auto"/>
        <w:rPr>
          <w:rFonts w:ascii="Arial" w:hAnsi="Arial" w:cs="Arial"/>
          <w:b/>
          <w:sz w:val="22"/>
        </w:rPr>
      </w:pPr>
      <w:r w:rsidRPr="00366557">
        <w:rPr>
          <w:rFonts w:ascii="Arial" w:hAnsi="Arial" w:cs="Arial"/>
          <w:b/>
          <w:sz w:val="22"/>
        </w:rPr>
        <w:t>Date- 19/06/2026</w:t>
      </w:r>
    </w:p>
    <w:p w14:paraId="26AFE068" w14:textId="77777777" w:rsidR="00C2635D" w:rsidRPr="00366557" w:rsidRDefault="00C2635D" w:rsidP="00366557">
      <w:pPr>
        <w:spacing w:line="360" w:lineRule="auto"/>
        <w:rPr>
          <w:rFonts w:ascii="Arial" w:hAnsi="Arial" w:cs="Arial"/>
          <w:b/>
          <w:sz w:val="22"/>
        </w:rPr>
      </w:pPr>
      <w:r w:rsidRPr="00366557">
        <w:rPr>
          <w:rFonts w:ascii="Arial" w:hAnsi="Arial" w:cs="Arial"/>
          <w:b/>
          <w:sz w:val="22"/>
        </w:rPr>
        <w:t>Lecturer- Chloe Davies</w:t>
      </w:r>
    </w:p>
    <w:p w14:paraId="4440AE21" w14:textId="77777777" w:rsidR="00C2635D" w:rsidRPr="00366557" w:rsidRDefault="00C2635D" w:rsidP="00366557">
      <w:pPr>
        <w:spacing w:line="360" w:lineRule="auto"/>
        <w:rPr>
          <w:rFonts w:ascii="Arial" w:hAnsi="Arial" w:cs="Arial"/>
          <w:b/>
          <w:sz w:val="22"/>
        </w:rPr>
      </w:pPr>
      <w:r w:rsidRPr="00366557">
        <w:rPr>
          <w:rFonts w:ascii="Arial" w:hAnsi="Arial" w:cs="Arial"/>
          <w:b/>
          <w:sz w:val="22"/>
        </w:rPr>
        <w:t>Module Number- BMHP6020</w:t>
      </w:r>
    </w:p>
    <w:p w14:paraId="0ADCB649" w14:textId="77777777" w:rsidR="00EB2790" w:rsidRPr="00366557" w:rsidRDefault="00EB2790" w:rsidP="00366557">
      <w:pPr>
        <w:pStyle w:val="Heading1"/>
        <w:spacing w:after="160" w:line="360" w:lineRule="auto"/>
        <w:rPr>
          <w:rFonts w:ascii="Arial" w:hAnsi="Arial" w:cs="Arial"/>
          <w:sz w:val="22"/>
          <w:szCs w:val="22"/>
        </w:rPr>
      </w:pPr>
    </w:p>
    <w:p w14:paraId="7F4759D4" w14:textId="77777777" w:rsidR="002E6AAF" w:rsidRPr="00366557" w:rsidRDefault="002E6AAF" w:rsidP="00366557">
      <w:pPr>
        <w:pStyle w:val="Heading1"/>
        <w:spacing w:after="160" w:line="360" w:lineRule="auto"/>
        <w:rPr>
          <w:rFonts w:ascii="Arial" w:hAnsi="Arial" w:cs="Arial"/>
          <w:sz w:val="22"/>
          <w:szCs w:val="22"/>
        </w:rPr>
      </w:pPr>
    </w:p>
    <w:p w14:paraId="2198B05F" w14:textId="77777777" w:rsidR="002E6AAF" w:rsidRPr="00366557" w:rsidRDefault="002E6AAF" w:rsidP="00366557">
      <w:pPr>
        <w:pStyle w:val="Heading1"/>
        <w:spacing w:after="160" w:line="360" w:lineRule="auto"/>
        <w:rPr>
          <w:rFonts w:ascii="Arial" w:hAnsi="Arial" w:cs="Arial"/>
          <w:sz w:val="22"/>
          <w:szCs w:val="22"/>
        </w:rPr>
      </w:pPr>
    </w:p>
    <w:p w14:paraId="5E8CBB7A" w14:textId="77777777" w:rsidR="002E6AAF" w:rsidRPr="00366557" w:rsidRDefault="002E6AAF" w:rsidP="00366557">
      <w:pPr>
        <w:pStyle w:val="Heading1"/>
        <w:spacing w:after="160" w:line="360" w:lineRule="auto"/>
        <w:rPr>
          <w:rFonts w:ascii="Arial" w:hAnsi="Arial" w:cs="Arial"/>
          <w:sz w:val="22"/>
          <w:szCs w:val="22"/>
        </w:rPr>
      </w:pPr>
    </w:p>
    <w:p w14:paraId="62C78635" w14:textId="77777777" w:rsidR="007D1A3B" w:rsidRPr="00366557" w:rsidRDefault="007D1A3B" w:rsidP="00366557">
      <w:pPr>
        <w:pStyle w:val="Heading1"/>
        <w:spacing w:after="160" w:line="360" w:lineRule="auto"/>
        <w:rPr>
          <w:rFonts w:ascii="Arial" w:hAnsi="Arial" w:cs="Arial"/>
          <w:sz w:val="22"/>
          <w:szCs w:val="22"/>
        </w:rPr>
      </w:pPr>
    </w:p>
    <w:p w14:paraId="61671C15" w14:textId="77777777" w:rsidR="007D1A3B" w:rsidRPr="00366557" w:rsidRDefault="007D1A3B" w:rsidP="00366557">
      <w:pPr>
        <w:pStyle w:val="Heading1"/>
        <w:spacing w:after="160" w:line="360" w:lineRule="auto"/>
        <w:rPr>
          <w:rFonts w:ascii="Arial" w:hAnsi="Arial" w:cs="Arial"/>
          <w:sz w:val="22"/>
          <w:szCs w:val="22"/>
        </w:rPr>
      </w:pPr>
    </w:p>
    <w:p w14:paraId="5137E06C" w14:textId="77777777" w:rsidR="007D1A3B" w:rsidRPr="00366557" w:rsidRDefault="007D1A3B" w:rsidP="00366557">
      <w:pPr>
        <w:pStyle w:val="Heading1"/>
        <w:spacing w:after="160" w:line="360" w:lineRule="auto"/>
        <w:rPr>
          <w:rFonts w:ascii="Arial" w:hAnsi="Arial" w:cs="Arial"/>
          <w:sz w:val="22"/>
          <w:szCs w:val="22"/>
        </w:rPr>
      </w:pPr>
    </w:p>
    <w:p w14:paraId="6C7B09AE" w14:textId="77777777" w:rsidR="007D1A3B" w:rsidRPr="00366557" w:rsidRDefault="007D1A3B" w:rsidP="00366557">
      <w:pPr>
        <w:pStyle w:val="Heading1"/>
        <w:spacing w:after="160" w:line="360" w:lineRule="auto"/>
        <w:rPr>
          <w:rFonts w:ascii="Arial" w:hAnsi="Arial" w:cs="Arial"/>
          <w:sz w:val="22"/>
          <w:szCs w:val="22"/>
        </w:rPr>
      </w:pPr>
    </w:p>
    <w:p w14:paraId="7B93EC87" w14:textId="77777777" w:rsidR="007D1A3B" w:rsidRPr="00366557" w:rsidRDefault="007D1A3B" w:rsidP="00366557">
      <w:pPr>
        <w:pStyle w:val="Heading1"/>
        <w:spacing w:after="160" w:line="360" w:lineRule="auto"/>
        <w:rPr>
          <w:rFonts w:ascii="Arial" w:hAnsi="Arial" w:cs="Arial"/>
          <w:sz w:val="22"/>
          <w:szCs w:val="22"/>
        </w:rPr>
      </w:pPr>
    </w:p>
    <w:p w14:paraId="52AAD1DE" w14:textId="77777777" w:rsidR="008261B8" w:rsidRDefault="008261B8" w:rsidP="00366557">
      <w:pPr>
        <w:pStyle w:val="Heading1"/>
        <w:spacing w:after="160" w:line="360" w:lineRule="auto"/>
        <w:rPr>
          <w:rFonts w:ascii="Arial" w:hAnsi="Arial" w:cs="Arial"/>
          <w:sz w:val="22"/>
          <w:szCs w:val="22"/>
        </w:rPr>
      </w:pPr>
    </w:p>
    <w:p w14:paraId="59AE4713" w14:textId="2AD1EE2C" w:rsidR="00DF3FDB" w:rsidRPr="00366557" w:rsidRDefault="00357420" w:rsidP="00366557">
      <w:pPr>
        <w:pStyle w:val="Heading1"/>
        <w:spacing w:after="160" w:line="360" w:lineRule="auto"/>
        <w:rPr>
          <w:rFonts w:ascii="Arial" w:hAnsi="Arial" w:cs="Arial"/>
          <w:sz w:val="22"/>
          <w:szCs w:val="22"/>
        </w:rPr>
      </w:pPr>
      <w:r w:rsidRPr="00366557">
        <w:rPr>
          <w:rFonts w:ascii="Arial" w:hAnsi="Arial" w:cs="Arial"/>
          <w:sz w:val="22"/>
          <w:szCs w:val="22"/>
        </w:rPr>
        <w:t>Acknowledgement</w:t>
      </w:r>
      <w:bookmarkEnd w:id="0"/>
      <w:bookmarkEnd w:id="1"/>
      <w:bookmarkEnd w:id="2"/>
    </w:p>
    <w:p w14:paraId="636BADC0" w14:textId="1913661F" w:rsidR="00D4369C" w:rsidRPr="00366557" w:rsidRDefault="00D4369C" w:rsidP="00366557">
      <w:pPr>
        <w:spacing w:line="360" w:lineRule="auto"/>
        <w:rPr>
          <w:rFonts w:ascii="Arial" w:hAnsi="Arial" w:cs="Arial"/>
          <w:sz w:val="22"/>
        </w:rPr>
      </w:pPr>
      <w:r w:rsidRPr="00366557">
        <w:rPr>
          <w:rFonts w:ascii="Arial" w:hAnsi="Arial" w:cs="Arial"/>
          <w:sz w:val="22"/>
        </w:rPr>
        <w:t>This dissertation would not have been completed without the help, guidance and encouragement of my sister Shaz and friend Safina. I would like to thank my dissertation lecturer Chloe for her great guidance, feedback and ongoing support in the research process. I would also like to thank the academic staff who supported and encouraged me in developing this dissertation. Their knowledge and expertise helped me understand the topic area and the research process. Library and learning support staff are appreciated for their support in obtaining academic resources, databases and research materials that were critical to this study. Their assistance was of great help in the literature search and literature review. Last but not least, I thank my fellow students, friends and family for their patience, motivation, and encouragement in finishing this dissertation. Their encouragement kept me motivated and persistent in my independent research experience. Many thanks to all who supported this work.</w:t>
      </w:r>
    </w:p>
    <w:p w14:paraId="6D0C4E2E" w14:textId="77777777" w:rsidR="00DF3FDB" w:rsidRPr="00366557" w:rsidRDefault="00DF3FDB" w:rsidP="00366557">
      <w:pPr>
        <w:spacing w:line="360" w:lineRule="auto"/>
        <w:rPr>
          <w:rFonts w:ascii="Arial" w:hAnsi="Arial" w:cs="Arial"/>
          <w:sz w:val="22"/>
        </w:rPr>
      </w:pPr>
    </w:p>
    <w:p w14:paraId="110FE0CD" w14:textId="292FD59E" w:rsidR="00A865F0" w:rsidRPr="00366557" w:rsidRDefault="00357420" w:rsidP="00366557">
      <w:pPr>
        <w:spacing w:line="360" w:lineRule="auto"/>
        <w:rPr>
          <w:rFonts w:ascii="Arial" w:hAnsi="Arial" w:cs="Arial"/>
          <w:sz w:val="22"/>
        </w:rPr>
      </w:pPr>
      <w:r w:rsidRPr="00366557">
        <w:rPr>
          <w:rFonts w:ascii="Arial" w:hAnsi="Arial" w:cs="Arial"/>
          <w:sz w:val="22"/>
        </w:rPr>
        <w:br w:type="page"/>
      </w:r>
    </w:p>
    <w:p w14:paraId="3939CC64" w14:textId="687B5AD6" w:rsidR="00A865F0" w:rsidRPr="00366557" w:rsidRDefault="00357420" w:rsidP="00366557">
      <w:pPr>
        <w:pStyle w:val="Heading1"/>
        <w:spacing w:after="160" w:line="360" w:lineRule="auto"/>
        <w:rPr>
          <w:rFonts w:ascii="Arial" w:hAnsi="Arial" w:cs="Arial"/>
          <w:sz w:val="22"/>
          <w:szCs w:val="22"/>
        </w:rPr>
      </w:pPr>
      <w:bookmarkStart w:id="3" w:name="_Toc232709810"/>
      <w:bookmarkStart w:id="4" w:name="_Toc235118445"/>
      <w:bookmarkStart w:id="5" w:name="_Toc235121177"/>
      <w:r w:rsidRPr="00366557">
        <w:rPr>
          <w:rFonts w:ascii="Arial" w:hAnsi="Arial" w:cs="Arial"/>
          <w:sz w:val="22"/>
          <w:szCs w:val="22"/>
        </w:rPr>
        <w:lastRenderedPageBreak/>
        <w:t>Abstract</w:t>
      </w:r>
      <w:bookmarkEnd w:id="3"/>
      <w:bookmarkEnd w:id="4"/>
      <w:bookmarkEnd w:id="5"/>
    </w:p>
    <w:p w14:paraId="5C6084C5" w14:textId="13C5E3F9" w:rsidR="003E4070" w:rsidRPr="00366557" w:rsidRDefault="00357420" w:rsidP="00366557">
      <w:pPr>
        <w:spacing w:line="360" w:lineRule="auto"/>
        <w:rPr>
          <w:rFonts w:ascii="Arial" w:hAnsi="Arial" w:cs="Arial"/>
          <w:sz w:val="22"/>
          <w:highlight w:val="yellow"/>
        </w:rPr>
      </w:pPr>
      <w:r w:rsidRPr="00366557">
        <w:rPr>
          <w:rFonts w:ascii="Arial" w:hAnsi="Arial" w:cs="Arial"/>
          <w:sz w:val="22"/>
        </w:rPr>
        <w:t>This dissertation was primarily concerned with examining the experiences of transgender people whilst accessing health and social care in the United Kingdom, with a particular focus on the obstacles to accessing inclusive, respectful and appropriate care. The study aimed to identify the key concepts associated with transgender identity and inclusive care, to review evidence of health inequalities, exclusion and discrimination in the context of transgender identity and to review relevant UK policies and professional guidance and to draw recommendations for practical steps to promote diversity and improve service delivery and care with regard to transgender identity. The significance of the research lies in the fact that transgender individuals are still suffering inequalities in health services, although they have legislative protections and there is a growing awareness of the need for inclusive practice.</w:t>
      </w:r>
    </w:p>
    <w:p w14:paraId="2C9588D2" w14:textId="77777777" w:rsidR="004429BE" w:rsidRPr="00366557" w:rsidRDefault="00357420" w:rsidP="00366557">
      <w:pPr>
        <w:spacing w:line="360" w:lineRule="auto"/>
        <w:rPr>
          <w:rFonts w:ascii="Arial" w:hAnsi="Arial" w:cs="Arial"/>
          <w:sz w:val="22"/>
        </w:rPr>
      </w:pPr>
      <w:r w:rsidRPr="00366557">
        <w:rPr>
          <w:rFonts w:ascii="Arial" w:hAnsi="Arial" w:cs="Arial"/>
          <w:sz w:val="22"/>
        </w:rPr>
        <w:t>Secondary research methodology was used with a structured review of published literature. Thematic analysis was used to find themes and relationships between the evidence in credible peer-reviewed journal articles, policy documents, organisational reports and official publications. The analysis revealed three themes: Individual Lived Experience and Access to Care, Structural and Institutional Causes of These Experiences, and Practice, Communication, Training, and Workforce Preparedness. These themes highlighted that there are barriers to inclusive healthcare when individual experience, organisational systems and professional practice interact.</w:t>
      </w:r>
    </w:p>
    <w:p w14:paraId="096E926C" w14:textId="2F09F8AB" w:rsidR="004429BE" w:rsidRPr="00366557" w:rsidRDefault="00357420" w:rsidP="00366557">
      <w:pPr>
        <w:spacing w:line="360" w:lineRule="auto"/>
        <w:rPr>
          <w:rFonts w:ascii="Arial" w:hAnsi="Arial" w:cs="Arial"/>
          <w:sz w:val="22"/>
          <w:highlight w:val="yellow"/>
        </w:rPr>
      </w:pPr>
      <w:r w:rsidRPr="00366557">
        <w:rPr>
          <w:rFonts w:ascii="Arial" w:hAnsi="Arial" w:cs="Arial"/>
          <w:sz w:val="22"/>
        </w:rPr>
        <w:t>The results indicated that transgender people still face service delays, discrimination, incongruence of communication, a lack of workforce knowledge and structural barriers to trust in health and social care. Equality legislation and professional guidance encourage the provision of inclusive care, but there is no consistency of provision in different health care settings. The review also highlighted weaknesses concerning differences in study populations, the reliance on qualitative evidence, and the lack of specific research in the UK, which might impact the generalisable nature of the findings.</w:t>
      </w:r>
    </w:p>
    <w:p w14:paraId="6B024E5C" w14:textId="03C843AB" w:rsidR="004429BE" w:rsidRPr="00366557" w:rsidRDefault="00357420" w:rsidP="00366557">
      <w:pPr>
        <w:spacing w:line="360" w:lineRule="auto"/>
        <w:rPr>
          <w:rFonts w:ascii="Arial" w:hAnsi="Arial" w:cs="Arial"/>
          <w:sz w:val="22"/>
        </w:rPr>
      </w:pPr>
      <w:r w:rsidRPr="00366557">
        <w:rPr>
          <w:rFonts w:ascii="Arial" w:hAnsi="Arial" w:cs="Arial"/>
          <w:sz w:val="22"/>
        </w:rPr>
        <w:t>In general, the dissertation's findings suggested that coordinated policies and organisational and clinical efforts are needed to enhance the care provided to transgender people. Recommendations were aimed at enhancing mandatory education for workers, inclusive organisational policies and referral, and for transgender people to be meaningfully involved in the design, delivery and evaluation of health and social care services, in order to promote equitable, respectful and person-centred practice.</w:t>
      </w:r>
    </w:p>
    <w:p w14:paraId="07CE7CB6" w14:textId="77777777" w:rsidR="00735969" w:rsidRPr="00366557" w:rsidRDefault="00735969" w:rsidP="00366557">
      <w:pPr>
        <w:spacing w:line="360" w:lineRule="auto"/>
        <w:rPr>
          <w:rFonts w:ascii="Arial" w:hAnsi="Arial" w:cs="Arial"/>
          <w:sz w:val="22"/>
          <w:highlight w:val="yellow"/>
        </w:rPr>
      </w:pPr>
    </w:p>
    <w:sdt>
      <w:sdtPr>
        <w:rPr>
          <w:rFonts w:ascii="Arial" w:eastAsiaTheme="minorHAnsi" w:hAnsi="Arial" w:cs="Arial"/>
          <w:color w:val="auto"/>
          <w:sz w:val="22"/>
          <w:szCs w:val="22"/>
          <w:lang w:val="en-GB"/>
        </w:rPr>
        <w:id w:val="1592192415"/>
        <w:docPartObj>
          <w:docPartGallery w:val="Table of Contents"/>
          <w:docPartUnique/>
        </w:docPartObj>
      </w:sdtPr>
      <w:sdtEndPr>
        <w:rPr>
          <w:b/>
          <w:bCs/>
          <w:noProof/>
        </w:rPr>
      </w:sdtEndPr>
      <w:sdtContent>
        <w:p w14:paraId="2E313938" w14:textId="77777777" w:rsidR="00B21FED" w:rsidRPr="00366557" w:rsidRDefault="00B21FED" w:rsidP="00366557">
          <w:pPr>
            <w:pStyle w:val="TOCHeading"/>
            <w:spacing w:line="360" w:lineRule="auto"/>
            <w:rPr>
              <w:rFonts w:ascii="Arial" w:hAnsi="Arial" w:cs="Arial"/>
              <w:color w:val="auto"/>
              <w:sz w:val="22"/>
              <w:szCs w:val="22"/>
            </w:rPr>
          </w:pPr>
          <w:r w:rsidRPr="00366557">
            <w:rPr>
              <w:rFonts w:ascii="Arial" w:hAnsi="Arial" w:cs="Arial"/>
              <w:color w:val="auto"/>
              <w:sz w:val="22"/>
              <w:szCs w:val="22"/>
            </w:rPr>
            <w:t>Table of Contents</w:t>
          </w:r>
        </w:p>
        <w:p w14:paraId="316CF62E" w14:textId="5BC2834A" w:rsidR="00B21FED" w:rsidRPr="00366557" w:rsidRDefault="00B21FED" w:rsidP="00366557">
          <w:pPr>
            <w:pStyle w:val="TOC1"/>
            <w:tabs>
              <w:tab w:val="right" w:leader="dot" w:pos="9350"/>
            </w:tabs>
            <w:spacing w:line="360" w:lineRule="auto"/>
            <w:rPr>
              <w:rFonts w:ascii="Arial" w:eastAsiaTheme="minorEastAsia" w:hAnsi="Arial" w:cs="Arial"/>
              <w:noProof/>
              <w:sz w:val="22"/>
              <w:lang w:eastAsia="en-GB"/>
            </w:rPr>
          </w:pPr>
          <w:r w:rsidRPr="00366557">
            <w:rPr>
              <w:rFonts w:ascii="Arial" w:hAnsi="Arial" w:cs="Arial"/>
              <w:sz w:val="22"/>
            </w:rPr>
            <w:fldChar w:fldCharType="begin"/>
          </w:r>
          <w:r w:rsidRPr="00366557">
            <w:rPr>
              <w:rFonts w:ascii="Arial" w:hAnsi="Arial" w:cs="Arial"/>
              <w:sz w:val="22"/>
            </w:rPr>
            <w:instrText xml:space="preserve"> TOC \o "1-3" \h \z \u </w:instrText>
          </w:r>
          <w:r w:rsidRPr="00366557">
            <w:rPr>
              <w:rFonts w:ascii="Arial" w:hAnsi="Arial" w:cs="Arial"/>
              <w:sz w:val="22"/>
            </w:rPr>
            <w:fldChar w:fldCharType="separate"/>
          </w:r>
          <w:hyperlink w:anchor="_Toc235121176" w:history="1">
            <w:r w:rsidRPr="00366557">
              <w:rPr>
                <w:rStyle w:val="Hyperlink"/>
                <w:rFonts w:ascii="Arial" w:hAnsi="Arial" w:cs="Arial"/>
                <w:noProof/>
                <w:sz w:val="22"/>
              </w:rPr>
              <w:t>Acknowledgement</w:t>
            </w:r>
            <w:r w:rsidRPr="00366557">
              <w:rPr>
                <w:rFonts w:ascii="Arial" w:hAnsi="Arial" w:cs="Arial"/>
                <w:noProof/>
                <w:webHidden/>
                <w:sz w:val="22"/>
              </w:rPr>
              <w:tab/>
            </w:r>
          </w:hyperlink>
          <w:r w:rsidR="00803C56" w:rsidRPr="00366557">
            <w:rPr>
              <w:rFonts w:ascii="Arial" w:hAnsi="Arial" w:cs="Arial"/>
              <w:noProof/>
              <w:sz w:val="22"/>
            </w:rPr>
            <w:t>4</w:t>
          </w:r>
        </w:p>
        <w:p w14:paraId="3C2D1E93" w14:textId="1075192E" w:rsidR="00B21FED" w:rsidRPr="00366557" w:rsidRDefault="00B21FED" w:rsidP="00366557">
          <w:pPr>
            <w:pStyle w:val="TOC1"/>
            <w:tabs>
              <w:tab w:val="right" w:leader="dot" w:pos="9350"/>
            </w:tabs>
            <w:spacing w:line="360" w:lineRule="auto"/>
            <w:rPr>
              <w:rFonts w:ascii="Arial" w:eastAsiaTheme="minorEastAsia" w:hAnsi="Arial" w:cs="Arial"/>
              <w:noProof/>
              <w:sz w:val="22"/>
              <w:lang w:eastAsia="en-GB"/>
            </w:rPr>
          </w:pPr>
          <w:hyperlink w:anchor="_Toc235121177" w:history="1">
            <w:r w:rsidRPr="00366557">
              <w:rPr>
                <w:rStyle w:val="Hyperlink"/>
                <w:rFonts w:ascii="Arial" w:hAnsi="Arial" w:cs="Arial"/>
                <w:noProof/>
                <w:sz w:val="22"/>
              </w:rPr>
              <w:t>Abstract</w:t>
            </w:r>
            <w:r w:rsidRPr="00366557">
              <w:rPr>
                <w:rFonts w:ascii="Arial" w:hAnsi="Arial" w:cs="Arial"/>
                <w:noProof/>
                <w:webHidden/>
                <w:sz w:val="22"/>
              </w:rPr>
              <w:tab/>
            </w:r>
            <w:r w:rsidR="00803C56" w:rsidRPr="00366557">
              <w:rPr>
                <w:rFonts w:ascii="Arial" w:hAnsi="Arial" w:cs="Arial"/>
                <w:noProof/>
                <w:webHidden/>
                <w:sz w:val="22"/>
              </w:rPr>
              <w:t>5</w:t>
            </w:r>
          </w:hyperlink>
        </w:p>
        <w:p w14:paraId="29FABB68" w14:textId="30CA8B84" w:rsidR="00B21FED" w:rsidRPr="00366557" w:rsidRDefault="00B21FED" w:rsidP="00366557">
          <w:pPr>
            <w:pStyle w:val="TOC1"/>
            <w:tabs>
              <w:tab w:val="right" w:leader="dot" w:pos="9350"/>
            </w:tabs>
            <w:spacing w:line="360" w:lineRule="auto"/>
            <w:rPr>
              <w:rFonts w:ascii="Arial" w:eastAsiaTheme="minorEastAsia" w:hAnsi="Arial" w:cs="Arial"/>
              <w:noProof/>
              <w:sz w:val="22"/>
              <w:lang w:eastAsia="en-GB"/>
            </w:rPr>
          </w:pPr>
          <w:hyperlink w:anchor="_Toc235121178" w:history="1">
            <w:r w:rsidRPr="00366557">
              <w:rPr>
                <w:rStyle w:val="Hyperlink"/>
                <w:rFonts w:ascii="Arial" w:hAnsi="Arial" w:cs="Arial"/>
                <w:noProof/>
                <w:sz w:val="22"/>
              </w:rPr>
              <w:t>Chapter 1: Introduction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_Toc235121178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9</w:t>
            </w:r>
            <w:r w:rsidRPr="00366557">
              <w:rPr>
                <w:rFonts w:ascii="Arial" w:hAnsi="Arial" w:cs="Arial"/>
                <w:noProof/>
                <w:webHidden/>
                <w:sz w:val="22"/>
              </w:rPr>
              <w:fldChar w:fldCharType="end"/>
            </w:r>
          </w:hyperlink>
        </w:p>
        <w:p w14:paraId="12F43BA2" w14:textId="562DEFFC"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179" w:history="1">
            <w:r w:rsidRPr="00366557">
              <w:rPr>
                <w:rStyle w:val="Hyperlink"/>
                <w:rFonts w:ascii="Arial" w:hAnsi="Arial" w:cs="Arial"/>
                <w:noProof/>
                <w:sz w:val="22"/>
              </w:rPr>
              <w:t>1.1 Introduction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_Toc235121179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9</w:t>
            </w:r>
            <w:r w:rsidRPr="00366557">
              <w:rPr>
                <w:rFonts w:ascii="Arial" w:hAnsi="Arial" w:cs="Arial"/>
                <w:noProof/>
                <w:webHidden/>
                <w:sz w:val="22"/>
              </w:rPr>
              <w:fldChar w:fldCharType="end"/>
            </w:r>
          </w:hyperlink>
        </w:p>
        <w:p w14:paraId="3EA067D4" w14:textId="6441F848"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180" w:history="1">
            <w:r w:rsidRPr="00366557">
              <w:rPr>
                <w:rStyle w:val="Hyperlink"/>
                <w:rFonts w:ascii="Arial" w:hAnsi="Arial" w:cs="Arial"/>
                <w:noProof/>
                <w:sz w:val="22"/>
              </w:rPr>
              <w:t>1.2 Definitions and Terminology</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_Toc235121180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9</w:t>
            </w:r>
            <w:r w:rsidRPr="00366557">
              <w:rPr>
                <w:rFonts w:ascii="Arial" w:hAnsi="Arial" w:cs="Arial"/>
                <w:noProof/>
                <w:webHidden/>
                <w:sz w:val="22"/>
              </w:rPr>
              <w:fldChar w:fldCharType="end"/>
            </w:r>
          </w:hyperlink>
        </w:p>
        <w:p w14:paraId="2ABC0FC7" w14:textId="6BE43484"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181" w:history="1">
            <w:r w:rsidRPr="00366557">
              <w:rPr>
                <w:rStyle w:val="Hyperlink"/>
                <w:rFonts w:ascii="Arial" w:hAnsi="Arial" w:cs="Arial"/>
                <w:noProof/>
                <w:sz w:val="22"/>
              </w:rPr>
              <w:t>1.3 Rationale for Research</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_Toc235121181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10</w:t>
            </w:r>
            <w:r w:rsidRPr="00366557">
              <w:rPr>
                <w:rFonts w:ascii="Arial" w:hAnsi="Arial" w:cs="Arial"/>
                <w:noProof/>
                <w:webHidden/>
                <w:sz w:val="22"/>
              </w:rPr>
              <w:fldChar w:fldCharType="end"/>
            </w:r>
          </w:hyperlink>
        </w:p>
        <w:p w14:paraId="0BB5FE04" w14:textId="50C36646"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182" w:history="1">
            <w:r w:rsidRPr="00366557">
              <w:rPr>
                <w:rStyle w:val="Hyperlink"/>
                <w:rFonts w:ascii="Arial" w:hAnsi="Arial" w:cs="Arial"/>
                <w:noProof/>
                <w:sz w:val="22"/>
              </w:rPr>
              <w:t>1.4 Research Aim And Objectives</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_Toc235121182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11</w:t>
            </w:r>
            <w:r w:rsidRPr="00366557">
              <w:rPr>
                <w:rFonts w:ascii="Arial" w:hAnsi="Arial" w:cs="Arial"/>
                <w:noProof/>
                <w:webHidden/>
                <w:sz w:val="22"/>
              </w:rPr>
              <w:fldChar w:fldCharType="end"/>
            </w:r>
          </w:hyperlink>
        </w:p>
        <w:p w14:paraId="5FDEA62F" w14:textId="30F265B2"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183" w:history="1">
            <w:r w:rsidRPr="00366557">
              <w:rPr>
                <w:rStyle w:val="Hyperlink"/>
                <w:rFonts w:ascii="Arial" w:hAnsi="Arial" w:cs="Arial"/>
                <w:noProof/>
                <w:sz w:val="22"/>
              </w:rPr>
              <w:t>Research Aim</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_Toc235121183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11</w:t>
            </w:r>
            <w:r w:rsidRPr="00366557">
              <w:rPr>
                <w:rFonts w:ascii="Arial" w:hAnsi="Arial" w:cs="Arial"/>
                <w:noProof/>
                <w:webHidden/>
                <w:sz w:val="22"/>
              </w:rPr>
              <w:fldChar w:fldCharType="end"/>
            </w:r>
          </w:hyperlink>
        </w:p>
        <w:p w14:paraId="7B9A44E5" w14:textId="10768D40"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184" w:history="1">
            <w:r w:rsidRPr="00366557">
              <w:rPr>
                <w:rStyle w:val="Hyperlink"/>
                <w:rFonts w:ascii="Arial" w:hAnsi="Arial" w:cs="Arial"/>
                <w:noProof/>
                <w:sz w:val="22"/>
              </w:rPr>
              <w:t>Research Objectives</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_Toc235121184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11</w:t>
            </w:r>
            <w:r w:rsidRPr="00366557">
              <w:rPr>
                <w:rFonts w:ascii="Arial" w:hAnsi="Arial" w:cs="Arial"/>
                <w:noProof/>
                <w:webHidden/>
                <w:sz w:val="22"/>
              </w:rPr>
              <w:fldChar w:fldCharType="end"/>
            </w:r>
          </w:hyperlink>
        </w:p>
        <w:p w14:paraId="6851EDA4" w14:textId="69203495"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185" w:history="1">
            <w:r w:rsidRPr="00366557">
              <w:rPr>
                <w:rStyle w:val="Hyperlink"/>
                <w:rFonts w:ascii="Arial" w:hAnsi="Arial" w:cs="Arial"/>
                <w:noProof/>
                <w:sz w:val="22"/>
              </w:rPr>
              <w:t>1.5 Conclusion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_Toc235121185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11</w:t>
            </w:r>
            <w:r w:rsidRPr="00366557">
              <w:rPr>
                <w:rFonts w:ascii="Arial" w:hAnsi="Arial" w:cs="Arial"/>
                <w:noProof/>
                <w:webHidden/>
                <w:sz w:val="22"/>
              </w:rPr>
              <w:fldChar w:fldCharType="end"/>
            </w:r>
          </w:hyperlink>
        </w:p>
        <w:p w14:paraId="2A168E83" w14:textId="501FBD0E" w:rsidR="00B21FED" w:rsidRPr="00366557" w:rsidRDefault="00B21FED" w:rsidP="00366557">
          <w:pPr>
            <w:pStyle w:val="TOC1"/>
            <w:tabs>
              <w:tab w:val="right" w:leader="dot" w:pos="9350"/>
            </w:tabs>
            <w:spacing w:line="360" w:lineRule="auto"/>
            <w:rPr>
              <w:rFonts w:ascii="Arial" w:eastAsiaTheme="minorEastAsia" w:hAnsi="Arial" w:cs="Arial"/>
              <w:noProof/>
              <w:sz w:val="22"/>
              <w:lang w:eastAsia="en-GB"/>
            </w:rPr>
          </w:pPr>
          <w:hyperlink w:anchor="_Toc235121186" w:history="1">
            <w:r w:rsidRPr="00366557">
              <w:rPr>
                <w:rStyle w:val="Hyperlink"/>
                <w:rFonts w:ascii="Arial" w:hAnsi="Arial" w:cs="Arial"/>
                <w:noProof/>
                <w:sz w:val="22"/>
              </w:rPr>
              <w:t>Chapter 2: Background Information and Analysis</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_Toc235121186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13</w:t>
            </w:r>
            <w:r w:rsidRPr="00366557">
              <w:rPr>
                <w:rFonts w:ascii="Arial" w:hAnsi="Arial" w:cs="Arial"/>
                <w:noProof/>
                <w:webHidden/>
                <w:sz w:val="22"/>
              </w:rPr>
              <w:fldChar w:fldCharType="end"/>
            </w:r>
          </w:hyperlink>
        </w:p>
        <w:p w14:paraId="3E65FA93" w14:textId="002739FC"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187" w:history="1">
            <w:r w:rsidRPr="00366557">
              <w:rPr>
                <w:rStyle w:val="Hyperlink"/>
                <w:rFonts w:ascii="Arial" w:hAnsi="Arial" w:cs="Arial"/>
                <w:noProof/>
                <w:sz w:val="22"/>
              </w:rPr>
              <w:t>2.1 Introduction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_Toc235121187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13</w:t>
            </w:r>
            <w:r w:rsidRPr="00366557">
              <w:rPr>
                <w:rFonts w:ascii="Arial" w:hAnsi="Arial" w:cs="Arial"/>
                <w:noProof/>
                <w:webHidden/>
                <w:sz w:val="22"/>
              </w:rPr>
              <w:fldChar w:fldCharType="end"/>
            </w:r>
          </w:hyperlink>
        </w:p>
        <w:p w14:paraId="694AC213" w14:textId="12AECDB9"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188" w:history="1">
            <w:r w:rsidRPr="00366557">
              <w:rPr>
                <w:rStyle w:val="Hyperlink"/>
                <w:rFonts w:ascii="Arial" w:hAnsi="Arial" w:cs="Arial"/>
                <w:noProof/>
                <w:sz w:val="22"/>
              </w:rPr>
              <w:t>2.2 Historical Background</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_Toc235121188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13</w:t>
            </w:r>
            <w:r w:rsidRPr="00366557">
              <w:rPr>
                <w:rFonts w:ascii="Arial" w:hAnsi="Arial" w:cs="Arial"/>
                <w:noProof/>
                <w:webHidden/>
                <w:sz w:val="22"/>
              </w:rPr>
              <w:fldChar w:fldCharType="end"/>
            </w:r>
          </w:hyperlink>
        </w:p>
        <w:p w14:paraId="74044996" w14:textId="23960656"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189" w:history="1">
            <w:r w:rsidRPr="00366557">
              <w:rPr>
                <w:rStyle w:val="Hyperlink"/>
                <w:rFonts w:ascii="Arial" w:hAnsi="Arial" w:cs="Arial"/>
                <w:noProof/>
                <w:sz w:val="22"/>
              </w:rPr>
              <w:t>2.3 Theoretical Background</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_Toc235121189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15</w:t>
            </w:r>
            <w:r w:rsidRPr="00366557">
              <w:rPr>
                <w:rFonts w:ascii="Arial" w:hAnsi="Arial" w:cs="Arial"/>
                <w:noProof/>
                <w:webHidden/>
                <w:sz w:val="22"/>
              </w:rPr>
              <w:fldChar w:fldCharType="end"/>
            </w:r>
          </w:hyperlink>
        </w:p>
        <w:p w14:paraId="6387F4E7" w14:textId="6F0D0033"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190" w:history="1">
            <w:r w:rsidRPr="00366557">
              <w:rPr>
                <w:rStyle w:val="Hyperlink"/>
                <w:rFonts w:ascii="Arial" w:hAnsi="Arial" w:cs="Arial"/>
                <w:noProof/>
                <w:sz w:val="22"/>
              </w:rPr>
              <w:t>2.4 International Context</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_Toc235121190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16</w:t>
            </w:r>
            <w:r w:rsidRPr="00366557">
              <w:rPr>
                <w:rFonts w:ascii="Arial" w:hAnsi="Arial" w:cs="Arial"/>
                <w:noProof/>
                <w:webHidden/>
                <w:sz w:val="22"/>
              </w:rPr>
              <w:fldChar w:fldCharType="end"/>
            </w:r>
          </w:hyperlink>
        </w:p>
        <w:p w14:paraId="71CB3408" w14:textId="4B04B963"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191" w:history="1">
            <w:r w:rsidRPr="00366557">
              <w:rPr>
                <w:rStyle w:val="Hyperlink"/>
                <w:rFonts w:ascii="Arial" w:hAnsi="Arial" w:cs="Arial"/>
                <w:noProof/>
                <w:sz w:val="22"/>
              </w:rPr>
              <w:t>2.5 National/Local UK Context</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_Toc235121191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17</w:t>
            </w:r>
            <w:r w:rsidRPr="00366557">
              <w:rPr>
                <w:rFonts w:ascii="Arial" w:hAnsi="Arial" w:cs="Arial"/>
                <w:noProof/>
                <w:webHidden/>
                <w:sz w:val="22"/>
              </w:rPr>
              <w:fldChar w:fldCharType="end"/>
            </w:r>
          </w:hyperlink>
        </w:p>
        <w:p w14:paraId="1B980940" w14:textId="7DB1BFA5"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192" w:history="1">
            <w:r w:rsidRPr="00366557">
              <w:rPr>
                <w:rStyle w:val="Hyperlink"/>
                <w:rFonts w:ascii="Arial" w:hAnsi="Arial" w:cs="Arial"/>
                <w:noProof/>
                <w:sz w:val="22"/>
              </w:rPr>
              <w:t>2.6 Conclusion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_Toc235121192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18</w:t>
            </w:r>
            <w:r w:rsidRPr="00366557">
              <w:rPr>
                <w:rFonts w:ascii="Arial" w:hAnsi="Arial" w:cs="Arial"/>
                <w:noProof/>
                <w:webHidden/>
                <w:sz w:val="22"/>
              </w:rPr>
              <w:fldChar w:fldCharType="end"/>
            </w:r>
          </w:hyperlink>
        </w:p>
        <w:p w14:paraId="32A796EC" w14:textId="7F19ED8F" w:rsidR="00B21FED" w:rsidRPr="00366557" w:rsidRDefault="00B21FED" w:rsidP="00366557">
          <w:pPr>
            <w:pStyle w:val="TOC1"/>
            <w:tabs>
              <w:tab w:val="right" w:leader="dot" w:pos="9350"/>
            </w:tabs>
            <w:spacing w:line="360" w:lineRule="auto"/>
            <w:rPr>
              <w:rFonts w:ascii="Arial" w:eastAsiaTheme="minorEastAsia" w:hAnsi="Arial" w:cs="Arial"/>
              <w:noProof/>
              <w:sz w:val="22"/>
              <w:lang w:eastAsia="en-GB"/>
            </w:rPr>
          </w:pPr>
          <w:hyperlink w:anchor="_Toc235121193" w:history="1">
            <w:r w:rsidRPr="00366557">
              <w:rPr>
                <w:rStyle w:val="Hyperlink"/>
                <w:rFonts w:ascii="Arial" w:hAnsi="Arial" w:cs="Arial"/>
                <w:noProof/>
                <w:sz w:val="22"/>
              </w:rPr>
              <w:t>Chapter 3: Methods And Search Strategy</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_Toc235121193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20</w:t>
            </w:r>
            <w:r w:rsidRPr="00366557">
              <w:rPr>
                <w:rFonts w:ascii="Arial" w:hAnsi="Arial" w:cs="Arial"/>
                <w:noProof/>
                <w:webHidden/>
                <w:sz w:val="22"/>
              </w:rPr>
              <w:fldChar w:fldCharType="end"/>
            </w:r>
          </w:hyperlink>
        </w:p>
        <w:p w14:paraId="625597D3" w14:textId="54485FFB"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194" w:history="1">
            <w:r w:rsidRPr="00366557">
              <w:rPr>
                <w:rStyle w:val="Hyperlink"/>
                <w:rFonts w:ascii="Arial" w:hAnsi="Arial" w:cs="Arial"/>
                <w:noProof/>
                <w:sz w:val="22"/>
              </w:rPr>
              <w:t>3.1 Introduction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_Toc235121194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20</w:t>
            </w:r>
            <w:r w:rsidRPr="00366557">
              <w:rPr>
                <w:rFonts w:ascii="Arial" w:hAnsi="Arial" w:cs="Arial"/>
                <w:noProof/>
                <w:webHidden/>
                <w:sz w:val="22"/>
              </w:rPr>
              <w:fldChar w:fldCharType="end"/>
            </w:r>
          </w:hyperlink>
        </w:p>
        <w:p w14:paraId="08AE6D6C" w14:textId="78C889E8"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195" w:history="1">
            <w:r w:rsidRPr="00366557">
              <w:rPr>
                <w:rStyle w:val="Hyperlink"/>
                <w:rFonts w:ascii="Arial" w:hAnsi="Arial" w:cs="Arial"/>
                <w:noProof/>
                <w:sz w:val="22"/>
              </w:rPr>
              <w:t>3.2 Search Strategy</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_Toc235121195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20</w:t>
            </w:r>
            <w:r w:rsidRPr="00366557">
              <w:rPr>
                <w:rFonts w:ascii="Arial" w:hAnsi="Arial" w:cs="Arial"/>
                <w:noProof/>
                <w:webHidden/>
                <w:sz w:val="22"/>
              </w:rPr>
              <w:fldChar w:fldCharType="end"/>
            </w:r>
          </w:hyperlink>
        </w:p>
        <w:p w14:paraId="26A86DB3" w14:textId="290B0FBF"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196" w:history="1">
            <w:r w:rsidRPr="00366557">
              <w:rPr>
                <w:rStyle w:val="Hyperlink"/>
                <w:rFonts w:ascii="Arial" w:hAnsi="Arial" w:cs="Arial"/>
                <w:noProof/>
                <w:sz w:val="22"/>
              </w:rPr>
              <w:t>3.3 Searching for Information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_Toc235121196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20</w:t>
            </w:r>
            <w:r w:rsidRPr="00366557">
              <w:rPr>
                <w:rFonts w:ascii="Arial" w:hAnsi="Arial" w:cs="Arial"/>
                <w:noProof/>
                <w:webHidden/>
                <w:sz w:val="22"/>
              </w:rPr>
              <w:fldChar w:fldCharType="end"/>
            </w:r>
          </w:hyperlink>
        </w:p>
        <w:p w14:paraId="26853EFA" w14:textId="360F1C8B"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197" w:history="1">
            <w:r w:rsidRPr="00366557">
              <w:rPr>
                <w:rStyle w:val="Hyperlink"/>
                <w:rFonts w:ascii="Arial" w:hAnsi="Arial" w:cs="Arial"/>
                <w:noProof/>
                <w:sz w:val="22"/>
              </w:rPr>
              <w:t>3.4 Research Validation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_Toc235121197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21</w:t>
            </w:r>
            <w:r w:rsidRPr="00366557">
              <w:rPr>
                <w:rFonts w:ascii="Arial" w:hAnsi="Arial" w:cs="Arial"/>
                <w:noProof/>
                <w:webHidden/>
                <w:sz w:val="22"/>
              </w:rPr>
              <w:fldChar w:fldCharType="end"/>
            </w:r>
          </w:hyperlink>
        </w:p>
        <w:p w14:paraId="60CDB337" w14:textId="74A17C2D"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198" w:history="1">
            <w:r w:rsidRPr="00366557">
              <w:rPr>
                <w:rStyle w:val="Hyperlink"/>
                <w:rFonts w:ascii="Arial" w:hAnsi="Arial" w:cs="Arial"/>
                <w:noProof/>
                <w:sz w:val="22"/>
              </w:rPr>
              <w:t>3.5 Inclusion and Exclusion Criteria</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_Toc235121198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22</w:t>
            </w:r>
            <w:r w:rsidRPr="00366557">
              <w:rPr>
                <w:rFonts w:ascii="Arial" w:hAnsi="Arial" w:cs="Arial"/>
                <w:noProof/>
                <w:webHidden/>
                <w:sz w:val="22"/>
              </w:rPr>
              <w:fldChar w:fldCharType="end"/>
            </w:r>
          </w:hyperlink>
        </w:p>
        <w:p w14:paraId="4E61403D" w14:textId="2F45900E"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199" w:history="1">
            <w:r w:rsidRPr="00366557">
              <w:rPr>
                <w:rStyle w:val="Hyperlink"/>
                <w:rFonts w:ascii="Arial" w:hAnsi="Arial" w:cs="Arial"/>
                <w:noProof/>
                <w:sz w:val="22"/>
              </w:rPr>
              <w:t>3.6 Analysing Research</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_Toc235121199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22</w:t>
            </w:r>
            <w:r w:rsidRPr="00366557">
              <w:rPr>
                <w:rFonts w:ascii="Arial" w:hAnsi="Arial" w:cs="Arial"/>
                <w:noProof/>
                <w:webHidden/>
                <w:sz w:val="22"/>
              </w:rPr>
              <w:fldChar w:fldCharType="end"/>
            </w:r>
          </w:hyperlink>
        </w:p>
        <w:p w14:paraId="03EA3649" w14:textId="10FC89D3"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200" w:history="1">
            <w:r w:rsidRPr="00366557">
              <w:rPr>
                <w:rStyle w:val="Hyperlink"/>
                <w:rFonts w:ascii="Arial" w:hAnsi="Arial" w:cs="Arial"/>
                <w:noProof/>
                <w:sz w:val="22"/>
              </w:rPr>
              <w:t>3.7 Ethical Considerations</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_Toc235121200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22</w:t>
            </w:r>
            <w:r w:rsidRPr="00366557">
              <w:rPr>
                <w:rFonts w:ascii="Arial" w:hAnsi="Arial" w:cs="Arial"/>
                <w:noProof/>
                <w:webHidden/>
                <w:sz w:val="22"/>
              </w:rPr>
              <w:fldChar w:fldCharType="end"/>
            </w:r>
          </w:hyperlink>
        </w:p>
        <w:p w14:paraId="4B3144FE" w14:textId="0D091B8F"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201" w:history="1">
            <w:r w:rsidRPr="00366557">
              <w:rPr>
                <w:rStyle w:val="Hyperlink"/>
                <w:rFonts w:ascii="Arial" w:hAnsi="Arial" w:cs="Arial"/>
                <w:noProof/>
                <w:sz w:val="22"/>
              </w:rPr>
              <w:t>3.8 Chapter Conclusion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_Toc235121201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23</w:t>
            </w:r>
            <w:r w:rsidRPr="00366557">
              <w:rPr>
                <w:rFonts w:ascii="Arial" w:hAnsi="Arial" w:cs="Arial"/>
                <w:noProof/>
                <w:webHidden/>
                <w:sz w:val="22"/>
              </w:rPr>
              <w:fldChar w:fldCharType="end"/>
            </w:r>
          </w:hyperlink>
        </w:p>
        <w:p w14:paraId="3C30A023" w14:textId="23D9FC1D" w:rsidR="00B21FED" w:rsidRPr="00366557" w:rsidRDefault="00B21FED" w:rsidP="00366557">
          <w:pPr>
            <w:pStyle w:val="TOC1"/>
            <w:tabs>
              <w:tab w:val="right" w:leader="dot" w:pos="9350"/>
            </w:tabs>
            <w:spacing w:line="360" w:lineRule="auto"/>
            <w:rPr>
              <w:rFonts w:ascii="Arial" w:eastAsiaTheme="minorEastAsia" w:hAnsi="Arial" w:cs="Arial"/>
              <w:noProof/>
              <w:sz w:val="22"/>
              <w:lang w:eastAsia="en-GB"/>
            </w:rPr>
          </w:pPr>
          <w:hyperlink w:anchor="_Toc235121202" w:history="1">
            <w:r w:rsidRPr="00366557">
              <w:rPr>
                <w:rStyle w:val="Hyperlink"/>
                <w:rFonts w:ascii="Arial" w:hAnsi="Arial" w:cs="Arial"/>
                <w:noProof/>
                <w:sz w:val="22"/>
              </w:rPr>
              <w:t>Chapter 4: Findings and Discussion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_Toc235121202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24</w:t>
            </w:r>
            <w:r w:rsidRPr="00366557">
              <w:rPr>
                <w:rFonts w:ascii="Arial" w:hAnsi="Arial" w:cs="Arial"/>
                <w:noProof/>
                <w:webHidden/>
                <w:sz w:val="22"/>
              </w:rPr>
              <w:fldChar w:fldCharType="end"/>
            </w:r>
          </w:hyperlink>
        </w:p>
        <w:p w14:paraId="307C2CB7" w14:textId="13B1E050"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203" w:history="1">
            <w:r w:rsidRPr="00366557">
              <w:rPr>
                <w:rStyle w:val="Hyperlink"/>
                <w:rFonts w:ascii="Arial" w:hAnsi="Arial" w:cs="Arial"/>
                <w:noProof/>
                <w:sz w:val="22"/>
              </w:rPr>
              <w:t>4.1 Introduction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_Toc235121203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24</w:t>
            </w:r>
            <w:r w:rsidRPr="00366557">
              <w:rPr>
                <w:rFonts w:ascii="Arial" w:hAnsi="Arial" w:cs="Arial"/>
                <w:noProof/>
                <w:webHidden/>
                <w:sz w:val="22"/>
              </w:rPr>
              <w:fldChar w:fldCharType="end"/>
            </w:r>
          </w:hyperlink>
        </w:p>
        <w:p w14:paraId="26CC45B1" w14:textId="08533803"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204" w:history="1">
            <w:r w:rsidRPr="00366557">
              <w:rPr>
                <w:rStyle w:val="Hyperlink"/>
                <w:rFonts w:ascii="Arial" w:hAnsi="Arial" w:cs="Arial"/>
                <w:noProof/>
                <w:sz w:val="22"/>
              </w:rPr>
              <w:t>4.2 Thematic Analysis</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_Toc235121204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24</w:t>
            </w:r>
            <w:r w:rsidRPr="00366557">
              <w:rPr>
                <w:rFonts w:ascii="Arial" w:hAnsi="Arial" w:cs="Arial"/>
                <w:noProof/>
                <w:webHidden/>
                <w:sz w:val="22"/>
              </w:rPr>
              <w:fldChar w:fldCharType="end"/>
            </w:r>
          </w:hyperlink>
        </w:p>
        <w:p w14:paraId="059A6FA5" w14:textId="2584039B"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205" w:history="1">
            <w:r w:rsidRPr="00366557">
              <w:rPr>
                <w:rStyle w:val="Hyperlink"/>
                <w:rFonts w:ascii="Arial" w:hAnsi="Arial" w:cs="Arial"/>
                <w:noProof/>
                <w:sz w:val="22"/>
              </w:rPr>
              <w:t>4.3 Theme 1: Individual Lived Experience and Access To Care</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_Toc235121205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25</w:t>
            </w:r>
            <w:r w:rsidRPr="00366557">
              <w:rPr>
                <w:rFonts w:ascii="Arial" w:hAnsi="Arial" w:cs="Arial"/>
                <w:noProof/>
                <w:webHidden/>
                <w:sz w:val="22"/>
              </w:rPr>
              <w:fldChar w:fldCharType="end"/>
            </w:r>
          </w:hyperlink>
        </w:p>
        <w:p w14:paraId="10B9C657" w14:textId="7887B38B"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06" w:history="1">
            <w:r w:rsidRPr="00366557">
              <w:rPr>
                <w:rStyle w:val="Hyperlink"/>
                <w:rFonts w:ascii="Arial" w:hAnsi="Arial" w:cs="Arial"/>
                <w:noProof/>
                <w:sz w:val="22"/>
              </w:rPr>
              <w:t>Definition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_Toc235121206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25</w:t>
            </w:r>
            <w:r w:rsidRPr="00366557">
              <w:rPr>
                <w:rFonts w:ascii="Arial" w:hAnsi="Arial" w:cs="Arial"/>
                <w:noProof/>
                <w:webHidden/>
                <w:sz w:val="22"/>
              </w:rPr>
              <w:fldChar w:fldCharType="end"/>
            </w:r>
          </w:hyperlink>
        </w:p>
        <w:p w14:paraId="41FAB054" w14:textId="5B9368A7"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07" w:history="1">
            <w:r w:rsidRPr="00366557">
              <w:rPr>
                <w:rStyle w:val="Hyperlink"/>
                <w:rFonts w:ascii="Arial" w:hAnsi="Arial" w:cs="Arial"/>
                <w:noProof/>
                <w:sz w:val="22"/>
              </w:rPr>
              <w:t>Comparative Analysis of the Evidence</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_Toc235121207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25</w:t>
            </w:r>
            <w:r w:rsidRPr="00366557">
              <w:rPr>
                <w:rFonts w:ascii="Arial" w:hAnsi="Arial" w:cs="Arial"/>
                <w:noProof/>
                <w:webHidden/>
                <w:sz w:val="22"/>
              </w:rPr>
              <w:fldChar w:fldCharType="end"/>
            </w:r>
          </w:hyperlink>
        </w:p>
        <w:p w14:paraId="494B4D3F" w14:textId="6942B96C"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08" w:history="1">
            <w:r w:rsidRPr="00366557">
              <w:rPr>
                <w:rStyle w:val="Hyperlink"/>
                <w:rFonts w:ascii="Arial" w:hAnsi="Arial" w:cs="Arial"/>
                <w:noProof/>
                <w:sz w:val="22"/>
              </w:rPr>
              <w:t>Statistical Information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_Toc235121208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26</w:t>
            </w:r>
            <w:r w:rsidRPr="00366557">
              <w:rPr>
                <w:rFonts w:ascii="Arial" w:hAnsi="Arial" w:cs="Arial"/>
                <w:noProof/>
                <w:webHidden/>
                <w:sz w:val="22"/>
              </w:rPr>
              <w:fldChar w:fldCharType="end"/>
            </w:r>
          </w:hyperlink>
        </w:p>
        <w:p w14:paraId="68DF55B5" w14:textId="37371F0B"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09" w:history="1">
            <w:r w:rsidRPr="00366557">
              <w:rPr>
                <w:rStyle w:val="Hyperlink"/>
                <w:rFonts w:ascii="Arial" w:hAnsi="Arial" w:cs="Arial"/>
                <w:noProof/>
                <w:sz w:val="22"/>
              </w:rPr>
              <w:t>Theories, Policies, and Legislation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_Toc235121209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26</w:t>
            </w:r>
            <w:r w:rsidRPr="00366557">
              <w:rPr>
                <w:rFonts w:ascii="Arial" w:hAnsi="Arial" w:cs="Arial"/>
                <w:noProof/>
                <w:webHidden/>
                <w:sz w:val="22"/>
              </w:rPr>
              <w:fldChar w:fldCharType="end"/>
            </w:r>
          </w:hyperlink>
        </w:p>
        <w:p w14:paraId="5AE7E934" w14:textId="429247A2"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10" w:history="1">
            <w:r w:rsidRPr="00366557">
              <w:rPr>
                <w:rStyle w:val="Hyperlink"/>
                <w:rFonts w:ascii="Arial" w:hAnsi="Arial" w:cs="Arial"/>
                <w:noProof/>
                <w:sz w:val="22"/>
              </w:rPr>
              <w:t>Implications</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_Toc235121210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27</w:t>
            </w:r>
            <w:r w:rsidRPr="00366557">
              <w:rPr>
                <w:rFonts w:ascii="Arial" w:hAnsi="Arial" w:cs="Arial"/>
                <w:noProof/>
                <w:webHidden/>
                <w:sz w:val="22"/>
              </w:rPr>
              <w:fldChar w:fldCharType="end"/>
            </w:r>
          </w:hyperlink>
        </w:p>
        <w:p w14:paraId="0DEA51AD" w14:textId="33A379C3"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11" w:history="1">
            <w:r w:rsidRPr="00366557">
              <w:rPr>
                <w:rStyle w:val="Hyperlink"/>
                <w:rFonts w:ascii="Arial" w:hAnsi="Arial" w:cs="Arial"/>
                <w:noProof/>
                <w:sz w:val="22"/>
              </w:rPr>
              <w:t>Connections to Other Themes</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_Toc235121211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27</w:t>
            </w:r>
            <w:r w:rsidRPr="00366557">
              <w:rPr>
                <w:rFonts w:ascii="Arial" w:hAnsi="Arial" w:cs="Arial"/>
                <w:noProof/>
                <w:webHidden/>
                <w:sz w:val="22"/>
              </w:rPr>
              <w:fldChar w:fldCharType="end"/>
            </w:r>
          </w:hyperlink>
        </w:p>
        <w:p w14:paraId="714C0EE5" w14:textId="3A20E304"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12" w:history="1">
            <w:r w:rsidRPr="00366557">
              <w:rPr>
                <w:rStyle w:val="Hyperlink"/>
                <w:rFonts w:ascii="Arial" w:hAnsi="Arial" w:cs="Arial"/>
                <w:noProof/>
                <w:sz w:val="22"/>
              </w:rPr>
              <w:t>Conclusion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_Toc235121212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28</w:t>
            </w:r>
            <w:r w:rsidRPr="00366557">
              <w:rPr>
                <w:rFonts w:ascii="Arial" w:hAnsi="Arial" w:cs="Arial"/>
                <w:noProof/>
                <w:webHidden/>
                <w:sz w:val="22"/>
              </w:rPr>
              <w:fldChar w:fldCharType="end"/>
            </w:r>
          </w:hyperlink>
        </w:p>
        <w:p w14:paraId="0DE4581D" w14:textId="34C85437"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213" w:history="1">
            <w:r w:rsidRPr="00366557">
              <w:rPr>
                <w:rStyle w:val="Hyperlink"/>
                <w:rFonts w:ascii="Arial" w:hAnsi="Arial" w:cs="Arial"/>
                <w:noProof/>
                <w:sz w:val="22"/>
              </w:rPr>
              <w:t>4.4 Theme 2: The Structural And Institutional Cause Of These Experiences</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_Toc235121213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28</w:t>
            </w:r>
            <w:r w:rsidRPr="00366557">
              <w:rPr>
                <w:rFonts w:ascii="Arial" w:hAnsi="Arial" w:cs="Arial"/>
                <w:noProof/>
                <w:webHidden/>
                <w:sz w:val="22"/>
              </w:rPr>
              <w:fldChar w:fldCharType="end"/>
            </w:r>
          </w:hyperlink>
        </w:p>
        <w:p w14:paraId="0C14F9D3" w14:textId="164E5BCF"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14" w:history="1">
            <w:r w:rsidRPr="00366557">
              <w:rPr>
                <w:rStyle w:val="Hyperlink"/>
                <w:rFonts w:ascii="Arial" w:hAnsi="Arial" w:cs="Arial"/>
                <w:noProof/>
                <w:sz w:val="22"/>
              </w:rPr>
              <w:t>Definition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_Toc235121214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28</w:t>
            </w:r>
            <w:r w:rsidRPr="00366557">
              <w:rPr>
                <w:rFonts w:ascii="Arial" w:hAnsi="Arial" w:cs="Arial"/>
                <w:noProof/>
                <w:webHidden/>
                <w:sz w:val="22"/>
              </w:rPr>
              <w:fldChar w:fldCharType="end"/>
            </w:r>
          </w:hyperlink>
        </w:p>
        <w:p w14:paraId="1BC0CA5A" w14:textId="3B12723E"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15" w:history="1">
            <w:r w:rsidRPr="00366557">
              <w:rPr>
                <w:rStyle w:val="Hyperlink"/>
                <w:rFonts w:ascii="Arial" w:hAnsi="Arial" w:cs="Arial"/>
                <w:noProof/>
                <w:sz w:val="22"/>
              </w:rPr>
              <w:t>Comparative Analysis of the Evidence</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_Toc235121215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28</w:t>
            </w:r>
            <w:r w:rsidRPr="00366557">
              <w:rPr>
                <w:rFonts w:ascii="Arial" w:hAnsi="Arial" w:cs="Arial"/>
                <w:noProof/>
                <w:webHidden/>
                <w:sz w:val="22"/>
              </w:rPr>
              <w:fldChar w:fldCharType="end"/>
            </w:r>
          </w:hyperlink>
        </w:p>
        <w:p w14:paraId="4E1FA919" w14:textId="4723AE7A"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16" w:history="1">
            <w:r w:rsidRPr="00366557">
              <w:rPr>
                <w:rStyle w:val="Hyperlink"/>
                <w:rFonts w:ascii="Arial" w:hAnsi="Arial" w:cs="Arial"/>
                <w:noProof/>
                <w:sz w:val="22"/>
              </w:rPr>
              <w:t>Statistical Information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_Toc235121216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29</w:t>
            </w:r>
            <w:r w:rsidRPr="00366557">
              <w:rPr>
                <w:rFonts w:ascii="Arial" w:hAnsi="Arial" w:cs="Arial"/>
                <w:noProof/>
                <w:webHidden/>
                <w:sz w:val="22"/>
              </w:rPr>
              <w:fldChar w:fldCharType="end"/>
            </w:r>
          </w:hyperlink>
        </w:p>
        <w:p w14:paraId="2FA70C15" w14:textId="1988E754"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17" w:history="1">
            <w:r w:rsidRPr="00366557">
              <w:rPr>
                <w:rStyle w:val="Hyperlink"/>
                <w:rFonts w:ascii="Arial" w:hAnsi="Arial" w:cs="Arial"/>
                <w:noProof/>
                <w:sz w:val="22"/>
              </w:rPr>
              <w:t>Theories, Policies, and Legislation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_Toc235121217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30</w:t>
            </w:r>
            <w:r w:rsidRPr="00366557">
              <w:rPr>
                <w:rFonts w:ascii="Arial" w:hAnsi="Arial" w:cs="Arial"/>
                <w:noProof/>
                <w:webHidden/>
                <w:sz w:val="22"/>
              </w:rPr>
              <w:fldChar w:fldCharType="end"/>
            </w:r>
          </w:hyperlink>
        </w:p>
        <w:p w14:paraId="36875FF7" w14:textId="2C1887C2"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18" w:history="1">
            <w:r w:rsidRPr="00366557">
              <w:rPr>
                <w:rStyle w:val="Hyperlink"/>
                <w:rFonts w:ascii="Arial" w:hAnsi="Arial" w:cs="Arial"/>
                <w:noProof/>
                <w:sz w:val="22"/>
              </w:rPr>
              <w:t>Implications</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_Toc235121218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30</w:t>
            </w:r>
            <w:r w:rsidRPr="00366557">
              <w:rPr>
                <w:rFonts w:ascii="Arial" w:hAnsi="Arial" w:cs="Arial"/>
                <w:noProof/>
                <w:webHidden/>
                <w:sz w:val="22"/>
              </w:rPr>
              <w:fldChar w:fldCharType="end"/>
            </w:r>
          </w:hyperlink>
        </w:p>
        <w:p w14:paraId="02795483" w14:textId="235D51B9"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19" w:history="1">
            <w:r w:rsidRPr="00366557">
              <w:rPr>
                <w:rStyle w:val="Hyperlink"/>
                <w:rFonts w:ascii="Arial" w:hAnsi="Arial" w:cs="Arial"/>
                <w:noProof/>
                <w:sz w:val="22"/>
              </w:rPr>
              <w:t>Connections to Other Themes</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_Toc235121219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31</w:t>
            </w:r>
            <w:r w:rsidRPr="00366557">
              <w:rPr>
                <w:rFonts w:ascii="Arial" w:hAnsi="Arial" w:cs="Arial"/>
                <w:noProof/>
                <w:webHidden/>
                <w:sz w:val="22"/>
              </w:rPr>
              <w:fldChar w:fldCharType="end"/>
            </w:r>
          </w:hyperlink>
        </w:p>
        <w:p w14:paraId="03ABC789" w14:textId="1636E377"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20" w:history="1">
            <w:r w:rsidRPr="00366557">
              <w:rPr>
                <w:rStyle w:val="Hyperlink"/>
                <w:rFonts w:ascii="Arial" w:hAnsi="Arial" w:cs="Arial"/>
                <w:noProof/>
                <w:sz w:val="22"/>
              </w:rPr>
              <w:t>Conclusion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_Toc235121220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31</w:t>
            </w:r>
            <w:r w:rsidRPr="00366557">
              <w:rPr>
                <w:rFonts w:ascii="Arial" w:hAnsi="Arial" w:cs="Arial"/>
                <w:noProof/>
                <w:webHidden/>
                <w:sz w:val="22"/>
              </w:rPr>
              <w:fldChar w:fldCharType="end"/>
            </w:r>
          </w:hyperlink>
        </w:p>
        <w:p w14:paraId="7012911C" w14:textId="53FE7351"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221" w:history="1">
            <w:r w:rsidRPr="00366557">
              <w:rPr>
                <w:rStyle w:val="Hyperlink"/>
                <w:rFonts w:ascii="Arial" w:hAnsi="Arial" w:cs="Arial"/>
                <w:noProof/>
                <w:sz w:val="22"/>
              </w:rPr>
              <w:t>4.5 Theme 3: Practice, Communication, Training, and Workforce Preparedness</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_Toc235121221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32</w:t>
            </w:r>
            <w:r w:rsidRPr="00366557">
              <w:rPr>
                <w:rFonts w:ascii="Arial" w:hAnsi="Arial" w:cs="Arial"/>
                <w:noProof/>
                <w:webHidden/>
                <w:sz w:val="22"/>
              </w:rPr>
              <w:fldChar w:fldCharType="end"/>
            </w:r>
          </w:hyperlink>
        </w:p>
        <w:p w14:paraId="1355D4CE" w14:textId="4636D60B"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22" w:history="1">
            <w:r w:rsidRPr="00366557">
              <w:rPr>
                <w:rStyle w:val="Hyperlink"/>
                <w:rFonts w:ascii="Arial" w:hAnsi="Arial" w:cs="Arial"/>
                <w:noProof/>
                <w:sz w:val="22"/>
              </w:rPr>
              <w:t>Definition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_Toc235121222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32</w:t>
            </w:r>
            <w:r w:rsidRPr="00366557">
              <w:rPr>
                <w:rFonts w:ascii="Arial" w:hAnsi="Arial" w:cs="Arial"/>
                <w:noProof/>
                <w:webHidden/>
                <w:sz w:val="22"/>
              </w:rPr>
              <w:fldChar w:fldCharType="end"/>
            </w:r>
          </w:hyperlink>
        </w:p>
        <w:p w14:paraId="5ED18DEB" w14:textId="5E1A839E"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23" w:history="1">
            <w:r w:rsidRPr="00366557">
              <w:rPr>
                <w:rStyle w:val="Hyperlink"/>
                <w:rFonts w:ascii="Arial" w:hAnsi="Arial" w:cs="Arial"/>
                <w:noProof/>
                <w:sz w:val="22"/>
              </w:rPr>
              <w:t>Background Information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_Toc235121223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32</w:t>
            </w:r>
            <w:r w:rsidRPr="00366557">
              <w:rPr>
                <w:rFonts w:ascii="Arial" w:hAnsi="Arial" w:cs="Arial"/>
                <w:noProof/>
                <w:webHidden/>
                <w:sz w:val="22"/>
              </w:rPr>
              <w:fldChar w:fldCharType="end"/>
            </w:r>
          </w:hyperlink>
        </w:p>
        <w:p w14:paraId="283E5B38" w14:textId="19DAEE92"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24" w:history="1">
            <w:r w:rsidRPr="00366557">
              <w:rPr>
                <w:rStyle w:val="Hyperlink"/>
                <w:rFonts w:ascii="Arial" w:hAnsi="Arial" w:cs="Arial"/>
                <w:noProof/>
                <w:sz w:val="22"/>
              </w:rPr>
              <w:t>Statistical Information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_Toc235121224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33</w:t>
            </w:r>
            <w:r w:rsidRPr="00366557">
              <w:rPr>
                <w:rFonts w:ascii="Arial" w:hAnsi="Arial" w:cs="Arial"/>
                <w:noProof/>
                <w:webHidden/>
                <w:sz w:val="22"/>
              </w:rPr>
              <w:fldChar w:fldCharType="end"/>
            </w:r>
          </w:hyperlink>
        </w:p>
        <w:p w14:paraId="7B3E4DEE" w14:textId="1B8221C3"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25" w:history="1">
            <w:r w:rsidRPr="00366557">
              <w:rPr>
                <w:rStyle w:val="Hyperlink"/>
                <w:rFonts w:ascii="Arial" w:hAnsi="Arial" w:cs="Arial"/>
                <w:noProof/>
                <w:sz w:val="22"/>
              </w:rPr>
              <w:t>Theories, Policies, and Legislation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_Toc235121225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33</w:t>
            </w:r>
            <w:r w:rsidRPr="00366557">
              <w:rPr>
                <w:rFonts w:ascii="Arial" w:hAnsi="Arial" w:cs="Arial"/>
                <w:noProof/>
                <w:webHidden/>
                <w:sz w:val="22"/>
              </w:rPr>
              <w:fldChar w:fldCharType="end"/>
            </w:r>
          </w:hyperlink>
        </w:p>
        <w:p w14:paraId="20409474" w14:textId="7FCFF878"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26" w:history="1">
            <w:r w:rsidRPr="00366557">
              <w:rPr>
                <w:rStyle w:val="Hyperlink"/>
                <w:rFonts w:ascii="Arial" w:hAnsi="Arial" w:cs="Arial"/>
                <w:noProof/>
                <w:sz w:val="22"/>
              </w:rPr>
              <w:t>Implications</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_Toc235121226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34</w:t>
            </w:r>
            <w:r w:rsidRPr="00366557">
              <w:rPr>
                <w:rFonts w:ascii="Arial" w:hAnsi="Arial" w:cs="Arial"/>
                <w:noProof/>
                <w:webHidden/>
                <w:sz w:val="22"/>
              </w:rPr>
              <w:fldChar w:fldCharType="end"/>
            </w:r>
          </w:hyperlink>
        </w:p>
        <w:p w14:paraId="688BFCAE" w14:textId="7B6686F9"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27" w:history="1">
            <w:r w:rsidRPr="00366557">
              <w:rPr>
                <w:rStyle w:val="Hyperlink"/>
                <w:rFonts w:ascii="Arial" w:hAnsi="Arial" w:cs="Arial"/>
                <w:noProof/>
                <w:sz w:val="22"/>
              </w:rPr>
              <w:t>Connections to Other Themes</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_Toc235121227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34</w:t>
            </w:r>
            <w:r w:rsidRPr="00366557">
              <w:rPr>
                <w:rFonts w:ascii="Arial" w:hAnsi="Arial" w:cs="Arial"/>
                <w:noProof/>
                <w:webHidden/>
                <w:sz w:val="22"/>
              </w:rPr>
              <w:fldChar w:fldCharType="end"/>
            </w:r>
          </w:hyperlink>
        </w:p>
        <w:p w14:paraId="5D69978B" w14:textId="026CCE90"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28" w:history="1">
            <w:r w:rsidRPr="00366557">
              <w:rPr>
                <w:rStyle w:val="Hyperlink"/>
                <w:rFonts w:ascii="Arial" w:hAnsi="Arial" w:cs="Arial"/>
                <w:noProof/>
                <w:sz w:val="22"/>
              </w:rPr>
              <w:t>Conclusion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_Toc235121228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35</w:t>
            </w:r>
            <w:r w:rsidRPr="00366557">
              <w:rPr>
                <w:rFonts w:ascii="Arial" w:hAnsi="Arial" w:cs="Arial"/>
                <w:noProof/>
                <w:webHidden/>
                <w:sz w:val="22"/>
              </w:rPr>
              <w:fldChar w:fldCharType="end"/>
            </w:r>
          </w:hyperlink>
        </w:p>
        <w:p w14:paraId="36E7A4C2" w14:textId="7A08C76D"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229" w:history="1">
            <w:r w:rsidRPr="00366557">
              <w:rPr>
                <w:rStyle w:val="Hyperlink"/>
                <w:rFonts w:ascii="Arial" w:hAnsi="Arial" w:cs="Arial"/>
                <w:noProof/>
                <w:sz w:val="22"/>
              </w:rPr>
              <w:t>4.6 Conclusion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_Toc235121229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35</w:t>
            </w:r>
            <w:r w:rsidRPr="00366557">
              <w:rPr>
                <w:rFonts w:ascii="Arial" w:hAnsi="Arial" w:cs="Arial"/>
                <w:noProof/>
                <w:webHidden/>
                <w:sz w:val="22"/>
              </w:rPr>
              <w:fldChar w:fldCharType="end"/>
            </w:r>
          </w:hyperlink>
        </w:p>
        <w:p w14:paraId="6FA88A94" w14:textId="12973D5D" w:rsidR="00B21FED" w:rsidRPr="00366557" w:rsidRDefault="00B21FED" w:rsidP="00366557">
          <w:pPr>
            <w:pStyle w:val="TOC1"/>
            <w:tabs>
              <w:tab w:val="right" w:leader="dot" w:pos="9350"/>
            </w:tabs>
            <w:spacing w:line="360" w:lineRule="auto"/>
            <w:rPr>
              <w:rFonts w:ascii="Arial" w:eastAsiaTheme="minorEastAsia" w:hAnsi="Arial" w:cs="Arial"/>
              <w:noProof/>
              <w:sz w:val="22"/>
              <w:lang w:eastAsia="en-GB"/>
            </w:rPr>
          </w:pPr>
          <w:hyperlink w:anchor="_Toc235121230" w:history="1">
            <w:r w:rsidRPr="00366557">
              <w:rPr>
                <w:rStyle w:val="Hyperlink"/>
                <w:rFonts w:ascii="Arial" w:hAnsi="Arial" w:cs="Arial"/>
                <w:noProof/>
                <w:sz w:val="22"/>
              </w:rPr>
              <w:t>Chapter 5: Conclusion and Recommendations</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_Toc235121230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37</w:t>
            </w:r>
            <w:r w:rsidRPr="00366557">
              <w:rPr>
                <w:rFonts w:ascii="Arial" w:hAnsi="Arial" w:cs="Arial"/>
                <w:noProof/>
                <w:webHidden/>
                <w:sz w:val="22"/>
              </w:rPr>
              <w:fldChar w:fldCharType="end"/>
            </w:r>
          </w:hyperlink>
        </w:p>
        <w:p w14:paraId="2FD94362" w14:textId="2C22937D"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231" w:history="1">
            <w:r w:rsidRPr="00366557">
              <w:rPr>
                <w:rStyle w:val="Hyperlink"/>
                <w:rFonts w:ascii="Arial" w:hAnsi="Arial" w:cs="Arial"/>
                <w:noProof/>
                <w:sz w:val="22"/>
              </w:rPr>
              <w:t>5.1 Overall Conclusion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_Toc235121231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37</w:t>
            </w:r>
            <w:r w:rsidRPr="00366557">
              <w:rPr>
                <w:rFonts w:ascii="Arial" w:hAnsi="Arial" w:cs="Arial"/>
                <w:noProof/>
                <w:webHidden/>
                <w:sz w:val="22"/>
              </w:rPr>
              <w:fldChar w:fldCharType="end"/>
            </w:r>
          </w:hyperlink>
        </w:p>
        <w:p w14:paraId="3CFAC491" w14:textId="7BEA8801"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232" w:history="1">
            <w:r w:rsidRPr="00366557">
              <w:rPr>
                <w:rStyle w:val="Hyperlink"/>
                <w:rFonts w:ascii="Arial" w:hAnsi="Arial" w:cs="Arial"/>
                <w:noProof/>
                <w:sz w:val="22"/>
              </w:rPr>
              <w:t>5.2 Recommendations</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_Toc235121232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37</w:t>
            </w:r>
            <w:r w:rsidRPr="00366557">
              <w:rPr>
                <w:rFonts w:ascii="Arial" w:hAnsi="Arial" w:cs="Arial"/>
                <w:noProof/>
                <w:webHidden/>
                <w:sz w:val="22"/>
              </w:rPr>
              <w:fldChar w:fldCharType="end"/>
            </w:r>
          </w:hyperlink>
        </w:p>
        <w:p w14:paraId="7B53D0D4" w14:textId="48C468E8"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33" w:history="1">
            <w:r w:rsidRPr="00366557">
              <w:rPr>
                <w:rStyle w:val="Hyperlink"/>
                <w:rFonts w:ascii="Arial" w:hAnsi="Arial" w:cs="Arial"/>
                <w:noProof/>
                <w:sz w:val="22"/>
              </w:rPr>
              <w:t>Recommendation 1</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_Toc235121233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37</w:t>
            </w:r>
            <w:r w:rsidRPr="00366557">
              <w:rPr>
                <w:rFonts w:ascii="Arial" w:hAnsi="Arial" w:cs="Arial"/>
                <w:noProof/>
                <w:webHidden/>
                <w:sz w:val="22"/>
              </w:rPr>
              <w:fldChar w:fldCharType="end"/>
            </w:r>
          </w:hyperlink>
        </w:p>
        <w:p w14:paraId="597F5345" w14:textId="494AF3DD"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34" w:history="1">
            <w:r w:rsidRPr="00366557">
              <w:rPr>
                <w:rStyle w:val="Hyperlink"/>
                <w:rFonts w:ascii="Arial" w:hAnsi="Arial" w:cs="Arial"/>
                <w:noProof/>
                <w:sz w:val="22"/>
              </w:rPr>
              <w:t>Recommendation 2</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_Toc235121234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38</w:t>
            </w:r>
            <w:r w:rsidRPr="00366557">
              <w:rPr>
                <w:rFonts w:ascii="Arial" w:hAnsi="Arial" w:cs="Arial"/>
                <w:noProof/>
                <w:webHidden/>
                <w:sz w:val="22"/>
              </w:rPr>
              <w:fldChar w:fldCharType="end"/>
            </w:r>
          </w:hyperlink>
        </w:p>
        <w:p w14:paraId="04AA5A75" w14:textId="7ABACCF8" w:rsidR="00B21FED" w:rsidRPr="00366557" w:rsidRDefault="00B21FED" w:rsidP="00366557">
          <w:pPr>
            <w:pStyle w:val="TOC3"/>
            <w:tabs>
              <w:tab w:val="right" w:leader="dot" w:pos="9350"/>
            </w:tabs>
            <w:spacing w:line="360" w:lineRule="auto"/>
            <w:rPr>
              <w:rFonts w:ascii="Arial" w:eastAsiaTheme="minorEastAsia" w:hAnsi="Arial" w:cs="Arial"/>
              <w:noProof/>
              <w:sz w:val="22"/>
              <w:lang w:eastAsia="en-GB"/>
            </w:rPr>
          </w:pPr>
          <w:hyperlink w:anchor="_Toc235121235" w:history="1">
            <w:r w:rsidRPr="00366557">
              <w:rPr>
                <w:rStyle w:val="Hyperlink"/>
                <w:rFonts w:ascii="Arial" w:hAnsi="Arial" w:cs="Arial"/>
                <w:noProof/>
                <w:sz w:val="22"/>
              </w:rPr>
              <w:t>Recommendation 3</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_Toc235121235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39</w:t>
            </w:r>
            <w:r w:rsidRPr="00366557">
              <w:rPr>
                <w:rFonts w:ascii="Arial" w:hAnsi="Arial" w:cs="Arial"/>
                <w:noProof/>
                <w:webHidden/>
                <w:sz w:val="22"/>
              </w:rPr>
              <w:fldChar w:fldCharType="end"/>
            </w:r>
          </w:hyperlink>
        </w:p>
        <w:p w14:paraId="165CEC8F" w14:textId="650AC36D"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236" w:history="1">
            <w:r w:rsidRPr="00366557">
              <w:rPr>
                <w:rStyle w:val="Hyperlink"/>
                <w:rFonts w:ascii="Arial" w:hAnsi="Arial" w:cs="Arial"/>
                <w:noProof/>
                <w:sz w:val="22"/>
              </w:rPr>
              <w:t>5.3 End Of Dissertation</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_Toc235121236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40</w:t>
            </w:r>
            <w:r w:rsidRPr="00366557">
              <w:rPr>
                <w:rFonts w:ascii="Arial" w:hAnsi="Arial" w:cs="Arial"/>
                <w:noProof/>
                <w:webHidden/>
                <w:sz w:val="22"/>
              </w:rPr>
              <w:fldChar w:fldCharType="end"/>
            </w:r>
          </w:hyperlink>
        </w:p>
        <w:p w14:paraId="05EBEA51" w14:textId="12C79290" w:rsidR="00B21FED" w:rsidRPr="00366557" w:rsidRDefault="00B21FED" w:rsidP="00366557">
          <w:pPr>
            <w:pStyle w:val="TOC1"/>
            <w:tabs>
              <w:tab w:val="right" w:leader="dot" w:pos="9350"/>
            </w:tabs>
            <w:spacing w:line="360" w:lineRule="auto"/>
            <w:rPr>
              <w:rFonts w:ascii="Arial" w:eastAsiaTheme="minorEastAsia" w:hAnsi="Arial" w:cs="Arial"/>
              <w:noProof/>
              <w:sz w:val="22"/>
              <w:lang w:eastAsia="en-GB"/>
            </w:rPr>
          </w:pPr>
          <w:hyperlink w:anchor="_Toc235121237" w:history="1">
            <w:r w:rsidRPr="00366557">
              <w:rPr>
                <w:rStyle w:val="Hyperlink"/>
                <w:rFonts w:ascii="Arial" w:hAnsi="Arial" w:cs="Arial"/>
                <w:noProof/>
                <w:sz w:val="22"/>
              </w:rPr>
              <w:t>References</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_Toc235121237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41</w:t>
            </w:r>
            <w:r w:rsidRPr="00366557">
              <w:rPr>
                <w:rFonts w:ascii="Arial" w:hAnsi="Arial" w:cs="Arial"/>
                <w:noProof/>
                <w:webHidden/>
                <w:sz w:val="22"/>
              </w:rPr>
              <w:fldChar w:fldCharType="end"/>
            </w:r>
          </w:hyperlink>
        </w:p>
        <w:p w14:paraId="4688DA06" w14:textId="125F3024" w:rsidR="00B21FED" w:rsidRPr="00366557" w:rsidRDefault="00B21FED" w:rsidP="00366557">
          <w:pPr>
            <w:pStyle w:val="TOC1"/>
            <w:tabs>
              <w:tab w:val="right" w:leader="dot" w:pos="9350"/>
            </w:tabs>
            <w:spacing w:line="360" w:lineRule="auto"/>
            <w:rPr>
              <w:rFonts w:ascii="Arial" w:eastAsiaTheme="minorEastAsia" w:hAnsi="Arial" w:cs="Arial"/>
              <w:noProof/>
              <w:sz w:val="22"/>
              <w:lang w:eastAsia="en-GB"/>
            </w:rPr>
          </w:pPr>
          <w:hyperlink w:anchor="_Toc235121238" w:history="1">
            <w:r w:rsidRPr="00366557">
              <w:rPr>
                <w:rStyle w:val="Hyperlink"/>
                <w:rFonts w:ascii="Arial" w:hAnsi="Arial" w:cs="Arial"/>
                <w:noProof/>
                <w:sz w:val="22"/>
              </w:rPr>
              <w:t>Appendix</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_Toc235121238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50</w:t>
            </w:r>
            <w:r w:rsidRPr="00366557">
              <w:rPr>
                <w:rFonts w:ascii="Arial" w:hAnsi="Arial" w:cs="Arial"/>
                <w:noProof/>
                <w:webHidden/>
                <w:sz w:val="22"/>
              </w:rPr>
              <w:fldChar w:fldCharType="end"/>
            </w:r>
          </w:hyperlink>
        </w:p>
        <w:p w14:paraId="0B2105A7" w14:textId="2600E3C6"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239" w:history="1">
            <w:r w:rsidRPr="00366557">
              <w:rPr>
                <w:rStyle w:val="Hyperlink"/>
                <w:rFonts w:ascii="Arial" w:hAnsi="Arial" w:cs="Arial"/>
                <w:noProof/>
                <w:sz w:val="22"/>
              </w:rPr>
              <w:t>Appendix 1: Source Tracking Table</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_Toc235121239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50</w:t>
            </w:r>
            <w:r w:rsidRPr="00366557">
              <w:rPr>
                <w:rFonts w:ascii="Arial" w:hAnsi="Arial" w:cs="Arial"/>
                <w:noProof/>
                <w:webHidden/>
                <w:sz w:val="22"/>
              </w:rPr>
              <w:fldChar w:fldCharType="end"/>
            </w:r>
          </w:hyperlink>
        </w:p>
        <w:p w14:paraId="0CE2999C" w14:textId="21BE449B"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240" w:history="1">
            <w:r w:rsidRPr="00366557">
              <w:rPr>
                <w:rStyle w:val="Hyperlink"/>
                <w:rFonts w:ascii="Arial" w:hAnsi="Arial" w:cs="Arial"/>
                <w:noProof/>
                <w:sz w:val="22"/>
              </w:rPr>
              <w:t>Appendix 2: CRAAP Test</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_Toc235121240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54</w:t>
            </w:r>
            <w:r w:rsidRPr="00366557">
              <w:rPr>
                <w:rFonts w:ascii="Arial" w:hAnsi="Arial" w:cs="Arial"/>
                <w:noProof/>
                <w:webHidden/>
                <w:sz w:val="22"/>
              </w:rPr>
              <w:fldChar w:fldCharType="end"/>
            </w:r>
          </w:hyperlink>
        </w:p>
        <w:p w14:paraId="6C2BA327" w14:textId="03083F23" w:rsidR="00B21FED" w:rsidRPr="00366557" w:rsidRDefault="00B21FED" w:rsidP="00366557">
          <w:pPr>
            <w:pStyle w:val="TOC2"/>
            <w:tabs>
              <w:tab w:val="right" w:leader="dot" w:pos="9350"/>
            </w:tabs>
            <w:spacing w:line="360" w:lineRule="auto"/>
            <w:rPr>
              <w:rFonts w:ascii="Arial" w:eastAsiaTheme="minorEastAsia" w:hAnsi="Arial" w:cs="Arial"/>
              <w:noProof/>
              <w:sz w:val="22"/>
              <w:lang w:eastAsia="en-GB"/>
            </w:rPr>
          </w:pPr>
          <w:hyperlink w:anchor="_Toc235121241" w:history="1">
            <w:r w:rsidRPr="00366557">
              <w:rPr>
                <w:rStyle w:val="Hyperlink"/>
                <w:rFonts w:ascii="Arial" w:hAnsi="Arial" w:cs="Arial"/>
                <w:noProof/>
                <w:sz w:val="22"/>
              </w:rPr>
              <w:t>Appendix 3: Summary Table</w:t>
            </w:r>
            <w:r w:rsidRPr="00366557">
              <w:rPr>
                <w:rFonts w:ascii="Arial" w:hAnsi="Arial" w:cs="Arial"/>
                <w:noProof/>
                <w:webHidden/>
                <w:sz w:val="22"/>
              </w:rPr>
              <w:tab/>
            </w:r>
            <w:r w:rsidRPr="00366557">
              <w:rPr>
                <w:rFonts w:ascii="Arial" w:hAnsi="Arial" w:cs="Arial"/>
                <w:noProof/>
                <w:webHidden/>
                <w:sz w:val="22"/>
              </w:rPr>
              <w:fldChar w:fldCharType="begin"/>
            </w:r>
            <w:r w:rsidRPr="00366557">
              <w:rPr>
                <w:rFonts w:ascii="Arial" w:hAnsi="Arial" w:cs="Arial"/>
                <w:noProof/>
                <w:webHidden/>
                <w:sz w:val="22"/>
              </w:rPr>
              <w:instrText xml:space="preserve"> PAGEREF _Toc235121241 \h </w:instrText>
            </w:r>
            <w:r w:rsidRPr="00366557">
              <w:rPr>
                <w:rFonts w:ascii="Arial" w:hAnsi="Arial" w:cs="Arial"/>
                <w:noProof/>
                <w:webHidden/>
                <w:sz w:val="22"/>
              </w:rPr>
            </w:r>
            <w:r w:rsidRPr="00366557">
              <w:rPr>
                <w:rFonts w:ascii="Arial" w:hAnsi="Arial" w:cs="Arial"/>
                <w:noProof/>
                <w:webHidden/>
                <w:sz w:val="22"/>
              </w:rPr>
              <w:fldChar w:fldCharType="separate"/>
            </w:r>
            <w:r w:rsidR="002F0C16" w:rsidRPr="00366557">
              <w:rPr>
                <w:rFonts w:ascii="Arial" w:hAnsi="Arial" w:cs="Arial"/>
                <w:noProof/>
                <w:webHidden/>
                <w:sz w:val="22"/>
              </w:rPr>
              <w:t>55</w:t>
            </w:r>
            <w:r w:rsidRPr="00366557">
              <w:rPr>
                <w:rFonts w:ascii="Arial" w:hAnsi="Arial" w:cs="Arial"/>
                <w:noProof/>
                <w:webHidden/>
                <w:sz w:val="22"/>
              </w:rPr>
              <w:fldChar w:fldCharType="end"/>
            </w:r>
          </w:hyperlink>
        </w:p>
        <w:p w14:paraId="611EF2D2" w14:textId="77777777" w:rsidR="00B21FED" w:rsidRPr="00366557" w:rsidRDefault="00B21FED" w:rsidP="00366557">
          <w:pPr>
            <w:spacing w:line="360" w:lineRule="auto"/>
            <w:rPr>
              <w:rFonts w:ascii="Arial" w:hAnsi="Arial" w:cs="Arial"/>
              <w:sz w:val="22"/>
            </w:rPr>
          </w:pPr>
          <w:r w:rsidRPr="00366557">
            <w:rPr>
              <w:rFonts w:ascii="Arial" w:hAnsi="Arial" w:cs="Arial"/>
              <w:b/>
              <w:bCs/>
              <w:noProof/>
              <w:sz w:val="22"/>
            </w:rPr>
            <w:fldChar w:fldCharType="end"/>
          </w:r>
        </w:p>
      </w:sdtContent>
    </w:sdt>
    <w:p w14:paraId="7B56529A" w14:textId="77777777" w:rsidR="00B21FED" w:rsidRPr="00366557" w:rsidRDefault="00B21FED" w:rsidP="00366557">
      <w:pPr>
        <w:spacing w:line="360" w:lineRule="auto"/>
        <w:rPr>
          <w:rFonts w:ascii="Arial" w:hAnsi="Arial" w:cs="Arial"/>
          <w:sz w:val="22"/>
        </w:rPr>
      </w:pPr>
    </w:p>
    <w:p w14:paraId="39ABE8DD" w14:textId="77777777" w:rsidR="00B21FED" w:rsidRPr="00366557" w:rsidRDefault="00B21FED" w:rsidP="00366557">
      <w:pPr>
        <w:spacing w:line="360" w:lineRule="auto"/>
        <w:rPr>
          <w:rFonts w:ascii="Arial" w:hAnsi="Arial" w:cs="Arial"/>
          <w:sz w:val="22"/>
        </w:rPr>
      </w:pPr>
    </w:p>
    <w:p w14:paraId="13113723" w14:textId="77777777" w:rsidR="00B21FED" w:rsidRPr="00366557" w:rsidRDefault="00B21FED" w:rsidP="00366557">
      <w:pPr>
        <w:spacing w:line="360" w:lineRule="auto"/>
        <w:rPr>
          <w:rFonts w:ascii="Arial" w:hAnsi="Arial" w:cs="Arial"/>
          <w:sz w:val="22"/>
        </w:rPr>
      </w:pPr>
    </w:p>
    <w:p w14:paraId="48DDEF74" w14:textId="77777777" w:rsidR="00AF5873" w:rsidRPr="00366557" w:rsidRDefault="00AF5873" w:rsidP="00366557">
      <w:pPr>
        <w:spacing w:line="360" w:lineRule="auto"/>
        <w:rPr>
          <w:rFonts w:ascii="Arial" w:hAnsi="Arial" w:cs="Arial"/>
          <w:sz w:val="22"/>
        </w:rPr>
      </w:pPr>
      <w:bookmarkStart w:id="6" w:name="_Toc232709811"/>
      <w:bookmarkStart w:id="7" w:name="_Toc235118446"/>
      <w:bookmarkStart w:id="8" w:name="_Toc235121178"/>
    </w:p>
    <w:p w14:paraId="50FCF7DE" w14:textId="77777777" w:rsidR="00AF5873" w:rsidRPr="00366557" w:rsidRDefault="00AF5873" w:rsidP="00366557">
      <w:pPr>
        <w:spacing w:line="360" w:lineRule="auto"/>
        <w:rPr>
          <w:rFonts w:ascii="Arial" w:hAnsi="Arial" w:cs="Arial"/>
          <w:sz w:val="22"/>
        </w:rPr>
      </w:pPr>
    </w:p>
    <w:p w14:paraId="740890B1" w14:textId="77777777" w:rsidR="00AF5873" w:rsidRPr="00366557" w:rsidRDefault="00AF5873" w:rsidP="00366557">
      <w:pPr>
        <w:spacing w:line="360" w:lineRule="auto"/>
        <w:rPr>
          <w:rFonts w:ascii="Arial" w:hAnsi="Arial" w:cs="Arial"/>
          <w:sz w:val="22"/>
        </w:rPr>
      </w:pPr>
    </w:p>
    <w:p w14:paraId="3423BC21" w14:textId="77777777" w:rsidR="00AF5873" w:rsidRPr="00366557" w:rsidRDefault="00AF5873" w:rsidP="00366557">
      <w:pPr>
        <w:spacing w:line="360" w:lineRule="auto"/>
        <w:rPr>
          <w:rFonts w:ascii="Arial" w:hAnsi="Arial" w:cs="Arial"/>
          <w:sz w:val="22"/>
        </w:rPr>
      </w:pPr>
    </w:p>
    <w:p w14:paraId="2AA8914D" w14:textId="77777777" w:rsidR="00AF5873" w:rsidRPr="00366557" w:rsidRDefault="00AF5873" w:rsidP="00366557">
      <w:pPr>
        <w:spacing w:line="360" w:lineRule="auto"/>
        <w:rPr>
          <w:rFonts w:ascii="Arial" w:hAnsi="Arial" w:cs="Arial"/>
          <w:sz w:val="22"/>
        </w:rPr>
      </w:pPr>
    </w:p>
    <w:p w14:paraId="3035435A" w14:textId="77777777" w:rsidR="00AF5873" w:rsidRPr="00366557" w:rsidRDefault="00AF5873" w:rsidP="00366557">
      <w:pPr>
        <w:spacing w:line="360" w:lineRule="auto"/>
        <w:rPr>
          <w:rFonts w:ascii="Arial" w:hAnsi="Arial" w:cs="Arial"/>
          <w:sz w:val="22"/>
        </w:rPr>
      </w:pPr>
    </w:p>
    <w:p w14:paraId="020D7CFE" w14:textId="77777777" w:rsidR="00AF5873" w:rsidRPr="00366557" w:rsidRDefault="00AF5873" w:rsidP="00366557">
      <w:pPr>
        <w:spacing w:line="360" w:lineRule="auto"/>
        <w:rPr>
          <w:rFonts w:ascii="Arial" w:hAnsi="Arial" w:cs="Arial"/>
          <w:sz w:val="22"/>
        </w:rPr>
      </w:pPr>
    </w:p>
    <w:p w14:paraId="1C949492" w14:textId="77777777" w:rsidR="00AF5873" w:rsidRPr="00366557" w:rsidRDefault="00AF5873" w:rsidP="00366557">
      <w:pPr>
        <w:spacing w:line="360" w:lineRule="auto"/>
        <w:rPr>
          <w:rFonts w:ascii="Arial" w:hAnsi="Arial" w:cs="Arial"/>
          <w:sz w:val="22"/>
        </w:rPr>
      </w:pPr>
    </w:p>
    <w:p w14:paraId="2912B4EB" w14:textId="77777777" w:rsidR="00AF5873" w:rsidRPr="00366557" w:rsidRDefault="00AF5873" w:rsidP="00366557">
      <w:pPr>
        <w:spacing w:line="360" w:lineRule="auto"/>
        <w:rPr>
          <w:rFonts w:ascii="Arial" w:hAnsi="Arial" w:cs="Arial"/>
          <w:sz w:val="22"/>
        </w:rPr>
      </w:pPr>
    </w:p>
    <w:p w14:paraId="669F84D6" w14:textId="0B146927" w:rsidR="000F035B" w:rsidRPr="00366557" w:rsidRDefault="00357420" w:rsidP="00366557">
      <w:pPr>
        <w:spacing w:line="360" w:lineRule="auto"/>
        <w:rPr>
          <w:rFonts w:ascii="Arial" w:hAnsi="Arial" w:cs="Arial"/>
          <w:sz w:val="22"/>
        </w:rPr>
      </w:pPr>
      <w:r w:rsidRPr="00366557">
        <w:rPr>
          <w:rFonts w:ascii="Arial" w:hAnsi="Arial" w:cs="Arial"/>
          <w:sz w:val="22"/>
        </w:rPr>
        <w:t>Chapter 1: Introduction</w:t>
      </w:r>
      <w:bookmarkEnd w:id="6"/>
      <w:bookmarkEnd w:id="7"/>
      <w:bookmarkEnd w:id="8"/>
    </w:p>
    <w:p w14:paraId="5A526576" w14:textId="120B92F0" w:rsidR="007E1221" w:rsidRPr="00366557" w:rsidRDefault="00357420" w:rsidP="00366557">
      <w:pPr>
        <w:pStyle w:val="Heading2"/>
        <w:spacing w:after="160" w:line="360" w:lineRule="auto"/>
        <w:rPr>
          <w:rFonts w:ascii="Arial" w:hAnsi="Arial" w:cs="Arial"/>
          <w:sz w:val="22"/>
          <w:szCs w:val="22"/>
        </w:rPr>
      </w:pPr>
      <w:bookmarkStart w:id="9" w:name="_Toc232709812"/>
      <w:bookmarkStart w:id="10" w:name="_Toc235118447"/>
      <w:bookmarkStart w:id="11" w:name="_Toc235121179"/>
      <w:r w:rsidRPr="00366557">
        <w:rPr>
          <w:rFonts w:ascii="Arial" w:hAnsi="Arial" w:cs="Arial"/>
          <w:sz w:val="22"/>
          <w:szCs w:val="22"/>
        </w:rPr>
        <w:t>1.1 Introduction</w:t>
      </w:r>
      <w:bookmarkEnd w:id="9"/>
      <w:bookmarkEnd w:id="10"/>
      <w:bookmarkEnd w:id="11"/>
    </w:p>
    <w:p w14:paraId="242D5652" w14:textId="2C36CAE7" w:rsidR="00A044A3" w:rsidRPr="00366557" w:rsidRDefault="00357420" w:rsidP="00366557">
      <w:pPr>
        <w:spacing w:line="360" w:lineRule="auto"/>
        <w:rPr>
          <w:rFonts w:ascii="Arial" w:hAnsi="Arial" w:cs="Arial"/>
          <w:sz w:val="22"/>
          <w:highlight w:val="yellow"/>
        </w:rPr>
      </w:pPr>
      <w:r w:rsidRPr="00366557">
        <w:rPr>
          <w:rFonts w:ascii="Arial" w:hAnsi="Arial" w:cs="Arial"/>
          <w:sz w:val="22"/>
        </w:rPr>
        <w:t>Today's health care landscape is becoming more and more intersectional and inclusive, and there are still significant systemic inequities across the board for marginalised communities. Despite growing acceptance of gender diversity and legal protections, transgender individuals continue to bear large health and social disparities Scheim et al., 2025). Transgender and non-binary people face significant health and social care inequalities in the U.K., with worse physical and mental health than cisgender people (Connolly et al.,2025). These inequalities are being perpetuated by a widespread institutional bias in the National Health Service (NHS), a lack of specialised medical literacy among primary care practitioners, and those crucial time-delayed secondary referral pipelines (Mikulak et al., 2021)</w:t>
      </w:r>
      <w:r w:rsidR="00F8025A" w:rsidRPr="00366557">
        <w:rPr>
          <w:rFonts w:ascii="Arial" w:hAnsi="Arial" w:cs="Arial"/>
          <w:sz w:val="22"/>
        </w:rPr>
        <w:t xml:space="preserve">. </w:t>
      </w:r>
      <w:r w:rsidRPr="00366557">
        <w:rPr>
          <w:rFonts w:ascii="Arial" w:hAnsi="Arial" w:cs="Arial"/>
          <w:sz w:val="22"/>
        </w:rPr>
        <w:t>In addition, many service users continue to experience social isolation and face microaggressions in routine care settings today, including dead-naming and misgendering (Jensen, 2024).  The overall goal of this dissertation is to systematically explore the lived experiences of transgender people within the health and social care services in the UK. This examination of literature and policy requirements utilises a thorough evaluation of the professional services, academic research, and policy demands to uncover the structural, cultural, and educational challenges to accessibility and quality of services. Finally, this study aims to integrate these findings for practical and effective recommendations for service delivery.</w:t>
      </w:r>
    </w:p>
    <w:p w14:paraId="7E52AFAD" w14:textId="77777777" w:rsidR="00D80718" w:rsidRPr="00366557" w:rsidRDefault="00D80718" w:rsidP="00366557">
      <w:pPr>
        <w:spacing w:line="360" w:lineRule="auto"/>
        <w:rPr>
          <w:rFonts w:ascii="Arial" w:hAnsi="Arial" w:cs="Arial"/>
          <w:sz w:val="22"/>
        </w:rPr>
      </w:pPr>
    </w:p>
    <w:p w14:paraId="13324A23" w14:textId="0B52EA4C" w:rsidR="00D80718" w:rsidRPr="00366557" w:rsidRDefault="00357420" w:rsidP="00366557">
      <w:pPr>
        <w:pStyle w:val="Heading2"/>
        <w:spacing w:after="160" w:line="360" w:lineRule="auto"/>
        <w:rPr>
          <w:rFonts w:ascii="Arial" w:hAnsi="Arial" w:cs="Arial"/>
          <w:sz w:val="22"/>
          <w:szCs w:val="22"/>
        </w:rPr>
      </w:pPr>
      <w:bookmarkStart w:id="12" w:name="_Toc232709813"/>
      <w:bookmarkStart w:id="13" w:name="_Toc235118448"/>
      <w:bookmarkStart w:id="14" w:name="_Toc235121180"/>
      <w:r w:rsidRPr="00366557">
        <w:rPr>
          <w:rFonts w:ascii="Arial" w:hAnsi="Arial" w:cs="Arial"/>
          <w:sz w:val="22"/>
          <w:szCs w:val="22"/>
        </w:rPr>
        <w:t>1.2 Definitions and Terminology</w:t>
      </w:r>
      <w:bookmarkEnd w:id="12"/>
      <w:bookmarkEnd w:id="13"/>
      <w:bookmarkEnd w:id="14"/>
    </w:p>
    <w:p w14:paraId="17E90FF4" w14:textId="1E998DC5" w:rsidR="00670F24" w:rsidRPr="00366557" w:rsidRDefault="00357420" w:rsidP="00366557">
      <w:pPr>
        <w:spacing w:line="360" w:lineRule="auto"/>
        <w:rPr>
          <w:rFonts w:ascii="Arial" w:hAnsi="Arial" w:cs="Arial"/>
          <w:sz w:val="22"/>
        </w:rPr>
      </w:pPr>
      <w:r w:rsidRPr="00366557">
        <w:rPr>
          <w:rFonts w:ascii="Arial" w:hAnsi="Arial" w:cs="Arial"/>
          <w:sz w:val="22"/>
        </w:rPr>
        <w:t xml:space="preserve">Drafting an enquiry into the experiences of transgender individuals in health and social care services is important because of the meanings of certain terms. According to Rosenstadt (2022), transgender means a person whose gender identity is not the one associated with the sex they were assigned at birth. Gender identity refers to the deeply held internal sense of gender that a person has, and can be male, female, both, neither or other. Gender expression is the way a person communicates </w:t>
      </w:r>
      <w:r w:rsidR="00D156C9" w:rsidRPr="00366557">
        <w:rPr>
          <w:rFonts w:ascii="Arial" w:hAnsi="Arial" w:cs="Arial"/>
          <w:sz w:val="22"/>
        </w:rPr>
        <w:t>their</w:t>
      </w:r>
      <w:r w:rsidRPr="00366557">
        <w:rPr>
          <w:rFonts w:ascii="Arial" w:hAnsi="Arial" w:cs="Arial"/>
          <w:sz w:val="22"/>
        </w:rPr>
        <w:t xml:space="preserve"> gender through appearance, behaviour, or communication. Asokan-Ajitha and Sengupta (2026) found that services are considered inclusive if they respect diversity, foster equality and meet the needs of people of all gender </w:t>
      </w:r>
      <w:r w:rsidRPr="00366557">
        <w:rPr>
          <w:rFonts w:ascii="Arial" w:hAnsi="Arial" w:cs="Arial"/>
          <w:sz w:val="22"/>
        </w:rPr>
        <w:lastRenderedPageBreak/>
        <w:t xml:space="preserve">identities. Within health and social care, health inequalities are the avoidable and unfair disparities that different groups of people have in their health. </w:t>
      </w:r>
    </w:p>
    <w:p w14:paraId="4DF8FE29" w14:textId="400B9893" w:rsidR="00670F24" w:rsidRPr="00366557" w:rsidRDefault="00357420" w:rsidP="00366557">
      <w:pPr>
        <w:spacing w:line="360" w:lineRule="auto"/>
        <w:rPr>
          <w:rFonts w:ascii="Arial" w:hAnsi="Arial" w:cs="Arial"/>
          <w:sz w:val="22"/>
        </w:rPr>
      </w:pPr>
      <w:r w:rsidRPr="00366557">
        <w:rPr>
          <w:rFonts w:ascii="Arial" w:hAnsi="Arial" w:cs="Arial"/>
          <w:sz w:val="22"/>
        </w:rPr>
        <w:t>Scheim et al. (2022) reported high rates of disproportionate discrimination affecting transgender participation in health care and general well-being. Likewise, Lewis et al. (2023) found that many transgender people face challenges relating to stigma, lack of experience and feeling excluded from services. A number of acronyms are employed throughout this dissertation. LGBTQ+ is a term for Lesbian, Gay, Bisexual, Transgender, Queer or Questioning and other differences relating to sexual orientation and gender identity. NHS is the term used to describe the free health care system in the United Kingdom (NHS, 2026). Gender Identity Clinic (GIC) means specialist NHS clinics which offer assessment and support to transgender individuals. These definitions should be used when reading the literature, policies, and practice advice cited throughout this research.</w:t>
      </w:r>
    </w:p>
    <w:p w14:paraId="0C4B6F8F" w14:textId="45037BC5" w:rsidR="00D80718" w:rsidRPr="00366557" w:rsidRDefault="00D80718" w:rsidP="00366557">
      <w:pPr>
        <w:spacing w:line="360" w:lineRule="auto"/>
        <w:rPr>
          <w:rFonts w:ascii="Arial" w:hAnsi="Arial" w:cs="Arial"/>
          <w:sz w:val="22"/>
        </w:rPr>
      </w:pPr>
    </w:p>
    <w:p w14:paraId="7D855D6C" w14:textId="32436BA8" w:rsidR="00D80718" w:rsidRPr="00366557" w:rsidRDefault="00357420" w:rsidP="00366557">
      <w:pPr>
        <w:pStyle w:val="Heading2"/>
        <w:spacing w:after="160" w:line="360" w:lineRule="auto"/>
        <w:rPr>
          <w:rFonts w:ascii="Arial" w:hAnsi="Arial" w:cs="Arial"/>
          <w:sz w:val="22"/>
          <w:szCs w:val="22"/>
        </w:rPr>
      </w:pPr>
      <w:bookmarkStart w:id="15" w:name="_Toc232709814"/>
      <w:bookmarkStart w:id="16" w:name="_Toc235118449"/>
      <w:bookmarkStart w:id="17" w:name="_Toc235121181"/>
      <w:r w:rsidRPr="00366557">
        <w:rPr>
          <w:rFonts w:ascii="Arial" w:hAnsi="Arial" w:cs="Arial"/>
          <w:sz w:val="22"/>
          <w:szCs w:val="22"/>
        </w:rPr>
        <w:t>1.3 Rationale for Research</w:t>
      </w:r>
      <w:bookmarkEnd w:id="15"/>
      <w:bookmarkEnd w:id="16"/>
      <w:bookmarkEnd w:id="17"/>
    </w:p>
    <w:p w14:paraId="76FFD0EA" w14:textId="77777777" w:rsidR="00F5425C" w:rsidRPr="00366557" w:rsidRDefault="00357420" w:rsidP="00366557">
      <w:pPr>
        <w:spacing w:line="360" w:lineRule="auto"/>
        <w:rPr>
          <w:rFonts w:ascii="Arial" w:hAnsi="Arial" w:cs="Arial"/>
          <w:sz w:val="22"/>
        </w:rPr>
      </w:pPr>
      <w:r w:rsidRPr="00366557">
        <w:rPr>
          <w:rFonts w:ascii="Arial" w:hAnsi="Arial" w:cs="Arial"/>
          <w:sz w:val="22"/>
        </w:rPr>
        <w:t xml:space="preserve">This research is driven by an emerging issue of accessibility and friction throughout the health and social care sectors in the UK. The Equality Act 2010 legally protects people based on gender reassignment, and for many, the Act is not reflected by clinical practice, as evidenced by current empirical research (GOV.UK, 2010). The choice of this subject is critical as a result of a dramatic rise in waiting times for NHS Gender Identity Clinics (GICs), </w:t>
      </w:r>
      <w:r w:rsidR="002D373F" w:rsidRPr="00366557">
        <w:rPr>
          <w:rFonts w:ascii="Arial" w:hAnsi="Arial" w:cs="Arial"/>
          <w:sz w:val="22"/>
        </w:rPr>
        <w:t xml:space="preserve">with </w:t>
      </w:r>
      <w:r w:rsidRPr="00366557">
        <w:rPr>
          <w:rFonts w:ascii="Arial" w:hAnsi="Arial" w:cs="Arial"/>
          <w:sz w:val="22"/>
        </w:rPr>
        <w:t xml:space="preserve">first appointment </w:t>
      </w:r>
      <w:r w:rsidR="001B4A0D" w:rsidRPr="00366557">
        <w:rPr>
          <w:rFonts w:ascii="Arial" w:hAnsi="Arial" w:cs="Arial"/>
          <w:sz w:val="22"/>
        </w:rPr>
        <w:t xml:space="preserve">waiting times </w:t>
      </w:r>
      <w:r w:rsidRPr="00366557">
        <w:rPr>
          <w:rFonts w:ascii="Arial" w:hAnsi="Arial" w:cs="Arial"/>
          <w:sz w:val="22"/>
        </w:rPr>
        <w:t xml:space="preserve">increased to years </w:t>
      </w:r>
      <w:r w:rsidRPr="00366557">
        <w:rPr>
          <w:rFonts w:ascii="Arial" w:hAnsi="Arial" w:cs="Arial"/>
          <w:b/>
          <w:sz w:val="22"/>
        </w:rPr>
        <w:t>(</w:t>
      </w:r>
      <w:r w:rsidRPr="00366557">
        <w:rPr>
          <w:rFonts w:ascii="Arial" w:hAnsi="Arial" w:cs="Arial"/>
          <w:sz w:val="22"/>
        </w:rPr>
        <w:t xml:space="preserve">NHS, 2026). Similarly, there has been growing institutional risk-aversion, driven by spirited public and media discussions on trans healthcare frameworks, which could continue to inhibit access to necessary affirmative care pathways. This thematic study is justified by the large gap in the scientific literature. </w:t>
      </w:r>
    </w:p>
    <w:p w14:paraId="6BD60A88" w14:textId="1CB7A338" w:rsidR="00F5425C" w:rsidRPr="00366557" w:rsidRDefault="00357420" w:rsidP="00366557">
      <w:pPr>
        <w:spacing w:line="360" w:lineRule="auto"/>
        <w:rPr>
          <w:rFonts w:ascii="Arial" w:hAnsi="Arial" w:cs="Arial"/>
          <w:sz w:val="22"/>
        </w:rPr>
      </w:pPr>
      <w:r w:rsidRPr="00366557">
        <w:rPr>
          <w:rFonts w:ascii="Arial" w:hAnsi="Arial" w:cs="Arial"/>
          <w:sz w:val="22"/>
        </w:rPr>
        <w:t xml:space="preserve">Studies of the pathologised and clinical dimensions of transition-related surgeries and endocrinological procedures are well documented, whereas research examining the lived experiences of transition-related interactions in general practice, social work and adult social care services (ASCS) is much more limited Connolly et al.,2025). In addition, national electronic health records and administrative IT systems are still dogmatically binary, fail to enable systematic monitoring of trans-inclusive cancer screening, or lack accurate records of patient demographics (Ragosta et al., 2023). This dissertation </w:t>
      </w:r>
      <w:r w:rsidR="008F7553" w:rsidRPr="00366557">
        <w:rPr>
          <w:rFonts w:ascii="Arial" w:hAnsi="Arial" w:cs="Arial"/>
          <w:sz w:val="22"/>
        </w:rPr>
        <w:t xml:space="preserve">aims to examine these deficits and develop recommendations </w:t>
      </w:r>
      <w:r w:rsidR="003452FF" w:rsidRPr="00366557">
        <w:rPr>
          <w:rFonts w:ascii="Arial" w:hAnsi="Arial" w:cs="Arial"/>
          <w:sz w:val="22"/>
        </w:rPr>
        <w:t xml:space="preserve">for </w:t>
      </w:r>
      <w:r w:rsidRPr="00366557">
        <w:rPr>
          <w:rFonts w:ascii="Arial" w:hAnsi="Arial" w:cs="Arial"/>
          <w:sz w:val="22"/>
        </w:rPr>
        <w:t xml:space="preserve">special tertiary services to complement the normal practice of social or primary health services. This study combines all these separate areas of care in one </w:t>
      </w:r>
      <w:r w:rsidRPr="00366557">
        <w:rPr>
          <w:rFonts w:ascii="Arial" w:hAnsi="Arial" w:cs="Arial"/>
          <w:sz w:val="22"/>
        </w:rPr>
        <w:lastRenderedPageBreak/>
        <w:t>unified, comprehensive framework to provide a comprehensive empirical gap that directly addresses cross-departmental practice.</w:t>
      </w:r>
    </w:p>
    <w:p w14:paraId="23E244C7" w14:textId="3A75466F" w:rsidR="003D5F5E" w:rsidRPr="00366557" w:rsidRDefault="003D5F5E" w:rsidP="00366557">
      <w:pPr>
        <w:spacing w:line="360" w:lineRule="auto"/>
        <w:rPr>
          <w:rFonts w:ascii="Arial" w:hAnsi="Arial" w:cs="Arial"/>
          <w:sz w:val="22"/>
        </w:rPr>
      </w:pPr>
    </w:p>
    <w:p w14:paraId="401BD662" w14:textId="24757B1A" w:rsidR="003D5F5E" w:rsidRPr="00366557" w:rsidRDefault="00357420" w:rsidP="00366557">
      <w:pPr>
        <w:pStyle w:val="Heading2"/>
        <w:spacing w:line="360" w:lineRule="auto"/>
        <w:rPr>
          <w:rFonts w:ascii="Arial" w:hAnsi="Arial" w:cs="Arial"/>
          <w:sz w:val="22"/>
          <w:szCs w:val="22"/>
        </w:rPr>
      </w:pPr>
      <w:bookmarkStart w:id="18" w:name="_Toc235118450"/>
      <w:bookmarkStart w:id="19" w:name="_Toc235121182"/>
      <w:r w:rsidRPr="00366557">
        <w:rPr>
          <w:rFonts w:ascii="Arial" w:hAnsi="Arial" w:cs="Arial"/>
          <w:sz w:val="22"/>
          <w:szCs w:val="22"/>
        </w:rPr>
        <w:t>1.4 Research Aim And Objectives</w:t>
      </w:r>
      <w:bookmarkEnd w:id="18"/>
      <w:bookmarkEnd w:id="19"/>
    </w:p>
    <w:p w14:paraId="4A005110" w14:textId="749E539C" w:rsidR="00E23032" w:rsidRPr="00366557" w:rsidRDefault="00357420" w:rsidP="00366557">
      <w:pPr>
        <w:pStyle w:val="Heading3"/>
        <w:spacing w:line="360" w:lineRule="auto"/>
        <w:jc w:val="left"/>
        <w:rPr>
          <w:rFonts w:ascii="Arial" w:hAnsi="Arial" w:cs="Arial"/>
          <w:sz w:val="22"/>
          <w:szCs w:val="22"/>
        </w:rPr>
      </w:pPr>
      <w:bookmarkStart w:id="20" w:name="_Toc235118451"/>
      <w:bookmarkStart w:id="21" w:name="_Toc235121183"/>
      <w:r w:rsidRPr="00366557">
        <w:rPr>
          <w:rFonts w:ascii="Arial" w:hAnsi="Arial" w:cs="Arial"/>
          <w:sz w:val="22"/>
          <w:szCs w:val="22"/>
        </w:rPr>
        <w:t>Research Aim</w:t>
      </w:r>
      <w:bookmarkEnd w:id="20"/>
      <w:bookmarkEnd w:id="21"/>
    </w:p>
    <w:p w14:paraId="78FA80AE" w14:textId="5CADB8DB" w:rsidR="00EC6DEB" w:rsidRPr="00366557" w:rsidRDefault="00357420" w:rsidP="00366557">
      <w:pPr>
        <w:spacing w:line="360" w:lineRule="auto"/>
        <w:rPr>
          <w:rFonts w:ascii="Arial" w:hAnsi="Arial" w:cs="Arial"/>
          <w:sz w:val="22"/>
        </w:rPr>
      </w:pPr>
      <w:r w:rsidRPr="00366557">
        <w:rPr>
          <w:rFonts w:ascii="Arial" w:hAnsi="Arial" w:cs="Arial"/>
          <w:sz w:val="22"/>
        </w:rPr>
        <w:t>The research aim is to understand the experiences of transgender people in UK health and social care settings</w:t>
      </w:r>
      <w:r w:rsidR="009D40F7" w:rsidRPr="00366557">
        <w:rPr>
          <w:rFonts w:ascii="Arial" w:hAnsi="Arial" w:cs="Arial"/>
          <w:sz w:val="22"/>
        </w:rPr>
        <w:t>. It aims to identify barriers to receiving inclusive</w:t>
      </w:r>
      <w:r w:rsidR="00534E0D" w:rsidRPr="00366557">
        <w:rPr>
          <w:rFonts w:ascii="Arial" w:hAnsi="Arial" w:cs="Arial"/>
          <w:sz w:val="22"/>
        </w:rPr>
        <w:t>, respectful, and appropriate services in care settings.</w:t>
      </w:r>
    </w:p>
    <w:p w14:paraId="0F998400" w14:textId="4028E07C" w:rsidR="00534E0D" w:rsidRPr="00366557" w:rsidRDefault="00357420" w:rsidP="00366557">
      <w:pPr>
        <w:pStyle w:val="Heading3"/>
        <w:spacing w:line="360" w:lineRule="auto"/>
        <w:jc w:val="left"/>
        <w:rPr>
          <w:rFonts w:ascii="Arial" w:hAnsi="Arial" w:cs="Arial"/>
          <w:sz w:val="22"/>
          <w:szCs w:val="22"/>
        </w:rPr>
      </w:pPr>
      <w:bookmarkStart w:id="22" w:name="_Toc235118452"/>
      <w:bookmarkStart w:id="23" w:name="_Toc235121184"/>
      <w:r w:rsidRPr="00366557">
        <w:rPr>
          <w:rFonts w:ascii="Arial" w:hAnsi="Arial" w:cs="Arial"/>
          <w:sz w:val="22"/>
          <w:szCs w:val="22"/>
        </w:rPr>
        <w:t>Research Objectives</w:t>
      </w:r>
      <w:bookmarkEnd w:id="22"/>
      <w:bookmarkEnd w:id="23"/>
    </w:p>
    <w:p w14:paraId="7B38BFAC" w14:textId="2751C57C" w:rsidR="00EE64C4" w:rsidRPr="00366557" w:rsidRDefault="00357420" w:rsidP="00366557">
      <w:pPr>
        <w:pStyle w:val="ListParagraph"/>
        <w:numPr>
          <w:ilvl w:val="0"/>
          <w:numId w:val="5"/>
        </w:numPr>
        <w:spacing w:line="360" w:lineRule="auto"/>
        <w:rPr>
          <w:rFonts w:ascii="Arial" w:hAnsi="Arial" w:cs="Arial"/>
          <w:sz w:val="22"/>
        </w:rPr>
      </w:pPr>
      <w:r w:rsidRPr="00366557">
        <w:rPr>
          <w:rFonts w:ascii="Arial" w:hAnsi="Arial" w:cs="Arial"/>
          <w:sz w:val="22"/>
        </w:rPr>
        <w:t>Define relevant phrases and concepts related to transgender identity and inclusive care in social and healthcare settings.</w:t>
      </w:r>
    </w:p>
    <w:p w14:paraId="0711F001" w14:textId="503C2FA5" w:rsidR="00EE64C4" w:rsidRPr="00366557" w:rsidRDefault="00357420" w:rsidP="00366557">
      <w:pPr>
        <w:pStyle w:val="ListParagraph"/>
        <w:numPr>
          <w:ilvl w:val="0"/>
          <w:numId w:val="5"/>
        </w:numPr>
        <w:spacing w:line="360" w:lineRule="auto"/>
        <w:rPr>
          <w:rFonts w:ascii="Arial" w:hAnsi="Arial" w:cs="Arial"/>
          <w:sz w:val="22"/>
        </w:rPr>
      </w:pPr>
      <w:r w:rsidRPr="00366557">
        <w:rPr>
          <w:rFonts w:ascii="Arial" w:hAnsi="Arial" w:cs="Arial"/>
          <w:sz w:val="22"/>
        </w:rPr>
        <w:t>Analyse academic studies on the healthcare inequality, exclusion and discrimination faced by transgender service users.</w:t>
      </w:r>
    </w:p>
    <w:p w14:paraId="2FFCC02F" w14:textId="3302A117" w:rsidR="00EE64C4" w:rsidRPr="00366557" w:rsidRDefault="00357420" w:rsidP="00366557">
      <w:pPr>
        <w:pStyle w:val="ListParagraph"/>
        <w:numPr>
          <w:ilvl w:val="0"/>
          <w:numId w:val="5"/>
        </w:numPr>
        <w:spacing w:line="360" w:lineRule="auto"/>
        <w:rPr>
          <w:rFonts w:ascii="Arial" w:hAnsi="Arial" w:cs="Arial"/>
          <w:sz w:val="22"/>
        </w:rPr>
      </w:pPr>
      <w:r w:rsidRPr="00366557">
        <w:rPr>
          <w:rFonts w:ascii="Arial" w:hAnsi="Arial" w:cs="Arial"/>
          <w:sz w:val="22"/>
        </w:rPr>
        <w:t>Evaluate using a thematic review of the literature, UK policies and professional guidelines relevant to transgender healthcare were identified.</w:t>
      </w:r>
    </w:p>
    <w:p w14:paraId="06EAB3C5" w14:textId="71C3AC90" w:rsidR="00EE64C4" w:rsidRPr="00366557" w:rsidRDefault="00357420" w:rsidP="00366557">
      <w:pPr>
        <w:pStyle w:val="ListParagraph"/>
        <w:numPr>
          <w:ilvl w:val="0"/>
          <w:numId w:val="5"/>
        </w:numPr>
        <w:spacing w:line="360" w:lineRule="auto"/>
        <w:rPr>
          <w:rFonts w:ascii="Arial" w:hAnsi="Arial" w:cs="Arial"/>
          <w:sz w:val="22"/>
        </w:rPr>
      </w:pPr>
      <w:r w:rsidRPr="00366557">
        <w:rPr>
          <w:rFonts w:ascii="Arial" w:hAnsi="Arial" w:cs="Arial"/>
          <w:sz w:val="22"/>
        </w:rPr>
        <w:t>Recommendations for practical methods to improve service delivery and improve diversity for transgender people in social and healthcare settings.</w:t>
      </w:r>
    </w:p>
    <w:p w14:paraId="6B7D0CA9" w14:textId="375BB0CC" w:rsidR="002D2732" w:rsidRPr="00366557" w:rsidRDefault="002D2732" w:rsidP="00366557">
      <w:pPr>
        <w:spacing w:line="360" w:lineRule="auto"/>
        <w:rPr>
          <w:rFonts w:ascii="Arial" w:hAnsi="Arial" w:cs="Arial"/>
          <w:sz w:val="22"/>
        </w:rPr>
      </w:pPr>
    </w:p>
    <w:p w14:paraId="41BD65B1" w14:textId="564985BD" w:rsidR="00216236" w:rsidRPr="00366557" w:rsidRDefault="00357420" w:rsidP="00366557">
      <w:pPr>
        <w:pStyle w:val="Heading2"/>
        <w:spacing w:after="160" w:line="360" w:lineRule="auto"/>
        <w:rPr>
          <w:rFonts w:ascii="Arial" w:hAnsi="Arial" w:cs="Arial"/>
          <w:sz w:val="22"/>
          <w:szCs w:val="22"/>
        </w:rPr>
      </w:pPr>
      <w:bookmarkStart w:id="24" w:name="_Toc232709815"/>
      <w:bookmarkStart w:id="25" w:name="_Toc235118453"/>
      <w:bookmarkStart w:id="26" w:name="_Toc235121185"/>
      <w:r w:rsidRPr="00366557">
        <w:rPr>
          <w:rFonts w:ascii="Arial" w:hAnsi="Arial" w:cs="Arial"/>
          <w:sz w:val="22"/>
          <w:szCs w:val="22"/>
        </w:rPr>
        <w:t>1.5 Conclusion</w:t>
      </w:r>
      <w:bookmarkEnd w:id="24"/>
      <w:bookmarkEnd w:id="25"/>
      <w:bookmarkEnd w:id="26"/>
    </w:p>
    <w:p w14:paraId="1ACE971B" w14:textId="55A6039F" w:rsidR="00F5425C" w:rsidRPr="00366557" w:rsidRDefault="00357420" w:rsidP="00366557">
      <w:pPr>
        <w:spacing w:line="360" w:lineRule="auto"/>
        <w:rPr>
          <w:rFonts w:ascii="Arial" w:hAnsi="Arial" w:cs="Arial"/>
          <w:sz w:val="22"/>
        </w:rPr>
      </w:pPr>
      <w:r w:rsidRPr="00366557">
        <w:rPr>
          <w:rFonts w:ascii="Arial" w:hAnsi="Arial" w:cs="Arial"/>
          <w:sz w:val="22"/>
        </w:rPr>
        <w:t xml:space="preserve">This chapter has introduced the research topic by outlining the importance of inclusive health and social care for transgender people in the United Kingdom. It has considered the context of the study, terms and definitions, and the justification for the study about the barriers faced by transgender people when accessing services. The chapter has also set out a clear research purpose of investigating experiences in health and social care settings and challenges to the provision of respectful, appropriate and inclusive care. The research objectives help to define task concepts relevant to the decisions, to analyse the evidence of inequalities and discrimination, to identify the policy and professional advice, and to establish practical recommendations for improvements. The following chapter, Background Information and </w:t>
      </w:r>
      <w:r w:rsidRPr="00366557">
        <w:rPr>
          <w:rFonts w:ascii="Arial" w:hAnsi="Arial" w:cs="Arial"/>
          <w:sz w:val="22"/>
        </w:rPr>
        <w:lastRenderedPageBreak/>
        <w:t>Analysis, will look in greater detail at the history, social, policy and health issues that intersect with transgender experience in the UK.</w:t>
      </w:r>
    </w:p>
    <w:p w14:paraId="3F5BAA9A" w14:textId="3AAC9DF4" w:rsidR="00A63F79" w:rsidRPr="00366557" w:rsidRDefault="00A63F79" w:rsidP="00366557">
      <w:pPr>
        <w:spacing w:line="360" w:lineRule="auto"/>
        <w:rPr>
          <w:rFonts w:ascii="Arial" w:hAnsi="Arial" w:cs="Arial"/>
          <w:sz w:val="22"/>
        </w:rPr>
      </w:pPr>
    </w:p>
    <w:p w14:paraId="0B346279" w14:textId="73B284B6" w:rsidR="00A63F79" w:rsidRPr="00366557" w:rsidRDefault="00357420" w:rsidP="00366557">
      <w:pPr>
        <w:spacing w:line="360" w:lineRule="auto"/>
        <w:rPr>
          <w:rFonts w:ascii="Arial" w:hAnsi="Arial" w:cs="Arial"/>
          <w:sz w:val="22"/>
        </w:rPr>
      </w:pPr>
      <w:r w:rsidRPr="00366557">
        <w:rPr>
          <w:rFonts w:ascii="Arial" w:hAnsi="Arial" w:cs="Arial"/>
          <w:sz w:val="22"/>
        </w:rPr>
        <w:br w:type="page"/>
      </w:r>
    </w:p>
    <w:p w14:paraId="229A2245" w14:textId="7AF60AAF" w:rsidR="00A63F79" w:rsidRPr="00366557" w:rsidRDefault="00357420" w:rsidP="00366557">
      <w:pPr>
        <w:pStyle w:val="Heading1"/>
        <w:spacing w:after="160" w:line="360" w:lineRule="auto"/>
        <w:rPr>
          <w:rFonts w:ascii="Arial" w:hAnsi="Arial" w:cs="Arial"/>
          <w:sz w:val="22"/>
          <w:szCs w:val="22"/>
        </w:rPr>
      </w:pPr>
      <w:bookmarkStart w:id="27" w:name="_Toc232709816"/>
      <w:bookmarkStart w:id="28" w:name="_Toc235118454"/>
      <w:bookmarkStart w:id="29" w:name="_Toc235121186"/>
      <w:r w:rsidRPr="00366557">
        <w:rPr>
          <w:rFonts w:ascii="Arial" w:hAnsi="Arial" w:cs="Arial"/>
          <w:sz w:val="22"/>
          <w:szCs w:val="22"/>
        </w:rPr>
        <w:lastRenderedPageBreak/>
        <w:t>Chapter 2: Background Information and Analysis</w:t>
      </w:r>
      <w:bookmarkEnd w:id="27"/>
      <w:bookmarkEnd w:id="28"/>
      <w:bookmarkEnd w:id="29"/>
    </w:p>
    <w:p w14:paraId="3C402BE7" w14:textId="16E74593" w:rsidR="002B4EE8" w:rsidRPr="00366557" w:rsidRDefault="00357420" w:rsidP="00366557">
      <w:pPr>
        <w:pStyle w:val="Heading2"/>
        <w:spacing w:after="160" w:line="360" w:lineRule="auto"/>
        <w:rPr>
          <w:rFonts w:ascii="Arial" w:hAnsi="Arial" w:cs="Arial"/>
          <w:sz w:val="22"/>
          <w:szCs w:val="22"/>
        </w:rPr>
      </w:pPr>
      <w:bookmarkStart w:id="30" w:name="_Toc232709817"/>
      <w:bookmarkStart w:id="31" w:name="_Toc235118455"/>
      <w:bookmarkStart w:id="32" w:name="_Toc235121187"/>
      <w:r w:rsidRPr="00366557">
        <w:rPr>
          <w:rFonts w:ascii="Arial" w:hAnsi="Arial" w:cs="Arial"/>
          <w:sz w:val="22"/>
          <w:szCs w:val="22"/>
        </w:rPr>
        <w:t>2.1 Introduction</w:t>
      </w:r>
      <w:bookmarkEnd w:id="30"/>
      <w:bookmarkEnd w:id="31"/>
      <w:bookmarkEnd w:id="32"/>
    </w:p>
    <w:p w14:paraId="77F01FE1" w14:textId="1415FAB0" w:rsidR="00F5425C" w:rsidRPr="00366557" w:rsidRDefault="00357420" w:rsidP="00366557">
      <w:pPr>
        <w:spacing w:line="360" w:lineRule="auto"/>
        <w:rPr>
          <w:rFonts w:ascii="Arial" w:hAnsi="Arial" w:cs="Arial"/>
          <w:sz w:val="22"/>
        </w:rPr>
      </w:pPr>
      <w:r w:rsidRPr="00366557">
        <w:rPr>
          <w:rFonts w:ascii="Arial" w:hAnsi="Arial" w:cs="Arial"/>
          <w:sz w:val="22"/>
        </w:rPr>
        <w:t>This chapter offers background information to help understand the experiences of transgender individuals in healthcare and wider care environments in the United Kingdom. It provides a historical background for transgender rights and the provision of services to transgender folks and highlights significant theories that help inform understanding of health disparities, discrimination, and service access. The chapter also examines the approaches to transgender health care in other countries around the world, with examples of policies and practices used in various countries. It also examines the nationwide and regional UK setting, including the legal, policy and assistance frameworks that impact healthcare experiences in the UK for transgender folks. This chapter, through examining these historical, theoretical, international and national viewpoints, begins to build a complete picture of what influences inclusive care. This background work forms an important foundation for reading and analysing the literature, policy and practice around transgender health and social care for the next paragraphs.</w:t>
      </w:r>
    </w:p>
    <w:p w14:paraId="311876B0" w14:textId="77777777" w:rsidR="002B4EE8" w:rsidRPr="00366557" w:rsidRDefault="002B4EE8" w:rsidP="00366557">
      <w:pPr>
        <w:spacing w:line="360" w:lineRule="auto"/>
        <w:rPr>
          <w:rFonts w:ascii="Arial" w:hAnsi="Arial" w:cs="Arial"/>
          <w:sz w:val="22"/>
        </w:rPr>
      </w:pPr>
    </w:p>
    <w:p w14:paraId="25830CCC" w14:textId="52E888AB" w:rsidR="0090744A" w:rsidRPr="00366557" w:rsidRDefault="00357420" w:rsidP="00366557">
      <w:pPr>
        <w:pStyle w:val="Heading2"/>
        <w:spacing w:after="160" w:line="360" w:lineRule="auto"/>
        <w:rPr>
          <w:rFonts w:ascii="Arial" w:hAnsi="Arial" w:cs="Arial"/>
          <w:sz w:val="22"/>
          <w:szCs w:val="22"/>
        </w:rPr>
      </w:pPr>
      <w:bookmarkStart w:id="33" w:name="_Toc232709818"/>
      <w:bookmarkStart w:id="34" w:name="_Toc235118456"/>
      <w:bookmarkStart w:id="35" w:name="_Toc235121188"/>
      <w:r w:rsidRPr="00366557">
        <w:rPr>
          <w:rFonts w:ascii="Arial" w:hAnsi="Arial" w:cs="Arial"/>
          <w:sz w:val="22"/>
          <w:szCs w:val="22"/>
        </w:rPr>
        <w:t>2.</w:t>
      </w:r>
      <w:r w:rsidR="00D859BA" w:rsidRPr="00366557">
        <w:rPr>
          <w:rFonts w:ascii="Arial" w:hAnsi="Arial" w:cs="Arial"/>
          <w:sz w:val="22"/>
          <w:szCs w:val="22"/>
        </w:rPr>
        <w:t>2</w:t>
      </w:r>
      <w:r w:rsidRPr="00366557">
        <w:rPr>
          <w:rFonts w:ascii="Arial" w:hAnsi="Arial" w:cs="Arial"/>
          <w:sz w:val="22"/>
          <w:szCs w:val="22"/>
        </w:rPr>
        <w:t xml:space="preserve"> Historical Background</w:t>
      </w:r>
      <w:bookmarkEnd w:id="33"/>
      <w:bookmarkEnd w:id="34"/>
      <w:bookmarkEnd w:id="35"/>
    </w:p>
    <w:p w14:paraId="023FCF79" w14:textId="77777777" w:rsidR="00503EBF" w:rsidRPr="00366557" w:rsidRDefault="00357420" w:rsidP="00366557">
      <w:pPr>
        <w:spacing w:line="360" w:lineRule="auto"/>
        <w:rPr>
          <w:rFonts w:ascii="Arial" w:hAnsi="Arial" w:cs="Arial"/>
          <w:sz w:val="22"/>
        </w:rPr>
      </w:pPr>
      <w:r w:rsidRPr="00366557">
        <w:rPr>
          <w:rFonts w:ascii="Arial" w:hAnsi="Arial" w:cs="Arial"/>
          <w:sz w:val="22"/>
        </w:rPr>
        <w:t xml:space="preserve">The development of transgender health services in the United Kingdom illustrates a gradually transforming process from the initial stages of firmly established interests within individual providers to the establishment of formalised but contentious pathways within public health services. Gender affirmation surgeries were virtually unavailable before the formation of the National Health Service (NHS), and the pioneering individuals who championed the field were true visionaries (Mumford, 2023). The basic stages of development were undertaken in the 1920s, during the time of German physician Magnus Hirschfeld, who was a key figure in the founding of the International Committee for the Scientific Study of Sexuality (ICSSS) and promoter of the marginalised gender variant community, practising some of the earliest documented gender confirmation surgeries (Bowers, 2025). </w:t>
      </w:r>
    </w:p>
    <w:p w14:paraId="23B3F317" w14:textId="6506F746" w:rsidR="0083089A" w:rsidRPr="00366557" w:rsidRDefault="00357420" w:rsidP="00366557">
      <w:pPr>
        <w:spacing w:line="360" w:lineRule="auto"/>
        <w:rPr>
          <w:rFonts w:ascii="Arial" w:hAnsi="Arial" w:cs="Arial"/>
          <w:sz w:val="22"/>
        </w:rPr>
      </w:pPr>
      <w:r w:rsidRPr="00366557">
        <w:rPr>
          <w:rFonts w:ascii="Arial" w:hAnsi="Arial" w:cs="Arial"/>
          <w:sz w:val="22"/>
        </w:rPr>
        <w:t>Early medical reactions to gender non-conformity were often deeply pathological in the UK and frequently framed in psychoanalytical or psychiatric terms as an abnormality to be addressed and subjugated. In 1966, the NHS formed its first gender-specific clinic at Charing Cross Hospital in London under the leadership of psychiatrist John Randell (</w:t>
      </w:r>
      <w:r w:rsidRPr="00366557">
        <w:rPr>
          <w:rFonts w:ascii="Arial" w:hAnsi="Arial" w:cs="Arial"/>
          <w:sz w:val="22"/>
          <w:lang w:val="en-US"/>
        </w:rPr>
        <w:t>UK Parliament, 2015</w:t>
      </w:r>
      <w:r w:rsidRPr="00366557">
        <w:rPr>
          <w:rFonts w:ascii="Arial" w:hAnsi="Arial" w:cs="Arial"/>
          <w:sz w:val="22"/>
        </w:rPr>
        <w:t xml:space="preserve">). This clinic is not a result of a strategic decision made centrally, but it sprang up as needed to the </w:t>
      </w:r>
      <w:r w:rsidRPr="00366557">
        <w:rPr>
          <w:rFonts w:ascii="Arial" w:hAnsi="Arial" w:cs="Arial"/>
          <w:sz w:val="22"/>
        </w:rPr>
        <w:lastRenderedPageBreak/>
        <w:t xml:space="preserve">sub-speciality interests of individual clinicians. However, the model for the UK continued to be based on secondary psychiatric assessment (WPATH, 2026), as the World Professional Association for Transgender Health (WPATH) was established in 1979 and imposed international guidelines. In terms of youth services, the Gender Identity Development Service (GIDS) was established at St George's Hospital and transferred to Tavistock and Portman in 1994, as the only specialised tertiary hospital for children in England and Wales (Kozlowska et al., 2025). </w:t>
      </w:r>
    </w:p>
    <w:p w14:paraId="72D36AE9" w14:textId="77777777" w:rsidR="0083089A" w:rsidRPr="00366557" w:rsidRDefault="0083089A" w:rsidP="00366557">
      <w:pPr>
        <w:spacing w:line="360" w:lineRule="auto"/>
        <w:rPr>
          <w:rFonts w:ascii="Arial" w:hAnsi="Arial" w:cs="Arial"/>
          <w:sz w:val="22"/>
          <w:lang w:val="en-US"/>
        </w:rPr>
      </w:pPr>
    </w:p>
    <w:p w14:paraId="5ECCB657" w14:textId="020D0400" w:rsidR="00BA3FA9" w:rsidRPr="00366557" w:rsidRDefault="00357420" w:rsidP="00366557">
      <w:pPr>
        <w:pStyle w:val="Caption"/>
        <w:keepNext/>
        <w:spacing w:after="160" w:line="360" w:lineRule="auto"/>
        <w:rPr>
          <w:rFonts w:ascii="Arial" w:hAnsi="Arial" w:cs="Arial"/>
          <w:sz w:val="22"/>
          <w:szCs w:val="22"/>
        </w:rPr>
      </w:pPr>
      <w:r w:rsidRPr="00366557">
        <w:rPr>
          <w:rFonts w:ascii="Arial" w:hAnsi="Arial" w:cs="Arial"/>
          <w:sz w:val="22"/>
          <w:szCs w:val="22"/>
        </w:rPr>
        <w:t xml:space="preserve">Table </w:t>
      </w:r>
      <w:r w:rsidRPr="00366557">
        <w:rPr>
          <w:rFonts w:ascii="Arial" w:hAnsi="Arial" w:cs="Arial"/>
          <w:sz w:val="22"/>
          <w:szCs w:val="22"/>
        </w:rPr>
        <w:fldChar w:fldCharType="begin"/>
      </w:r>
      <w:r w:rsidRPr="00366557">
        <w:rPr>
          <w:rFonts w:ascii="Arial" w:hAnsi="Arial" w:cs="Arial"/>
          <w:sz w:val="22"/>
          <w:szCs w:val="22"/>
        </w:rPr>
        <w:instrText xml:space="preserve"> SEQ Table \* ARABIC </w:instrText>
      </w:r>
      <w:r w:rsidRPr="00366557">
        <w:rPr>
          <w:rFonts w:ascii="Arial" w:hAnsi="Arial" w:cs="Arial"/>
          <w:sz w:val="22"/>
          <w:szCs w:val="22"/>
        </w:rPr>
        <w:fldChar w:fldCharType="separate"/>
      </w:r>
      <w:r w:rsidRPr="00366557">
        <w:rPr>
          <w:rFonts w:ascii="Arial" w:hAnsi="Arial" w:cs="Arial"/>
          <w:noProof/>
          <w:sz w:val="22"/>
          <w:szCs w:val="22"/>
        </w:rPr>
        <w:t>1</w:t>
      </w:r>
      <w:r w:rsidRPr="00366557">
        <w:rPr>
          <w:rFonts w:ascii="Arial" w:hAnsi="Arial" w:cs="Arial"/>
          <w:sz w:val="22"/>
          <w:szCs w:val="22"/>
        </w:rPr>
        <w:fldChar w:fldCharType="end"/>
      </w:r>
      <w:r w:rsidRPr="00366557">
        <w:rPr>
          <w:rFonts w:ascii="Arial" w:hAnsi="Arial" w:cs="Arial"/>
          <w:sz w:val="22"/>
          <w:szCs w:val="22"/>
        </w:rPr>
        <w:t>: Key Legislative and Policy Milestones (1966–2024)</w:t>
      </w:r>
    </w:p>
    <w:tbl>
      <w:tblPr>
        <w:tblStyle w:val="TableGrid"/>
        <w:tblW w:w="0" w:type="auto"/>
        <w:tblLook w:val="04A0" w:firstRow="1" w:lastRow="0" w:firstColumn="1" w:lastColumn="0" w:noHBand="0" w:noVBand="1"/>
      </w:tblPr>
      <w:tblGrid>
        <w:gridCol w:w="706"/>
        <w:gridCol w:w="2752"/>
        <w:gridCol w:w="5892"/>
      </w:tblGrid>
      <w:tr w:rsidR="007F7D30" w:rsidRPr="00366557" w14:paraId="1C821D89" w14:textId="77777777" w:rsidTr="00256B1F">
        <w:tc>
          <w:tcPr>
            <w:tcW w:w="0" w:type="auto"/>
            <w:hideMark/>
          </w:tcPr>
          <w:p w14:paraId="19E6805B" w14:textId="77777777" w:rsidR="00736162" w:rsidRPr="00366557" w:rsidRDefault="00357420" w:rsidP="00366557">
            <w:pPr>
              <w:spacing w:line="360" w:lineRule="auto"/>
              <w:rPr>
                <w:rFonts w:ascii="Arial" w:hAnsi="Arial" w:cs="Arial"/>
                <w:b/>
                <w:sz w:val="22"/>
              </w:rPr>
            </w:pPr>
            <w:r w:rsidRPr="00366557">
              <w:rPr>
                <w:rFonts w:ascii="Arial" w:hAnsi="Arial" w:cs="Arial"/>
                <w:b/>
                <w:sz w:val="22"/>
              </w:rPr>
              <w:t>Year</w:t>
            </w:r>
          </w:p>
        </w:tc>
        <w:tc>
          <w:tcPr>
            <w:tcW w:w="0" w:type="auto"/>
            <w:hideMark/>
          </w:tcPr>
          <w:p w14:paraId="3AD6F1E2" w14:textId="77777777" w:rsidR="00736162" w:rsidRPr="00366557" w:rsidRDefault="00357420" w:rsidP="00366557">
            <w:pPr>
              <w:spacing w:line="360" w:lineRule="auto"/>
              <w:rPr>
                <w:rFonts w:ascii="Arial" w:hAnsi="Arial" w:cs="Arial"/>
                <w:b/>
                <w:sz w:val="22"/>
              </w:rPr>
            </w:pPr>
            <w:r w:rsidRPr="00366557">
              <w:rPr>
                <w:rFonts w:ascii="Arial" w:hAnsi="Arial" w:cs="Arial"/>
                <w:b/>
                <w:sz w:val="22"/>
              </w:rPr>
              <w:t>Milestone / Policy Event</w:t>
            </w:r>
          </w:p>
        </w:tc>
        <w:tc>
          <w:tcPr>
            <w:tcW w:w="0" w:type="auto"/>
            <w:hideMark/>
          </w:tcPr>
          <w:p w14:paraId="630A483C" w14:textId="77777777" w:rsidR="00736162" w:rsidRPr="00366557" w:rsidRDefault="00357420" w:rsidP="00366557">
            <w:pPr>
              <w:spacing w:line="360" w:lineRule="auto"/>
              <w:rPr>
                <w:rFonts w:ascii="Arial" w:hAnsi="Arial" w:cs="Arial"/>
                <w:b/>
                <w:sz w:val="22"/>
              </w:rPr>
            </w:pPr>
            <w:r w:rsidRPr="00366557">
              <w:rPr>
                <w:rFonts w:ascii="Arial" w:hAnsi="Arial" w:cs="Arial"/>
                <w:b/>
                <w:sz w:val="22"/>
              </w:rPr>
              <w:t>Institutional Impact on Healthcare</w:t>
            </w:r>
          </w:p>
        </w:tc>
      </w:tr>
      <w:tr w:rsidR="007F7D30" w:rsidRPr="00366557" w14:paraId="16E04414" w14:textId="77777777" w:rsidTr="00256B1F">
        <w:tc>
          <w:tcPr>
            <w:tcW w:w="0" w:type="auto"/>
            <w:hideMark/>
          </w:tcPr>
          <w:p w14:paraId="46B3CE49" w14:textId="77777777" w:rsidR="00736162" w:rsidRPr="00366557" w:rsidRDefault="00357420" w:rsidP="00366557">
            <w:pPr>
              <w:spacing w:line="360" w:lineRule="auto"/>
              <w:rPr>
                <w:rFonts w:ascii="Arial" w:hAnsi="Arial" w:cs="Arial"/>
                <w:sz w:val="22"/>
              </w:rPr>
            </w:pPr>
            <w:r w:rsidRPr="00366557">
              <w:rPr>
                <w:rFonts w:ascii="Arial" w:hAnsi="Arial" w:cs="Arial"/>
                <w:sz w:val="22"/>
              </w:rPr>
              <w:t>1966</w:t>
            </w:r>
          </w:p>
        </w:tc>
        <w:tc>
          <w:tcPr>
            <w:tcW w:w="0" w:type="auto"/>
            <w:hideMark/>
          </w:tcPr>
          <w:p w14:paraId="7AFDA53A" w14:textId="77777777" w:rsidR="00736162" w:rsidRPr="00366557" w:rsidRDefault="00357420" w:rsidP="00366557">
            <w:pPr>
              <w:spacing w:line="360" w:lineRule="auto"/>
              <w:rPr>
                <w:rFonts w:ascii="Arial" w:hAnsi="Arial" w:cs="Arial"/>
                <w:sz w:val="22"/>
              </w:rPr>
            </w:pPr>
            <w:r w:rsidRPr="00366557">
              <w:rPr>
                <w:rFonts w:ascii="Arial" w:hAnsi="Arial" w:cs="Arial"/>
                <w:sz w:val="22"/>
              </w:rPr>
              <w:t>Opening of Charing Cross Gender Clinic</w:t>
            </w:r>
          </w:p>
        </w:tc>
        <w:tc>
          <w:tcPr>
            <w:tcW w:w="0" w:type="auto"/>
            <w:hideMark/>
          </w:tcPr>
          <w:p w14:paraId="6FB892AF" w14:textId="77777777" w:rsidR="00736162" w:rsidRPr="00366557" w:rsidRDefault="00357420" w:rsidP="00366557">
            <w:pPr>
              <w:spacing w:line="360" w:lineRule="auto"/>
              <w:rPr>
                <w:rFonts w:ascii="Arial" w:hAnsi="Arial" w:cs="Arial"/>
                <w:sz w:val="22"/>
              </w:rPr>
            </w:pPr>
            <w:r w:rsidRPr="00366557">
              <w:rPr>
                <w:rFonts w:ascii="Arial" w:hAnsi="Arial" w:cs="Arial"/>
                <w:sz w:val="22"/>
              </w:rPr>
              <w:t>Establishes the first formal NHS secondary care gateway for adult gender transition.</w:t>
            </w:r>
          </w:p>
        </w:tc>
      </w:tr>
      <w:tr w:rsidR="007F7D30" w:rsidRPr="00366557" w14:paraId="2AE062D8" w14:textId="77777777" w:rsidTr="00256B1F">
        <w:tc>
          <w:tcPr>
            <w:tcW w:w="0" w:type="auto"/>
            <w:hideMark/>
          </w:tcPr>
          <w:p w14:paraId="34A07A86" w14:textId="77777777" w:rsidR="00736162" w:rsidRPr="00366557" w:rsidRDefault="00357420" w:rsidP="00366557">
            <w:pPr>
              <w:spacing w:line="360" w:lineRule="auto"/>
              <w:rPr>
                <w:rFonts w:ascii="Arial" w:hAnsi="Arial" w:cs="Arial"/>
                <w:sz w:val="22"/>
              </w:rPr>
            </w:pPr>
            <w:r w:rsidRPr="00366557">
              <w:rPr>
                <w:rFonts w:ascii="Arial" w:hAnsi="Arial" w:cs="Arial"/>
                <w:sz w:val="22"/>
              </w:rPr>
              <w:t>1989</w:t>
            </w:r>
          </w:p>
        </w:tc>
        <w:tc>
          <w:tcPr>
            <w:tcW w:w="0" w:type="auto"/>
            <w:hideMark/>
          </w:tcPr>
          <w:p w14:paraId="0B89368F" w14:textId="77777777" w:rsidR="00736162" w:rsidRPr="00366557" w:rsidRDefault="00357420" w:rsidP="00366557">
            <w:pPr>
              <w:spacing w:line="360" w:lineRule="auto"/>
              <w:rPr>
                <w:rFonts w:ascii="Arial" w:hAnsi="Arial" w:cs="Arial"/>
                <w:sz w:val="22"/>
              </w:rPr>
            </w:pPr>
            <w:r w:rsidRPr="00366557">
              <w:rPr>
                <w:rFonts w:ascii="Arial" w:hAnsi="Arial" w:cs="Arial"/>
                <w:sz w:val="22"/>
              </w:rPr>
              <w:t>Foundation of GIDS (Tavistock Clinic)</w:t>
            </w:r>
          </w:p>
        </w:tc>
        <w:tc>
          <w:tcPr>
            <w:tcW w:w="0" w:type="auto"/>
            <w:hideMark/>
          </w:tcPr>
          <w:p w14:paraId="29FEB131" w14:textId="5D93B47B" w:rsidR="00736162" w:rsidRPr="00366557" w:rsidRDefault="00357420" w:rsidP="00366557">
            <w:pPr>
              <w:spacing w:line="360" w:lineRule="auto"/>
              <w:rPr>
                <w:rFonts w:ascii="Arial" w:hAnsi="Arial" w:cs="Arial"/>
                <w:sz w:val="22"/>
              </w:rPr>
            </w:pPr>
            <w:r w:rsidRPr="00366557">
              <w:rPr>
                <w:rFonts w:ascii="Arial" w:hAnsi="Arial" w:cs="Arial"/>
                <w:sz w:val="22"/>
              </w:rPr>
              <w:t>Centrali</w:t>
            </w:r>
            <w:r w:rsidR="00B365EE" w:rsidRPr="00366557">
              <w:rPr>
                <w:rFonts w:ascii="Arial" w:hAnsi="Arial" w:cs="Arial"/>
                <w:sz w:val="22"/>
              </w:rPr>
              <w:t>s</w:t>
            </w:r>
            <w:r w:rsidRPr="00366557">
              <w:rPr>
                <w:rFonts w:ascii="Arial" w:hAnsi="Arial" w:cs="Arial"/>
                <w:sz w:val="22"/>
              </w:rPr>
              <w:t>es paediatric gender care into a single, psychoanalytically rooted national service.</w:t>
            </w:r>
          </w:p>
        </w:tc>
      </w:tr>
      <w:tr w:rsidR="007F7D30" w:rsidRPr="00366557" w14:paraId="5FFD506E" w14:textId="77777777" w:rsidTr="00256B1F">
        <w:tc>
          <w:tcPr>
            <w:tcW w:w="0" w:type="auto"/>
            <w:hideMark/>
          </w:tcPr>
          <w:p w14:paraId="7D3CBB3A" w14:textId="77777777" w:rsidR="00736162" w:rsidRPr="00366557" w:rsidRDefault="00357420" w:rsidP="00366557">
            <w:pPr>
              <w:spacing w:line="360" w:lineRule="auto"/>
              <w:rPr>
                <w:rFonts w:ascii="Arial" w:hAnsi="Arial" w:cs="Arial"/>
                <w:sz w:val="22"/>
              </w:rPr>
            </w:pPr>
            <w:r w:rsidRPr="00366557">
              <w:rPr>
                <w:rFonts w:ascii="Arial" w:hAnsi="Arial" w:cs="Arial"/>
                <w:sz w:val="22"/>
              </w:rPr>
              <w:t>2004</w:t>
            </w:r>
          </w:p>
        </w:tc>
        <w:tc>
          <w:tcPr>
            <w:tcW w:w="0" w:type="auto"/>
            <w:hideMark/>
          </w:tcPr>
          <w:p w14:paraId="1DE79A35" w14:textId="77777777" w:rsidR="00736162" w:rsidRPr="00366557" w:rsidRDefault="00357420" w:rsidP="00366557">
            <w:pPr>
              <w:spacing w:line="360" w:lineRule="auto"/>
              <w:rPr>
                <w:rFonts w:ascii="Arial" w:hAnsi="Arial" w:cs="Arial"/>
                <w:sz w:val="22"/>
              </w:rPr>
            </w:pPr>
            <w:r w:rsidRPr="00366557">
              <w:rPr>
                <w:rFonts w:ascii="Arial" w:hAnsi="Arial" w:cs="Arial"/>
                <w:sz w:val="22"/>
              </w:rPr>
              <w:t>Gender Recognition Act (GRA)</w:t>
            </w:r>
          </w:p>
        </w:tc>
        <w:tc>
          <w:tcPr>
            <w:tcW w:w="0" w:type="auto"/>
            <w:hideMark/>
          </w:tcPr>
          <w:p w14:paraId="591399BA" w14:textId="6B2FC0AB" w:rsidR="00736162" w:rsidRPr="00366557" w:rsidRDefault="00357420" w:rsidP="00366557">
            <w:pPr>
              <w:spacing w:line="360" w:lineRule="auto"/>
              <w:rPr>
                <w:rFonts w:ascii="Arial" w:hAnsi="Arial" w:cs="Arial"/>
                <w:sz w:val="22"/>
              </w:rPr>
            </w:pPr>
            <w:r w:rsidRPr="00366557">
              <w:rPr>
                <w:rFonts w:ascii="Arial" w:hAnsi="Arial" w:cs="Arial"/>
                <w:sz w:val="22"/>
              </w:rPr>
              <w:t>Separates legal gender recognition from mandatory surgical requirements, reducing medicali</w:t>
            </w:r>
            <w:r w:rsidR="00B365EE" w:rsidRPr="00366557">
              <w:rPr>
                <w:rFonts w:ascii="Arial" w:hAnsi="Arial" w:cs="Arial"/>
                <w:sz w:val="22"/>
              </w:rPr>
              <w:t>s</w:t>
            </w:r>
            <w:r w:rsidRPr="00366557">
              <w:rPr>
                <w:rFonts w:ascii="Arial" w:hAnsi="Arial" w:cs="Arial"/>
                <w:sz w:val="22"/>
              </w:rPr>
              <w:t>ation.</w:t>
            </w:r>
          </w:p>
        </w:tc>
      </w:tr>
      <w:tr w:rsidR="007F7D30" w:rsidRPr="00366557" w14:paraId="75444861" w14:textId="77777777" w:rsidTr="00256B1F">
        <w:tc>
          <w:tcPr>
            <w:tcW w:w="0" w:type="auto"/>
            <w:hideMark/>
          </w:tcPr>
          <w:p w14:paraId="14038054" w14:textId="77777777" w:rsidR="00736162" w:rsidRPr="00366557" w:rsidRDefault="00357420" w:rsidP="00366557">
            <w:pPr>
              <w:spacing w:line="360" w:lineRule="auto"/>
              <w:rPr>
                <w:rFonts w:ascii="Arial" w:hAnsi="Arial" w:cs="Arial"/>
                <w:sz w:val="22"/>
              </w:rPr>
            </w:pPr>
            <w:r w:rsidRPr="00366557">
              <w:rPr>
                <w:rFonts w:ascii="Arial" w:hAnsi="Arial" w:cs="Arial"/>
                <w:sz w:val="22"/>
              </w:rPr>
              <w:t>2010</w:t>
            </w:r>
          </w:p>
        </w:tc>
        <w:tc>
          <w:tcPr>
            <w:tcW w:w="0" w:type="auto"/>
            <w:hideMark/>
          </w:tcPr>
          <w:p w14:paraId="655ECD5C" w14:textId="77777777" w:rsidR="00736162" w:rsidRPr="00366557" w:rsidRDefault="00357420" w:rsidP="00366557">
            <w:pPr>
              <w:spacing w:line="360" w:lineRule="auto"/>
              <w:rPr>
                <w:rFonts w:ascii="Arial" w:hAnsi="Arial" w:cs="Arial"/>
                <w:sz w:val="22"/>
              </w:rPr>
            </w:pPr>
            <w:r w:rsidRPr="00366557">
              <w:rPr>
                <w:rFonts w:ascii="Arial" w:hAnsi="Arial" w:cs="Arial"/>
                <w:sz w:val="22"/>
              </w:rPr>
              <w:t>Equality Act 2010</w:t>
            </w:r>
          </w:p>
        </w:tc>
        <w:tc>
          <w:tcPr>
            <w:tcW w:w="0" w:type="auto"/>
            <w:hideMark/>
          </w:tcPr>
          <w:p w14:paraId="00F94121" w14:textId="5AC65D00" w:rsidR="00736162" w:rsidRPr="00366557" w:rsidRDefault="00357420" w:rsidP="00366557">
            <w:pPr>
              <w:spacing w:line="360" w:lineRule="auto"/>
              <w:rPr>
                <w:rFonts w:ascii="Arial" w:hAnsi="Arial" w:cs="Arial"/>
                <w:sz w:val="22"/>
              </w:rPr>
            </w:pPr>
            <w:r w:rsidRPr="00366557">
              <w:rPr>
                <w:rFonts w:ascii="Arial" w:hAnsi="Arial" w:cs="Arial"/>
                <w:sz w:val="22"/>
              </w:rPr>
              <w:t>Designates "gender reassignment" as a protected characteristic, legally penali</w:t>
            </w:r>
            <w:r w:rsidR="00B365EE" w:rsidRPr="00366557">
              <w:rPr>
                <w:rFonts w:ascii="Arial" w:hAnsi="Arial" w:cs="Arial"/>
                <w:sz w:val="22"/>
              </w:rPr>
              <w:t>s</w:t>
            </w:r>
            <w:r w:rsidRPr="00366557">
              <w:rPr>
                <w:rFonts w:ascii="Arial" w:hAnsi="Arial" w:cs="Arial"/>
                <w:sz w:val="22"/>
              </w:rPr>
              <w:t>ing discrimination.</w:t>
            </w:r>
          </w:p>
        </w:tc>
      </w:tr>
      <w:tr w:rsidR="007F7D30" w:rsidRPr="00366557" w14:paraId="5671060D" w14:textId="77777777" w:rsidTr="00256B1F">
        <w:tc>
          <w:tcPr>
            <w:tcW w:w="0" w:type="auto"/>
            <w:hideMark/>
          </w:tcPr>
          <w:p w14:paraId="5799B6B0" w14:textId="77777777" w:rsidR="00736162" w:rsidRPr="00366557" w:rsidRDefault="00357420" w:rsidP="00366557">
            <w:pPr>
              <w:spacing w:line="360" w:lineRule="auto"/>
              <w:rPr>
                <w:rFonts w:ascii="Arial" w:hAnsi="Arial" w:cs="Arial"/>
                <w:sz w:val="22"/>
              </w:rPr>
            </w:pPr>
            <w:r w:rsidRPr="00366557">
              <w:rPr>
                <w:rFonts w:ascii="Arial" w:hAnsi="Arial" w:cs="Arial"/>
                <w:sz w:val="22"/>
              </w:rPr>
              <w:t>2012</w:t>
            </w:r>
          </w:p>
        </w:tc>
        <w:tc>
          <w:tcPr>
            <w:tcW w:w="0" w:type="auto"/>
            <w:hideMark/>
          </w:tcPr>
          <w:p w14:paraId="3F025049" w14:textId="77777777" w:rsidR="00736162" w:rsidRPr="00366557" w:rsidRDefault="00357420" w:rsidP="00366557">
            <w:pPr>
              <w:spacing w:line="360" w:lineRule="auto"/>
              <w:rPr>
                <w:rFonts w:ascii="Arial" w:hAnsi="Arial" w:cs="Arial"/>
                <w:sz w:val="22"/>
              </w:rPr>
            </w:pPr>
            <w:r w:rsidRPr="00366557">
              <w:rPr>
                <w:rFonts w:ascii="Arial" w:hAnsi="Arial" w:cs="Arial"/>
                <w:sz w:val="22"/>
              </w:rPr>
              <w:t>First Official NHS Protocol</w:t>
            </w:r>
          </w:p>
        </w:tc>
        <w:tc>
          <w:tcPr>
            <w:tcW w:w="0" w:type="auto"/>
            <w:hideMark/>
          </w:tcPr>
          <w:p w14:paraId="56CECBE5" w14:textId="77134E9F" w:rsidR="00736162" w:rsidRPr="00366557" w:rsidRDefault="00357420" w:rsidP="00366557">
            <w:pPr>
              <w:spacing w:line="360" w:lineRule="auto"/>
              <w:rPr>
                <w:rFonts w:ascii="Arial" w:hAnsi="Arial" w:cs="Arial"/>
                <w:sz w:val="22"/>
              </w:rPr>
            </w:pPr>
            <w:r w:rsidRPr="00366557">
              <w:rPr>
                <w:rFonts w:ascii="Arial" w:hAnsi="Arial" w:cs="Arial"/>
                <w:sz w:val="22"/>
              </w:rPr>
              <w:t>Standardi</w:t>
            </w:r>
            <w:r w:rsidR="00B365EE" w:rsidRPr="00366557">
              <w:rPr>
                <w:rFonts w:ascii="Arial" w:hAnsi="Arial" w:cs="Arial"/>
                <w:sz w:val="22"/>
              </w:rPr>
              <w:t>s</w:t>
            </w:r>
            <w:r w:rsidRPr="00366557">
              <w:rPr>
                <w:rFonts w:ascii="Arial" w:hAnsi="Arial" w:cs="Arial"/>
                <w:sz w:val="22"/>
              </w:rPr>
              <w:t>es adult referral pathways, shifting GICs toward a uniform service specification.</w:t>
            </w:r>
          </w:p>
        </w:tc>
      </w:tr>
      <w:tr w:rsidR="007F7D30" w:rsidRPr="00366557" w14:paraId="54A73B62" w14:textId="77777777" w:rsidTr="00256B1F">
        <w:tc>
          <w:tcPr>
            <w:tcW w:w="0" w:type="auto"/>
            <w:hideMark/>
          </w:tcPr>
          <w:p w14:paraId="49021636" w14:textId="77777777" w:rsidR="00736162" w:rsidRPr="00366557" w:rsidRDefault="00357420" w:rsidP="00366557">
            <w:pPr>
              <w:spacing w:line="360" w:lineRule="auto"/>
              <w:rPr>
                <w:rFonts w:ascii="Arial" w:hAnsi="Arial" w:cs="Arial"/>
                <w:sz w:val="22"/>
              </w:rPr>
            </w:pPr>
            <w:r w:rsidRPr="00366557">
              <w:rPr>
                <w:rFonts w:ascii="Arial" w:hAnsi="Arial" w:cs="Arial"/>
                <w:sz w:val="22"/>
              </w:rPr>
              <w:t>2024</w:t>
            </w:r>
          </w:p>
        </w:tc>
        <w:tc>
          <w:tcPr>
            <w:tcW w:w="0" w:type="auto"/>
            <w:hideMark/>
          </w:tcPr>
          <w:p w14:paraId="701AE843" w14:textId="77777777" w:rsidR="00736162" w:rsidRPr="00366557" w:rsidRDefault="00357420" w:rsidP="00366557">
            <w:pPr>
              <w:spacing w:line="360" w:lineRule="auto"/>
              <w:rPr>
                <w:rFonts w:ascii="Arial" w:hAnsi="Arial" w:cs="Arial"/>
                <w:sz w:val="22"/>
              </w:rPr>
            </w:pPr>
            <w:r w:rsidRPr="00366557">
              <w:rPr>
                <w:rFonts w:ascii="Arial" w:hAnsi="Arial" w:cs="Arial"/>
                <w:sz w:val="22"/>
              </w:rPr>
              <w:t>Publication of the Cass Review</w:t>
            </w:r>
          </w:p>
        </w:tc>
        <w:tc>
          <w:tcPr>
            <w:tcW w:w="0" w:type="auto"/>
            <w:hideMark/>
          </w:tcPr>
          <w:p w14:paraId="534D3997" w14:textId="5EB42523" w:rsidR="00736162" w:rsidRPr="00366557" w:rsidRDefault="00357420" w:rsidP="00366557">
            <w:pPr>
              <w:spacing w:line="360" w:lineRule="auto"/>
              <w:rPr>
                <w:rFonts w:ascii="Arial" w:hAnsi="Arial" w:cs="Arial"/>
                <w:sz w:val="22"/>
              </w:rPr>
            </w:pPr>
            <w:r w:rsidRPr="00366557">
              <w:rPr>
                <w:rFonts w:ascii="Arial" w:hAnsi="Arial" w:cs="Arial"/>
                <w:sz w:val="22"/>
              </w:rPr>
              <w:t>Prompts structural decommissioning of centrali</w:t>
            </w:r>
            <w:r w:rsidR="00B365EE" w:rsidRPr="00366557">
              <w:rPr>
                <w:rFonts w:ascii="Arial" w:hAnsi="Arial" w:cs="Arial"/>
                <w:sz w:val="22"/>
              </w:rPr>
              <w:t>s</w:t>
            </w:r>
            <w:r w:rsidRPr="00366557">
              <w:rPr>
                <w:rFonts w:ascii="Arial" w:hAnsi="Arial" w:cs="Arial"/>
                <w:sz w:val="22"/>
              </w:rPr>
              <w:t>ed youth clinics in favour of regional hubs.</w:t>
            </w:r>
          </w:p>
        </w:tc>
      </w:tr>
    </w:tbl>
    <w:p w14:paraId="0A2766D8" w14:textId="77777777" w:rsidR="00A63F79" w:rsidRPr="00366557" w:rsidRDefault="00A63F79" w:rsidP="00366557">
      <w:pPr>
        <w:spacing w:line="360" w:lineRule="auto"/>
        <w:rPr>
          <w:rFonts w:ascii="Arial" w:hAnsi="Arial" w:cs="Arial"/>
          <w:sz w:val="22"/>
        </w:rPr>
      </w:pPr>
    </w:p>
    <w:p w14:paraId="22757DA6" w14:textId="77777777" w:rsidR="00FF65B2" w:rsidRPr="00366557" w:rsidRDefault="00357420" w:rsidP="00366557">
      <w:pPr>
        <w:spacing w:line="360" w:lineRule="auto"/>
        <w:rPr>
          <w:rFonts w:ascii="Arial" w:hAnsi="Arial" w:cs="Arial"/>
          <w:sz w:val="22"/>
        </w:rPr>
      </w:pPr>
      <w:r w:rsidRPr="00366557">
        <w:rPr>
          <w:rFonts w:ascii="Arial" w:hAnsi="Arial" w:cs="Arial"/>
          <w:sz w:val="22"/>
        </w:rPr>
        <w:t xml:space="preserve">These strong historical foundations continue to mould contemporary policy frameworks, as shown in the timeline above. This model of geographically concentrated tertiary facilities has a firm link to the multiple-year waiting times experienced in today's GICs, as it is still constrained by an administrative modus operandi that was designed for a situation of low demand (Papenkov et al., 2023). </w:t>
      </w:r>
    </w:p>
    <w:p w14:paraId="1AFD2CE4" w14:textId="77777777" w:rsidR="00FF65B2" w:rsidRPr="00366557" w:rsidRDefault="00FF65B2" w:rsidP="00366557">
      <w:pPr>
        <w:spacing w:line="360" w:lineRule="auto"/>
        <w:rPr>
          <w:rFonts w:ascii="Arial" w:hAnsi="Arial" w:cs="Arial"/>
          <w:sz w:val="22"/>
        </w:rPr>
      </w:pPr>
    </w:p>
    <w:p w14:paraId="1FBAE904" w14:textId="77777777" w:rsidR="0090744A" w:rsidRPr="00366557" w:rsidRDefault="00357420" w:rsidP="00366557">
      <w:pPr>
        <w:pStyle w:val="Heading2"/>
        <w:spacing w:after="160" w:line="360" w:lineRule="auto"/>
        <w:rPr>
          <w:rFonts w:ascii="Arial" w:hAnsi="Arial" w:cs="Arial"/>
          <w:sz w:val="22"/>
          <w:szCs w:val="22"/>
        </w:rPr>
      </w:pPr>
      <w:bookmarkStart w:id="36" w:name="_Toc232709819"/>
      <w:bookmarkStart w:id="37" w:name="_Toc235118457"/>
      <w:bookmarkStart w:id="38" w:name="_Toc235121189"/>
      <w:r w:rsidRPr="00366557">
        <w:rPr>
          <w:rFonts w:ascii="Arial" w:hAnsi="Arial" w:cs="Arial"/>
          <w:sz w:val="22"/>
          <w:szCs w:val="22"/>
        </w:rPr>
        <w:lastRenderedPageBreak/>
        <w:t>2.3 Theoretical Background</w:t>
      </w:r>
      <w:bookmarkEnd w:id="36"/>
      <w:bookmarkEnd w:id="37"/>
      <w:bookmarkEnd w:id="38"/>
    </w:p>
    <w:p w14:paraId="5852609F" w14:textId="5999F15E" w:rsidR="00E61157" w:rsidRPr="00366557" w:rsidRDefault="00357420" w:rsidP="00366557">
      <w:pPr>
        <w:spacing w:line="360" w:lineRule="auto"/>
        <w:rPr>
          <w:rFonts w:ascii="Arial" w:hAnsi="Arial" w:cs="Arial"/>
          <w:sz w:val="22"/>
        </w:rPr>
      </w:pPr>
      <w:r w:rsidRPr="00366557">
        <w:rPr>
          <w:rFonts w:ascii="Arial" w:hAnsi="Arial" w:cs="Arial"/>
          <w:sz w:val="22"/>
        </w:rPr>
        <w:t>One of the most broadly used theories of transgender health disparities is called Minority Stress Theory. It suggests that the chronic stressors faced by members of stigmatised minority groups are not simply a result of the normal stressors found in daily contemporary life, such as discrimination, prejudice, victimisation, and fear of rejection</w:t>
      </w:r>
      <w:r w:rsidR="00BB01BD" w:rsidRPr="00366557">
        <w:rPr>
          <w:rFonts w:ascii="Arial" w:hAnsi="Arial" w:cs="Arial"/>
          <w:sz w:val="22"/>
        </w:rPr>
        <w:t xml:space="preserve"> </w:t>
      </w:r>
      <w:r w:rsidR="00727BE6" w:rsidRPr="00366557">
        <w:rPr>
          <w:rFonts w:ascii="Arial" w:hAnsi="Arial" w:cs="Arial"/>
          <w:sz w:val="22"/>
        </w:rPr>
        <w:t>(</w:t>
      </w:r>
      <w:r w:rsidR="00E0751C" w:rsidRPr="00366557">
        <w:rPr>
          <w:rFonts w:ascii="Arial" w:hAnsi="Arial" w:cs="Arial"/>
          <w:sz w:val="22"/>
        </w:rPr>
        <w:t>Lacombe-Duncan et al., 2022</w:t>
      </w:r>
      <w:r w:rsidR="00727BE6" w:rsidRPr="00366557">
        <w:rPr>
          <w:rFonts w:ascii="Arial" w:hAnsi="Arial" w:cs="Arial"/>
          <w:sz w:val="22"/>
        </w:rPr>
        <w:t>)</w:t>
      </w:r>
      <w:r w:rsidRPr="00366557">
        <w:rPr>
          <w:rFonts w:ascii="Arial" w:hAnsi="Arial" w:cs="Arial"/>
          <w:sz w:val="22"/>
        </w:rPr>
        <w:t>. Originally developed for transgender populations, Keats (2024) theorised that these experiences, including social exclusion, denial of care and misgendering, can have a cumulative psychological effect that can harm wellbeing. This is echoed by findings by Scheim et al. (2022), which identified high rates of depression, anxiety, self-harm and suicidal ideation among transgender people who had faced discrimination in health and social services. The National LGBT Survey also revealed that many transgender participants were reluctant to seek health care services due to their expected treatment (GOV.UK, 2018). Hoy-Ellis (2023), however, argue that Minority Stress Theory focuses largely on vulnerability and stress while neglecting to adequately address resilience, coping strategies and community support.</w:t>
      </w:r>
    </w:p>
    <w:p w14:paraId="3538EE0E" w14:textId="12802C70" w:rsidR="00E61157" w:rsidRPr="00366557" w:rsidRDefault="00357420" w:rsidP="00366557">
      <w:pPr>
        <w:spacing w:line="360" w:lineRule="auto"/>
        <w:rPr>
          <w:rFonts w:ascii="Arial" w:hAnsi="Arial" w:cs="Arial"/>
          <w:sz w:val="22"/>
        </w:rPr>
      </w:pPr>
      <w:r w:rsidRPr="00366557">
        <w:rPr>
          <w:rFonts w:ascii="Arial" w:hAnsi="Arial" w:cs="Arial"/>
          <w:sz w:val="22"/>
        </w:rPr>
        <w:t>The Social Determinants of Health Theory has a more comprehensive structural explanation for transgender health inequities. The World Health Organisation makes the case that the social and environmental factors are of major importance to health outcomes, as well as biology (World Health Organisation, 2022). Applying this perspective, Travis et al. (2025) propose that the factors contributing to health disparities among transgender people stem from systems of unemployment, housing insecurity, poverty, and limited access to accessible quality care.</w:t>
      </w:r>
      <w:r w:rsidR="00BC7AC0" w:rsidRPr="00366557">
        <w:rPr>
          <w:rFonts w:ascii="Arial" w:hAnsi="Arial" w:cs="Arial"/>
          <w:sz w:val="22"/>
        </w:rPr>
        <w:t xml:space="preserve"> </w:t>
      </w:r>
      <w:r w:rsidR="00AA6BAA" w:rsidRPr="00366557">
        <w:rPr>
          <w:rFonts w:ascii="Arial" w:hAnsi="Arial" w:cs="Arial"/>
          <w:sz w:val="22"/>
        </w:rPr>
        <w:t>The evidence reviewed indicates a strong association</w:t>
      </w:r>
      <w:r w:rsidR="00BC7AC0" w:rsidRPr="00366557">
        <w:rPr>
          <w:rFonts w:ascii="Arial" w:hAnsi="Arial" w:cs="Arial"/>
          <w:sz w:val="22"/>
        </w:rPr>
        <w:t xml:space="preserve"> </w:t>
      </w:r>
      <w:r w:rsidRPr="00366557">
        <w:rPr>
          <w:rFonts w:ascii="Arial" w:hAnsi="Arial" w:cs="Arial"/>
          <w:sz w:val="22"/>
        </w:rPr>
        <w:t>between social marginalisation and a range of poorer physical and mental health outcomes for transgender populations. Togioka and Young (2024) also assert that the inequalities in health care services must be interpreted as a result of institutional discrimination rather than as a reflection of individual circumstances. However, Shah and Asghar (2023) argue that it fails to acknowledge people's agency and the personal decisions they make, and so cannot account for the different health outcomes that might be observed among people who have similar social circumstances.</w:t>
      </w:r>
    </w:p>
    <w:p w14:paraId="15CD7E3F" w14:textId="2D2868CD" w:rsidR="00E61157" w:rsidRPr="00366557" w:rsidRDefault="00357420" w:rsidP="00366557">
      <w:pPr>
        <w:spacing w:line="360" w:lineRule="auto"/>
        <w:rPr>
          <w:rFonts w:ascii="Arial" w:hAnsi="Arial" w:cs="Arial"/>
          <w:sz w:val="22"/>
        </w:rPr>
      </w:pPr>
      <w:r w:rsidRPr="00366557">
        <w:rPr>
          <w:rFonts w:ascii="Arial" w:hAnsi="Arial" w:cs="Arial"/>
          <w:sz w:val="22"/>
        </w:rPr>
        <w:t>Person-Centred Care Theory has grown in importance in the context of UK health and social care policy due to its emphasis on dignity, respect and partnership between health and care professionals and service users</w:t>
      </w:r>
      <w:r w:rsidR="00E20D83" w:rsidRPr="00366557">
        <w:rPr>
          <w:rFonts w:ascii="Arial" w:hAnsi="Arial" w:cs="Arial"/>
          <w:sz w:val="22"/>
        </w:rPr>
        <w:t xml:space="preserve"> (Ekman and Swedberg, 2022)</w:t>
      </w:r>
      <w:r w:rsidRPr="00366557">
        <w:rPr>
          <w:rFonts w:ascii="Arial" w:hAnsi="Arial" w:cs="Arial"/>
          <w:sz w:val="22"/>
        </w:rPr>
        <w:t xml:space="preserve">. Recognition of an individual's identity, preferences, and lived experiences is crucial to effective care (Sayani et al., 2025). In a transgender context, this includes honouring names and pronouns, and engaging clients in decisions about their healthcare. Professionals using affirming and person-centred approaches </w:t>
      </w:r>
      <w:r w:rsidRPr="00366557">
        <w:rPr>
          <w:rFonts w:ascii="Arial" w:hAnsi="Arial" w:cs="Arial"/>
          <w:sz w:val="22"/>
        </w:rPr>
        <w:lastRenderedPageBreak/>
        <w:t>more strongly affirmed the trust and satisfaction of transgender patients, as did Bilotta et al. (2025). But there is controversy over the use of this theory in practice. Lewis et al. (2023) question the effectiveness of healthcare systems in promoting inclusive policies without providing adequate staff training and implementation. This critique is supported by evidence that shows that transgender people continue to be asked the wrong questions and do not receive sufficient professional knowledge despite policy aims for equality (Jecke and Zepf, 2024).</w:t>
      </w:r>
    </w:p>
    <w:p w14:paraId="6D30D54C" w14:textId="0573A858" w:rsidR="00A55871" w:rsidRPr="00366557" w:rsidRDefault="00A55871" w:rsidP="00366557">
      <w:pPr>
        <w:spacing w:line="360" w:lineRule="auto"/>
        <w:rPr>
          <w:rFonts w:ascii="Arial" w:hAnsi="Arial" w:cs="Arial"/>
          <w:sz w:val="22"/>
        </w:rPr>
      </w:pPr>
    </w:p>
    <w:p w14:paraId="2D92CC01" w14:textId="1985DD30" w:rsidR="00A55871" w:rsidRPr="00366557" w:rsidRDefault="00357420" w:rsidP="00366557">
      <w:pPr>
        <w:pStyle w:val="Heading2"/>
        <w:spacing w:after="160" w:line="360" w:lineRule="auto"/>
        <w:rPr>
          <w:rFonts w:ascii="Arial" w:hAnsi="Arial" w:cs="Arial"/>
          <w:sz w:val="22"/>
          <w:szCs w:val="22"/>
        </w:rPr>
      </w:pPr>
      <w:bookmarkStart w:id="39" w:name="_Toc232709820"/>
      <w:bookmarkStart w:id="40" w:name="_Toc235118458"/>
      <w:bookmarkStart w:id="41" w:name="_Toc235121190"/>
      <w:r w:rsidRPr="00366557">
        <w:rPr>
          <w:rFonts w:ascii="Arial" w:hAnsi="Arial" w:cs="Arial"/>
          <w:sz w:val="22"/>
          <w:szCs w:val="22"/>
        </w:rPr>
        <w:t>2.4 International Context</w:t>
      </w:r>
      <w:bookmarkEnd w:id="39"/>
      <w:bookmarkEnd w:id="40"/>
      <w:bookmarkEnd w:id="41"/>
    </w:p>
    <w:p w14:paraId="3FB0E808" w14:textId="77777777" w:rsidR="00E61157" w:rsidRPr="00366557" w:rsidRDefault="00357420" w:rsidP="00366557">
      <w:pPr>
        <w:spacing w:line="360" w:lineRule="auto"/>
        <w:rPr>
          <w:rFonts w:ascii="Arial" w:hAnsi="Arial" w:cs="Arial"/>
          <w:sz w:val="22"/>
        </w:rPr>
      </w:pPr>
      <w:r w:rsidRPr="00366557">
        <w:rPr>
          <w:rFonts w:ascii="Arial" w:hAnsi="Arial" w:cs="Arial"/>
          <w:sz w:val="22"/>
        </w:rPr>
        <w:t xml:space="preserve">The availability of inclusive health and social care services and support for transgender people around the world can vary significantly due to vastly different legal systems, health care environments, cultural norms, and policy agendas. In recent years, there has been growing international importance of transgender health as a human rights and public health concern. Gender incongruence was removed from the Mental Disorders category by the World Health Organisation and moved to a category of sexual health, a meaningful de-pathologisation of transgender identities (WHO, 2026). This shift had implications around the world in healthcare policy debates and helped countries become more affirming. There are significant disparities, however, and in some countries, access to gender affirming care has increased, whereas in others it has been accompanied by restrictive legal and medical conditions. The findings of Renner et al. (2022) indicate a compelling link between access to inclusive healthcare and the overall acceptance and legal protection of transgender rights. </w:t>
      </w:r>
    </w:p>
    <w:p w14:paraId="00C24DB5" w14:textId="77777777" w:rsidR="00E61157" w:rsidRPr="00366557" w:rsidRDefault="00357420" w:rsidP="00366557">
      <w:pPr>
        <w:spacing w:line="360" w:lineRule="auto"/>
        <w:rPr>
          <w:rFonts w:ascii="Arial" w:hAnsi="Arial" w:cs="Arial"/>
          <w:sz w:val="22"/>
        </w:rPr>
      </w:pPr>
      <w:r w:rsidRPr="00366557">
        <w:rPr>
          <w:rFonts w:ascii="Arial" w:hAnsi="Arial" w:cs="Arial"/>
          <w:sz w:val="22"/>
        </w:rPr>
        <w:t xml:space="preserve">Innovative approaches have been taken in several countries, which offer useful comparisons with the UK. Argentina is often referred to as a model country after the Gender Identity Law 2012 (Global Action for Trans Equality, 2012). The bill permits people to change their gender without psychiatric labels, surgery, or court orders and ensures access for people to gender-affirming health care via public and private health systems. The validity of this model is debated by scholars, who believe that the process helps foster autonomy and helps to ease access to care, but access to care for transgender individuals across the country is very different between states (Surendran et al., 2025). Some states have more in-depth protections and health insurance coverage, and some states have restrictions on access to gender-affirming care. This disparity has been criticised as it generates inequities in health care at the geographical level. </w:t>
      </w:r>
    </w:p>
    <w:p w14:paraId="5719FB81" w14:textId="707B8F8C" w:rsidR="006D270A" w:rsidRPr="00366557" w:rsidRDefault="00357420" w:rsidP="00366557">
      <w:pPr>
        <w:spacing w:line="360" w:lineRule="auto"/>
        <w:rPr>
          <w:rFonts w:ascii="Arial" w:hAnsi="Arial" w:cs="Arial"/>
          <w:sz w:val="22"/>
        </w:rPr>
      </w:pPr>
      <w:r w:rsidRPr="00366557">
        <w:rPr>
          <w:rFonts w:ascii="Arial" w:hAnsi="Arial" w:cs="Arial"/>
          <w:sz w:val="22"/>
        </w:rPr>
        <w:t xml:space="preserve">A noteworthy international endeavour exemplifies this, with several Canadian provinces incorporating transgender inclusive health care guidelines into common health care methods. </w:t>
      </w:r>
      <w:r w:rsidRPr="00366557">
        <w:rPr>
          <w:rFonts w:ascii="Arial" w:hAnsi="Arial" w:cs="Arial"/>
          <w:sz w:val="22"/>
        </w:rPr>
        <w:lastRenderedPageBreak/>
        <w:t xml:space="preserve">Kuper et al. (2024) identified that inclusive policies, training and community involvement enhanced health experience and decreased health care access barriers </w:t>
      </w:r>
      <w:r w:rsidR="00CA7B47" w:rsidRPr="00366557">
        <w:rPr>
          <w:rFonts w:ascii="Arial" w:hAnsi="Arial" w:cs="Arial"/>
          <w:sz w:val="22"/>
        </w:rPr>
        <w:t>for transgender and gender-diverse (TGD) individuals</w:t>
      </w:r>
      <w:r w:rsidRPr="00366557">
        <w:rPr>
          <w:rFonts w:ascii="Arial" w:hAnsi="Arial" w:cs="Arial"/>
          <w:sz w:val="22"/>
        </w:rPr>
        <w:t xml:space="preserve">. However, there were issues with long queuing times and inequitable access in rural communities. Likewise, New Zealand has rolled out national guidance for gender-affirming healthcare and culturally responsive services, which includes identifying the needs inherent in the care of indigenous transgender people (McMenamin and Enoka, 2025). It has been demonstrated that these are effective in raising awareness among healthcare practitioners but haven't eradicated inequities in service access entirely (Borras, 2025). These examples from international contexts provide examples of how more is required for effective transgender health care than recognition in the law.  </w:t>
      </w:r>
    </w:p>
    <w:p w14:paraId="611D0F28" w14:textId="77777777" w:rsidR="00E61157" w:rsidRPr="00366557" w:rsidRDefault="00E61157" w:rsidP="00366557">
      <w:pPr>
        <w:spacing w:line="360" w:lineRule="auto"/>
        <w:rPr>
          <w:rFonts w:ascii="Arial" w:hAnsi="Arial" w:cs="Arial"/>
          <w:sz w:val="22"/>
        </w:rPr>
      </w:pPr>
    </w:p>
    <w:p w14:paraId="1E2DABE4" w14:textId="1BFB14F8" w:rsidR="006D270A" w:rsidRPr="00366557" w:rsidRDefault="00357420" w:rsidP="00366557">
      <w:pPr>
        <w:pStyle w:val="Heading2"/>
        <w:spacing w:after="160" w:line="360" w:lineRule="auto"/>
        <w:rPr>
          <w:rFonts w:ascii="Arial" w:hAnsi="Arial" w:cs="Arial"/>
          <w:sz w:val="22"/>
          <w:szCs w:val="22"/>
        </w:rPr>
      </w:pPr>
      <w:bookmarkStart w:id="42" w:name="_Toc232709821"/>
      <w:bookmarkStart w:id="43" w:name="_Toc235118459"/>
      <w:bookmarkStart w:id="44" w:name="_Toc235121191"/>
      <w:r w:rsidRPr="00366557">
        <w:rPr>
          <w:rFonts w:ascii="Arial" w:hAnsi="Arial" w:cs="Arial"/>
          <w:sz w:val="22"/>
          <w:szCs w:val="22"/>
        </w:rPr>
        <w:t>2.5 National/Local UK Context</w:t>
      </w:r>
      <w:bookmarkEnd w:id="42"/>
      <w:bookmarkEnd w:id="43"/>
      <w:bookmarkEnd w:id="44"/>
    </w:p>
    <w:p w14:paraId="2C6D64FC" w14:textId="77777777" w:rsidR="007668FB" w:rsidRPr="00366557" w:rsidRDefault="00357420" w:rsidP="00366557">
      <w:pPr>
        <w:spacing w:line="360" w:lineRule="auto"/>
        <w:rPr>
          <w:rFonts w:ascii="Arial" w:hAnsi="Arial" w:cs="Arial"/>
          <w:sz w:val="22"/>
        </w:rPr>
      </w:pPr>
      <w:r w:rsidRPr="00366557">
        <w:rPr>
          <w:rFonts w:ascii="Arial" w:hAnsi="Arial" w:cs="Arial"/>
          <w:sz w:val="22"/>
        </w:rPr>
        <w:t xml:space="preserve">In the United Kingdom, increasingly, the provision of inclusive health and social care for transgender individuals has become a policy and practice concern. Increasing awareness of health inequalities in the lives of transgender people has brought this to the fore. The NHS is based on principles of equality and universal access, but there is evidence that, to date, transgender people continue to experience poorer health outcomes than the wider population and face unacceptable access barriers to healthcare (NHS, 2025). A number of the transgender respondents to the National LGBT Survey described negative experiences when seeking help from a healthcare service provider, such as people's inappropriate curiosity about their identity, an absence of knowledge about transgender health concerns, and worry about discrimination (GOV.UK, 2018). Likewise, Lewis et al. (2023) made a report similar to this point, that many trans people had been denied equal treatment from health professionals, including a delay or failure to access care. </w:t>
      </w:r>
    </w:p>
    <w:p w14:paraId="7BC7E8FE" w14:textId="77777777" w:rsidR="007668FB" w:rsidRPr="00366557" w:rsidRDefault="00357420" w:rsidP="00366557">
      <w:pPr>
        <w:spacing w:line="360" w:lineRule="auto"/>
        <w:rPr>
          <w:rFonts w:ascii="Arial" w:hAnsi="Arial" w:cs="Arial"/>
          <w:sz w:val="22"/>
        </w:rPr>
      </w:pPr>
      <w:r w:rsidRPr="00366557">
        <w:rPr>
          <w:rFonts w:ascii="Arial" w:hAnsi="Arial" w:cs="Arial"/>
          <w:sz w:val="22"/>
        </w:rPr>
        <w:t xml:space="preserve">Several measures exist in a policy framework in the UK for the protection of transgender people and for fair access to services. The Equality Act 2010 is the main piece of legislation that provides protection against discrimination based on gender reassignment (GOV.UK, 2010), under healthcare, employment, education and public services. The Act places a duty on those responsible for providing services to do everything they can to make sure that transgender people are not at a disadvantage. Additionally, the Gender Recognition Act 2004 introduced a legislated procedure whereby transgender individuals will gain formal recognition of their gender (GOV.UK, 2004). In health, NHS England has released service specifications and guidance for </w:t>
      </w:r>
      <w:r w:rsidRPr="00366557">
        <w:rPr>
          <w:rFonts w:ascii="Arial" w:hAnsi="Arial" w:cs="Arial"/>
          <w:sz w:val="22"/>
        </w:rPr>
        <w:lastRenderedPageBreak/>
        <w:t xml:space="preserve">gender identity services, and the Care Quality Commission (CQC) have requirements for health and social care providers to show equality, dignity and personhood (NHS 2026). Bowers (2025), however, contends that the law does not necessarily lead to positive health experiences, and many transgender people are still facing obstacles even when they have legislation for protection. </w:t>
      </w:r>
    </w:p>
    <w:p w14:paraId="3F42431F" w14:textId="77777777" w:rsidR="007668FB" w:rsidRPr="00366557" w:rsidRDefault="00357420" w:rsidP="00366557">
      <w:pPr>
        <w:spacing w:line="360" w:lineRule="auto"/>
        <w:rPr>
          <w:rFonts w:ascii="Arial" w:hAnsi="Arial" w:cs="Arial"/>
          <w:sz w:val="22"/>
        </w:rPr>
      </w:pPr>
      <w:r w:rsidRPr="00366557">
        <w:rPr>
          <w:rFonts w:ascii="Arial" w:hAnsi="Arial" w:cs="Arial"/>
          <w:sz w:val="22"/>
        </w:rPr>
        <w:t xml:space="preserve">Developing services is markedly different at the local level and is regionally varied in the UK. There is universal agreement that the inequality of access to specialist Gender Identity Clinics (GICs) is one of the most commonly cited problems, with waiting times varying considerably across areas. Ebert et al. (2025) identified that some people went several years without specialist evaluation, resulting in a geographic inequity of access to gender affirming care. To address this, NHS England has put in place pilots of gender services to enhance and shorten waiting times and increase accessibility (GOV.UK, 2025). Local councils and NHS trusts have also carried out measures like transgender awareness training, service and care policies that are gender inclusivity-focused, as well as information on appropriate communication. However, some areas show a greater commitment to inclusion than others, and provision is not always of high quality (Lewis et al., 2023). The experience of transgender people in health and social care services is therefore subject to significant regional differences and still significant implementation issues despite the UK's relatively full legal and policy framework. </w:t>
      </w:r>
    </w:p>
    <w:p w14:paraId="1CE5F391" w14:textId="77777777" w:rsidR="007668FB" w:rsidRPr="00366557" w:rsidRDefault="007668FB" w:rsidP="00366557">
      <w:pPr>
        <w:spacing w:line="360" w:lineRule="auto"/>
        <w:rPr>
          <w:rFonts w:ascii="Arial" w:hAnsi="Arial" w:cs="Arial"/>
          <w:sz w:val="22"/>
        </w:rPr>
      </w:pPr>
    </w:p>
    <w:p w14:paraId="570FD1EE" w14:textId="288C7730" w:rsidR="00A30376" w:rsidRPr="00366557" w:rsidRDefault="00357420" w:rsidP="00366557">
      <w:pPr>
        <w:pStyle w:val="Heading2"/>
        <w:spacing w:after="160" w:line="360" w:lineRule="auto"/>
        <w:rPr>
          <w:rFonts w:ascii="Arial" w:hAnsi="Arial" w:cs="Arial"/>
          <w:sz w:val="22"/>
          <w:szCs w:val="22"/>
        </w:rPr>
      </w:pPr>
      <w:bookmarkStart w:id="45" w:name="_Toc232709822"/>
      <w:bookmarkStart w:id="46" w:name="_Toc235118460"/>
      <w:bookmarkStart w:id="47" w:name="_Toc235121192"/>
      <w:r w:rsidRPr="00366557">
        <w:rPr>
          <w:rFonts w:ascii="Arial" w:hAnsi="Arial" w:cs="Arial"/>
          <w:sz w:val="22"/>
          <w:szCs w:val="22"/>
        </w:rPr>
        <w:t>2.6 Conclusion</w:t>
      </w:r>
      <w:bookmarkEnd w:id="45"/>
      <w:bookmarkEnd w:id="46"/>
      <w:bookmarkEnd w:id="47"/>
    </w:p>
    <w:p w14:paraId="58E63C48" w14:textId="77777777" w:rsidR="007668FB" w:rsidRPr="00366557" w:rsidRDefault="00357420" w:rsidP="00366557">
      <w:pPr>
        <w:spacing w:line="360" w:lineRule="auto"/>
        <w:rPr>
          <w:rFonts w:ascii="Arial" w:hAnsi="Arial" w:cs="Arial"/>
          <w:sz w:val="22"/>
        </w:rPr>
      </w:pPr>
      <w:r w:rsidRPr="00366557">
        <w:rPr>
          <w:rFonts w:ascii="Arial" w:hAnsi="Arial" w:cs="Arial"/>
          <w:sz w:val="22"/>
        </w:rPr>
        <w:t xml:space="preserve">This chapter has discussed the broader context of transgender health and social care, including the evolution of transgender rights and social recognition, as well as the provision of health and social care. It has discussed key theoretical perspectives that explain the relationship between discrimination, social inequality, and health outcomes. The chapter has also explored international strategies for the provision of transgender healthcare, highlighting the diversity of experience across different nations, from service access to inclusion to legal recognition. In addition, it has explored the context of the UK and the impact of legislation, national policies and healthcare guidance and local service provision on the experiences of transgender people. These discussions form a whole to offer a rich understanding of the bigger picture of the issues impacting the healthcare and social care experiences of transgender people. The research methodology will be outlined in the next chapter, which will introduce the research design, the </w:t>
      </w:r>
      <w:r w:rsidRPr="00366557">
        <w:rPr>
          <w:rFonts w:ascii="Arial" w:hAnsi="Arial" w:cs="Arial"/>
          <w:sz w:val="22"/>
        </w:rPr>
        <w:lastRenderedPageBreak/>
        <w:t xml:space="preserve">data collection strategy, the selection of data sources, and the analysis strategy used to answer the study objectives. </w:t>
      </w:r>
    </w:p>
    <w:p w14:paraId="0B343375" w14:textId="13A37C23" w:rsidR="00A30376" w:rsidRPr="00366557" w:rsidRDefault="00A30376" w:rsidP="00366557">
      <w:pPr>
        <w:spacing w:line="360" w:lineRule="auto"/>
        <w:rPr>
          <w:rFonts w:ascii="Arial" w:hAnsi="Arial" w:cs="Arial"/>
          <w:sz w:val="22"/>
        </w:rPr>
      </w:pPr>
    </w:p>
    <w:p w14:paraId="01DE065D" w14:textId="77777777" w:rsidR="007668FB" w:rsidRPr="00366557" w:rsidRDefault="007668FB" w:rsidP="00366557">
      <w:pPr>
        <w:spacing w:line="360" w:lineRule="auto"/>
        <w:rPr>
          <w:rFonts w:ascii="Arial" w:hAnsi="Arial" w:cs="Arial"/>
          <w:sz w:val="22"/>
        </w:rPr>
      </w:pPr>
    </w:p>
    <w:p w14:paraId="55A9BC4F" w14:textId="6BAA126A" w:rsidR="00A30376" w:rsidRPr="00366557" w:rsidRDefault="00357420" w:rsidP="00366557">
      <w:pPr>
        <w:spacing w:line="360" w:lineRule="auto"/>
        <w:rPr>
          <w:rFonts w:ascii="Arial" w:hAnsi="Arial" w:cs="Arial"/>
          <w:sz w:val="22"/>
        </w:rPr>
      </w:pPr>
      <w:r w:rsidRPr="00366557">
        <w:rPr>
          <w:rFonts w:ascii="Arial" w:hAnsi="Arial" w:cs="Arial"/>
          <w:sz w:val="22"/>
        </w:rPr>
        <w:br w:type="page"/>
      </w:r>
    </w:p>
    <w:p w14:paraId="7691660A" w14:textId="0C2D6448" w:rsidR="00A30376" w:rsidRPr="00366557" w:rsidRDefault="00357420" w:rsidP="00366557">
      <w:pPr>
        <w:pStyle w:val="Heading1"/>
        <w:spacing w:after="160" w:line="360" w:lineRule="auto"/>
        <w:rPr>
          <w:rFonts w:ascii="Arial" w:hAnsi="Arial" w:cs="Arial"/>
          <w:sz w:val="22"/>
          <w:szCs w:val="22"/>
        </w:rPr>
      </w:pPr>
      <w:bookmarkStart w:id="48" w:name="_Toc232709823"/>
      <w:bookmarkStart w:id="49" w:name="_Toc235118461"/>
      <w:bookmarkStart w:id="50" w:name="_Toc235121193"/>
      <w:r w:rsidRPr="00366557">
        <w:rPr>
          <w:rFonts w:ascii="Arial" w:hAnsi="Arial" w:cs="Arial"/>
          <w:sz w:val="22"/>
          <w:szCs w:val="22"/>
        </w:rPr>
        <w:lastRenderedPageBreak/>
        <w:t>Chapter 3: Methods And Search Strategy</w:t>
      </w:r>
      <w:bookmarkEnd w:id="48"/>
      <w:bookmarkEnd w:id="49"/>
      <w:bookmarkEnd w:id="50"/>
    </w:p>
    <w:p w14:paraId="49E163EC" w14:textId="64E35180" w:rsidR="00932264" w:rsidRPr="00366557" w:rsidRDefault="00357420" w:rsidP="00366557">
      <w:pPr>
        <w:pStyle w:val="Heading2"/>
        <w:spacing w:after="160" w:line="360" w:lineRule="auto"/>
        <w:rPr>
          <w:rFonts w:ascii="Arial" w:hAnsi="Arial" w:cs="Arial"/>
          <w:sz w:val="22"/>
          <w:szCs w:val="22"/>
        </w:rPr>
      </w:pPr>
      <w:bookmarkStart w:id="51" w:name="_Toc232709824"/>
      <w:bookmarkStart w:id="52" w:name="_Toc235118462"/>
      <w:bookmarkStart w:id="53" w:name="_Toc235121194"/>
      <w:r w:rsidRPr="00366557">
        <w:rPr>
          <w:rFonts w:ascii="Arial" w:hAnsi="Arial" w:cs="Arial"/>
          <w:sz w:val="22"/>
          <w:szCs w:val="22"/>
        </w:rPr>
        <w:t>3.1 Introduction</w:t>
      </w:r>
      <w:bookmarkEnd w:id="51"/>
      <w:bookmarkEnd w:id="52"/>
      <w:bookmarkEnd w:id="53"/>
    </w:p>
    <w:p w14:paraId="4464B738" w14:textId="77777777" w:rsidR="007668FB" w:rsidRPr="00366557" w:rsidRDefault="00357420" w:rsidP="00366557">
      <w:pPr>
        <w:spacing w:line="360" w:lineRule="auto"/>
        <w:rPr>
          <w:rFonts w:ascii="Arial" w:hAnsi="Arial" w:cs="Arial"/>
          <w:sz w:val="22"/>
        </w:rPr>
      </w:pPr>
      <w:r w:rsidRPr="00366557">
        <w:rPr>
          <w:rFonts w:ascii="Arial" w:hAnsi="Arial" w:cs="Arial"/>
          <w:sz w:val="22"/>
        </w:rPr>
        <w:t xml:space="preserve">This chapter outlines the methodology which was used to carry out this research and explains the processes that took place for the purpose of identifying and selecting appropriate literature that linked to the experiences of transgender individuals in the UK health and social care systems, along with the process for evaluating and analysing the literature. This study used a desk-based secondary research methodology and utilised academic research, policy documents, organisational reports and professional guidance. The academic methodology poster gave the audience a quick visual snapshot of the research process; however, this chapter goes into more detail on each stage. In secondary research, a systematic and transparent source selection and analysis process is crucial to increase reliability and limit bias (Burkholder and Phillips, 2022). The approach outlined in this chapter will underpin the thematic findings and critical discussion in Chapter 4. </w:t>
      </w:r>
    </w:p>
    <w:p w14:paraId="2ED81F35" w14:textId="3431FB23" w:rsidR="00932264" w:rsidRPr="00366557" w:rsidRDefault="00932264" w:rsidP="00366557">
      <w:pPr>
        <w:spacing w:line="360" w:lineRule="auto"/>
        <w:rPr>
          <w:rFonts w:ascii="Arial" w:hAnsi="Arial" w:cs="Arial"/>
          <w:sz w:val="22"/>
        </w:rPr>
      </w:pPr>
    </w:p>
    <w:p w14:paraId="2E0E25CD" w14:textId="270205DE" w:rsidR="004E3B28" w:rsidRPr="00366557" w:rsidRDefault="00357420" w:rsidP="00366557">
      <w:pPr>
        <w:pStyle w:val="Heading2"/>
        <w:spacing w:after="160" w:line="360" w:lineRule="auto"/>
        <w:rPr>
          <w:rFonts w:ascii="Arial" w:hAnsi="Arial" w:cs="Arial"/>
          <w:sz w:val="22"/>
          <w:szCs w:val="22"/>
        </w:rPr>
      </w:pPr>
      <w:bookmarkStart w:id="54" w:name="_Toc232709825"/>
      <w:bookmarkStart w:id="55" w:name="_Toc235118463"/>
      <w:bookmarkStart w:id="56" w:name="_Toc235121195"/>
      <w:r w:rsidRPr="00366557">
        <w:rPr>
          <w:rFonts w:ascii="Arial" w:hAnsi="Arial" w:cs="Arial"/>
          <w:sz w:val="22"/>
          <w:szCs w:val="22"/>
        </w:rPr>
        <w:t>3.2 Search Strategy</w:t>
      </w:r>
      <w:bookmarkEnd w:id="54"/>
      <w:bookmarkEnd w:id="55"/>
      <w:bookmarkEnd w:id="56"/>
    </w:p>
    <w:p w14:paraId="30D7AA1E" w14:textId="77777777" w:rsidR="007668FB" w:rsidRPr="00366557" w:rsidRDefault="00357420" w:rsidP="00366557">
      <w:pPr>
        <w:spacing w:line="360" w:lineRule="auto"/>
        <w:rPr>
          <w:rFonts w:ascii="Arial" w:hAnsi="Arial" w:cs="Arial"/>
          <w:sz w:val="22"/>
        </w:rPr>
      </w:pPr>
      <w:r w:rsidRPr="00366557">
        <w:rPr>
          <w:rFonts w:ascii="Arial" w:hAnsi="Arial" w:cs="Arial"/>
          <w:sz w:val="22"/>
        </w:rPr>
        <w:t xml:space="preserve">A systematic search strategy was created, and literature sources for the research aim were identified. A list of keywords was created from the dissertation title and objectives and includes transgender, inclusive healthcare, health inequalities, social care, discrimination, gender identity and UK healthcare policy. Other terms like gender-diverse people, gender-affirming care, healthcare access and several other terms were also added to expand the retrieval. To refine the precision of the search results, Boolean operators were indispensable tools that were used: AND (and) combined concepts, OR (or) identified synonyms, while NOT excluded items not related to the concept. Structured searching will enhance transparency and consistency in secondary research (Ghamrawi et al., 2025). Systematic archiving of the search terms and terms affected during the review process. </w:t>
      </w:r>
    </w:p>
    <w:p w14:paraId="3F1DB8F4" w14:textId="724D3417" w:rsidR="004E3B28" w:rsidRPr="00366557" w:rsidRDefault="004E3B28" w:rsidP="00366557">
      <w:pPr>
        <w:spacing w:line="360" w:lineRule="auto"/>
        <w:rPr>
          <w:rFonts w:ascii="Arial" w:hAnsi="Arial" w:cs="Arial"/>
          <w:sz w:val="22"/>
        </w:rPr>
      </w:pPr>
    </w:p>
    <w:p w14:paraId="3DB621AC" w14:textId="4790FB1B" w:rsidR="003E3157" w:rsidRPr="00366557" w:rsidRDefault="00357420" w:rsidP="00366557">
      <w:pPr>
        <w:pStyle w:val="Heading2"/>
        <w:spacing w:after="160" w:line="360" w:lineRule="auto"/>
        <w:rPr>
          <w:rFonts w:ascii="Arial" w:hAnsi="Arial" w:cs="Arial"/>
          <w:sz w:val="22"/>
          <w:szCs w:val="22"/>
        </w:rPr>
      </w:pPr>
      <w:bookmarkStart w:id="57" w:name="_Toc232709826"/>
      <w:bookmarkStart w:id="58" w:name="_Toc235118464"/>
      <w:bookmarkStart w:id="59" w:name="_Toc235121196"/>
      <w:r w:rsidRPr="00366557">
        <w:rPr>
          <w:rFonts w:ascii="Arial" w:hAnsi="Arial" w:cs="Arial"/>
          <w:sz w:val="22"/>
          <w:szCs w:val="22"/>
        </w:rPr>
        <w:t>3.3 Searching for Information</w:t>
      </w:r>
      <w:bookmarkEnd w:id="57"/>
      <w:bookmarkEnd w:id="58"/>
      <w:bookmarkEnd w:id="59"/>
    </w:p>
    <w:p w14:paraId="695A0D7B" w14:textId="77777777" w:rsidR="007668FB" w:rsidRPr="00366557" w:rsidRDefault="00357420" w:rsidP="00366557">
      <w:pPr>
        <w:spacing w:line="360" w:lineRule="auto"/>
        <w:rPr>
          <w:rFonts w:ascii="Arial" w:hAnsi="Arial" w:cs="Arial"/>
          <w:sz w:val="22"/>
        </w:rPr>
      </w:pPr>
      <w:r w:rsidRPr="00366557">
        <w:rPr>
          <w:rFonts w:ascii="Arial" w:hAnsi="Arial" w:cs="Arial"/>
          <w:sz w:val="22"/>
        </w:rPr>
        <w:t xml:space="preserve">Literature search was conducted using multi-disciplinary academic databases, especially PubMed, CINAHL and Google Scholar, in order to generate high-quality clinical, sociological and social care research. The platforms chosen were those with excellent indexing of peer-reviewed biomedical and social science literature that will provide methodologically sound and </w:t>
      </w:r>
      <w:r w:rsidRPr="00366557">
        <w:rPr>
          <w:rFonts w:ascii="Arial" w:hAnsi="Arial" w:cs="Arial"/>
          <w:sz w:val="22"/>
        </w:rPr>
        <w:lastRenderedPageBreak/>
        <w:t xml:space="preserve">professionally relevant sources of information (Selvakumar et al., 2026). To further improve the results, electronic filters were used: only peer-reviewed journal articles were included. Records published during the last decade were considered in order to be relevant to current UK health or social care developments; only records available in full-text English were included, and only those studies specifically addressing health or social care infrastructure in the UK were included. Initial search terms generated too much literature on biomedical transition procedures, so the search terms were continually refined, for example, by narrowing the scope to what the healthcare experience is like during the day, the need for, or lack of, social work support within this process and the exclusion of the healthcare system associated with advances in transition care. The entire iterative process of identifying all of the relevant final sources, identified by this robust process, was documented in a systematic way. A summary of the literature retrieved is available in Appendix 1: Source Tracking Table, which shows the search strings used to retrieve literature, the number of hits and/or selected citations. </w:t>
      </w:r>
    </w:p>
    <w:p w14:paraId="01BA5500" w14:textId="77777777" w:rsidR="007668FB" w:rsidRPr="00366557" w:rsidRDefault="007668FB" w:rsidP="00366557">
      <w:pPr>
        <w:spacing w:line="360" w:lineRule="auto"/>
        <w:rPr>
          <w:rFonts w:ascii="Arial" w:hAnsi="Arial" w:cs="Arial"/>
          <w:sz w:val="22"/>
        </w:rPr>
      </w:pPr>
    </w:p>
    <w:p w14:paraId="6A8D86F0" w14:textId="3992D5B7" w:rsidR="004A3949" w:rsidRPr="00366557" w:rsidRDefault="00357420" w:rsidP="00366557">
      <w:pPr>
        <w:pStyle w:val="Heading2"/>
        <w:spacing w:after="160" w:line="360" w:lineRule="auto"/>
        <w:rPr>
          <w:rFonts w:ascii="Arial" w:hAnsi="Arial" w:cs="Arial"/>
          <w:sz w:val="22"/>
          <w:szCs w:val="22"/>
        </w:rPr>
      </w:pPr>
      <w:bookmarkStart w:id="60" w:name="_Toc232709827"/>
      <w:bookmarkStart w:id="61" w:name="_Toc235118465"/>
      <w:bookmarkStart w:id="62" w:name="_Toc235121197"/>
      <w:r w:rsidRPr="00366557">
        <w:rPr>
          <w:rFonts w:ascii="Arial" w:hAnsi="Arial" w:cs="Arial"/>
          <w:sz w:val="22"/>
          <w:szCs w:val="22"/>
        </w:rPr>
        <w:t>3.4 Research Validation</w:t>
      </w:r>
      <w:bookmarkEnd w:id="60"/>
      <w:bookmarkEnd w:id="61"/>
      <w:bookmarkEnd w:id="62"/>
    </w:p>
    <w:p w14:paraId="28BAB9BA" w14:textId="77777777" w:rsidR="007668FB" w:rsidRPr="00366557" w:rsidRDefault="00357420" w:rsidP="00366557">
      <w:pPr>
        <w:spacing w:line="360" w:lineRule="auto"/>
        <w:rPr>
          <w:rFonts w:ascii="Arial" w:hAnsi="Arial" w:cs="Arial"/>
          <w:sz w:val="22"/>
        </w:rPr>
      </w:pPr>
      <w:r w:rsidRPr="00366557">
        <w:rPr>
          <w:rFonts w:ascii="Arial" w:hAnsi="Arial" w:cs="Arial"/>
          <w:sz w:val="22"/>
        </w:rPr>
        <w:t xml:space="preserve">The initial screening process (skimming) was conducted to guarantee the quality and appropriateness of the literature. Transgender healthcare, transgender social care experiences, health inequalities, discrimination and inclusive practice were assessed through a review of titles, abstracts, introductions, and conclusions of sources. For the efficient identification of relevant studies and disregarding non-relevant information, this approach proved to be convenient. After screening, the quality of the sources was evaluated using the CRAAP Test methodology, which includes Currency, Relevance, Authority, Accuracy, and Purpose. Ong et al. (2026) state that the CRAAP system is a method for evaluating the credibility of information systematically. Within Appendix 2: CRAAP Test Table, a detailed analysis of the selected sources is given. Literature was carefully selected for features of Currency, Relevance, and Authority. For instance, an article by Mikulak et al. (2021) was chosen because it had a high 'currency', it contained clear "empirical accuracy" with peer-reviewed qualitative data, and it was from a 'highly authoritative' journal, the British Journal of General Practice, making it very appropriate for inclusion. </w:t>
      </w:r>
    </w:p>
    <w:p w14:paraId="5CCDE6D3" w14:textId="5483F5AA" w:rsidR="00EF6404" w:rsidRPr="00366557" w:rsidRDefault="00EF6404" w:rsidP="00366557">
      <w:pPr>
        <w:spacing w:line="360" w:lineRule="auto"/>
        <w:rPr>
          <w:rFonts w:ascii="Arial" w:hAnsi="Arial" w:cs="Arial"/>
          <w:sz w:val="22"/>
        </w:rPr>
      </w:pPr>
    </w:p>
    <w:p w14:paraId="762155AE" w14:textId="747F4C36" w:rsidR="00D55677" w:rsidRPr="00366557" w:rsidRDefault="00357420" w:rsidP="00366557">
      <w:pPr>
        <w:pStyle w:val="Heading2"/>
        <w:spacing w:after="160" w:line="360" w:lineRule="auto"/>
        <w:rPr>
          <w:rFonts w:ascii="Arial" w:hAnsi="Arial" w:cs="Arial"/>
          <w:sz w:val="22"/>
          <w:szCs w:val="22"/>
        </w:rPr>
      </w:pPr>
      <w:bookmarkStart w:id="63" w:name="_Toc232709828"/>
      <w:bookmarkStart w:id="64" w:name="_Toc235118466"/>
      <w:bookmarkStart w:id="65" w:name="_Toc235121198"/>
      <w:r w:rsidRPr="00366557">
        <w:rPr>
          <w:rFonts w:ascii="Arial" w:hAnsi="Arial" w:cs="Arial"/>
          <w:sz w:val="22"/>
          <w:szCs w:val="22"/>
        </w:rPr>
        <w:lastRenderedPageBreak/>
        <w:t>3.5 Inclusion and Exclusion Criteria</w:t>
      </w:r>
      <w:bookmarkEnd w:id="63"/>
      <w:bookmarkEnd w:id="64"/>
      <w:bookmarkEnd w:id="65"/>
    </w:p>
    <w:p w14:paraId="21170041" w14:textId="697531A6" w:rsidR="007668FB" w:rsidRPr="00366557" w:rsidRDefault="00357420" w:rsidP="00366557">
      <w:pPr>
        <w:spacing w:line="360" w:lineRule="auto"/>
        <w:rPr>
          <w:rFonts w:ascii="Arial" w:hAnsi="Arial" w:cs="Arial"/>
          <w:sz w:val="22"/>
        </w:rPr>
      </w:pPr>
      <w:r w:rsidRPr="00366557">
        <w:rPr>
          <w:rFonts w:ascii="Arial" w:hAnsi="Arial" w:cs="Arial"/>
          <w:sz w:val="22"/>
        </w:rPr>
        <w:t>For methodological rigour and to prevent bias, explicit 'inclusion rules' and 'exclusion rules' were applied as part of the source selection process (Selvakumar et al., 2026). Inclusion criteria required articles to be peer-reviewed, published over the last decade, written in English, openly available in full text online, and directly related to transgender/non-binary health or social care service provision in the UK</w:t>
      </w:r>
      <w:r w:rsidR="00C14EAF" w:rsidRPr="00366557">
        <w:rPr>
          <w:rFonts w:ascii="Arial" w:hAnsi="Arial" w:cs="Arial"/>
          <w:sz w:val="22"/>
        </w:rPr>
        <w:t xml:space="preserve"> (Gerken</w:t>
      </w:r>
      <w:r w:rsidR="00DA56EA" w:rsidRPr="00366557">
        <w:rPr>
          <w:rFonts w:ascii="Arial" w:hAnsi="Arial" w:cs="Arial"/>
          <w:sz w:val="22"/>
        </w:rPr>
        <w:t>,</w:t>
      </w:r>
      <w:r w:rsidR="00C14EAF" w:rsidRPr="00366557">
        <w:rPr>
          <w:rFonts w:ascii="Arial" w:hAnsi="Arial" w:cs="Arial"/>
          <w:sz w:val="22"/>
        </w:rPr>
        <w:t xml:space="preserve"> 2026)</w:t>
      </w:r>
      <w:r w:rsidRPr="00366557">
        <w:rPr>
          <w:rFonts w:ascii="Arial" w:hAnsi="Arial" w:cs="Arial"/>
          <w:sz w:val="22"/>
        </w:rPr>
        <w:t xml:space="preserve">. On the contrary, the study did not include non-peer-reviewed opinion blogs, older clinical data and studies conducted in health care systems </w:t>
      </w:r>
      <w:r w:rsidR="005E74CB" w:rsidRPr="00366557">
        <w:rPr>
          <w:rFonts w:ascii="Arial" w:hAnsi="Arial" w:cs="Arial"/>
          <w:sz w:val="22"/>
        </w:rPr>
        <w:t>outside of</w:t>
      </w:r>
      <w:r w:rsidRPr="00366557">
        <w:rPr>
          <w:rFonts w:ascii="Arial" w:hAnsi="Arial" w:cs="Arial"/>
          <w:sz w:val="22"/>
        </w:rPr>
        <w:t xml:space="preserve"> the UK. These criteria helped the dataset to remain up to date, legally relevant to the NHS environment, and scientifically acceptable.</w:t>
      </w:r>
    </w:p>
    <w:p w14:paraId="214A14CF" w14:textId="320D1314" w:rsidR="0036716A" w:rsidRPr="00366557" w:rsidRDefault="0036716A" w:rsidP="00366557">
      <w:pPr>
        <w:spacing w:line="360" w:lineRule="auto"/>
        <w:rPr>
          <w:rFonts w:ascii="Arial" w:hAnsi="Arial" w:cs="Arial"/>
          <w:sz w:val="22"/>
        </w:rPr>
      </w:pPr>
    </w:p>
    <w:p w14:paraId="505AE096" w14:textId="04BC2B92" w:rsidR="0036716A" w:rsidRPr="00366557" w:rsidRDefault="00357420" w:rsidP="00366557">
      <w:pPr>
        <w:pStyle w:val="Heading2"/>
        <w:spacing w:after="160" w:line="360" w:lineRule="auto"/>
        <w:rPr>
          <w:rFonts w:ascii="Arial" w:hAnsi="Arial" w:cs="Arial"/>
          <w:sz w:val="22"/>
          <w:szCs w:val="22"/>
        </w:rPr>
      </w:pPr>
      <w:bookmarkStart w:id="66" w:name="_Toc232709829"/>
      <w:bookmarkStart w:id="67" w:name="_Toc235118467"/>
      <w:bookmarkStart w:id="68" w:name="_Toc235121199"/>
      <w:r w:rsidRPr="00366557">
        <w:rPr>
          <w:rFonts w:ascii="Arial" w:hAnsi="Arial" w:cs="Arial"/>
          <w:sz w:val="22"/>
          <w:szCs w:val="22"/>
        </w:rPr>
        <w:t>3.6 Analysing Research</w:t>
      </w:r>
      <w:bookmarkEnd w:id="66"/>
      <w:bookmarkEnd w:id="67"/>
      <w:bookmarkEnd w:id="68"/>
    </w:p>
    <w:p w14:paraId="274689D8" w14:textId="23D27CDC" w:rsidR="0036716A" w:rsidRPr="00366557" w:rsidRDefault="00357420" w:rsidP="00366557">
      <w:pPr>
        <w:spacing w:line="360" w:lineRule="auto"/>
        <w:rPr>
          <w:rFonts w:ascii="Arial" w:hAnsi="Arial" w:cs="Arial"/>
          <w:sz w:val="22"/>
        </w:rPr>
      </w:pPr>
      <w:r w:rsidRPr="00366557">
        <w:rPr>
          <w:rFonts w:ascii="Arial" w:hAnsi="Arial" w:cs="Arial"/>
          <w:sz w:val="22"/>
        </w:rPr>
        <w:t>Thematic analysis was used to identify, code and interpret themes in the selected literature, as this is widely used in the analysis of qualitative data patterns (Ahmed et al., 2025). Once the final studies were chosen, each of the articles was read several times to fully grasp the conclusions, methodology, and findings of each study. Significant observations and repeated ideas around transgender health care experiences were marked and given simple descriptive codes. To estimate the coding frameworks used, a more simplified approach was adopted to find commonalities across the literature. A thematic coding table was then used to compare similar codes and categorise the codes into more general categories. This systematic process led to three overarching themes: Individual Lived Experience and Access to Care; The Structural and Institutional Causes of These Experiences; and Practice, Communication, Training and Workforce Preparedness. The themes directly mirrored the research aim and objectives and were used to structure the findings and discussion for Chapter 4. Having a coding table during the review process ensured consistency and provided an open audit trail to illustrate how the themes were being built up from the selected studies.</w:t>
      </w:r>
    </w:p>
    <w:p w14:paraId="5D0CC914" w14:textId="77777777" w:rsidR="00CC78E8" w:rsidRPr="00366557" w:rsidRDefault="00CC78E8" w:rsidP="00366557">
      <w:pPr>
        <w:spacing w:line="360" w:lineRule="auto"/>
        <w:rPr>
          <w:rFonts w:ascii="Arial" w:hAnsi="Arial" w:cs="Arial"/>
          <w:sz w:val="22"/>
        </w:rPr>
      </w:pPr>
    </w:p>
    <w:p w14:paraId="0E7E9EFC" w14:textId="37F1E2CB" w:rsidR="00507A4B" w:rsidRPr="00366557" w:rsidRDefault="00357420" w:rsidP="00366557">
      <w:pPr>
        <w:pStyle w:val="Heading2"/>
        <w:spacing w:after="160" w:line="360" w:lineRule="auto"/>
        <w:rPr>
          <w:rFonts w:ascii="Arial" w:hAnsi="Arial" w:cs="Arial"/>
          <w:sz w:val="22"/>
          <w:szCs w:val="22"/>
        </w:rPr>
      </w:pPr>
      <w:bookmarkStart w:id="69" w:name="_Toc232709830"/>
      <w:bookmarkStart w:id="70" w:name="_Toc235118468"/>
      <w:bookmarkStart w:id="71" w:name="_Toc235121200"/>
      <w:r w:rsidRPr="00366557">
        <w:rPr>
          <w:rFonts w:ascii="Arial" w:hAnsi="Arial" w:cs="Arial"/>
          <w:sz w:val="22"/>
          <w:szCs w:val="22"/>
        </w:rPr>
        <w:t>3.7 Ethical Considerations</w:t>
      </w:r>
      <w:bookmarkEnd w:id="69"/>
      <w:bookmarkEnd w:id="70"/>
      <w:bookmarkEnd w:id="71"/>
    </w:p>
    <w:p w14:paraId="068B9AAA" w14:textId="51F3FDB1" w:rsidR="00E47C92" w:rsidRPr="00366557" w:rsidRDefault="00357420" w:rsidP="00366557">
      <w:pPr>
        <w:spacing w:line="360" w:lineRule="auto"/>
        <w:rPr>
          <w:rFonts w:ascii="Arial" w:hAnsi="Arial" w:cs="Arial"/>
          <w:sz w:val="22"/>
        </w:rPr>
      </w:pPr>
      <w:r w:rsidRPr="00366557">
        <w:rPr>
          <w:rFonts w:ascii="Arial" w:hAnsi="Arial" w:cs="Arial"/>
          <w:sz w:val="22"/>
        </w:rPr>
        <w:t xml:space="preserve">This dissertation – having been completely drawn from secondary sources – required no primary data and therefore no research ethics committee approval was necessary. However, codes of ethics were a key theme throughout the review. Referencing of all sources was maintained using a Harvard style, the published work was carefully paraphrased, and plagiarism </w:t>
      </w:r>
      <w:r w:rsidRPr="00366557">
        <w:rPr>
          <w:rFonts w:ascii="Arial" w:hAnsi="Arial" w:cs="Arial"/>
          <w:sz w:val="22"/>
        </w:rPr>
        <w:lastRenderedPageBreak/>
        <w:t>was avoided (Mulenga and Shilongo, 2024). The interpretations of individual authors were presented fairly, and contrasting views were included if relevant, with no selective reporting or misinterpretation. Language was consistently used respectfully and inclusively with regard to transgender people and communities. In addition, the original studies were checked to ensure appropriate ethical approval and informed consent processes where participants were used. Thematic analysis was considered to be a form of researcher interpretation, and an attempt was made to avoid researcher bias by adopting the same selection criteria and analytical process in all the studies included. These were enforcements of transparency, credibility and trustworthiness of the results of the research.</w:t>
      </w:r>
    </w:p>
    <w:p w14:paraId="185842A0" w14:textId="77777777" w:rsidR="000E14BF" w:rsidRPr="00366557" w:rsidRDefault="000E14BF" w:rsidP="00366557">
      <w:pPr>
        <w:spacing w:line="360" w:lineRule="auto"/>
        <w:rPr>
          <w:rFonts w:ascii="Arial" w:hAnsi="Arial" w:cs="Arial"/>
          <w:sz w:val="22"/>
        </w:rPr>
      </w:pPr>
    </w:p>
    <w:p w14:paraId="222C9BEC" w14:textId="35CDC168" w:rsidR="00E47C92" w:rsidRPr="00366557" w:rsidRDefault="00357420" w:rsidP="00366557">
      <w:pPr>
        <w:pStyle w:val="Heading2"/>
        <w:spacing w:after="160" w:line="360" w:lineRule="auto"/>
        <w:rPr>
          <w:rFonts w:ascii="Arial" w:hAnsi="Arial" w:cs="Arial"/>
          <w:sz w:val="22"/>
          <w:szCs w:val="22"/>
        </w:rPr>
      </w:pPr>
      <w:bookmarkStart w:id="72" w:name="_Toc232709831"/>
      <w:bookmarkStart w:id="73" w:name="_Toc235118469"/>
      <w:bookmarkStart w:id="74" w:name="_Toc235121201"/>
      <w:r w:rsidRPr="00366557">
        <w:rPr>
          <w:rFonts w:ascii="Arial" w:hAnsi="Arial" w:cs="Arial"/>
          <w:sz w:val="22"/>
          <w:szCs w:val="22"/>
        </w:rPr>
        <w:t>3.8 Chapter Conclusion</w:t>
      </w:r>
      <w:bookmarkEnd w:id="72"/>
      <w:bookmarkEnd w:id="73"/>
      <w:bookmarkEnd w:id="74"/>
    </w:p>
    <w:p w14:paraId="0FE430EC" w14:textId="4D122CAA" w:rsidR="00400F2D" w:rsidRPr="00366557" w:rsidRDefault="00357420" w:rsidP="00366557">
      <w:pPr>
        <w:spacing w:line="360" w:lineRule="auto"/>
        <w:rPr>
          <w:rFonts w:ascii="Arial" w:hAnsi="Arial" w:cs="Arial"/>
          <w:sz w:val="22"/>
        </w:rPr>
      </w:pPr>
      <w:r w:rsidRPr="00366557">
        <w:rPr>
          <w:rFonts w:ascii="Arial" w:hAnsi="Arial" w:cs="Arial"/>
          <w:sz w:val="22"/>
        </w:rPr>
        <w:t>The methodology followed for this study has been drawn out in this chapter, encompassing search strategy, source consideration process, validation process, inclusion and exclusion criteria, approach of thematic analysis and ethical issues. A systematic and structured process was used for the identification, evaluation, and analysis of literature, to the extent that the evidence base was credible, relevant, and appropriate to the research objectives. Thematic coding was adopted for the identification of key patterns and issues from the sources selected. The literature study results will be presented in the next chapter, organised under themes and interesting for the research question and the study's objectives.</w:t>
      </w:r>
    </w:p>
    <w:p w14:paraId="618510F3" w14:textId="48E81E3B" w:rsidR="00400F2D" w:rsidRPr="00366557" w:rsidRDefault="00357420" w:rsidP="00366557">
      <w:pPr>
        <w:spacing w:line="360" w:lineRule="auto"/>
        <w:rPr>
          <w:rFonts w:ascii="Arial" w:hAnsi="Arial" w:cs="Arial"/>
          <w:sz w:val="22"/>
        </w:rPr>
      </w:pPr>
      <w:r w:rsidRPr="00366557">
        <w:rPr>
          <w:rFonts w:ascii="Arial" w:hAnsi="Arial" w:cs="Arial"/>
          <w:sz w:val="22"/>
        </w:rPr>
        <w:br w:type="page"/>
      </w:r>
    </w:p>
    <w:p w14:paraId="0BDCA31D" w14:textId="71004536" w:rsidR="00400F2D" w:rsidRPr="00366557" w:rsidRDefault="00357420" w:rsidP="00366557">
      <w:pPr>
        <w:pStyle w:val="Heading1"/>
        <w:spacing w:after="160" w:line="360" w:lineRule="auto"/>
        <w:rPr>
          <w:rFonts w:ascii="Arial" w:hAnsi="Arial" w:cs="Arial"/>
          <w:sz w:val="22"/>
          <w:szCs w:val="22"/>
        </w:rPr>
      </w:pPr>
      <w:bookmarkStart w:id="75" w:name="_Toc232709832"/>
      <w:bookmarkStart w:id="76" w:name="_Toc235118470"/>
      <w:bookmarkStart w:id="77" w:name="_Toc235121202"/>
      <w:r w:rsidRPr="00366557">
        <w:rPr>
          <w:rFonts w:ascii="Arial" w:hAnsi="Arial" w:cs="Arial"/>
          <w:sz w:val="22"/>
          <w:szCs w:val="22"/>
        </w:rPr>
        <w:lastRenderedPageBreak/>
        <w:t>Chapter 4</w:t>
      </w:r>
      <w:r w:rsidR="00B46370" w:rsidRPr="00366557">
        <w:rPr>
          <w:rFonts w:ascii="Arial" w:hAnsi="Arial" w:cs="Arial"/>
          <w:sz w:val="22"/>
          <w:szCs w:val="22"/>
        </w:rPr>
        <w:t xml:space="preserve">: </w:t>
      </w:r>
      <w:r w:rsidR="00DE206F" w:rsidRPr="00366557">
        <w:rPr>
          <w:rFonts w:ascii="Arial" w:hAnsi="Arial" w:cs="Arial"/>
          <w:sz w:val="22"/>
          <w:szCs w:val="22"/>
        </w:rPr>
        <w:t>Findings and Discussion</w:t>
      </w:r>
      <w:bookmarkEnd w:id="75"/>
      <w:bookmarkEnd w:id="76"/>
      <w:bookmarkEnd w:id="77"/>
    </w:p>
    <w:p w14:paraId="0DA01886" w14:textId="4A600A64" w:rsidR="00EB48FF" w:rsidRPr="00366557" w:rsidRDefault="00357420" w:rsidP="00366557">
      <w:pPr>
        <w:pStyle w:val="Heading2"/>
        <w:spacing w:after="160" w:line="360" w:lineRule="auto"/>
        <w:rPr>
          <w:rFonts w:ascii="Arial" w:hAnsi="Arial" w:cs="Arial"/>
          <w:sz w:val="22"/>
          <w:szCs w:val="22"/>
        </w:rPr>
      </w:pPr>
      <w:bookmarkStart w:id="78" w:name="_Toc232709833"/>
      <w:bookmarkStart w:id="79" w:name="_Toc235118471"/>
      <w:bookmarkStart w:id="80" w:name="_Toc235121203"/>
      <w:r w:rsidRPr="00366557">
        <w:rPr>
          <w:rFonts w:ascii="Arial" w:hAnsi="Arial" w:cs="Arial"/>
          <w:sz w:val="22"/>
          <w:szCs w:val="22"/>
        </w:rPr>
        <w:t>4.1 Introduction</w:t>
      </w:r>
      <w:bookmarkEnd w:id="78"/>
      <w:bookmarkEnd w:id="79"/>
      <w:bookmarkEnd w:id="80"/>
    </w:p>
    <w:p w14:paraId="0976E257" w14:textId="70EC00E1" w:rsidR="00A36BB6" w:rsidRPr="00366557" w:rsidRDefault="00357420" w:rsidP="00366557">
      <w:pPr>
        <w:spacing w:line="360" w:lineRule="auto"/>
        <w:rPr>
          <w:rFonts w:ascii="Arial" w:hAnsi="Arial" w:cs="Arial"/>
          <w:sz w:val="22"/>
        </w:rPr>
      </w:pPr>
      <w:r w:rsidRPr="00366557">
        <w:rPr>
          <w:rFonts w:ascii="Arial" w:hAnsi="Arial" w:cs="Arial"/>
          <w:sz w:val="22"/>
        </w:rPr>
        <w:t>The findings and discussion derived from the thematic analysis of the selected literature on challenges in the provision of inclusive health and social care for trans people in the United Kingdom are the focus of this chapter. The chapter combines information from the studies reviewed in order to identify patterns, similarities, and differences across the studies for the research aim and objectives. The results are presented in three themes: Individual Lived Experience and Access to Care, The Structural and Institutional Causes of These Experiences, and Practice, Communication, Training, and Workforce Preparedness. Each theme critically assesses the evidence available, draws in relevant theories, policies and legislation, and draws out implications for practice, organisations, policymakers, and transgender service users, thereby providing a rounded view of the current challenges and opportunities for improvement.</w:t>
      </w:r>
    </w:p>
    <w:p w14:paraId="75513440" w14:textId="77777777" w:rsidR="00EB48FF" w:rsidRPr="00366557" w:rsidRDefault="00EB48FF" w:rsidP="00366557">
      <w:pPr>
        <w:spacing w:line="360" w:lineRule="auto"/>
        <w:rPr>
          <w:rFonts w:ascii="Arial" w:hAnsi="Arial" w:cs="Arial"/>
          <w:sz w:val="22"/>
        </w:rPr>
      </w:pPr>
    </w:p>
    <w:p w14:paraId="35FF0E82" w14:textId="7C3D77AC" w:rsidR="00DE206F" w:rsidRPr="00366557" w:rsidRDefault="00357420" w:rsidP="00366557">
      <w:pPr>
        <w:pStyle w:val="Heading2"/>
        <w:spacing w:after="160" w:line="360" w:lineRule="auto"/>
        <w:rPr>
          <w:rFonts w:ascii="Arial" w:hAnsi="Arial" w:cs="Arial"/>
          <w:sz w:val="22"/>
          <w:szCs w:val="22"/>
        </w:rPr>
      </w:pPr>
      <w:bookmarkStart w:id="81" w:name="_Toc232709834"/>
      <w:bookmarkStart w:id="82" w:name="_Toc235118472"/>
      <w:bookmarkStart w:id="83" w:name="_Toc235121204"/>
      <w:r w:rsidRPr="00366557">
        <w:rPr>
          <w:rFonts w:ascii="Arial" w:hAnsi="Arial" w:cs="Arial"/>
          <w:sz w:val="22"/>
          <w:szCs w:val="22"/>
        </w:rPr>
        <w:t>4.</w:t>
      </w:r>
      <w:r w:rsidR="00C13D41" w:rsidRPr="00366557">
        <w:rPr>
          <w:rFonts w:ascii="Arial" w:hAnsi="Arial" w:cs="Arial"/>
          <w:sz w:val="22"/>
          <w:szCs w:val="22"/>
        </w:rPr>
        <w:t>2</w:t>
      </w:r>
      <w:r w:rsidRPr="00366557">
        <w:rPr>
          <w:rFonts w:ascii="Arial" w:hAnsi="Arial" w:cs="Arial"/>
          <w:sz w:val="22"/>
          <w:szCs w:val="22"/>
        </w:rPr>
        <w:t xml:space="preserve"> Thematic Analysis</w:t>
      </w:r>
      <w:bookmarkEnd w:id="81"/>
      <w:bookmarkEnd w:id="82"/>
      <w:bookmarkEnd w:id="83"/>
    </w:p>
    <w:p w14:paraId="2B1A620E" w14:textId="677D8E74" w:rsidR="00B17B6D" w:rsidRPr="00366557" w:rsidRDefault="00357420" w:rsidP="00366557">
      <w:pPr>
        <w:spacing w:line="360" w:lineRule="auto"/>
        <w:rPr>
          <w:rFonts w:ascii="Arial" w:hAnsi="Arial" w:cs="Arial"/>
          <w:sz w:val="22"/>
        </w:rPr>
      </w:pPr>
      <w:r w:rsidRPr="00366557">
        <w:rPr>
          <w:rFonts w:ascii="Arial" w:hAnsi="Arial" w:cs="Arial"/>
          <w:sz w:val="22"/>
        </w:rPr>
        <w:t>Thematic analysis is a form of qualitative analysis that is used to find, organise, and summarise patterns of meaning that are recurring across a dataset and produce themes from the evidence (Squires, 2023). Thematic analysis was used within this secondary research to synthesise the findings of the peer-reviewed studies selected to explore transgender people's experiences of health and social care in the UK. After considering the systematic reading and comparing of the literature, the results were coded and then organised using the coding/results table described in the methodology and supporting appendices. This helped to determine common patterns and contrasting results between studies, and it supported transparency during analysis. The first theme addresses transgender experiences with health care services such as delays in accessing high-quality, timely, and respectful health care. The second theme focuses on organisational, policy and systemic determinants of inequality. The third theme focuses on how professional knowledge, communication practices and staff competence impact inclusive and person-centred care.</w:t>
      </w:r>
    </w:p>
    <w:p w14:paraId="61436CC6" w14:textId="1C61E19D" w:rsidR="009538ED" w:rsidRPr="00366557" w:rsidRDefault="009538ED" w:rsidP="00366557">
      <w:pPr>
        <w:spacing w:line="360" w:lineRule="auto"/>
        <w:rPr>
          <w:rFonts w:ascii="Arial" w:hAnsi="Arial" w:cs="Arial"/>
          <w:sz w:val="22"/>
        </w:rPr>
      </w:pPr>
    </w:p>
    <w:p w14:paraId="6C75D9BC" w14:textId="26FC6BCF" w:rsidR="00FC43C9" w:rsidRPr="00366557" w:rsidRDefault="00357420" w:rsidP="00366557">
      <w:pPr>
        <w:pStyle w:val="Heading2"/>
        <w:spacing w:line="360" w:lineRule="auto"/>
        <w:rPr>
          <w:rFonts w:ascii="Arial" w:hAnsi="Arial" w:cs="Arial"/>
          <w:sz w:val="22"/>
          <w:szCs w:val="22"/>
        </w:rPr>
      </w:pPr>
      <w:bookmarkStart w:id="84" w:name="_Toc232709835"/>
      <w:bookmarkStart w:id="85" w:name="_Toc235118473"/>
      <w:bookmarkStart w:id="86" w:name="_Toc235121205"/>
      <w:r w:rsidRPr="00366557">
        <w:rPr>
          <w:rFonts w:ascii="Arial" w:hAnsi="Arial" w:cs="Arial"/>
          <w:sz w:val="22"/>
          <w:szCs w:val="22"/>
        </w:rPr>
        <w:lastRenderedPageBreak/>
        <w:t xml:space="preserve">4.3 Theme 1: </w:t>
      </w:r>
      <w:bookmarkEnd w:id="84"/>
      <w:r w:rsidR="00F73890" w:rsidRPr="00366557">
        <w:rPr>
          <w:rFonts w:ascii="Arial" w:hAnsi="Arial" w:cs="Arial"/>
          <w:sz w:val="22"/>
          <w:szCs w:val="22"/>
        </w:rPr>
        <w:t>Individual Lived Experience and Access To Care</w:t>
      </w:r>
      <w:bookmarkEnd w:id="85"/>
      <w:bookmarkEnd w:id="86"/>
    </w:p>
    <w:p w14:paraId="218274EA" w14:textId="0C5FE797" w:rsidR="00FC43C9" w:rsidRPr="00366557" w:rsidRDefault="00357420" w:rsidP="00366557">
      <w:pPr>
        <w:pStyle w:val="Heading3"/>
        <w:spacing w:line="360" w:lineRule="auto"/>
        <w:jc w:val="left"/>
        <w:rPr>
          <w:rFonts w:ascii="Arial" w:hAnsi="Arial" w:cs="Arial"/>
          <w:sz w:val="22"/>
          <w:szCs w:val="22"/>
        </w:rPr>
      </w:pPr>
      <w:bookmarkStart w:id="87" w:name="_Toc232709836"/>
      <w:bookmarkStart w:id="88" w:name="_Toc235118474"/>
      <w:bookmarkStart w:id="89" w:name="_Toc235121206"/>
      <w:r w:rsidRPr="00366557">
        <w:rPr>
          <w:rFonts w:ascii="Arial" w:hAnsi="Arial" w:cs="Arial"/>
          <w:sz w:val="22"/>
          <w:szCs w:val="22"/>
        </w:rPr>
        <w:t>Definition</w:t>
      </w:r>
      <w:bookmarkEnd w:id="87"/>
      <w:bookmarkEnd w:id="88"/>
      <w:bookmarkEnd w:id="89"/>
    </w:p>
    <w:p w14:paraId="423A90B8" w14:textId="57CB6DDB" w:rsidR="00B54FFA" w:rsidRPr="00366557" w:rsidRDefault="00357420" w:rsidP="00366557">
      <w:pPr>
        <w:spacing w:line="360" w:lineRule="auto"/>
        <w:rPr>
          <w:rFonts w:ascii="Arial" w:hAnsi="Arial" w:cs="Arial"/>
          <w:sz w:val="22"/>
        </w:rPr>
      </w:pPr>
      <w:r w:rsidRPr="00366557">
        <w:rPr>
          <w:rFonts w:ascii="Arial" w:hAnsi="Arial" w:cs="Arial"/>
          <w:sz w:val="22"/>
        </w:rPr>
        <w:t>Individual lived experience and access to care is an individual's experiences with care and social care services (both seeking and accessing) as a transgender person (Sayani et al., 2025). The concept includes availability, acceptability, appropriateness, quality of care, dignity, respect and inclusion in health care settings. Services need to be inclusive of gender diversity, reducing gender discrimination and responding to individual needs without prejudice (Malcarney et al., 2024). It is vital to understand lived experiences as they help to capture the reality of how healthcare systems work in practice and how policies favouring equality actually relate to equitable access and good health outcomes for transgender service users.</w:t>
      </w:r>
    </w:p>
    <w:p w14:paraId="5B6BCBBD" w14:textId="203C0027" w:rsidR="00DE1B4E" w:rsidRPr="00366557" w:rsidRDefault="00357420" w:rsidP="00366557">
      <w:pPr>
        <w:pStyle w:val="Heading3"/>
        <w:spacing w:line="360" w:lineRule="auto"/>
        <w:jc w:val="left"/>
        <w:rPr>
          <w:rFonts w:ascii="Arial" w:hAnsi="Arial" w:cs="Arial"/>
          <w:sz w:val="22"/>
          <w:szCs w:val="22"/>
        </w:rPr>
      </w:pPr>
      <w:bookmarkStart w:id="90" w:name="_Toc235118475"/>
      <w:bookmarkStart w:id="91" w:name="_Toc235121207"/>
      <w:r w:rsidRPr="00366557">
        <w:rPr>
          <w:rFonts w:ascii="Arial" w:hAnsi="Arial" w:cs="Arial"/>
          <w:sz w:val="22"/>
          <w:szCs w:val="22"/>
        </w:rPr>
        <w:t>Comparative Analysis of the Evidence</w:t>
      </w:r>
      <w:bookmarkEnd w:id="90"/>
      <w:bookmarkEnd w:id="91"/>
    </w:p>
    <w:p w14:paraId="0360DED6" w14:textId="7B3AC67C" w:rsidR="005D6724" w:rsidRPr="00366557" w:rsidRDefault="00357420" w:rsidP="00366557">
      <w:pPr>
        <w:spacing w:line="360" w:lineRule="auto"/>
        <w:rPr>
          <w:rFonts w:ascii="Arial" w:hAnsi="Arial" w:cs="Arial"/>
          <w:sz w:val="22"/>
          <w:highlight w:val="yellow"/>
        </w:rPr>
      </w:pPr>
      <w:r w:rsidRPr="00366557">
        <w:rPr>
          <w:rFonts w:ascii="Arial" w:hAnsi="Arial" w:cs="Arial"/>
          <w:sz w:val="22"/>
        </w:rPr>
        <w:t>Transgender individuals have faced difficult experiences in accessing healthcare services due to cisnormative assumptions in medical care systems historically (Norris and Borneskog, 2022)</w:t>
      </w:r>
      <w:r w:rsidR="00334E70" w:rsidRPr="00366557">
        <w:rPr>
          <w:rFonts w:ascii="Arial" w:hAnsi="Arial" w:cs="Arial"/>
          <w:sz w:val="22"/>
        </w:rPr>
        <w:t xml:space="preserve">. </w:t>
      </w:r>
      <w:r w:rsidRPr="00366557">
        <w:rPr>
          <w:rFonts w:ascii="Arial" w:hAnsi="Arial" w:cs="Arial"/>
          <w:sz w:val="22"/>
        </w:rPr>
        <w:t>Willis et al. (2020) and Stepney et al. (2025) both highlight the important issues of accessing health services in the UK and how this experience is different for transgender people in different contexts, at different points of the transition journey, and depending on age. Likewise, in both studies, it is argued that health systems often deliver delayed, affirming and individualistic care, which leads to frustration, mistrust and delayed access to services. In line with this, both studies highlight the assumption of 'cisness' as a significant challenge for inclusive care. It has been suggested that older transgender adults received an uncalled-for obligation to educate the general practitioner on gender identity and the options for treatment (Willis et al. 2020). Similarly, Stepney et al. (2025) noted that transgender and gender-diverse young people are often confronted with services that rely on a rigid and binary gender lens, resulting in experiences of gatekeeping and exclusion.</w:t>
      </w:r>
    </w:p>
    <w:p w14:paraId="030436F7" w14:textId="293475EC" w:rsidR="00334E70" w:rsidRPr="00366557" w:rsidRDefault="00357420" w:rsidP="00366557">
      <w:pPr>
        <w:spacing w:line="360" w:lineRule="auto"/>
        <w:rPr>
          <w:rFonts w:ascii="Arial" w:hAnsi="Arial" w:cs="Arial"/>
          <w:sz w:val="22"/>
        </w:rPr>
      </w:pPr>
      <w:r w:rsidRPr="00366557">
        <w:rPr>
          <w:rFonts w:ascii="Arial" w:hAnsi="Arial" w:cs="Arial"/>
          <w:sz w:val="22"/>
        </w:rPr>
        <w:t xml:space="preserve">Nonetheless, there are differences to note in what could influence these experiences. Willis et al. (2020) focus on people aged 50–74 who are considering gender-affirming treatment later in life, pointing to the added barriers of ageing and limited practitioner knowledge of older transgender populations. However, this has been explored in younger people, in families and within the healthcare professionals by Stepney et al. (2025), and their findings showed that delays, uncertainty, and limiting referral pathways affected patients as well as their support networks. From a methodological perspective, both types of qualitative study are rich in </w:t>
      </w:r>
      <w:r w:rsidRPr="00366557">
        <w:rPr>
          <w:rFonts w:ascii="Arial" w:hAnsi="Arial" w:cs="Arial"/>
          <w:sz w:val="22"/>
        </w:rPr>
        <w:lastRenderedPageBreak/>
        <w:t>contextual data gained by in-depth interviews in which participants describe complex healthcare interactions in detail. However, the qualitative results do not allow the conclusion of causal relationships and cannot be assumed to cover the entire transgender population (Bellass et al., 2024). Despite this, the results of these different studies, of different age groups, of different participants, and of different healthcare contexts, enhance the credibility of the conclusion that barriers to inclusive healthcare are still prevalent, even as policy commitment to equality continues to increase.</w:t>
      </w:r>
    </w:p>
    <w:p w14:paraId="47B1C103" w14:textId="61966FF9" w:rsidR="00FC43C9" w:rsidRPr="00366557" w:rsidRDefault="00357420" w:rsidP="00366557">
      <w:pPr>
        <w:pStyle w:val="Heading3"/>
        <w:spacing w:after="160" w:line="360" w:lineRule="auto"/>
        <w:jc w:val="left"/>
        <w:rPr>
          <w:rFonts w:ascii="Arial" w:hAnsi="Arial" w:cs="Arial"/>
          <w:sz w:val="22"/>
          <w:szCs w:val="22"/>
        </w:rPr>
      </w:pPr>
      <w:bookmarkStart w:id="92" w:name="_Toc232709839"/>
      <w:bookmarkStart w:id="93" w:name="_Toc235118476"/>
      <w:bookmarkStart w:id="94" w:name="_Toc235121208"/>
      <w:bookmarkStart w:id="95" w:name="_Hlk232704720"/>
      <w:r w:rsidRPr="00366557">
        <w:rPr>
          <w:rFonts w:ascii="Arial" w:hAnsi="Arial" w:cs="Arial"/>
          <w:sz w:val="22"/>
          <w:szCs w:val="22"/>
        </w:rPr>
        <w:t>Statistical Information</w:t>
      </w:r>
      <w:bookmarkEnd w:id="92"/>
      <w:bookmarkEnd w:id="93"/>
      <w:bookmarkEnd w:id="94"/>
    </w:p>
    <w:p w14:paraId="0F4714E6" w14:textId="37659405" w:rsidR="00692479" w:rsidRPr="00366557" w:rsidRDefault="00357420" w:rsidP="00366557">
      <w:pPr>
        <w:spacing w:line="360" w:lineRule="auto"/>
        <w:rPr>
          <w:rFonts w:ascii="Arial" w:hAnsi="Arial" w:cs="Arial"/>
          <w:sz w:val="22"/>
        </w:rPr>
      </w:pPr>
      <w:r w:rsidRPr="00366557">
        <w:rPr>
          <w:rFonts w:ascii="Arial" w:hAnsi="Arial" w:cs="Arial"/>
          <w:sz w:val="22"/>
        </w:rPr>
        <w:t>The two studies mainly have qualitative methods, but some quantitative data confirms the importance of this theme. Willis et al. (2020) examined the experiences of 19 transgender adults aged 50-74 who were seeking a medical transition in Wales. Even with the small sample, there were repeated experiences of poor professional understanding and cisnormative healthcare practices, as described. In contrast, Stepney et al. (2025) completed 91 in-depth interviews with 50 transgender and gender-diverse participants, 19 parents/carers and 20 health care professionals, and this is one of the most extensive qualitative studies in transgender healthcare experiences in the UK to date. The diversity in participants reinforces the belief that there are not just barriers to inclusive care but multiple groups are facing barriers to inclusive care.</w:t>
      </w:r>
    </w:p>
    <w:p w14:paraId="2C7A6780" w14:textId="0FA609B9" w:rsidR="00FC43C9" w:rsidRPr="00366557" w:rsidRDefault="00357420" w:rsidP="00366557">
      <w:pPr>
        <w:pStyle w:val="Heading3"/>
        <w:spacing w:after="160" w:line="360" w:lineRule="auto"/>
        <w:jc w:val="left"/>
        <w:rPr>
          <w:rFonts w:ascii="Arial" w:hAnsi="Arial" w:cs="Arial"/>
          <w:sz w:val="22"/>
          <w:szCs w:val="22"/>
        </w:rPr>
      </w:pPr>
      <w:bookmarkStart w:id="96" w:name="_Toc232709840"/>
      <w:bookmarkStart w:id="97" w:name="_Toc235118477"/>
      <w:bookmarkStart w:id="98" w:name="_Toc235121209"/>
      <w:r w:rsidRPr="00366557">
        <w:rPr>
          <w:rFonts w:ascii="Arial" w:hAnsi="Arial" w:cs="Arial"/>
          <w:sz w:val="22"/>
          <w:szCs w:val="22"/>
        </w:rPr>
        <w:t>Theories, Policies, and Legislation</w:t>
      </w:r>
      <w:bookmarkEnd w:id="96"/>
      <w:bookmarkEnd w:id="97"/>
      <w:bookmarkEnd w:id="98"/>
    </w:p>
    <w:p w14:paraId="1B611809" w14:textId="6BD1C134" w:rsidR="00D20624" w:rsidRPr="00366557" w:rsidRDefault="00357420" w:rsidP="00366557">
      <w:pPr>
        <w:spacing w:line="360" w:lineRule="auto"/>
        <w:rPr>
          <w:rFonts w:ascii="Arial" w:hAnsi="Arial" w:cs="Arial"/>
          <w:sz w:val="22"/>
        </w:rPr>
      </w:pPr>
      <w:r w:rsidRPr="00366557">
        <w:rPr>
          <w:rFonts w:ascii="Arial" w:hAnsi="Arial" w:cs="Arial"/>
          <w:sz w:val="22"/>
        </w:rPr>
        <w:t>Minority Stress Theory helps to illuminate experiences across these studies (Moorhead et al., 2024). Stigma, discrimination and fear of rejection create chronic stress contributing to adverse health outcomes for marginali</w:t>
      </w:r>
      <w:r w:rsidR="004C511C" w:rsidRPr="00366557">
        <w:rPr>
          <w:rFonts w:ascii="Arial" w:hAnsi="Arial" w:cs="Arial"/>
          <w:sz w:val="22"/>
        </w:rPr>
        <w:t>s</w:t>
      </w:r>
      <w:r w:rsidRPr="00366557">
        <w:rPr>
          <w:rFonts w:ascii="Arial" w:hAnsi="Arial" w:cs="Arial"/>
          <w:sz w:val="22"/>
        </w:rPr>
        <w:t>ed populations. The results from Willis et al. (2020) also strengthen these arguments, with many participants expressing anxiety when interacting with health care systems where cisnormative assumptions prevail. Likewise, Stepney et al. (2025) noted that young transgender people often expected gate-</w:t>
      </w:r>
      <w:r w:rsidR="00D65B7F" w:rsidRPr="00366557">
        <w:rPr>
          <w:rFonts w:ascii="Arial" w:hAnsi="Arial" w:cs="Arial"/>
          <w:sz w:val="22"/>
        </w:rPr>
        <w:t>keeping</w:t>
      </w:r>
      <w:r w:rsidRPr="00366557">
        <w:rPr>
          <w:rFonts w:ascii="Arial" w:hAnsi="Arial" w:cs="Arial"/>
          <w:sz w:val="22"/>
        </w:rPr>
        <w:t xml:space="preserve"> and hostility, leading to mistrust of healthcare providers. Person-Centred Care theory also provides an understanding of the value of inclusive service delivery</w:t>
      </w:r>
      <w:r w:rsidR="002040AE" w:rsidRPr="00366557">
        <w:rPr>
          <w:rFonts w:ascii="Arial" w:hAnsi="Arial" w:cs="Arial"/>
          <w:sz w:val="22"/>
        </w:rPr>
        <w:t xml:space="preserve"> (Leason et al., 2022)</w:t>
      </w:r>
      <w:r w:rsidRPr="00366557">
        <w:rPr>
          <w:rFonts w:ascii="Arial" w:hAnsi="Arial" w:cs="Arial"/>
          <w:sz w:val="22"/>
        </w:rPr>
        <w:t>. The theory emphasi</w:t>
      </w:r>
      <w:r w:rsidR="004C511C" w:rsidRPr="00366557">
        <w:rPr>
          <w:rFonts w:ascii="Arial" w:hAnsi="Arial" w:cs="Arial"/>
          <w:sz w:val="22"/>
        </w:rPr>
        <w:t>s</w:t>
      </w:r>
      <w:r w:rsidRPr="00366557">
        <w:rPr>
          <w:rFonts w:ascii="Arial" w:hAnsi="Arial" w:cs="Arial"/>
          <w:sz w:val="22"/>
        </w:rPr>
        <w:t xml:space="preserve">es respect for the unique identity, preferences and experiences of the individual. </w:t>
      </w:r>
    </w:p>
    <w:p w14:paraId="2A97A638" w14:textId="29CF93AD" w:rsidR="007A3AF5" w:rsidRPr="00366557" w:rsidRDefault="00357420" w:rsidP="00366557">
      <w:pPr>
        <w:spacing w:line="360" w:lineRule="auto"/>
        <w:rPr>
          <w:rFonts w:ascii="Arial" w:hAnsi="Arial" w:cs="Arial"/>
          <w:sz w:val="22"/>
        </w:rPr>
      </w:pPr>
      <w:r w:rsidRPr="00366557">
        <w:rPr>
          <w:rFonts w:ascii="Arial" w:hAnsi="Arial" w:cs="Arial"/>
          <w:sz w:val="22"/>
        </w:rPr>
        <w:t>However,</w:t>
      </w:r>
      <w:r w:rsidR="00515926" w:rsidRPr="00366557">
        <w:rPr>
          <w:rFonts w:ascii="Arial" w:hAnsi="Arial" w:cs="Arial"/>
          <w:sz w:val="22"/>
        </w:rPr>
        <w:t xml:space="preserve"> Stepney et al. (2025) argue that the current healthcare trajectories further limit knowledge of gender diversity to a broader perspective of transsexual/transgender identities, obscuring the complexity of transgender identity. This criticism is bolstered by Willis et al. (2020) in their study, where participants recorded experiences of interactions which were constrained by professional rather than individual needs. The Equality Act 2010 places a duty on public </w:t>
      </w:r>
      <w:r w:rsidR="00515926" w:rsidRPr="00366557">
        <w:rPr>
          <w:rFonts w:ascii="Arial" w:hAnsi="Arial" w:cs="Arial"/>
          <w:sz w:val="22"/>
        </w:rPr>
        <w:lastRenderedPageBreak/>
        <w:t>sector providers like the NHS not to discriminate against people based on gender reassignment, whilst NHS guidance encourages inclusive care (GOV.UK, 2010). The study's results, however, indicate that policies do not necessarily lead to positive experiences from a service, indicating a disconnect between policy principles and actual health care practice.</w:t>
      </w:r>
    </w:p>
    <w:p w14:paraId="231C50F3" w14:textId="70DBE247" w:rsidR="00FC43C9" w:rsidRPr="00366557" w:rsidRDefault="00357420" w:rsidP="00366557">
      <w:pPr>
        <w:pStyle w:val="Heading3"/>
        <w:spacing w:after="160" w:line="360" w:lineRule="auto"/>
        <w:jc w:val="left"/>
        <w:rPr>
          <w:rFonts w:ascii="Arial" w:hAnsi="Arial" w:cs="Arial"/>
          <w:sz w:val="22"/>
          <w:szCs w:val="22"/>
        </w:rPr>
      </w:pPr>
      <w:bookmarkStart w:id="99" w:name="_Toc232709841"/>
      <w:bookmarkStart w:id="100" w:name="_Toc235118478"/>
      <w:bookmarkStart w:id="101" w:name="_Toc235121210"/>
      <w:r w:rsidRPr="00366557">
        <w:rPr>
          <w:rFonts w:ascii="Arial" w:hAnsi="Arial" w:cs="Arial"/>
          <w:sz w:val="22"/>
          <w:szCs w:val="22"/>
        </w:rPr>
        <w:t>Implications</w:t>
      </w:r>
      <w:bookmarkEnd w:id="99"/>
      <w:bookmarkEnd w:id="100"/>
      <w:bookmarkEnd w:id="101"/>
    </w:p>
    <w:p w14:paraId="7D1C3AAA" w14:textId="2A521604" w:rsidR="00D65619" w:rsidRPr="00366557" w:rsidRDefault="00357420" w:rsidP="00366557">
      <w:pPr>
        <w:spacing w:line="360" w:lineRule="auto"/>
        <w:rPr>
          <w:rFonts w:ascii="Arial" w:hAnsi="Arial" w:cs="Arial"/>
          <w:sz w:val="22"/>
        </w:rPr>
      </w:pPr>
      <w:r w:rsidRPr="00366557">
        <w:rPr>
          <w:rFonts w:ascii="Arial" w:hAnsi="Arial" w:cs="Arial"/>
          <w:sz w:val="22"/>
        </w:rPr>
        <w:t>Together, these results have important implications for health care providers, organisations, policy makers and transgender patients. The evidence suggests that technical knowledge is not enough for healthcare workers unless there is a reflective approach, cultural competence, and increased awareness of gender diversity in the life course. Likewise, healthcare providers need to incorporate inclusive policies into the everyday provision of services, and integrate diverse gender identities into referral pathways, documentation and communication processes. The results highlight that legislative commitment to equality should be better implemented by monitoring and evaluation that ensures consistency of standards throughout the health care system. Given that legal protections exist, but patient experiences remain affected by systemic barriers, both Willis et al. (2020) and Stepney et al. (2025) propose that systemic obstacles to positive patient experiences should be addressed in addition to educating practitioners. Both studies, however, also note potential areas of improvement related to informed consent, shared decision-making and the inclusion of transgender voice in service design. Together these implications directly address the research aim, showing that there are interpersonal and organisational barriers to inclusive healthcare.</w:t>
      </w:r>
    </w:p>
    <w:p w14:paraId="3BD74DC5" w14:textId="708EE390" w:rsidR="00FC43C9" w:rsidRPr="00366557" w:rsidRDefault="00357420" w:rsidP="00366557">
      <w:pPr>
        <w:pStyle w:val="Heading3"/>
        <w:spacing w:after="160" w:line="360" w:lineRule="auto"/>
        <w:jc w:val="left"/>
        <w:rPr>
          <w:rFonts w:ascii="Arial" w:hAnsi="Arial" w:cs="Arial"/>
          <w:sz w:val="22"/>
          <w:szCs w:val="22"/>
        </w:rPr>
      </w:pPr>
      <w:bookmarkStart w:id="102" w:name="_Toc232709843"/>
      <w:bookmarkStart w:id="103" w:name="_Toc235118479"/>
      <w:bookmarkStart w:id="104" w:name="_Toc235121211"/>
      <w:r w:rsidRPr="00366557">
        <w:rPr>
          <w:rFonts w:ascii="Arial" w:hAnsi="Arial" w:cs="Arial"/>
          <w:sz w:val="22"/>
          <w:szCs w:val="22"/>
        </w:rPr>
        <w:t>Connections to Other Themes</w:t>
      </w:r>
      <w:bookmarkEnd w:id="102"/>
      <w:bookmarkEnd w:id="103"/>
      <w:bookmarkEnd w:id="104"/>
    </w:p>
    <w:p w14:paraId="7218F602" w14:textId="59CA853E" w:rsidR="00F650B3" w:rsidRPr="00366557" w:rsidRDefault="00357420" w:rsidP="00366557">
      <w:pPr>
        <w:spacing w:line="360" w:lineRule="auto"/>
        <w:rPr>
          <w:rFonts w:ascii="Arial" w:hAnsi="Arial" w:cs="Arial"/>
          <w:sz w:val="22"/>
        </w:rPr>
      </w:pPr>
      <w:r w:rsidRPr="00366557">
        <w:rPr>
          <w:rFonts w:ascii="Arial" w:hAnsi="Arial" w:cs="Arial"/>
          <w:sz w:val="22"/>
        </w:rPr>
        <w:t>This theme is closely linked to Theme 2 Barriers, Discrimination and Inequality since many of the access problems detected are direct outcomes of discriminatory practices, structural exclusion and unequal treatment. The results represent an understanding that negative experiences tend to be the result of larger systemic issues and not just individual service problems</w:t>
      </w:r>
      <w:r w:rsidR="004D4437" w:rsidRPr="00366557">
        <w:rPr>
          <w:rFonts w:ascii="Arial" w:hAnsi="Arial" w:cs="Arial"/>
          <w:sz w:val="22"/>
        </w:rPr>
        <w:t xml:space="preserve"> (Bartlett et al., 2022)</w:t>
      </w:r>
      <w:r w:rsidRPr="00366557">
        <w:rPr>
          <w:rFonts w:ascii="Arial" w:hAnsi="Arial" w:cs="Arial"/>
          <w:sz w:val="22"/>
        </w:rPr>
        <w:t>. Likewise, there are robust connections with Theme 3 on Practice, Communication, Training, and Workforce Preparedness. Both Willis et al (2020) and Stepney et al. (2025) suggest that professional knowledge and verbal communication have a strong impact on the service experience. Therefore, increasing workforce readiness can help lower barriers to access and make healthcare surroundings more trans-positive</w:t>
      </w:r>
      <w:r w:rsidR="00B97C53" w:rsidRPr="00366557">
        <w:rPr>
          <w:rFonts w:ascii="Arial" w:hAnsi="Arial" w:cs="Arial"/>
          <w:sz w:val="22"/>
        </w:rPr>
        <w:t xml:space="preserve"> (Ujhadbor et al., 2022)</w:t>
      </w:r>
      <w:r w:rsidRPr="00366557">
        <w:rPr>
          <w:rFonts w:ascii="Arial" w:hAnsi="Arial" w:cs="Arial"/>
          <w:sz w:val="22"/>
        </w:rPr>
        <w:t>.</w:t>
      </w:r>
    </w:p>
    <w:p w14:paraId="09213D44" w14:textId="1D7D19C6" w:rsidR="00DC5C0F" w:rsidRPr="00366557" w:rsidRDefault="00357420" w:rsidP="00366557">
      <w:pPr>
        <w:pStyle w:val="Heading3"/>
        <w:spacing w:line="360" w:lineRule="auto"/>
        <w:jc w:val="left"/>
        <w:rPr>
          <w:rFonts w:ascii="Arial" w:hAnsi="Arial" w:cs="Arial"/>
          <w:sz w:val="22"/>
          <w:szCs w:val="22"/>
        </w:rPr>
      </w:pPr>
      <w:bookmarkStart w:id="105" w:name="_Toc235118480"/>
      <w:bookmarkStart w:id="106" w:name="_Toc235121212"/>
      <w:r w:rsidRPr="00366557">
        <w:rPr>
          <w:rFonts w:ascii="Arial" w:hAnsi="Arial" w:cs="Arial"/>
          <w:sz w:val="22"/>
          <w:szCs w:val="22"/>
        </w:rPr>
        <w:lastRenderedPageBreak/>
        <w:t>Conclusion</w:t>
      </w:r>
      <w:bookmarkEnd w:id="105"/>
      <w:bookmarkEnd w:id="106"/>
    </w:p>
    <w:p w14:paraId="25A39A3F" w14:textId="1FDDFD16" w:rsidR="00FC43C9" w:rsidRPr="00366557" w:rsidRDefault="00357420" w:rsidP="00366557">
      <w:pPr>
        <w:spacing w:line="360" w:lineRule="auto"/>
        <w:rPr>
          <w:rFonts w:ascii="Arial" w:hAnsi="Arial" w:cs="Arial"/>
          <w:sz w:val="22"/>
        </w:rPr>
      </w:pPr>
      <w:r w:rsidRPr="00366557">
        <w:rPr>
          <w:rFonts w:ascii="Arial" w:hAnsi="Arial" w:cs="Arial"/>
          <w:sz w:val="22"/>
        </w:rPr>
        <w:t>Despite growing awareness of inclusive practice, the evidence shows that transgender people still face significant barriers to accessing health and social care. The issues of access, professional awareness, and unequal access are present across each age group and each health care setting. While there has been some progress in awareness and guidance, the practice is still inconsistent, which can impact patients' experiences and trust in health services. The findings address the research objective because they demonstrate that access issues are not simply matters of policy and that significant organisational, professional and systemic change is needed to provide equitable and respectful care to transgender individuals.</w:t>
      </w:r>
    </w:p>
    <w:p w14:paraId="2242EBB1" w14:textId="77777777" w:rsidR="006E0920" w:rsidRPr="00366557" w:rsidRDefault="006E0920" w:rsidP="00366557">
      <w:pPr>
        <w:spacing w:line="360" w:lineRule="auto"/>
        <w:rPr>
          <w:rFonts w:ascii="Arial" w:hAnsi="Arial" w:cs="Arial"/>
          <w:sz w:val="22"/>
        </w:rPr>
      </w:pPr>
    </w:p>
    <w:p w14:paraId="46C30762" w14:textId="2E57CBAB" w:rsidR="00EA226E" w:rsidRPr="00366557" w:rsidRDefault="00357420" w:rsidP="00366557">
      <w:pPr>
        <w:pStyle w:val="Heading2"/>
        <w:spacing w:line="360" w:lineRule="auto"/>
        <w:rPr>
          <w:rFonts w:ascii="Arial" w:hAnsi="Arial" w:cs="Arial"/>
          <w:sz w:val="22"/>
          <w:szCs w:val="22"/>
        </w:rPr>
      </w:pPr>
      <w:bookmarkStart w:id="107" w:name="_Toc232709844"/>
      <w:bookmarkStart w:id="108" w:name="_Toc235118481"/>
      <w:bookmarkStart w:id="109" w:name="_Toc235121213"/>
      <w:r w:rsidRPr="00366557">
        <w:rPr>
          <w:rFonts w:ascii="Arial" w:hAnsi="Arial" w:cs="Arial"/>
          <w:sz w:val="22"/>
          <w:szCs w:val="22"/>
        </w:rPr>
        <w:t xml:space="preserve">4.4 Theme 2: </w:t>
      </w:r>
      <w:bookmarkEnd w:id="107"/>
      <w:r w:rsidR="00B33223" w:rsidRPr="00366557">
        <w:rPr>
          <w:rFonts w:ascii="Arial" w:hAnsi="Arial" w:cs="Arial"/>
          <w:sz w:val="22"/>
          <w:szCs w:val="22"/>
        </w:rPr>
        <w:t>The Structural And Institutional Cause Of These Experiences</w:t>
      </w:r>
      <w:bookmarkEnd w:id="108"/>
      <w:bookmarkEnd w:id="109"/>
    </w:p>
    <w:p w14:paraId="4C618003" w14:textId="244B3112" w:rsidR="00EA226E" w:rsidRPr="00366557" w:rsidRDefault="00357420" w:rsidP="00366557">
      <w:pPr>
        <w:pStyle w:val="Heading3"/>
        <w:spacing w:line="360" w:lineRule="auto"/>
        <w:jc w:val="left"/>
        <w:rPr>
          <w:rFonts w:ascii="Arial" w:hAnsi="Arial" w:cs="Arial"/>
          <w:sz w:val="22"/>
          <w:szCs w:val="22"/>
        </w:rPr>
      </w:pPr>
      <w:bookmarkStart w:id="110" w:name="_Toc232709845"/>
      <w:bookmarkStart w:id="111" w:name="_Toc235118482"/>
      <w:bookmarkStart w:id="112" w:name="_Toc235121214"/>
      <w:r w:rsidRPr="00366557">
        <w:rPr>
          <w:rFonts w:ascii="Arial" w:hAnsi="Arial" w:cs="Arial"/>
          <w:sz w:val="22"/>
          <w:szCs w:val="22"/>
        </w:rPr>
        <w:t>Definition</w:t>
      </w:r>
      <w:bookmarkEnd w:id="110"/>
      <w:bookmarkEnd w:id="111"/>
      <w:bookmarkEnd w:id="112"/>
    </w:p>
    <w:p w14:paraId="1CAD26A9" w14:textId="6AE8E937" w:rsidR="00D35CF4" w:rsidRPr="00366557" w:rsidRDefault="00357420" w:rsidP="00366557">
      <w:pPr>
        <w:spacing w:line="360" w:lineRule="auto"/>
        <w:rPr>
          <w:rFonts w:ascii="Arial" w:hAnsi="Arial" w:cs="Arial"/>
          <w:sz w:val="22"/>
        </w:rPr>
      </w:pPr>
      <w:r w:rsidRPr="00366557">
        <w:rPr>
          <w:rFonts w:ascii="Arial" w:hAnsi="Arial" w:cs="Arial"/>
          <w:sz w:val="22"/>
        </w:rPr>
        <w:t xml:space="preserve">Barriers, discrimination and inequality are defined as structural, interpersonal and institutional factors that impact the access of transgender individuals to equitable health and social care </w:t>
      </w:r>
      <w:r w:rsidR="00985BA4" w:rsidRPr="00366557">
        <w:rPr>
          <w:rFonts w:ascii="Arial" w:hAnsi="Arial" w:cs="Arial"/>
          <w:sz w:val="22"/>
        </w:rPr>
        <w:t>(Costa</w:t>
      </w:r>
      <w:r w:rsidRPr="00366557">
        <w:rPr>
          <w:rFonts w:ascii="Arial" w:hAnsi="Arial" w:cs="Arial"/>
          <w:sz w:val="22"/>
        </w:rPr>
        <w:t>, 2023). Challenges include a lack of specialist knowledge, long waiting times, and insufficient service provision. Discrimination is unfair treatment due to gender identity, direct or indirect, and inequality is systematic inequities in health outcomes, service experience and opportunity compared to cisgender populations (Lausi, 2026). These concepts are interrelated in healthcare environments, as negative attitudes may affect health inequities by creating obstacles to the right to health. These are the issues to consider when determining if services are truly inclusive.</w:t>
      </w:r>
    </w:p>
    <w:p w14:paraId="2DB1FEC8" w14:textId="2CE2D892" w:rsidR="00D35CF4" w:rsidRPr="00366557" w:rsidRDefault="00357420" w:rsidP="00366557">
      <w:pPr>
        <w:pStyle w:val="Heading3"/>
        <w:spacing w:line="360" w:lineRule="auto"/>
        <w:jc w:val="left"/>
        <w:rPr>
          <w:rFonts w:ascii="Arial" w:hAnsi="Arial" w:cs="Arial"/>
          <w:sz w:val="22"/>
          <w:szCs w:val="22"/>
        </w:rPr>
      </w:pPr>
      <w:bookmarkStart w:id="113" w:name="_Toc235118483"/>
      <w:bookmarkStart w:id="114" w:name="_Toc235121215"/>
      <w:r w:rsidRPr="00366557">
        <w:rPr>
          <w:rFonts w:ascii="Arial" w:hAnsi="Arial" w:cs="Arial"/>
          <w:sz w:val="22"/>
          <w:szCs w:val="22"/>
        </w:rPr>
        <w:t>Comparative Analysis of the Evidence</w:t>
      </w:r>
      <w:bookmarkEnd w:id="113"/>
      <w:bookmarkEnd w:id="114"/>
    </w:p>
    <w:p w14:paraId="41FFDF08" w14:textId="71BC000C" w:rsidR="00BD2100" w:rsidRPr="00366557" w:rsidRDefault="00357420" w:rsidP="00366557">
      <w:pPr>
        <w:spacing w:line="360" w:lineRule="auto"/>
        <w:rPr>
          <w:rFonts w:ascii="Arial" w:hAnsi="Arial" w:cs="Arial"/>
          <w:sz w:val="22"/>
          <w:highlight w:val="yellow"/>
        </w:rPr>
      </w:pPr>
      <w:r w:rsidRPr="00366557">
        <w:rPr>
          <w:rFonts w:ascii="Arial" w:hAnsi="Arial" w:cs="Arial"/>
          <w:sz w:val="22"/>
        </w:rPr>
        <w:t xml:space="preserve">Historically, transgender people have faced exclusion in health care based on the cisgender ideology. Stepney et al. (2025) and Saunders et al. (2023) both conclude that numerous challenges transgender people face are related to structural vulnerabilities in health care systems, as well as to individual practitioner actions. In both studies, institutional contexts such as referral patterns, service organisation, and health care policies have a significant impact on patient experiences. Similarly, Stepney et al. (2025) describe structural, educational, cultural, social and technical barriers to accessing gender-affirming services, and Saunders et al. (2023) found that, nationally, inequalities in health care experiences persisted despite general access </w:t>
      </w:r>
      <w:r w:rsidRPr="00366557">
        <w:rPr>
          <w:rFonts w:ascii="Arial" w:hAnsi="Arial" w:cs="Arial"/>
          <w:sz w:val="22"/>
        </w:rPr>
        <w:lastRenderedPageBreak/>
        <w:t>to primary care. Mikulak et al. (2021) describe barriers as not just practitioner behaviours, but also structural, educational, cultural and technical. While Stepney et al. (2025) use qualitative interviews to gain insight into the views of patients, families and professionals on healthcare pathways, Saunders et al. (2023) use a cross-sectional survey to quantify differences between England.</w:t>
      </w:r>
    </w:p>
    <w:p w14:paraId="6C0BBF82" w14:textId="1866E39E" w:rsidR="00702BFA" w:rsidRPr="00366557" w:rsidRDefault="00357420" w:rsidP="00366557">
      <w:pPr>
        <w:spacing w:line="360" w:lineRule="auto"/>
        <w:rPr>
          <w:rFonts w:ascii="Arial" w:hAnsi="Arial" w:cs="Arial"/>
          <w:sz w:val="22"/>
          <w:highlight w:val="yellow"/>
        </w:rPr>
      </w:pPr>
      <w:r w:rsidRPr="00366557">
        <w:rPr>
          <w:rFonts w:ascii="Arial" w:hAnsi="Arial" w:cs="Arial"/>
          <w:sz w:val="22"/>
        </w:rPr>
        <w:t>The qualitative results provide reasons for the barriers, and the quantitative results show the size and uniformity in the data set. A comparison of the studies, however, offers important insights due to differences. Stepney et al. (2025) predominantly address younger transgender individuals and highlight the issues of long waiting times, gatekeeping and limitation of clinical pathways. Saunders et al. (2023), in contrast, involve different age groups of adults, and report wider demographic disadvantages related to deprivation, ethnicity and long-term health conditions. These differences imply that structural barriers exist across the lifespan and are not necessarily identical in various healthcare contexts and with different patients. Likewise, Hundera and Mudde (2024) state that, beyond individual consultation, practitioners also participate in institutional discrimination through the procedures in which they engage in an organisation. The evidence shows that in order to create an inclusive healthcare system, structural reform efforts are needed as well as practitioner-level interventions.</w:t>
      </w:r>
    </w:p>
    <w:p w14:paraId="19EE12CC" w14:textId="5ED346A1" w:rsidR="00EA226E" w:rsidRPr="00366557" w:rsidRDefault="00357420" w:rsidP="00366557">
      <w:pPr>
        <w:pStyle w:val="Heading3"/>
        <w:spacing w:line="360" w:lineRule="auto"/>
        <w:jc w:val="left"/>
        <w:rPr>
          <w:rFonts w:ascii="Arial" w:hAnsi="Arial" w:cs="Arial"/>
          <w:sz w:val="22"/>
          <w:szCs w:val="22"/>
        </w:rPr>
      </w:pPr>
      <w:bookmarkStart w:id="115" w:name="_Toc232709848"/>
      <w:bookmarkStart w:id="116" w:name="_Toc235118484"/>
      <w:bookmarkStart w:id="117" w:name="_Toc235121216"/>
      <w:r w:rsidRPr="00366557">
        <w:rPr>
          <w:rFonts w:ascii="Arial" w:hAnsi="Arial" w:cs="Arial"/>
          <w:sz w:val="22"/>
          <w:szCs w:val="22"/>
        </w:rPr>
        <w:t>Statistical Information</w:t>
      </w:r>
      <w:bookmarkEnd w:id="115"/>
      <w:bookmarkEnd w:id="116"/>
      <w:bookmarkEnd w:id="117"/>
    </w:p>
    <w:p w14:paraId="518BAA41" w14:textId="274BDB48" w:rsidR="00F86ADF" w:rsidRPr="00366557" w:rsidRDefault="00357420" w:rsidP="00366557">
      <w:pPr>
        <w:spacing w:line="360" w:lineRule="auto"/>
        <w:rPr>
          <w:rFonts w:ascii="Arial" w:hAnsi="Arial" w:cs="Arial"/>
          <w:sz w:val="22"/>
        </w:rPr>
      </w:pPr>
      <w:r w:rsidRPr="00366557">
        <w:rPr>
          <w:rFonts w:ascii="Arial" w:hAnsi="Arial" w:cs="Arial"/>
          <w:sz w:val="22"/>
        </w:rPr>
        <w:t xml:space="preserve">The situation of structural inequalities in trans health care is further illustrated by statistical evidence. The analysis by Saunders et al. (2023) was of 840,691 responses, including 6,333 transgender/non-binary adults, and is therefore nationally representative. There were significant differences in long-term conditions between this group and other respondents, notably for autism (OR 5.8, 95% CI 5.0–6.6), dementia (OR 3.1), learning disabilities (OR 2.8) and mental health conditions (OR 2.0). Additionally, despite relatively comparable scores for accessing care, the odds ratios for positive ratings of interpersonal communication were low among transgender participants, ranging from 0.4 to 0.7. These results were supported by Stepney et al. (2025), who conducted 91 qualitative interviews where they found that the structural barriers reported statistically were echoed in daily health care experiences, such as long wait times and </w:t>
      </w:r>
      <w:r w:rsidR="00F80390" w:rsidRPr="00366557">
        <w:rPr>
          <w:rFonts w:ascii="Arial" w:hAnsi="Arial" w:cs="Arial"/>
          <w:sz w:val="22"/>
        </w:rPr>
        <w:t>service line</w:t>
      </w:r>
      <w:r w:rsidRPr="00366557">
        <w:rPr>
          <w:rFonts w:ascii="Arial" w:hAnsi="Arial" w:cs="Arial"/>
          <w:sz w:val="22"/>
        </w:rPr>
        <w:t xml:space="preserve"> restrictions.</w:t>
      </w:r>
    </w:p>
    <w:p w14:paraId="55D279AE" w14:textId="1BC5551D" w:rsidR="00EA226E" w:rsidRPr="00366557" w:rsidRDefault="00357420" w:rsidP="00366557">
      <w:pPr>
        <w:pStyle w:val="Heading3"/>
        <w:spacing w:line="360" w:lineRule="auto"/>
        <w:jc w:val="left"/>
        <w:rPr>
          <w:rFonts w:ascii="Arial" w:hAnsi="Arial" w:cs="Arial"/>
          <w:sz w:val="22"/>
          <w:szCs w:val="22"/>
        </w:rPr>
      </w:pPr>
      <w:bookmarkStart w:id="118" w:name="_Toc232709849"/>
      <w:bookmarkStart w:id="119" w:name="_Toc235118485"/>
      <w:bookmarkStart w:id="120" w:name="_Toc235121217"/>
      <w:r w:rsidRPr="00366557">
        <w:rPr>
          <w:rFonts w:ascii="Arial" w:hAnsi="Arial" w:cs="Arial"/>
          <w:sz w:val="22"/>
          <w:szCs w:val="22"/>
        </w:rPr>
        <w:lastRenderedPageBreak/>
        <w:t>Theories, Policies, and Legislation</w:t>
      </w:r>
      <w:bookmarkEnd w:id="118"/>
      <w:bookmarkEnd w:id="119"/>
      <w:bookmarkEnd w:id="120"/>
    </w:p>
    <w:p w14:paraId="32F76854" w14:textId="77777777" w:rsidR="00805B2E" w:rsidRPr="00366557" w:rsidRDefault="00357420" w:rsidP="00366557">
      <w:pPr>
        <w:spacing w:line="360" w:lineRule="auto"/>
        <w:rPr>
          <w:rFonts w:ascii="Arial" w:hAnsi="Arial" w:cs="Arial"/>
          <w:sz w:val="22"/>
        </w:rPr>
      </w:pPr>
      <w:r w:rsidRPr="00366557">
        <w:rPr>
          <w:rFonts w:ascii="Arial" w:hAnsi="Arial" w:cs="Arial"/>
          <w:sz w:val="22"/>
        </w:rPr>
        <w:t>The findings can be understood by Minor Stress Theory, suggesting that marginalised population groups experience chronic stress, a consequence of stigma, discrimination and social exclusion, which leads to poorer health outcomes (Moorhead et al., 2024). Similarly, Stepney et al. (2025) suggest that extended waiting lists, a gatekeeping system and restrictive service pathways can amplify feelings of mistrust and psychological distress for transgender people, aligning with the theory that institutional settings can exacerbate minority stress. Similarly, Saunders et al.</w:t>
      </w:r>
      <w:r w:rsidR="00D669D2" w:rsidRPr="00366557">
        <w:rPr>
          <w:rFonts w:ascii="Arial" w:hAnsi="Arial" w:cs="Arial"/>
          <w:sz w:val="22"/>
        </w:rPr>
        <w:t>'s (2023)</w:t>
      </w:r>
      <w:r w:rsidR="00F76BD0" w:rsidRPr="00366557">
        <w:rPr>
          <w:rFonts w:ascii="Arial" w:hAnsi="Arial" w:cs="Arial"/>
          <w:sz w:val="22"/>
        </w:rPr>
        <w:t xml:space="preserve"> </w:t>
      </w:r>
      <w:r w:rsidRPr="00366557">
        <w:rPr>
          <w:rFonts w:ascii="Arial" w:hAnsi="Arial" w:cs="Arial"/>
          <w:sz w:val="22"/>
        </w:rPr>
        <w:t xml:space="preserve">study shows a much greater prevalence of mental health problems and a lower quality of interpersonal communication, indicating that structural barriers to health cause more harm in terms of reinforcing health inequalities. </w:t>
      </w:r>
    </w:p>
    <w:p w14:paraId="0701C20F" w14:textId="7657C4B7" w:rsidR="00805B2E" w:rsidRPr="00366557" w:rsidRDefault="00357420" w:rsidP="00366557">
      <w:pPr>
        <w:spacing w:line="360" w:lineRule="auto"/>
        <w:rPr>
          <w:rFonts w:ascii="Arial" w:hAnsi="Arial" w:cs="Arial"/>
          <w:sz w:val="22"/>
          <w:highlight w:val="yellow"/>
        </w:rPr>
      </w:pPr>
      <w:r w:rsidRPr="00366557">
        <w:rPr>
          <w:rFonts w:ascii="Arial" w:hAnsi="Arial" w:cs="Arial"/>
          <w:sz w:val="22"/>
        </w:rPr>
        <w:t>The results are also supported by Institutional Discrimination Theory that suggests inequalities can exist in organisations regardless of the apparent absence of discrimination in their policies and practices (Guimond 2023). The theoretical strands also recognise shortcomings in how the UK policy is actually put into practice. The Equality Act 2010 forbids discrimination based on gender reassignment, and the Health and Social Care Act 2012 calls on healthcare professionals to act against health inequalities by providing equal treatment in what they do. (GOV.UK, 2010; GOV.UK, 2022). Likewise, the NHS Constitution for England pledges services to provide care based on dignity, equality and respect, and NHS England's Service Specification for Adult Gender Dysphoria Services also supports person-centred and accessible care (Titheridge, 2025). Nevertheless, the institutional discrimination highlighted in both sets of studies is pervasive, underscoring that policy promises alone will not eradicate institutional discrimination if the barriers are not addressed continually through institutional reform and accountability.</w:t>
      </w:r>
    </w:p>
    <w:p w14:paraId="4C2EDC16" w14:textId="6C450CA7" w:rsidR="00EA226E" w:rsidRPr="00366557" w:rsidRDefault="00357420" w:rsidP="00366557">
      <w:pPr>
        <w:pStyle w:val="Heading3"/>
        <w:spacing w:line="360" w:lineRule="auto"/>
        <w:jc w:val="left"/>
        <w:rPr>
          <w:rFonts w:ascii="Arial" w:hAnsi="Arial" w:cs="Arial"/>
          <w:sz w:val="22"/>
          <w:szCs w:val="22"/>
        </w:rPr>
      </w:pPr>
      <w:bookmarkStart w:id="121" w:name="_Toc232709850"/>
      <w:bookmarkStart w:id="122" w:name="_Toc235118486"/>
      <w:bookmarkStart w:id="123" w:name="_Toc235121218"/>
      <w:r w:rsidRPr="00366557">
        <w:rPr>
          <w:rFonts w:ascii="Arial" w:hAnsi="Arial" w:cs="Arial"/>
          <w:sz w:val="22"/>
          <w:szCs w:val="22"/>
        </w:rPr>
        <w:t>Implications</w:t>
      </w:r>
      <w:bookmarkEnd w:id="121"/>
      <w:bookmarkEnd w:id="122"/>
      <w:bookmarkEnd w:id="123"/>
    </w:p>
    <w:p w14:paraId="639BEF54" w14:textId="21FE1DBE" w:rsidR="00486E94" w:rsidRPr="00366557" w:rsidRDefault="00357420" w:rsidP="00366557">
      <w:pPr>
        <w:spacing w:line="360" w:lineRule="auto"/>
        <w:rPr>
          <w:rFonts w:ascii="Arial" w:hAnsi="Arial" w:cs="Arial"/>
          <w:sz w:val="22"/>
        </w:rPr>
      </w:pPr>
      <w:r w:rsidRPr="00366557">
        <w:rPr>
          <w:rFonts w:ascii="Arial" w:hAnsi="Arial" w:cs="Arial"/>
          <w:sz w:val="22"/>
        </w:rPr>
        <w:t xml:space="preserve">Together, the findings have significant implications for healthcare professionals, organisations, policy makers and transgender service users. The focus in healthcare should not just be on training individual staff members, but on making sure there are measures in place for systemic improvements in referrals, better service coordination, and the elimination of unnecessary gatekeeping. Similarly, policymakers should reinforce accountability mechanisms so that equality legislation is reflected in real-life results in health services. What is evident is that organisational culture and governance are also key factors affecting inclusive care. These findings coincide with other evidence. </w:t>
      </w:r>
      <w:r w:rsidR="000815EF" w:rsidRPr="00366557">
        <w:rPr>
          <w:rFonts w:ascii="Arial" w:hAnsi="Arial" w:cs="Arial"/>
          <w:sz w:val="22"/>
        </w:rPr>
        <w:t xml:space="preserve">According to Prastyaningtyas et al. (2023), many </w:t>
      </w:r>
      <w:r w:rsidR="000815EF" w:rsidRPr="00366557">
        <w:rPr>
          <w:rFonts w:ascii="Arial" w:hAnsi="Arial" w:cs="Arial"/>
          <w:sz w:val="22"/>
        </w:rPr>
        <w:lastRenderedPageBreak/>
        <w:t xml:space="preserve">transgender individuals seek healthcare or delay it as they think it would be discriminatory or due to past bad experiences, showing how institutional barriers directly impact health-seeking </w:t>
      </w:r>
      <w:r w:rsidR="0037102E" w:rsidRPr="00366557">
        <w:rPr>
          <w:rFonts w:ascii="Arial" w:hAnsi="Arial" w:cs="Arial"/>
          <w:sz w:val="22"/>
        </w:rPr>
        <w:t>behaviours</w:t>
      </w:r>
      <w:r w:rsidR="000815EF" w:rsidRPr="00366557">
        <w:rPr>
          <w:rFonts w:ascii="Arial" w:hAnsi="Arial" w:cs="Arial"/>
          <w:sz w:val="22"/>
        </w:rPr>
        <w:t>.</w:t>
      </w:r>
      <w:r w:rsidR="00344F19" w:rsidRPr="00366557">
        <w:rPr>
          <w:rFonts w:ascii="Arial" w:hAnsi="Arial" w:cs="Arial"/>
          <w:sz w:val="22"/>
        </w:rPr>
        <w:t xml:space="preserve"> </w:t>
      </w:r>
      <w:r w:rsidRPr="00366557">
        <w:rPr>
          <w:rFonts w:ascii="Arial" w:hAnsi="Arial" w:cs="Arial"/>
          <w:sz w:val="22"/>
        </w:rPr>
        <w:t>Likewise, Wayland et al. (2022) found that long waiting times, disjointed services and inconsistent professional knowledge frustrate transgender individuals in accessing equal healthcare and called for comprehensive structural change throughout the NHS.</w:t>
      </w:r>
      <w:r w:rsidR="00AD2FBA" w:rsidRPr="00366557">
        <w:rPr>
          <w:rFonts w:ascii="Arial" w:hAnsi="Arial" w:cs="Arial"/>
          <w:sz w:val="22"/>
        </w:rPr>
        <w:t xml:space="preserve"> The overall evidence suggests that coordinated change in the health care experience through service design, workforce capability and effective policy delivery is necessary.</w:t>
      </w:r>
    </w:p>
    <w:p w14:paraId="5BCAC83B" w14:textId="60648C9E" w:rsidR="00D63278" w:rsidRPr="00366557" w:rsidRDefault="00357420" w:rsidP="00366557">
      <w:pPr>
        <w:pStyle w:val="Heading3"/>
        <w:spacing w:line="360" w:lineRule="auto"/>
        <w:jc w:val="left"/>
        <w:rPr>
          <w:rFonts w:ascii="Arial" w:hAnsi="Arial" w:cs="Arial"/>
          <w:sz w:val="22"/>
          <w:szCs w:val="22"/>
        </w:rPr>
      </w:pPr>
      <w:bookmarkStart w:id="124" w:name="_Toc235118487"/>
      <w:bookmarkStart w:id="125" w:name="_Toc235121219"/>
      <w:r w:rsidRPr="00366557">
        <w:rPr>
          <w:rFonts w:ascii="Arial" w:hAnsi="Arial" w:cs="Arial"/>
          <w:sz w:val="22"/>
          <w:szCs w:val="22"/>
        </w:rPr>
        <w:t>Connections to Other Themes</w:t>
      </w:r>
      <w:bookmarkEnd w:id="124"/>
      <w:bookmarkEnd w:id="125"/>
    </w:p>
    <w:p w14:paraId="0708E477" w14:textId="5D66C075" w:rsidR="00DA7FB9" w:rsidRPr="00366557" w:rsidRDefault="00357420" w:rsidP="00366557">
      <w:pPr>
        <w:spacing w:line="360" w:lineRule="auto"/>
        <w:rPr>
          <w:rFonts w:ascii="Arial" w:hAnsi="Arial" w:cs="Arial"/>
          <w:sz w:val="22"/>
        </w:rPr>
      </w:pPr>
      <w:r w:rsidRPr="00366557">
        <w:rPr>
          <w:rFonts w:ascii="Arial" w:hAnsi="Arial" w:cs="Arial"/>
          <w:sz w:val="22"/>
        </w:rPr>
        <w:t>This theme shows that the situation of individuals who appear excluded is a product of their wider organisational and institutional setting. Many of the negative healthcare experiences discussed in Theme 1 can be understood from the barriers discussed here, as they illustrate the impact of policy, service systems and referrals on patients' experiences. Similarly, the structural limitations exposed form the frame for Theme 3 in which the knowledge, communication and professional preparation of the workforce are analysed as key factors affecting quality of service. The three themes together show that inclusive transgender health care is not the responsibility of a single element but is an interplay between individual experience, institutional system, and practice.</w:t>
      </w:r>
    </w:p>
    <w:p w14:paraId="3A64017D" w14:textId="5DBDEBA5" w:rsidR="00D63278" w:rsidRPr="00366557" w:rsidRDefault="00357420" w:rsidP="00366557">
      <w:pPr>
        <w:pStyle w:val="Heading3"/>
        <w:spacing w:line="360" w:lineRule="auto"/>
        <w:jc w:val="left"/>
        <w:rPr>
          <w:rFonts w:ascii="Arial" w:hAnsi="Arial" w:cs="Arial"/>
          <w:sz w:val="22"/>
          <w:szCs w:val="22"/>
        </w:rPr>
      </w:pPr>
      <w:bookmarkStart w:id="126" w:name="_Toc235118488"/>
      <w:bookmarkStart w:id="127" w:name="_Toc235121220"/>
      <w:r w:rsidRPr="00366557">
        <w:rPr>
          <w:rFonts w:ascii="Arial" w:hAnsi="Arial" w:cs="Arial"/>
          <w:sz w:val="22"/>
          <w:szCs w:val="22"/>
        </w:rPr>
        <w:t>Conclusion</w:t>
      </w:r>
      <w:bookmarkEnd w:id="126"/>
      <w:bookmarkEnd w:id="127"/>
    </w:p>
    <w:p w14:paraId="6A6CAC82" w14:textId="50299939" w:rsidR="00DA7FB9" w:rsidRPr="00366557" w:rsidRDefault="00357420" w:rsidP="00366557">
      <w:pPr>
        <w:spacing w:line="360" w:lineRule="auto"/>
        <w:rPr>
          <w:rFonts w:ascii="Arial" w:hAnsi="Arial" w:cs="Arial"/>
          <w:sz w:val="22"/>
        </w:rPr>
      </w:pPr>
      <w:r w:rsidRPr="00366557">
        <w:rPr>
          <w:rFonts w:ascii="Arial" w:hAnsi="Arial" w:cs="Arial"/>
          <w:sz w:val="22"/>
        </w:rPr>
        <w:t>Collective evidence shows that structural and institutional factors are central to the lives of transgender people in relation to health and social care. While legislation and guidance ensure equality and inclusion, there is a lack of agreement in how these commitments are realised in healthcare services. Current structures, referral flows and systems remain an influence on access to, quality of, and confidence in care. The findings address the aim of the research as they have shown that meaningful improvements need to go beyond individual clinical practice. Progress will require ongoing organisational reform, greater accountability and health systems that are supportive and consistently provide access to equitable, accessible and person-centred care for transgender people.</w:t>
      </w:r>
    </w:p>
    <w:p w14:paraId="026BAB38" w14:textId="5318303C" w:rsidR="00FC43C9" w:rsidRPr="00366557" w:rsidRDefault="00FC43C9" w:rsidP="00366557">
      <w:pPr>
        <w:spacing w:line="360" w:lineRule="auto"/>
        <w:rPr>
          <w:rFonts w:ascii="Arial" w:hAnsi="Arial" w:cs="Arial"/>
          <w:sz w:val="22"/>
        </w:rPr>
      </w:pPr>
    </w:p>
    <w:p w14:paraId="4CC0FAA2" w14:textId="57CF3320" w:rsidR="00C05F8F" w:rsidRPr="00366557" w:rsidRDefault="00357420" w:rsidP="00366557">
      <w:pPr>
        <w:pStyle w:val="Heading2"/>
        <w:spacing w:after="160" w:line="360" w:lineRule="auto"/>
        <w:rPr>
          <w:rFonts w:ascii="Arial" w:hAnsi="Arial" w:cs="Arial"/>
          <w:sz w:val="22"/>
          <w:szCs w:val="22"/>
        </w:rPr>
      </w:pPr>
      <w:bookmarkStart w:id="128" w:name="_Toc232709853"/>
      <w:bookmarkStart w:id="129" w:name="_Toc235118489"/>
      <w:bookmarkStart w:id="130" w:name="_Toc235121221"/>
      <w:r w:rsidRPr="00366557">
        <w:rPr>
          <w:rFonts w:ascii="Arial" w:hAnsi="Arial" w:cs="Arial"/>
          <w:sz w:val="22"/>
          <w:szCs w:val="22"/>
        </w:rPr>
        <w:lastRenderedPageBreak/>
        <w:t>4.5 Theme 3: Practice, Communication, Training, and Workforce Preparedness</w:t>
      </w:r>
      <w:bookmarkEnd w:id="128"/>
      <w:bookmarkEnd w:id="129"/>
      <w:bookmarkEnd w:id="130"/>
    </w:p>
    <w:p w14:paraId="3E79EAF4" w14:textId="52FC669C" w:rsidR="00C05F8F" w:rsidRPr="00366557" w:rsidRDefault="00357420" w:rsidP="00366557">
      <w:pPr>
        <w:pStyle w:val="Heading3"/>
        <w:spacing w:line="360" w:lineRule="auto"/>
        <w:jc w:val="left"/>
        <w:rPr>
          <w:rFonts w:ascii="Arial" w:hAnsi="Arial" w:cs="Arial"/>
          <w:sz w:val="22"/>
          <w:szCs w:val="22"/>
        </w:rPr>
      </w:pPr>
      <w:bookmarkStart w:id="131" w:name="_Toc232709854"/>
      <w:bookmarkStart w:id="132" w:name="_Toc235118490"/>
      <w:bookmarkStart w:id="133" w:name="_Toc235121222"/>
      <w:r w:rsidRPr="00366557">
        <w:rPr>
          <w:rFonts w:ascii="Arial" w:hAnsi="Arial" w:cs="Arial"/>
          <w:sz w:val="22"/>
          <w:szCs w:val="22"/>
        </w:rPr>
        <w:t>Definition</w:t>
      </w:r>
      <w:bookmarkEnd w:id="131"/>
      <w:bookmarkEnd w:id="132"/>
      <w:bookmarkEnd w:id="133"/>
    </w:p>
    <w:p w14:paraId="264FC6C4" w14:textId="6CD9C4FB" w:rsidR="00BB3FEF" w:rsidRPr="00366557" w:rsidRDefault="00357420" w:rsidP="00366557">
      <w:pPr>
        <w:spacing w:line="360" w:lineRule="auto"/>
        <w:rPr>
          <w:rFonts w:ascii="Arial" w:hAnsi="Arial" w:cs="Arial"/>
          <w:sz w:val="22"/>
        </w:rPr>
      </w:pPr>
      <w:r w:rsidRPr="00366557">
        <w:rPr>
          <w:rFonts w:ascii="Arial" w:hAnsi="Arial" w:cs="Arial"/>
          <w:sz w:val="22"/>
        </w:rPr>
        <w:t>Workforce preparedness, practice, communication and training are defined as the knowledge, skills, behaviours and organisational assistance needed to provide safe, respectful and inclusive care to transgender people (Wynne et al., 2024). Effective practice is not just about clinical skills but also culturally sensitive communication, the use of names and pronouns, gender sensitivity and confidence in meeting individual health care needs (O'Toole, 2024). In addition to education and continuing professional development, workforce preparedness includes institutional support that enables practitioners to offer evidence-based care (De Grip, 2024). The theme is relevant as healthcare professionals have direct impacts on patients' experiences, trust, engagement with healthcare services, and the quality of care received by patients throughout health and social care settings.</w:t>
      </w:r>
    </w:p>
    <w:p w14:paraId="6F1E2449" w14:textId="7A101A1B" w:rsidR="00C05F8F" w:rsidRPr="00366557" w:rsidRDefault="00357420" w:rsidP="00366557">
      <w:pPr>
        <w:pStyle w:val="Heading3"/>
        <w:spacing w:line="360" w:lineRule="auto"/>
        <w:jc w:val="left"/>
        <w:rPr>
          <w:rFonts w:ascii="Arial" w:hAnsi="Arial" w:cs="Arial"/>
          <w:sz w:val="22"/>
          <w:szCs w:val="22"/>
        </w:rPr>
      </w:pPr>
      <w:bookmarkStart w:id="134" w:name="_Toc232709855"/>
      <w:bookmarkStart w:id="135" w:name="_Toc235118491"/>
      <w:bookmarkStart w:id="136" w:name="_Toc235121223"/>
      <w:r w:rsidRPr="00366557">
        <w:rPr>
          <w:rFonts w:ascii="Arial" w:hAnsi="Arial" w:cs="Arial"/>
          <w:sz w:val="22"/>
          <w:szCs w:val="22"/>
        </w:rPr>
        <w:t>Background Information</w:t>
      </w:r>
      <w:bookmarkEnd w:id="134"/>
      <w:bookmarkEnd w:id="135"/>
      <w:bookmarkEnd w:id="136"/>
    </w:p>
    <w:p w14:paraId="76BC734B" w14:textId="49836197" w:rsidR="00FC7B0C" w:rsidRPr="00366557" w:rsidRDefault="00357420" w:rsidP="00366557">
      <w:pPr>
        <w:spacing w:line="360" w:lineRule="auto"/>
        <w:rPr>
          <w:rFonts w:ascii="Arial" w:hAnsi="Arial" w:cs="Arial"/>
          <w:sz w:val="22"/>
        </w:rPr>
      </w:pPr>
      <w:r w:rsidRPr="00366557">
        <w:rPr>
          <w:rFonts w:ascii="Arial" w:hAnsi="Arial" w:cs="Arial"/>
          <w:sz w:val="22"/>
        </w:rPr>
        <w:t>Being prepared for the workforce has increased in recent years because of the demand for more inclusivity in the healthcare field for transgender people (Fonseca and Woo, 2020; García-Acosta et al., 2024). Franklin et al (2025) and Braybrook et al (2023) suggest that delivery of effective transgender health care requires communication skills, professional confidence and organisational support as well as clinical skills. In both research projects, health care professionals also acknowledge the significance of inclusive practice, but feel that they have limited training, unclear professional responsibilities, and inconsistent institutional guidance. Similarly, Franklin et al. (2025) reported that GPs and endocrinologists had mixed perceptions about their roles, with many clinicians being hesitant to prescribe gender affirming treatment without specialist involvement. Additionally, Braybrook et al. (2023) found that communication was a major factor in inclusive care, which involved using respectful language, having the appropriate discussions about gender identity, and involving the important persons.</w:t>
      </w:r>
    </w:p>
    <w:p w14:paraId="2F6538E2" w14:textId="55A28934" w:rsidR="00710A8A" w:rsidRPr="00366557" w:rsidRDefault="00357420" w:rsidP="00366557">
      <w:pPr>
        <w:spacing w:line="360" w:lineRule="auto"/>
        <w:rPr>
          <w:rFonts w:ascii="Arial" w:hAnsi="Arial" w:cs="Arial"/>
          <w:sz w:val="22"/>
          <w:highlight w:val="yellow"/>
        </w:rPr>
      </w:pPr>
      <w:r w:rsidRPr="00366557">
        <w:rPr>
          <w:rFonts w:ascii="Arial" w:hAnsi="Arial" w:cs="Arial"/>
          <w:sz w:val="22"/>
        </w:rPr>
        <w:t xml:space="preserve">While the studies address different care environments, both suggest that uncertainty about roles creates an impact on confidence and can impact the consistency of care provided for transgender patients. Methodologically, both conducted qualitative interviews, with reflexive thematic analysis to interpret the participants' experiences, which cannot be captured in quantitative surveys. Qualitative sampling, however, does not offer the benefit of generalisability, and those with a specific interest in transgender healthcare may have been </w:t>
      </w:r>
      <w:r w:rsidRPr="00366557">
        <w:rPr>
          <w:rFonts w:ascii="Arial" w:hAnsi="Arial" w:cs="Arial"/>
          <w:sz w:val="22"/>
        </w:rPr>
        <w:lastRenderedPageBreak/>
        <w:t xml:space="preserve">more likely to participate. However, the congruity of the results noted by the clinicians, patients and the caregivers </w:t>
      </w:r>
      <w:r w:rsidR="00F1052B" w:rsidRPr="00366557">
        <w:rPr>
          <w:rFonts w:ascii="Arial" w:hAnsi="Arial" w:cs="Arial"/>
          <w:sz w:val="22"/>
        </w:rPr>
        <w:t>add</w:t>
      </w:r>
      <w:r w:rsidRPr="00366557">
        <w:rPr>
          <w:rFonts w:ascii="Arial" w:hAnsi="Arial" w:cs="Arial"/>
          <w:sz w:val="22"/>
        </w:rPr>
        <w:t>s to the validity of the results. Likewise, van Loenen et al. (2026) state that lack of education about LGBT+ health is a recurring challenge for competent healthcare practice, echoing concerns of Franklin et al. (2025) about professional preparation. Overall, these findings suggest that institutional-level structures and integrated workforce development are more likely to ensure better care for trans people than acting only on the level of individual commitment.</w:t>
      </w:r>
    </w:p>
    <w:p w14:paraId="11318143" w14:textId="0DCFC3A1" w:rsidR="00C05F8F" w:rsidRPr="00366557" w:rsidRDefault="00357420" w:rsidP="00366557">
      <w:pPr>
        <w:pStyle w:val="Heading3"/>
        <w:spacing w:line="360" w:lineRule="auto"/>
        <w:jc w:val="left"/>
        <w:rPr>
          <w:rFonts w:ascii="Arial" w:hAnsi="Arial" w:cs="Arial"/>
          <w:sz w:val="22"/>
          <w:szCs w:val="22"/>
        </w:rPr>
      </w:pPr>
      <w:bookmarkStart w:id="137" w:name="_Toc232709857"/>
      <w:bookmarkStart w:id="138" w:name="_Toc235118492"/>
      <w:bookmarkStart w:id="139" w:name="_Toc235121224"/>
      <w:r w:rsidRPr="00366557">
        <w:rPr>
          <w:rFonts w:ascii="Arial" w:hAnsi="Arial" w:cs="Arial"/>
          <w:sz w:val="22"/>
          <w:szCs w:val="22"/>
        </w:rPr>
        <w:t>Statistical Information</w:t>
      </w:r>
      <w:bookmarkEnd w:id="137"/>
      <w:bookmarkEnd w:id="138"/>
      <w:bookmarkEnd w:id="139"/>
    </w:p>
    <w:p w14:paraId="66BD75D5" w14:textId="3152083E" w:rsidR="00A60F47" w:rsidRPr="00366557" w:rsidRDefault="00357420" w:rsidP="00366557">
      <w:pPr>
        <w:spacing w:line="360" w:lineRule="auto"/>
        <w:rPr>
          <w:rFonts w:ascii="Arial" w:hAnsi="Arial" w:cs="Arial"/>
          <w:sz w:val="22"/>
        </w:rPr>
      </w:pPr>
      <w:r w:rsidRPr="00366557">
        <w:rPr>
          <w:rFonts w:ascii="Arial" w:hAnsi="Arial" w:cs="Arial"/>
          <w:sz w:val="22"/>
        </w:rPr>
        <w:t>The two studies used mostly qualitative methods, but the demographic variables help support the diversity of viewpoints included in this theme. Franklin et al. (2025) held 16 semi-structured interviews with 8 GPs and 8 endocrinologists, allowing for a direct comparison between primary and specialist care practitioners who work in different areas of transgender healthcare. In contrast, Braybrook et al. (2023) had 74 participants: 34 LGBT+ patients with serious illness, 13 significant others, and 27 multidisciplinary clinicians, which offered better insights into communication in healthcare environments. Patient, caregiver and professional involvement increases the credibility of recommendations, as they reflect multiple stakeholder views. Together, these participant groups illustrate that the issue of workforce preparedness and communication difficulties are not isolated concerns, but impact a range of clinical roles, services and patient populations.</w:t>
      </w:r>
    </w:p>
    <w:p w14:paraId="586FEFC4" w14:textId="4E9B6F46" w:rsidR="00C05F8F" w:rsidRPr="00366557" w:rsidRDefault="00357420" w:rsidP="00366557">
      <w:pPr>
        <w:pStyle w:val="Heading3"/>
        <w:spacing w:line="360" w:lineRule="auto"/>
        <w:jc w:val="left"/>
        <w:rPr>
          <w:rFonts w:ascii="Arial" w:hAnsi="Arial" w:cs="Arial"/>
          <w:sz w:val="22"/>
          <w:szCs w:val="22"/>
        </w:rPr>
      </w:pPr>
      <w:bookmarkStart w:id="140" w:name="_Toc232709858"/>
      <w:bookmarkStart w:id="141" w:name="_Toc235118493"/>
      <w:bookmarkStart w:id="142" w:name="_Toc235121225"/>
      <w:r w:rsidRPr="00366557">
        <w:rPr>
          <w:rFonts w:ascii="Arial" w:hAnsi="Arial" w:cs="Arial"/>
          <w:sz w:val="22"/>
          <w:szCs w:val="22"/>
        </w:rPr>
        <w:t>Theories, Policies, and Legislation</w:t>
      </w:r>
      <w:bookmarkEnd w:id="140"/>
      <w:bookmarkEnd w:id="141"/>
      <w:bookmarkEnd w:id="142"/>
    </w:p>
    <w:p w14:paraId="26FBB158" w14:textId="77777777" w:rsidR="00B66BE3" w:rsidRPr="00366557" w:rsidRDefault="00357420" w:rsidP="00366557">
      <w:pPr>
        <w:spacing w:line="360" w:lineRule="auto"/>
        <w:rPr>
          <w:rFonts w:ascii="Arial" w:hAnsi="Arial" w:cs="Arial"/>
          <w:sz w:val="22"/>
        </w:rPr>
      </w:pPr>
      <w:r w:rsidRPr="00366557">
        <w:rPr>
          <w:rFonts w:ascii="Arial" w:hAnsi="Arial" w:cs="Arial"/>
          <w:sz w:val="22"/>
        </w:rPr>
        <w:t xml:space="preserve">The results are meaningfully interpreted using the Person-Centred Care (PCC) approach, centring on respect for individual values, shared decision making, dignity and partnership between health services and service users (Ekman and Swedberg, 2022). Uncertainty about professional or role responsibilities can potentially limit clinicians' capacity to provide responsive care (Franklin et al., 2025) and inclusive conversation, listening and patient identity recognition can improve therapeutic relationships (Braybrook et al., 2023). These findings together indicate that person-centred care is not just about clinical skills, but also entails respectful communication, recognising personal preferences and fostering trust. With support from Social Learning Theory, these findings can be explained by the idea that professional behaviours are developed by observing, learning, role-modelling, and reinforcing (Firmansyah and Saepuloh, 2022). </w:t>
      </w:r>
    </w:p>
    <w:p w14:paraId="135E93CB" w14:textId="234B9E11" w:rsidR="00B66BE3" w:rsidRPr="00366557" w:rsidRDefault="00357420" w:rsidP="00366557">
      <w:pPr>
        <w:spacing w:line="360" w:lineRule="auto"/>
        <w:rPr>
          <w:rFonts w:ascii="Arial" w:hAnsi="Arial" w:cs="Arial"/>
          <w:sz w:val="22"/>
        </w:rPr>
      </w:pPr>
      <w:r w:rsidRPr="00366557">
        <w:rPr>
          <w:rFonts w:ascii="Arial" w:hAnsi="Arial" w:cs="Arial"/>
          <w:sz w:val="22"/>
        </w:rPr>
        <w:lastRenderedPageBreak/>
        <w:t>When there is a lack of training or a disjointed approach within organisations, clinicians will be more inclined to repeat the same practice, which can then redefine the terms exclusion versus inclusion. This is seen in legislation and professional guidance in the UK. The Equality Act 2010 states that healthcare providers should not discriminate against individuals based on gender reassignment (GOV.UK, 2010), and the Nursing and Midwifery Council (2018) Code emphasises that nurses should act with kindness, respect and without prejudice towards individuals. These results show, however, that there remains a persistent lack of consistency in training, professional confidence and organisational commitment, suggesting that legislative requirements need to increase workforce development and institutional commitment to deliver truly inclusive practice.</w:t>
      </w:r>
    </w:p>
    <w:p w14:paraId="17A5D182" w14:textId="72D4DBBF" w:rsidR="00CD3B86" w:rsidRPr="00366557" w:rsidRDefault="00357420" w:rsidP="00366557">
      <w:pPr>
        <w:pStyle w:val="Heading3"/>
        <w:spacing w:line="360" w:lineRule="auto"/>
        <w:jc w:val="left"/>
        <w:rPr>
          <w:rFonts w:ascii="Arial" w:hAnsi="Arial" w:cs="Arial"/>
          <w:sz w:val="22"/>
          <w:szCs w:val="22"/>
        </w:rPr>
      </w:pPr>
      <w:bookmarkStart w:id="143" w:name="_Toc232709859"/>
      <w:bookmarkStart w:id="144" w:name="_Toc235118494"/>
      <w:bookmarkStart w:id="145" w:name="_Toc235121226"/>
      <w:r w:rsidRPr="00366557">
        <w:rPr>
          <w:rFonts w:ascii="Arial" w:hAnsi="Arial" w:cs="Arial"/>
          <w:sz w:val="22"/>
          <w:szCs w:val="22"/>
        </w:rPr>
        <w:t>Implications</w:t>
      </w:r>
      <w:bookmarkEnd w:id="143"/>
      <w:bookmarkEnd w:id="144"/>
      <w:bookmarkEnd w:id="145"/>
    </w:p>
    <w:p w14:paraId="19838BD6" w14:textId="2B940E97" w:rsidR="007605F6" w:rsidRPr="00366557" w:rsidRDefault="00357420" w:rsidP="00366557">
      <w:pPr>
        <w:spacing w:line="360" w:lineRule="auto"/>
        <w:rPr>
          <w:rFonts w:ascii="Arial" w:hAnsi="Arial" w:cs="Arial"/>
          <w:sz w:val="22"/>
          <w:highlight w:val="yellow"/>
        </w:rPr>
      </w:pPr>
      <w:r w:rsidRPr="00366557">
        <w:rPr>
          <w:rFonts w:ascii="Arial" w:hAnsi="Arial" w:cs="Arial"/>
          <w:sz w:val="22"/>
        </w:rPr>
        <w:t>The findings collectively highlight the need for long-term efforts in workforce development and organisational support to enhance transgender healthcare. Healthcare workers need ongoing learning beyond clinical practice, learning to communicate inclusively, become culturally competent, and build confidence around gender identity-respectful discussions (Braybrook et al., 2023). Incorporating transgender healthcare into the required professional learning for all organisations and providing firm clinical direction for partners to work in all-inclusive teams. This is corroborated by Chong et al, (2021), who state that many healthcare professionals are under-trained in the education of LGBT+ health in their undergraduate and post-graduate education, which in turn leads to gaps in their knowledge and therefore patient experiences.</w:t>
      </w:r>
    </w:p>
    <w:p w14:paraId="303DAB0C" w14:textId="45083400" w:rsidR="007605F6" w:rsidRPr="00366557" w:rsidRDefault="00357420" w:rsidP="00366557">
      <w:pPr>
        <w:spacing w:line="360" w:lineRule="auto"/>
        <w:rPr>
          <w:rFonts w:ascii="Arial" w:hAnsi="Arial" w:cs="Arial"/>
          <w:sz w:val="22"/>
        </w:rPr>
      </w:pPr>
      <w:r w:rsidRPr="00366557">
        <w:rPr>
          <w:rFonts w:ascii="Arial" w:hAnsi="Arial" w:cs="Arial"/>
          <w:sz w:val="22"/>
        </w:rPr>
        <w:t>Similarly, Fremont et al. (2026) urge the integration of equality, diversity, and inclusion in the curriculum of workforce education to enhance confidence and mitigate healthcare inequity. Thus, a cohesive body of evidence indicates that communication competence should be acknowledged as a basic clinical skill, not a "soft" interpersonal skill. Structured training, supportive leadership and standardised inclusive practices would enhance patient trust, continuity of care and lead to more equitable healthcare experiences. These implications clearly speak to the research aim, with workforce preparedness being an important element of providing transgender responsive, accessible and person-centred health and social care.</w:t>
      </w:r>
    </w:p>
    <w:p w14:paraId="69AB3689" w14:textId="13C739BA" w:rsidR="00134DB7" w:rsidRPr="00366557" w:rsidRDefault="00357420" w:rsidP="00366557">
      <w:pPr>
        <w:pStyle w:val="Heading3"/>
        <w:spacing w:line="360" w:lineRule="auto"/>
        <w:jc w:val="left"/>
        <w:rPr>
          <w:rFonts w:ascii="Arial" w:hAnsi="Arial" w:cs="Arial"/>
          <w:sz w:val="22"/>
          <w:szCs w:val="22"/>
        </w:rPr>
      </w:pPr>
      <w:bookmarkStart w:id="146" w:name="_Toc235118495"/>
      <w:bookmarkStart w:id="147" w:name="_Toc235121227"/>
      <w:r w:rsidRPr="00366557">
        <w:rPr>
          <w:rFonts w:ascii="Arial" w:hAnsi="Arial" w:cs="Arial"/>
          <w:sz w:val="22"/>
          <w:szCs w:val="22"/>
        </w:rPr>
        <w:t>Connections to Other Themes</w:t>
      </w:r>
      <w:bookmarkEnd w:id="146"/>
      <w:bookmarkEnd w:id="147"/>
    </w:p>
    <w:p w14:paraId="4E2C45DC" w14:textId="1380D74D" w:rsidR="007965A9" w:rsidRPr="00366557" w:rsidRDefault="00357420" w:rsidP="00366557">
      <w:pPr>
        <w:spacing w:line="360" w:lineRule="auto"/>
        <w:rPr>
          <w:rFonts w:ascii="Arial" w:hAnsi="Arial" w:cs="Arial"/>
          <w:sz w:val="22"/>
        </w:rPr>
      </w:pPr>
      <w:r w:rsidRPr="00366557">
        <w:rPr>
          <w:rFonts w:ascii="Arial" w:hAnsi="Arial" w:cs="Arial"/>
          <w:sz w:val="22"/>
        </w:rPr>
        <w:t xml:space="preserve">The theme builds on the previous findings, showing how the organisational systems and individual experiences are materialised in daily health care practice. Theme 1 discussed the </w:t>
      </w:r>
      <w:r w:rsidRPr="00366557">
        <w:rPr>
          <w:rFonts w:ascii="Arial" w:hAnsi="Arial" w:cs="Arial"/>
          <w:sz w:val="22"/>
        </w:rPr>
        <w:lastRenderedPageBreak/>
        <w:t>lived experiences of transgender clients; Theme 2 spoke to the factors that affect these experiences in structural and institutional terms. Theme 3 provides an understanding of the impact of healthcare professionals' communication, knowledge, and readiness on the effective implementation of organisational policies during clinical encounters. The three themes together offer a holistic view on inclusive transgender health care, in which the experience is positive when lived experiences, supporting health care systems, and a well-prepared, competent health care workforce work together.</w:t>
      </w:r>
    </w:p>
    <w:p w14:paraId="6CC79DC1" w14:textId="5C34FDC1" w:rsidR="00134DB7" w:rsidRPr="00366557" w:rsidRDefault="00357420" w:rsidP="00366557">
      <w:pPr>
        <w:pStyle w:val="Heading3"/>
        <w:spacing w:line="360" w:lineRule="auto"/>
        <w:jc w:val="left"/>
        <w:rPr>
          <w:rFonts w:ascii="Arial" w:hAnsi="Arial" w:cs="Arial"/>
          <w:sz w:val="22"/>
          <w:szCs w:val="22"/>
        </w:rPr>
      </w:pPr>
      <w:bookmarkStart w:id="148" w:name="_Toc235118496"/>
      <w:bookmarkStart w:id="149" w:name="_Toc235121228"/>
      <w:r w:rsidRPr="00366557">
        <w:rPr>
          <w:rFonts w:ascii="Arial" w:hAnsi="Arial" w:cs="Arial"/>
          <w:sz w:val="22"/>
          <w:szCs w:val="22"/>
        </w:rPr>
        <w:t>Conclusion</w:t>
      </w:r>
      <w:bookmarkEnd w:id="148"/>
      <w:bookmarkEnd w:id="149"/>
    </w:p>
    <w:p w14:paraId="0FAEC3A7" w14:textId="41AE8E3E" w:rsidR="00865404" w:rsidRPr="00366557" w:rsidRDefault="00357420" w:rsidP="00366557">
      <w:pPr>
        <w:spacing w:line="360" w:lineRule="auto"/>
        <w:rPr>
          <w:rFonts w:ascii="Arial" w:hAnsi="Arial" w:cs="Arial"/>
          <w:sz w:val="22"/>
        </w:rPr>
      </w:pPr>
      <w:r w:rsidRPr="00366557">
        <w:rPr>
          <w:rFonts w:ascii="Arial" w:hAnsi="Arial" w:cs="Arial"/>
          <w:sz w:val="22"/>
        </w:rPr>
        <w:t>This evidence shows that access to health care for transgender people is dependent upon communication, professional practice, and workforce preparedness. While many health professionals understand the value of providing respectful, person-centred care, service quality is still impacted by inconsistent training, unclear roles and responsibilities, and organisational limitations. These conclusions indicate that greater investment in education, leadership, and supportive clinical systems is needed to improve transgender health care, a process that goes beyond individual effort or determination. These challenges aim to boost therapeutic relationships, patient confidence, and quality healthcare outcomes.</w:t>
      </w:r>
    </w:p>
    <w:p w14:paraId="71D18268" w14:textId="77777777" w:rsidR="00134DB7" w:rsidRPr="00366557" w:rsidRDefault="00134DB7" w:rsidP="00366557">
      <w:pPr>
        <w:spacing w:line="360" w:lineRule="auto"/>
        <w:rPr>
          <w:rFonts w:ascii="Arial" w:hAnsi="Arial" w:cs="Arial"/>
          <w:sz w:val="22"/>
        </w:rPr>
      </w:pPr>
    </w:p>
    <w:p w14:paraId="79E84F23" w14:textId="48AA2572" w:rsidR="00EB48FF" w:rsidRPr="00366557" w:rsidRDefault="00357420" w:rsidP="00366557">
      <w:pPr>
        <w:pStyle w:val="Heading2"/>
        <w:spacing w:after="160" w:line="360" w:lineRule="auto"/>
        <w:rPr>
          <w:rFonts w:ascii="Arial" w:hAnsi="Arial" w:cs="Arial"/>
          <w:sz w:val="22"/>
          <w:szCs w:val="22"/>
        </w:rPr>
      </w:pPr>
      <w:bookmarkStart w:id="150" w:name="_Toc232709862"/>
      <w:bookmarkStart w:id="151" w:name="_Toc235118497"/>
      <w:bookmarkStart w:id="152" w:name="_Toc235121229"/>
      <w:r w:rsidRPr="00366557">
        <w:rPr>
          <w:rFonts w:ascii="Arial" w:hAnsi="Arial" w:cs="Arial"/>
          <w:sz w:val="22"/>
          <w:szCs w:val="22"/>
        </w:rPr>
        <w:t>4.6 Conclusion</w:t>
      </w:r>
      <w:bookmarkEnd w:id="150"/>
      <w:bookmarkEnd w:id="151"/>
      <w:bookmarkEnd w:id="152"/>
    </w:p>
    <w:p w14:paraId="35A1EADE" w14:textId="4BB3BFDB" w:rsidR="00837E37" w:rsidRPr="00366557" w:rsidRDefault="00357420" w:rsidP="00366557">
      <w:pPr>
        <w:spacing w:line="360" w:lineRule="auto"/>
        <w:rPr>
          <w:rFonts w:ascii="Arial" w:hAnsi="Arial" w:cs="Arial"/>
          <w:sz w:val="22"/>
        </w:rPr>
      </w:pPr>
      <w:r w:rsidRPr="00366557">
        <w:rPr>
          <w:rFonts w:ascii="Arial" w:hAnsi="Arial" w:cs="Arial"/>
          <w:sz w:val="22"/>
        </w:rPr>
        <w:t>This chapter critically examined the evidence obtained during the thematic review and found that individual, organisational and professional factors are interrelated in contributing to the barriers facing inclusive transgender healthcare. The discussion made it clear that trans people face challenges to timely access to respectful and Person-Centred care, and structural inequity, misapplication of policy and inadequate staff readiness are drivers of these experiences. Together, the results pointed toward a need for collective action by healthcare professionals, organisations, and policy makers for improvements in healthcare, rather than individual interventions. The use of theory, legislation and empirical evidence added to the interpretation of the findings and illustrated the impact of the challenges that are occurring at present on services and outcomes. In general, this chapter has met the research objective of defining the main challenges facing inclusive health and social care services and looked at the broader implications for practice. The conclusions of the study, in the context of the research questions, limitations of the review, and suggestions for further research, policy, and practice will all be synthesised in the next chapter.</w:t>
      </w:r>
    </w:p>
    <w:p w14:paraId="7E7C5FF2" w14:textId="77777777" w:rsidR="006D3C03" w:rsidRPr="00366557" w:rsidRDefault="006D3C03" w:rsidP="00366557">
      <w:pPr>
        <w:spacing w:line="360" w:lineRule="auto"/>
        <w:rPr>
          <w:rFonts w:ascii="Arial" w:hAnsi="Arial" w:cs="Arial"/>
          <w:sz w:val="22"/>
        </w:rPr>
      </w:pPr>
    </w:p>
    <w:p w14:paraId="0BA7F615" w14:textId="77777777" w:rsidR="00837E37" w:rsidRPr="00366557" w:rsidRDefault="00837E37" w:rsidP="00366557">
      <w:pPr>
        <w:spacing w:line="360" w:lineRule="auto"/>
        <w:rPr>
          <w:rFonts w:ascii="Arial" w:hAnsi="Arial" w:cs="Arial"/>
          <w:sz w:val="22"/>
        </w:rPr>
      </w:pPr>
    </w:p>
    <w:p w14:paraId="078772CF" w14:textId="77777777" w:rsidR="009A37C6" w:rsidRPr="00366557" w:rsidRDefault="009A37C6" w:rsidP="00366557">
      <w:pPr>
        <w:spacing w:line="360" w:lineRule="auto"/>
        <w:rPr>
          <w:rFonts w:ascii="Arial" w:hAnsi="Arial" w:cs="Arial"/>
          <w:sz w:val="22"/>
        </w:rPr>
      </w:pPr>
    </w:p>
    <w:p w14:paraId="46B0FAC0" w14:textId="39B94044" w:rsidR="00044FBD" w:rsidRPr="00366557" w:rsidRDefault="00357420" w:rsidP="00366557">
      <w:pPr>
        <w:spacing w:line="360" w:lineRule="auto"/>
        <w:rPr>
          <w:rFonts w:ascii="Arial" w:hAnsi="Arial" w:cs="Arial"/>
          <w:sz w:val="22"/>
        </w:rPr>
      </w:pPr>
      <w:r w:rsidRPr="00366557">
        <w:rPr>
          <w:rFonts w:ascii="Arial" w:hAnsi="Arial" w:cs="Arial"/>
          <w:sz w:val="22"/>
        </w:rPr>
        <w:br w:type="page"/>
      </w:r>
    </w:p>
    <w:p w14:paraId="12E341B4" w14:textId="0E227A17" w:rsidR="00615809" w:rsidRPr="00366557" w:rsidRDefault="00357420" w:rsidP="00366557">
      <w:pPr>
        <w:pStyle w:val="Heading1"/>
        <w:spacing w:after="160" w:line="360" w:lineRule="auto"/>
        <w:rPr>
          <w:rFonts w:ascii="Arial" w:hAnsi="Arial" w:cs="Arial"/>
          <w:sz w:val="22"/>
          <w:szCs w:val="22"/>
        </w:rPr>
      </w:pPr>
      <w:bookmarkStart w:id="153" w:name="_Toc232709863"/>
      <w:bookmarkStart w:id="154" w:name="_Toc235118498"/>
      <w:bookmarkStart w:id="155" w:name="_Toc235121230"/>
      <w:r w:rsidRPr="00366557">
        <w:rPr>
          <w:rFonts w:ascii="Arial" w:hAnsi="Arial" w:cs="Arial"/>
          <w:sz w:val="22"/>
          <w:szCs w:val="22"/>
        </w:rPr>
        <w:lastRenderedPageBreak/>
        <w:t xml:space="preserve">Chapter </w:t>
      </w:r>
      <w:r w:rsidR="00044FBD" w:rsidRPr="00366557">
        <w:rPr>
          <w:rFonts w:ascii="Arial" w:hAnsi="Arial" w:cs="Arial"/>
          <w:sz w:val="22"/>
          <w:szCs w:val="22"/>
        </w:rPr>
        <w:t>5</w:t>
      </w:r>
      <w:r w:rsidR="00F14507" w:rsidRPr="00366557">
        <w:rPr>
          <w:rFonts w:ascii="Arial" w:hAnsi="Arial" w:cs="Arial"/>
          <w:sz w:val="22"/>
          <w:szCs w:val="22"/>
        </w:rPr>
        <w:t xml:space="preserve">: </w:t>
      </w:r>
      <w:r w:rsidR="00044FBD" w:rsidRPr="00366557">
        <w:rPr>
          <w:rFonts w:ascii="Arial" w:hAnsi="Arial" w:cs="Arial"/>
          <w:sz w:val="22"/>
          <w:szCs w:val="22"/>
        </w:rPr>
        <w:t>Conclusion and Recommendations</w:t>
      </w:r>
      <w:bookmarkEnd w:id="153"/>
      <w:bookmarkEnd w:id="154"/>
      <w:bookmarkEnd w:id="155"/>
    </w:p>
    <w:p w14:paraId="589E664A" w14:textId="25D82A37" w:rsidR="004D5D81" w:rsidRPr="00366557" w:rsidRDefault="00357420" w:rsidP="00366557">
      <w:pPr>
        <w:pStyle w:val="Heading2"/>
        <w:spacing w:after="160" w:line="360" w:lineRule="auto"/>
        <w:rPr>
          <w:rFonts w:ascii="Arial" w:hAnsi="Arial" w:cs="Arial"/>
          <w:sz w:val="22"/>
          <w:szCs w:val="22"/>
        </w:rPr>
      </w:pPr>
      <w:bookmarkStart w:id="156" w:name="_Toc232709864"/>
      <w:bookmarkStart w:id="157" w:name="_Toc235118499"/>
      <w:bookmarkStart w:id="158" w:name="_Toc235121231"/>
      <w:r w:rsidRPr="00366557">
        <w:rPr>
          <w:rFonts w:ascii="Arial" w:hAnsi="Arial" w:cs="Arial"/>
          <w:sz w:val="22"/>
          <w:szCs w:val="22"/>
        </w:rPr>
        <w:t>5.1 Overall Conclusion</w:t>
      </w:r>
      <w:bookmarkEnd w:id="156"/>
      <w:bookmarkEnd w:id="157"/>
      <w:bookmarkEnd w:id="158"/>
    </w:p>
    <w:p w14:paraId="769A04A0" w14:textId="5BF3BA66" w:rsidR="00FC0D0B" w:rsidRPr="00366557" w:rsidRDefault="00357420" w:rsidP="00366557">
      <w:pPr>
        <w:spacing w:line="360" w:lineRule="auto"/>
        <w:rPr>
          <w:rFonts w:ascii="Arial" w:hAnsi="Arial" w:cs="Arial"/>
          <w:sz w:val="22"/>
          <w:highlight w:val="yellow"/>
        </w:rPr>
      </w:pPr>
      <w:r w:rsidRPr="00366557">
        <w:rPr>
          <w:rFonts w:ascii="Arial" w:hAnsi="Arial" w:cs="Arial"/>
          <w:sz w:val="22"/>
        </w:rPr>
        <w:t>This dissertation examined the current evidence on transgender inclusive practice, policy and lived experiences and looked at some of the challenges of delivering transgender inclusive health and social care in the United Kingdom. The overall goal of the research was met through identifying barriers to transgender people receiving appropriate, equitable, and respectful services and assessing their impact on transgender people's experiences of health care. The first objective was achieved by defining key concepts in relation to transgender identity and inclusive health and social care and provided the basis for the study. The second goal was met by examining evidence confirming that transgender people still face health inequities, discrimination and have been slow to receive services and to seek treatment in health care environments. The third objective was addressed by consulting relevant policy, legislation and professional guidance in the UK, and empirical evidence, and by identifying the mismatch between policy intentions and practice. Lastly, the fourth goal was achieved by mapping out feasible strategies that can enhance inclusivity through organisation, human resource development, communication and person-centred care. In general, the results showed that barriers to access to inclusive transgender health services are deeply interwoven, systemic, and beyond individual interactions. There has been some progress achieved with equality legislation and greater awareness, but real-life implementation is still not consistent.</w:t>
      </w:r>
    </w:p>
    <w:p w14:paraId="6DCF9909" w14:textId="77777777" w:rsidR="009A37C6" w:rsidRPr="00366557" w:rsidRDefault="009A37C6" w:rsidP="00366557">
      <w:pPr>
        <w:spacing w:line="360" w:lineRule="auto"/>
        <w:rPr>
          <w:rFonts w:ascii="Arial" w:hAnsi="Arial" w:cs="Arial"/>
          <w:sz w:val="22"/>
        </w:rPr>
      </w:pPr>
    </w:p>
    <w:p w14:paraId="06582FA5" w14:textId="0E8C963B" w:rsidR="00560A13" w:rsidRPr="00366557" w:rsidRDefault="00357420" w:rsidP="00366557">
      <w:pPr>
        <w:pStyle w:val="Heading2"/>
        <w:spacing w:after="160" w:line="360" w:lineRule="auto"/>
        <w:rPr>
          <w:rFonts w:ascii="Arial" w:hAnsi="Arial" w:cs="Arial"/>
          <w:sz w:val="22"/>
          <w:szCs w:val="22"/>
        </w:rPr>
      </w:pPr>
      <w:bookmarkStart w:id="159" w:name="_Toc232709865"/>
      <w:bookmarkStart w:id="160" w:name="_Toc235118500"/>
      <w:bookmarkStart w:id="161" w:name="_Toc235121232"/>
      <w:r w:rsidRPr="00366557">
        <w:rPr>
          <w:rFonts w:ascii="Arial" w:hAnsi="Arial" w:cs="Arial"/>
          <w:sz w:val="22"/>
          <w:szCs w:val="22"/>
        </w:rPr>
        <w:t>5.2 Recommendations</w:t>
      </w:r>
      <w:bookmarkEnd w:id="159"/>
      <w:bookmarkEnd w:id="160"/>
      <w:bookmarkEnd w:id="161"/>
    </w:p>
    <w:p w14:paraId="68140AD2" w14:textId="0859845B" w:rsidR="00510590" w:rsidRPr="00366557" w:rsidRDefault="00357420" w:rsidP="00366557">
      <w:pPr>
        <w:pStyle w:val="Heading3"/>
        <w:spacing w:after="160" w:line="360" w:lineRule="auto"/>
        <w:jc w:val="left"/>
        <w:rPr>
          <w:rFonts w:ascii="Arial" w:hAnsi="Arial" w:cs="Arial"/>
          <w:sz w:val="22"/>
          <w:szCs w:val="22"/>
        </w:rPr>
      </w:pPr>
      <w:bookmarkStart w:id="162" w:name="_Toc232709866"/>
      <w:bookmarkStart w:id="163" w:name="_Toc235118501"/>
      <w:bookmarkStart w:id="164" w:name="_Toc235121233"/>
      <w:r w:rsidRPr="00366557">
        <w:rPr>
          <w:rFonts w:ascii="Arial" w:hAnsi="Arial" w:cs="Arial"/>
          <w:sz w:val="22"/>
          <w:szCs w:val="22"/>
        </w:rPr>
        <w:t>Recommendation 1</w:t>
      </w:r>
      <w:bookmarkEnd w:id="162"/>
      <w:bookmarkEnd w:id="163"/>
      <w:bookmarkEnd w:id="164"/>
    </w:p>
    <w:p w14:paraId="742E00EB" w14:textId="77777777" w:rsidR="00FC0D0B" w:rsidRPr="00366557" w:rsidRDefault="00357420" w:rsidP="00366557">
      <w:pPr>
        <w:spacing w:line="360" w:lineRule="auto"/>
        <w:rPr>
          <w:rFonts w:ascii="Arial" w:hAnsi="Arial" w:cs="Arial"/>
          <w:sz w:val="22"/>
        </w:rPr>
      </w:pPr>
      <w:r w:rsidRPr="00366557">
        <w:rPr>
          <w:rFonts w:ascii="Arial" w:hAnsi="Arial" w:cs="Arial"/>
          <w:sz w:val="22"/>
        </w:rPr>
        <w:t xml:space="preserve">Transgender inclusion training for all health/social care professionals should be mandatory and on-going for NHS trusts, social care providers, universities, education providers and professional regulators. Beyond general equality/diversity training, training should cover gender diversity, respectful communication, use of appropriate terminology, legal responsibilities, clinical pathways and use of person-centred care. Incorporate transgender health into pre-registration courses and mandate continuing professional development for practitioners to keep their knowledge current. However, training needs to be tailored to the various professional groups so that clinicians, nurses, allied health professionals, social workers, administrators and support staff understand their roles in the provision of inclusive services. For successful </w:t>
      </w:r>
      <w:r w:rsidRPr="00366557">
        <w:rPr>
          <w:rFonts w:ascii="Arial" w:hAnsi="Arial" w:cs="Arial"/>
          <w:sz w:val="22"/>
        </w:rPr>
        <w:lastRenderedPageBreak/>
        <w:t xml:space="preserve">implementation, organisational leadership is needed, protected learning time, and clear accountability for completion. NHS trusts and social care providers should include transgender inclusion in induction and mandatory annual training and in professional development programmes. </w:t>
      </w:r>
    </w:p>
    <w:p w14:paraId="09538BB1" w14:textId="23E623CB" w:rsidR="00FC0D0B" w:rsidRPr="00366557" w:rsidRDefault="00357420" w:rsidP="00366557">
      <w:pPr>
        <w:spacing w:line="360" w:lineRule="auto"/>
        <w:rPr>
          <w:rFonts w:ascii="Arial" w:hAnsi="Arial" w:cs="Arial"/>
          <w:sz w:val="22"/>
          <w:highlight w:val="yellow"/>
        </w:rPr>
      </w:pPr>
      <w:r w:rsidRPr="00366557">
        <w:rPr>
          <w:rFonts w:ascii="Arial" w:hAnsi="Arial" w:cs="Arial"/>
          <w:sz w:val="22"/>
        </w:rPr>
        <w:t>A partnership between the universities and the transgender community to create educational material based on lived experiences and the monitoring of compliance by the professional regulators by using existing quality assurance processes should be encouraged. Such a partnership would help standardise education and practice and minimise differences in service provision. Financial constraints, staffing deficits, competing training requirements, and attitudes of some staff that may minimise the relevance of transgender healthcare are key challenges. Transgender inclusion can be integrated into existing equality, safeguarding and communication training, rather than developed as separate programmes, to meet these challenges. Organisations would be able to improve workforce preparedness through flexible online learning, supported by practical workshops, leadership commitment and regular evaluation of learning outcomes which would not place undue pressures on service delivery.</w:t>
      </w:r>
    </w:p>
    <w:p w14:paraId="28DE5146" w14:textId="5AB6EA7E" w:rsidR="00510590" w:rsidRPr="00366557" w:rsidRDefault="00357420" w:rsidP="00366557">
      <w:pPr>
        <w:pStyle w:val="Heading3"/>
        <w:spacing w:after="160" w:line="360" w:lineRule="auto"/>
        <w:jc w:val="left"/>
        <w:rPr>
          <w:rFonts w:ascii="Arial" w:hAnsi="Arial" w:cs="Arial"/>
          <w:sz w:val="22"/>
          <w:szCs w:val="22"/>
        </w:rPr>
      </w:pPr>
      <w:bookmarkStart w:id="165" w:name="_Toc232709867"/>
      <w:bookmarkStart w:id="166" w:name="_Toc235118502"/>
      <w:bookmarkStart w:id="167" w:name="_Toc235121234"/>
      <w:r w:rsidRPr="00366557">
        <w:rPr>
          <w:rFonts w:ascii="Arial" w:hAnsi="Arial" w:cs="Arial"/>
          <w:sz w:val="22"/>
          <w:szCs w:val="22"/>
        </w:rPr>
        <w:t>Recommendation</w:t>
      </w:r>
      <w:r w:rsidR="00042420" w:rsidRPr="00366557">
        <w:rPr>
          <w:rFonts w:ascii="Arial" w:hAnsi="Arial" w:cs="Arial"/>
          <w:sz w:val="22"/>
          <w:szCs w:val="22"/>
        </w:rPr>
        <w:t xml:space="preserve"> 2</w:t>
      </w:r>
      <w:bookmarkEnd w:id="165"/>
      <w:bookmarkEnd w:id="166"/>
      <w:bookmarkEnd w:id="167"/>
    </w:p>
    <w:p w14:paraId="0B15722C" w14:textId="3CFCF0D2" w:rsidR="00FC0D0B" w:rsidRPr="00366557" w:rsidRDefault="00357420" w:rsidP="00366557">
      <w:pPr>
        <w:spacing w:line="360" w:lineRule="auto"/>
        <w:rPr>
          <w:rFonts w:ascii="Arial" w:hAnsi="Arial" w:cs="Arial"/>
          <w:sz w:val="22"/>
          <w:highlight w:val="yellow"/>
        </w:rPr>
      </w:pPr>
      <w:r w:rsidRPr="00366557">
        <w:rPr>
          <w:rFonts w:ascii="Arial" w:hAnsi="Arial" w:cs="Arial"/>
          <w:sz w:val="22"/>
        </w:rPr>
        <w:t>NHS England, ICSs, primary care networks, NHS trusts, social care providers and digital system providers should support each other to strengthen referral pathways, policies and administrative processes to enhance access to inclusive care. There are proscribed referral processes so that there is no unnecessary delay, and the assessment is not duplicated or different between healthcare providers. It is also important that EHRs accurately reflect selected names, pronouns, and gender identity, remain confidential, and allow this information to be consistently identified throughout the services provided to an organisation's clients. Clear clinical guidance should enable multi-disciplinary working and give staff boundaries for referrals throughout the pathways to limit uncertainty. Organisations should update policies regularly to be in line with legislation, professional guidelines and the evolving healthcare needs of transgender people.</w:t>
      </w:r>
    </w:p>
    <w:p w14:paraId="3BF8167E" w14:textId="404957EF" w:rsidR="00FC0D0B" w:rsidRPr="00366557" w:rsidRDefault="00357420" w:rsidP="00366557">
      <w:pPr>
        <w:spacing w:line="360" w:lineRule="auto"/>
        <w:rPr>
          <w:rFonts w:ascii="Arial" w:hAnsi="Arial" w:cs="Arial"/>
          <w:sz w:val="22"/>
          <w:highlight w:val="yellow"/>
        </w:rPr>
      </w:pPr>
      <w:r w:rsidRPr="00366557">
        <w:rPr>
          <w:rFonts w:ascii="Arial" w:hAnsi="Arial" w:cs="Arial"/>
          <w:sz w:val="22"/>
        </w:rPr>
        <w:t xml:space="preserve">Digital system controllers should create record systems that meet patients' needs regardless of their gender while maintaining patient continuity and safety. Monitoring should be undertaken routinely using NHS England's service evaluation and NHS patient experience data to provide information about the regional variations in provision to facilitate ongoing quality improvement by both NHS England and ICBs. However, limited funding, variance in digital infrastructure, as </w:t>
      </w:r>
      <w:r w:rsidRPr="00366557">
        <w:rPr>
          <w:rFonts w:ascii="Arial" w:hAnsi="Arial" w:cs="Arial"/>
          <w:sz w:val="22"/>
        </w:rPr>
        <w:lastRenderedPageBreak/>
        <w:t>well as variation in local service capacity may be restricting implementation. The current information systems could also need significant changes before inclusive recording practices are eagerly implemented. The barriers can be addressed through gradual rollout, a national approach to inclusive digital records, investment in priority issues and partnerships between commissioners, healthcare providers and technology suppliers. National guidance with local flexibilities would deliver more consistency and better service outcomes would respond to the needs of local populations.</w:t>
      </w:r>
    </w:p>
    <w:p w14:paraId="09362554" w14:textId="35E4FE1C" w:rsidR="00510590" w:rsidRPr="00366557" w:rsidRDefault="00357420" w:rsidP="00366557">
      <w:pPr>
        <w:pStyle w:val="Heading3"/>
        <w:spacing w:after="160" w:line="360" w:lineRule="auto"/>
        <w:jc w:val="left"/>
        <w:rPr>
          <w:rFonts w:ascii="Arial" w:hAnsi="Arial" w:cs="Arial"/>
          <w:sz w:val="22"/>
          <w:szCs w:val="22"/>
        </w:rPr>
      </w:pPr>
      <w:bookmarkStart w:id="168" w:name="_Toc232709868"/>
      <w:bookmarkStart w:id="169" w:name="_Toc235118503"/>
      <w:bookmarkStart w:id="170" w:name="_Toc235121235"/>
      <w:r w:rsidRPr="00366557">
        <w:rPr>
          <w:rFonts w:ascii="Arial" w:hAnsi="Arial" w:cs="Arial"/>
          <w:sz w:val="22"/>
          <w:szCs w:val="22"/>
        </w:rPr>
        <w:t>Recommendation 3</w:t>
      </w:r>
      <w:bookmarkEnd w:id="168"/>
      <w:bookmarkEnd w:id="169"/>
      <w:bookmarkEnd w:id="170"/>
    </w:p>
    <w:p w14:paraId="661C2C5E" w14:textId="61DEF1AE" w:rsidR="00514BB7" w:rsidRPr="00366557" w:rsidRDefault="00357420" w:rsidP="00366557">
      <w:pPr>
        <w:spacing w:line="360" w:lineRule="auto"/>
        <w:rPr>
          <w:rFonts w:ascii="Arial" w:hAnsi="Arial" w:cs="Arial"/>
          <w:sz w:val="22"/>
        </w:rPr>
      </w:pPr>
      <w:r w:rsidRPr="00366557">
        <w:rPr>
          <w:rFonts w:ascii="Arial" w:hAnsi="Arial" w:cs="Arial"/>
          <w:sz w:val="22"/>
        </w:rPr>
        <w:t>Health and social care organisations, NHS trusts, Integrated Care Boards, local authorities and community organisations should encourage greater meaningful involvement of transgender individuals in the design, delivery and evaluation of health and social care services. In addition to the professional views, organisations should also include patients and transgender people in the service plan, policy-making, education and improvement processes through patient advisory groups, consultation panels and co-production processes. Community organisations must be acknowledged as partners in these processes, due to their knowledge of local needs and their capacity to reach out to people who have lower trust in healthcare services. The purposeful integration between organisations and service users would enhance communication between the two, and allow healthcare information, appointment processes, support services and patient materials to be available, inclusive and responsive to a variety of patient experiences.</w:t>
      </w:r>
    </w:p>
    <w:p w14:paraId="01C00F36" w14:textId="57BDA894" w:rsidR="00514BB7" w:rsidRPr="00366557" w:rsidRDefault="00357420" w:rsidP="00366557">
      <w:pPr>
        <w:spacing w:line="360" w:lineRule="auto"/>
        <w:rPr>
          <w:rFonts w:ascii="Arial" w:hAnsi="Arial" w:cs="Arial"/>
          <w:sz w:val="22"/>
        </w:rPr>
      </w:pPr>
      <w:r w:rsidRPr="00366557">
        <w:rPr>
          <w:rFonts w:ascii="Arial" w:hAnsi="Arial" w:cs="Arial"/>
          <w:sz w:val="22"/>
        </w:rPr>
        <w:t>There is a need for regular patient feedback and evidence that patient feedback has led to changes to services. To publish outcomes of consultation activities would help to raise the visibility and foster ongoing engagement of transgender communities. One major challenge is that past experiences of discrimination can deter some trans gender people from accessing health care institutions. There may also be constraints on finances, staff capacity and recruiting a diverse group of participants, which can negatively affect the effectiveness of co-production initiatives. Safe and accessible consultation opportunities; engaging in online and face-to-face consultation; providing reimbursements of participants' time where appropriate; long-term partnerships between government and community organisations. By providing evidence of the impact of patient feedback on improving services, trust in the system will increase and more people will want to take part in future service improvements.</w:t>
      </w:r>
    </w:p>
    <w:p w14:paraId="5B0835D0" w14:textId="77777777" w:rsidR="00633B3E" w:rsidRPr="00366557" w:rsidRDefault="00633B3E" w:rsidP="00366557">
      <w:pPr>
        <w:spacing w:line="360" w:lineRule="auto"/>
        <w:rPr>
          <w:rFonts w:ascii="Arial" w:hAnsi="Arial" w:cs="Arial"/>
          <w:sz w:val="22"/>
        </w:rPr>
      </w:pPr>
    </w:p>
    <w:p w14:paraId="3F6D7EF0" w14:textId="06158D49" w:rsidR="006B6E13" w:rsidRPr="00366557" w:rsidRDefault="00357420" w:rsidP="00366557">
      <w:pPr>
        <w:pStyle w:val="Heading2"/>
        <w:spacing w:line="360" w:lineRule="auto"/>
        <w:rPr>
          <w:rFonts w:ascii="Arial" w:hAnsi="Arial" w:cs="Arial"/>
          <w:sz w:val="22"/>
          <w:szCs w:val="22"/>
        </w:rPr>
      </w:pPr>
      <w:bookmarkStart w:id="171" w:name="_Toc235118504"/>
      <w:bookmarkStart w:id="172" w:name="_Toc235121236"/>
      <w:r w:rsidRPr="00366557">
        <w:rPr>
          <w:rFonts w:ascii="Arial" w:hAnsi="Arial" w:cs="Arial"/>
          <w:sz w:val="22"/>
          <w:szCs w:val="22"/>
        </w:rPr>
        <w:lastRenderedPageBreak/>
        <w:t xml:space="preserve">5.3 </w:t>
      </w:r>
      <w:r w:rsidR="00CE0B78" w:rsidRPr="00366557">
        <w:rPr>
          <w:rFonts w:ascii="Arial" w:hAnsi="Arial" w:cs="Arial"/>
          <w:sz w:val="22"/>
          <w:szCs w:val="22"/>
        </w:rPr>
        <w:t>End Of Dissertation</w:t>
      </w:r>
      <w:bookmarkEnd w:id="171"/>
      <w:bookmarkEnd w:id="172"/>
    </w:p>
    <w:bookmarkEnd w:id="95"/>
    <w:p w14:paraId="6DFD5AC4" w14:textId="7D37ABA9" w:rsidR="00514BB7" w:rsidRPr="00366557" w:rsidRDefault="00357420" w:rsidP="00366557">
      <w:pPr>
        <w:spacing w:line="360" w:lineRule="auto"/>
        <w:rPr>
          <w:rFonts w:ascii="Arial" w:hAnsi="Arial" w:cs="Arial"/>
          <w:sz w:val="22"/>
        </w:rPr>
      </w:pPr>
      <w:r w:rsidRPr="00366557">
        <w:rPr>
          <w:rFonts w:ascii="Arial" w:hAnsi="Arial" w:cs="Arial"/>
          <w:sz w:val="22"/>
        </w:rPr>
        <w:t>All of these recommendations offer a practical approach to making health and social care more inclusive for transgender people in the United Kingdom. They know that effective change will not happen unless it is coordinated across individual, organisational and system levels—rather than individual levels. Healthcare providers can address inequalities and enhance the quality of services provided to transgender individuals through workforce education and training, inclusive organisational practices, and active participation in services development and delivery. The recommendations made here would help to improve the quality of health and social care services for transgender people, with a greater focus on providing them with a better experience, a positive perception and a sense of trust.</w:t>
      </w:r>
    </w:p>
    <w:p w14:paraId="38EF84C3" w14:textId="57C50448" w:rsidR="00EF6404" w:rsidRPr="00366557" w:rsidRDefault="00357420" w:rsidP="00366557">
      <w:pPr>
        <w:spacing w:line="360" w:lineRule="auto"/>
        <w:rPr>
          <w:rFonts w:ascii="Arial" w:hAnsi="Arial" w:cs="Arial"/>
          <w:sz w:val="22"/>
        </w:rPr>
      </w:pPr>
      <w:r w:rsidRPr="00366557">
        <w:rPr>
          <w:rFonts w:ascii="Arial" w:hAnsi="Arial" w:cs="Arial"/>
          <w:sz w:val="22"/>
        </w:rPr>
        <w:br w:type="page"/>
      </w:r>
    </w:p>
    <w:p w14:paraId="7AB60CBA" w14:textId="5736CFBE" w:rsidR="006E42DA" w:rsidRPr="00366557" w:rsidRDefault="00357420" w:rsidP="00366557">
      <w:pPr>
        <w:pStyle w:val="Heading1"/>
        <w:spacing w:after="160" w:line="360" w:lineRule="auto"/>
        <w:rPr>
          <w:rFonts w:ascii="Arial" w:hAnsi="Arial" w:cs="Arial"/>
          <w:sz w:val="22"/>
          <w:szCs w:val="22"/>
        </w:rPr>
      </w:pPr>
      <w:bookmarkStart w:id="173" w:name="_Toc232709869"/>
      <w:bookmarkStart w:id="174" w:name="_Toc235118505"/>
      <w:bookmarkStart w:id="175" w:name="_Toc235121237"/>
      <w:r w:rsidRPr="00366557">
        <w:rPr>
          <w:rFonts w:ascii="Arial" w:hAnsi="Arial" w:cs="Arial"/>
          <w:sz w:val="22"/>
          <w:szCs w:val="22"/>
        </w:rPr>
        <w:lastRenderedPageBreak/>
        <w:t>References</w:t>
      </w:r>
      <w:bookmarkEnd w:id="173"/>
      <w:bookmarkEnd w:id="174"/>
      <w:bookmarkEnd w:id="175"/>
    </w:p>
    <w:p w14:paraId="5E353113"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Ahmed, S.K., Mohammed, R.A., Nashwan, A.J., Ibrahim, R.H., Abdalla, A.Q., Ameen, B.M.M. and Khdhir, R.M. (2025) Using thematic analysis in qualitative research. </w:t>
      </w:r>
      <w:r w:rsidRPr="00366557">
        <w:rPr>
          <w:rFonts w:ascii="Arial" w:hAnsi="Arial" w:cs="Arial"/>
          <w:i/>
          <w:iCs/>
          <w:sz w:val="22"/>
        </w:rPr>
        <w:t>Journal of Medicine, Surgery, and Public Health</w:t>
      </w:r>
      <w:r w:rsidRPr="00366557">
        <w:rPr>
          <w:rFonts w:ascii="Arial" w:hAnsi="Arial" w:cs="Arial"/>
          <w:sz w:val="22"/>
        </w:rPr>
        <w:t>, 6, p. 100198.</w:t>
      </w:r>
    </w:p>
    <w:p w14:paraId="39A88091"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Asokan-Ajitha, A. and Sengupta, S. (2026) Creating inclusive servicescapes: transforming service encounters for a more equitable society. </w:t>
      </w:r>
      <w:r w:rsidRPr="00366557">
        <w:rPr>
          <w:rFonts w:ascii="Arial" w:hAnsi="Arial" w:cs="Arial"/>
          <w:i/>
          <w:iCs/>
          <w:sz w:val="22"/>
        </w:rPr>
        <w:t>Journal of Services Marketing</w:t>
      </w:r>
      <w:r w:rsidRPr="00366557">
        <w:rPr>
          <w:rFonts w:ascii="Arial" w:hAnsi="Arial" w:cs="Arial"/>
          <w:sz w:val="22"/>
        </w:rPr>
        <w:t>, 40(2), pp. 167-187.</w:t>
      </w:r>
    </w:p>
    <w:p w14:paraId="10590C47"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Bartlett, A., Faber, S., Williams, M. and Saxberg, K. (2022) Getting to the root of the problem: Supporting clients with lived-experiences of systemic discrimination. </w:t>
      </w:r>
      <w:r w:rsidRPr="00366557">
        <w:rPr>
          <w:rFonts w:ascii="Arial" w:hAnsi="Arial" w:cs="Arial"/>
          <w:i/>
          <w:iCs/>
          <w:sz w:val="22"/>
        </w:rPr>
        <w:t>Chronic Stress</w:t>
      </w:r>
      <w:r w:rsidRPr="00366557">
        <w:rPr>
          <w:rFonts w:ascii="Arial" w:hAnsi="Arial" w:cs="Arial"/>
          <w:sz w:val="22"/>
        </w:rPr>
        <w:t>, 6, p. 24705470221139205.</w:t>
      </w:r>
    </w:p>
    <w:p w14:paraId="4338ABDA"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Bellass, S., Scharf, T., Errington, L., Bowden Davies, K., Robinson, S., Runacres, A., Ventre, J., Witham, M.D., Sayer, A.A. and Cooper, R. (2024) Experiences of hospital care for people with multiple long-term conditions: a scoping review of qualitative research. </w:t>
      </w:r>
      <w:r w:rsidRPr="00366557">
        <w:rPr>
          <w:rFonts w:ascii="Arial" w:hAnsi="Arial" w:cs="Arial"/>
          <w:i/>
          <w:iCs/>
          <w:sz w:val="22"/>
        </w:rPr>
        <w:t>BMC Medicine</w:t>
      </w:r>
      <w:r w:rsidRPr="00366557">
        <w:rPr>
          <w:rFonts w:ascii="Arial" w:hAnsi="Arial" w:cs="Arial"/>
          <w:sz w:val="22"/>
        </w:rPr>
        <w:t>, 22(1), p. 25.</w:t>
      </w:r>
    </w:p>
    <w:p w14:paraId="70259C8A"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Berner, A.M., Connolly, D.J., Pinnell, I., Wolton, A., MacNaughton, A., Challen, C., Nambiar, K., Bayliss, J., Barrett, J. and Richards, C. (2021) Attitudes of transgender men and non-binary people to cervical screening: a cross-sectional mixed-methods study in the UK. </w:t>
      </w:r>
      <w:r w:rsidRPr="00366557">
        <w:rPr>
          <w:rFonts w:ascii="Arial" w:hAnsi="Arial" w:cs="Arial"/>
          <w:i/>
          <w:iCs/>
          <w:sz w:val="22"/>
        </w:rPr>
        <w:t>British Journal of General Practice</w:t>
      </w:r>
      <w:r w:rsidRPr="00366557">
        <w:rPr>
          <w:rFonts w:ascii="Arial" w:hAnsi="Arial" w:cs="Arial"/>
          <w:sz w:val="22"/>
        </w:rPr>
        <w:t>, 71(709), pp. e614-e625.</w:t>
      </w:r>
    </w:p>
    <w:p w14:paraId="6DF34BDF"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Bilotta, F., Prus, K. and Martinez, A. (2025) Patient satisfaction as an outcome in patient-centred care: role of diversity. In: </w:t>
      </w:r>
      <w:r w:rsidRPr="00366557">
        <w:rPr>
          <w:rFonts w:ascii="Arial" w:hAnsi="Arial" w:cs="Arial"/>
          <w:i/>
          <w:iCs/>
          <w:sz w:val="22"/>
        </w:rPr>
        <w:t>Diversity, Gender Equity and Inclusion in Critical Care and Perioperative Medicine: A New Guidance for Team Excellence</w:t>
      </w:r>
      <w:r w:rsidRPr="00366557">
        <w:rPr>
          <w:rFonts w:ascii="Arial" w:hAnsi="Arial" w:cs="Arial"/>
          <w:sz w:val="22"/>
        </w:rPr>
        <w:t>. Cham: Springer Nature Switzerland, pp. 81-93.</w:t>
      </w:r>
    </w:p>
    <w:p w14:paraId="29B2A007"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Borras, A.M. (2025) </w:t>
      </w:r>
      <w:r w:rsidRPr="00366557">
        <w:rPr>
          <w:rFonts w:ascii="Arial" w:hAnsi="Arial" w:cs="Arial"/>
          <w:i/>
          <w:iCs/>
          <w:sz w:val="22"/>
        </w:rPr>
        <w:t>Health and health care inequities: A critical political economy perspective</w:t>
      </w:r>
      <w:r w:rsidRPr="00366557">
        <w:rPr>
          <w:rFonts w:ascii="Arial" w:hAnsi="Arial" w:cs="Arial"/>
          <w:sz w:val="22"/>
        </w:rPr>
        <w:t>. Halifax: Fernwood Publishing.</w:t>
      </w:r>
    </w:p>
    <w:p w14:paraId="44B1E351"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Bowers, M.L. (2025) A history of gender-affirming surgery. In: </w:t>
      </w:r>
      <w:r w:rsidRPr="00366557">
        <w:rPr>
          <w:rFonts w:ascii="Arial" w:hAnsi="Arial" w:cs="Arial"/>
          <w:i/>
          <w:iCs/>
          <w:sz w:val="22"/>
        </w:rPr>
        <w:t>Gender Affirming Vaginoplasty</w:t>
      </w:r>
      <w:r w:rsidRPr="00366557">
        <w:rPr>
          <w:rFonts w:ascii="Arial" w:hAnsi="Arial" w:cs="Arial"/>
          <w:sz w:val="22"/>
        </w:rPr>
        <w:t>. London: Academic Press, pp. 1-21.</w:t>
      </w:r>
    </w:p>
    <w:p w14:paraId="776A6BCB"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Braybrook, D., Bristowe, K., Timmins, L., Roach, A., Day, E., Clift, P., Rose, R., Marshall, S., Johnson, K., Sleeman, K.E. and Harding, R. (2023) Communication about sexual orientation and gender between clinicians, LGBT+ people facing serious illness and their </w:t>
      </w:r>
      <w:r w:rsidRPr="00366557">
        <w:rPr>
          <w:rFonts w:ascii="Arial" w:hAnsi="Arial" w:cs="Arial"/>
          <w:sz w:val="22"/>
        </w:rPr>
        <w:lastRenderedPageBreak/>
        <w:t xml:space="preserve">significant others: a qualitative interview study of experiences, preferences and recommendations. </w:t>
      </w:r>
      <w:r w:rsidRPr="00366557">
        <w:rPr>
          <w:rFonts w:ascii="Arial" w:hAnsi="Arial" w:cs="Arial"/>
          <w:i/>
          <w:iCs/>
          <w:sz w:val="22"/>
        </w:rPr>
        <w:t>BMJ Quality &amp; Safety</w:t>
      </w:r>
      <w:r w:rsidRPr="00366557">
        <w:rPr>
          <w:rFonts w:ascii="Arial" w:hAnsi="Arial" w:cs="Arial"/>
          <w:sz w:val="22"/>
        </w:rPr>
        <w:t>, 32(2), pp. 109-120.</w:t>
      </w:r>
    </w:p>
    <w:p w14:paraId="48B654FD"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Burkholder, J.M. and Phillips, K. (2022) Breaking down Bias: A Practical Framework for the Systematic Evaluation of Source Bias. </w:t>
      </w:r>
      <w:r w:rsidRPr="00366557">
        <w:rPr>
          <w:rFonts w:ascii="Arial" w:hAnsi="Arial" w:cs="Arial"/>
          <w:i/>
          <w:iCs/>
          <w:sz w:val="22"/>
        </w:rPr>
        <w:t>Journal of Information Literacy</w:t>
      </w:r>
      <w:r w:rsidRPr="00366557">
        <w:rPr>
          <w:rFonts w:ascii="Arial" w:hAnsi="Arial" w:cs="Arial"/>
          <w:sz w:val="22"/>
        </w:rPr>
        <w:t>, 16(2), pp. 53-68.</w:t>
      </w:r>
    </w:p>
    <w:p w14:paraId="15E74CB3"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Chong, L.S., Kerklaan, J., Clarke, S., Kohn, M., Baumgart, A., Guha, C., Tunnicliffe, D.J., Hanson, C.S., Craig, J.C. and Tong, A. (2021) Experiences and perspectives of transgender youths in accessing health care: a systematic review. </w:t>
      </w:r>
      <w:r w:rsidRPr="00366557">
        <w:rPr>
          <w:rFonts w:ascii="Arial" w:hAnsi="Arial" w:cs="Arial"/>
          <w:i/>
          <w:iCs/>
          <w:sz w:val="22"/>
        </w:rPr>
        <w:t>JAMA Pediatrics</w:t>
      </w:r>
      <w:r w:rsidRPr="00366557">
        <w:rPr>
          <w:rFonts w:ascii="Arial" w:hAnsi="Arial" w:cs="Arial"/>
          <w:sz w:val="22"/>
        </w:rPr>
        <w:t>, 175(11), pp. 1159-1173.</w:t>
      </w:r>
    </w:p>
    <w:p w14:paraId="657619E2"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Connolly, D.J., Meads, C., Wurm, A., Brown, C., Bayliss, J., Oakes-Monger, T.C. and Berner, A.M. (2025) Transphobia in the United Kingdom: a public health crisis. </w:t>
      </w:r>
      <w:r w:rsidRPr="00366557">
        <w:rPr>
          <w:rFonts w:ascii="Arial" w:hAnsi="Arial" w:cs="Arial"/>
          <w:i/>
          <w:iCs/>
          <w:sz w:val="22"/>
        </w:rPr>
        <w:t>International Journal for Equity in Health</w:t>
      </w:r>
      <w:r w:rsidRPr="00366557">
        <w:rPr>
          <w:rFonts w:ascii="Arial" w:hAnsi="Arial" w:cs="Arial"/>
          <w:sz w:val="22"/>
        </w:rPr>
        <w:t>, 24(1), p. 155.</w:t>
      </w:r>
    </w:p>
    <w:p w14:paraId="7ECBEF67"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Costa, D. (2023) Transgender health between barriers: a scoping review and integrated strategies. </w:t>
      </w:r>
      <w:r w:rsidRPr="00366557">
        <w:rPr>
          <w:rFonts w:ascii="Arial" w:hAnsi="Arial" w:cs="Arial"/>
          <w:i/>
          <w:iCs/>
          <w:sz w:val="22"/>
        </w:rPr>
        <w:t>Societies</w:t>
      </w:r>
      <w:r w:rsidRPr="00366557">
        <w:rPr>
          <w:rFonts w:ascii="Arial" w:hAnsi="Arial" w:cs="Arial"/>
          <w:sz w:val="22"/>
        </w:rPr>
        <w:t>, 13(5), p. 125.</w:t>
      </w:r>
    </w:p>
    <w:p w14:paraId="70AC4FBB"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De Grip, A. (2024) The importance of informal learning at work. </w:t>
      </w:r>
      <w:r w:rsidRPr="00366557">
        <w:rPr>
          <w:rFonts w:ascii="Arial" w:hAnsi="Arial" w:cs="Arial"/>
          <w:i/>
          <w:iCs/>
          <w:sz w:val="22"/>
        </w:rPr>
        <w:t>IZA World of Labor</w:t>
      </w:r>
      <w:r w:rsidRPr="00366557">
        <w:rPr>
          <w:rFonts w:ascii="Arial" w:hAnsi="Arial" w:cs="Arial"/>
          <w:sz w:val="22"/>
        </w:rPr>
        <w:t>, p. 301.</w:t>
      </w:r>
    </w:p>
    <w:p w14:paraId="1D7BA8F4"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Ebert, M.R., Guo, M.S., Klein, S.J., Doren, E.L. and Klement, K.A. (2025) Barriers of access to gender-affirming health care and surgery: a systematic review. </w:t>
      </w:r>
      <w:r w:rsidRPr="00366557">
        <w:rPr>
          <w:rFonts w:ascii="Arial" w:hAnsi="Arial" w:cs="Arial"/>
          <w:i/>
          <w:iCs/>
          <w:sz w:val="22"/>
        </w:rPr>
        <w:t>Transgender Health</w:t>
      </w:r>
      <w:r w:rsidRPr="00366557">
        <w:rPr>
          <w:rFonts w:ascii="Arial" w:hAnsi="Arial" w:cs="Arial"/>
          <w:sz w:val="22"/>
        </w:rPr>
        <w:t>, 10(5), pp. 418-427.</w:t>
      </w:r>
    </w:p>
    <w:p w14:paraId="2C0D6166"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Ekman, I. and Swedberg, K. (2022) Person-centred care, theory, operationalisation and effects. In: </w:t>
      </w:r>
      <w:r w:rsidRPr="00366557">
        <w:rPr>
          <w:rFonts w:ascii="Arial" w:hAnsi="Arial" w:cs="Arial"/>
          <w:i/>
          <w:iCs/>
          <w:sz w:val="22"/>
        </w:rPr>
        <w:t>Intelligent systems for sustainable person-centred healthcare</w:t>
      </w:r>
      <w:r w:rsidRPr="00366557">
        <w:rPr>
          <w:rFonts w:ascii="Arial" w:hAnsi="Arial" w:cs="Arial"/>
          <w:sz w:val="22"/>
        </w:rPr>
        <w:t>. Cham: Springer International Publishing, pp. 23-33.</w:t>
      </w:r>
    </w:p>
    <w:p w14:paraId="185E47D8"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Firmansyah, D. and Saepuloh, D. (2022) Social learning theory: Cognitive and behavioural approaches. </w:t>
      </w:r>
      <w:r w:rsidRPr="00366557">
        <w:rPr>
          <w:rFonts w:ascii="Arial" w:hAnsi="Arial" w:cs="Arial"/>
          <w:i/>
          <w:iCs/>
          <w:sz w:val="22"/>
        </w:rPr>
        <w:t>Jurnal Ilmiah Pendidikan Holistik (JIPH)</w:t>
      </w:r>
      <w:r w:rsidRPr="00366557">
        <w:rPr>
          <w:rFonts w:ascii="Arial" w:hAnsi="Arial" w:cs="Arial"/>
          <w:sz w:val="22"/>
        </w:rPr>
        <w:t>, 1(3), pp. 297-324.</w:t>
      </w:r>
    </w:p>
    <w:p w14:paraId="73F6EF60"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Franklin, J., Thakur, A. and Patel, V. (2025) How doctors think about their role in transgender care: a qualitative study of UK general practitioners and endocrinologists. </w:t>
      </w:r>
      <w:r w:rsidRPr="00366557">
        <w:rPr>
          <w:rFonts w:ascii="Arial" w:hAnsi="Arial" w:cs="Arial"/>
          <w:i/>
          <w:iCs/>
          <w:sz w:val="22"/>
        </w:rPr>
        <w:t>Journal of the Royal Society of Medicine</w:t>
      </w:r>
      <w:r w:rsidRPr="00366557">
        <w:rPr>
          <w:rFonts w:ascii="Arial" w:hAnsi="Arial" w:cs="Arial"/>
          <w:sz w:val="22"/>
        </w:rPr>
        <w:t>, 118(9), pp. 283-292.</w:t>
      </w:r>
    </w:p>
    <w:p w14:paraId="634A21C5"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Fremont, D., Buh, A., Hoar-Stephens, C., Biyani, N., Mahbub, S., Singla, R., Zameer, M., Nsen, P.M., Kang, R., Kiska, R. and Fung, S.G. (2026) Equity, diversity, and inclusion programs in health care institutions: a systematic review and meta-analysis. </w:t>
      </w:r>
      <w:r w:rsidRPr="00366557">
        <w:rPr>
          <w:rFonts w:ascii="Arial" w:hAnsi="Arial" w:cs="Arial"/>
          <w:i/>
          <w:iCs/>
          <w:sz w:val="22"/>
        </w:rPr>
        <w:t>JAMA Network Open</w:t>
      </w:r>
      <w:r w:rsidRPr="00366557">
        <w:rPr>
          <w:rFonts w:ascii="Arial" w:hAnsi="Arial" w:cs="Arial"/>
          <w:sz w:val="22"/>
        </w:rPr>
        <w:t>, 9(2), p. e2555896.</w:t>
      </w:r>
    </w:p>
    <w:p w14:paraId="2DFE71FC"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lastRenderedPageBreak/>
        <w:t xml:space="preserve">García-Acosta, J.M., Castro-Molina, F.J., Fernández-Martínez, A.D., Delgado-Reyes, A. and Castellano-Fuenmayor, M.A. (2024) Best nursing practice: Safe and inclusive healthcare environments for transgender people: A systematic review. </w:t>
      </w:r>
      <w:r w:rsidRPr="00366557">
        <w:rPr>
          <w:rFonts w:ascii="Arial" w:hAnsi="Arial" w:cs="Arial"/>
          <w:i/>
          <w:iCs/>
          <w:sz w:val="22"/>
        </w:rPr>
        <w:t>Nursing Reports</w:t>
      </w:r>
      <w:r w:rsidRPr="00366557">
        <w:rPr>
          <w:rFonts w:ascii="Arial" w:hAnsi="Arial" w:cs="Arial"/>
          <w:sz w:val="22"/>
        </w:rPr>
        <w:t>, 14(1), pp. 287-302.</w:t>
      </w:r>
    </w:p>
    <w:p w14:paraId="1567AE36"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Gerken, A. (2026) </w:t>
      </w:r>
      <w:r w:rsidRPr="00366557">
        <w:rPr>
          <w:rFonts w:ascii="Arial" w:hAnsi="Arial" w:cs="Arial"/>
          <w:i/>
          <w:iCs/>
          <w:sz w:val="22"/>
        </w:rPr>
        <w:t>A Systematic Literature Review: The Barriers Impacting Healthcare Services Within the Transgender and Gender Nonconforming Community</w:t>
      </w:r>
      <w:r w:rsidRPr="00366557">
        <w:rPr>
          <w:rFonts w:ascii="Arial" w:hAnsi="Arial" w:cs="Arial"/>
          <w:sz w:val="22"/>
        </w:rPr>
        <w:t>. Master's thesis. University of Nebraska.</w:t>
      </w:r>
    </w:p>
    <w:p w14:paraId="4593030B"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Ghamrawi, N., Shal, T., Ghamrawi, N.A., Abu-Tineh, A., Alshaboul, Y. and Alazaizeh, M.A. (2025) A step-by-step approach to systematic reviews in educational research. </w:t>
      </w:r>
      <w:r w:rsidRPr="00366557">
        <w:rPr>
          <w:rFonts w:ascii="Arial" w:hAnsi="Arial" w:cs="Arial"/>
          <w:i/>
          <w:iCs/>
          <w:sz w:val="22"/>
        </w:rPr>
        <w:t>European Journal of Educational Research</w:t>
      </w:r>
      <w:r w:rsidRPr="00366557">
        <w:rPr>
          <w:rFonts w:ascii="Arial" w:hAnsi="Arial" w:cs="Arial"/>
          <w:sz w:val="22"/>
        </w:rPr>
        <w:t>, 14(2), pp. 549-566.</w:t>
      </w:r>
    </w:p>
    <w:p w14:paraId="33E88407"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Global Action for Trans Equality (2012) </w:t>
      </w:r>
      <w:r w:rsidRPr="00366557">
        <w:rPr>
          <w:rFonts w:ascii="Arial" w:hAnsi="Arial" w:cs="Arial"/>
          <w:i/>
          <w:iCs/>
          <w:sz w:val="22"/>
        </w:rPr>
        <w:t>Argentina gender identity law - English translation document</w:t>
      </w:r>
      <w:r w:rsidRPr="00366557">
        <w:rPr>
          <w:rFonts w:ascii="Arial" w:hAnsi="Arial" w:cs="Arial"/>
          <w:sz w:val="22"/>
        </w:rPr>
        <w:t xml:space="preserve">. Available at: </w:t>
      </w:r>
      <w:hyperlink r:id="rId12" w:tgtFrame="_blank" w:history="1">
        <w:r w:rsidRPr="00366557">
          <w:rPr>
            <w:rStyle w:val="Hyperlink"/>
            <w:rFonts w:ascii="Arial" w:hAnsi="Arial" w:cs="Arial"/>
            <w:sz w:val="22"/>
          </w:rPr>
          <w:t>https://gate.ngo/knowledge-portal/publication/argentina-gender-identity-law-english-translation-document/</w:t>
        </w:r>
      </w:hyperlink>
      <w:r w:rsidRPr="00366557">
        <w:rPr>
          <w:rFonts w:ascii="Arial" w:hAnsi="Arial" w:cs="Arial"/>
          <w:sz w:val="22"/>
        </w:rPr>
        <w:t xml:space="preserve"> (Accessed: 18 June 2026).</w:t>
      </w:r>
    </w:p>
    <w:p w14:paraId="7A1DE1DF"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GOV.UK (2004) </w:t>
      </w:r>
      <w:r w:rsidRPr="00366557">
        <w:rPr>
          <w:rFonts w:ascii="Arial" w:hAnsi="Arial" w:cs="Arial"/>
          <w:i/>
          <w:iCs/>
          <w:sz w:val="22"/>
        </w:rPr>
        <w:t>Gender Recognition Act 2004</w:t>
      </w:r>
      <w:r w:rsidRPr="00366557">
        <w:rPr>
          <w:rFonts w:ascii="Arial" w:hAnsi="Arial" w:cs="Arial"/>
          <w:sz w:val="22"/>
        </w:rPr>
        <w:t xml:space="preserve">. Available at: </w:t>
      </w:r>
      <w:hyperlink r:id="rId13" w:tgtFrame="_blank" w:history="1">
        <w:r w:rsidRPr="00366557">
          <w:rPr>
            <w:rStyle w:val="Hyperlink"/>
            <w:rFonts w:ascii="Arial" w:hAnsi="Arial" w:cs="Arial"/>
            <w:sz w:val="22"/>
          </w:rPr>
          <w:t>https://www.legislation.gov.uk/ukpga/2004/7/contents</w:t>
        </w:r>
      </w:hyperlink>
      <w:r w:rsidRPr="00366557">
        <w:rPr>
          <w:rFonts w:ascii="Arial" w:hAnsi="Arial" w:cs="Arial"/>
          <w:sz w:val="22"/>
        </w:rPr>
        <w:t xml:space="preserve"> (Accessed: 18 June 2026).</w:t>
      </w:r>
    </w:p>
    <w:p w14:paraId="676F2657"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GOV.UK (2010) </w:t>
      </w:r>
      <w:r w:rsidRPr="00366557">
        <w:rPr>
          <w:rFonts w:ascii="Arial" w:hAnsi="Arial" w:cs="Arial"/>
          <w:i/>
          <w:iCs/>
          <w:sz w:val="22"/>
        </w:rPr>
        <w:t>Equality Act 2010</w:t>
      </w:r>
      <w:r w:rsidRPr="00366557">
        <w:rPr>
          <w:rFonts w:ascii="Arial" w:hAnsi="Arial" w:cs="Arial"/>
          <w:sz w:val="22"/>
        </w:rPr>
        <w:t xml:space="preserve">. Available at: </w:t>
      </w:r>
      <w:hyperlink r:id="rId14" w:tgtFrame="_blank" w:history="1">
        <w:r w:rsidRPr="00366557">
          <w:rPr>
            <w:rStyle w:val="Hyperlink"/>
            <w:rFonts w:ascii="Arial" w:hAnsi="Arial" w:cs="Arial"/>
            <w:sz w:val="22"/>
          </w:rPr>
          <w:t>https://www.legislation.gov.uk/ukpga/2010/15/contents</w:t>
        </w:r>
      </w:hyperlink>
      <w:r w:rsidRPr="00366557">
        <w:rPr>
          <w:rFonts w:ascii="Arial" w:hAnsi="Arial" w:cs="Arial"/>
          <w:sz w:val="22"/>
        </w:rPr>
        <w:t xml:space="preserve"> (Accessed: 18 June 2026).</w:t>
      </w:r>
    </w:p>
    <w:p w14:paraId="2E1EBB09"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GOV.UK (2018) </w:t>
      </w:r>
      <w:r w:rsidRPr="00366557">
        <w:rPr>
          <w:rFonts w:ascii="Arial" w:hAnsi="Arial" w:cs="Arial"/>
          <w:i/>
          <w:iCs/>
          <w:sz w:val="22"/>
        </w:rPr>
        <w:t>National LGBT survey summary report July 2018</w:t>
      </w:r>
      <w:r w:rsidRPr="00366557">
        <w:rPr>
          <w:rFonts w:ascii="Arial" w:hAnsi="Arial" w:cs="Arial"/>
          <w:sz w:val="22"/>
        </w:rPr>
        <w:t xml:space="preserve">. Available at: </w:t>
      </w:r>
      <w:hyperlink r:id="rId15" w:tgtFrame="_blank" w:history="1">
        <w:r w:rsidRPr="00366557">
          <w:rPr>
            <w:rStyle w:val="Hyperlink"/>
            <w:rFonts w:ascii="Arial" w:hAnsi="Arial" w:cs="Arial"/>
            <w:sz w:val="22"/>
          </w:rPr>
          <w:t>https://assets.publishing.service.gov.uk/media/5b3cb6b6ed915d39fd5f14df/GEO-LGBT-Survey-Report.pdf</w:t>
        </w:r>
      </w:hyperlink>
      <w:r w:rsidRPr="00366557">
        <w:rPr>
          <w:rFonts w:ascii="Arial" w:hAnsi="Arial" w:cs="Arial"/>
          <w:sz w:val="22"/>
        </w:rPr>
        <w:t xml:space="preserve"> (Accessed: 18 June 2026).</w:t>
      </w:r>
    </w:p>
    <w:p w14:paraId="6BFA2388"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GOV.UK (2022) </w:t>
      </w:r>
      <w:r w:rsidRPr="00366557">
        <w:rPr>
          <w:rFonts w:ascii="Arial" w:hAnsi="Arial" w:cs="Arial"/>
          <w:i/>
          <w:iCs/>
          <w:sz w:val="22"/>
        </w:rPr>
        <w:t>Health and Care Act 2022</w:t>
      </w:r>
      <w:r w:rsidRPr="00366557">
        <w:rPr>
          <w:rFonts w:ascii="Arial" w:hAnsi="Arial" w:cs="Arial"/>
          <w:sz w:val="22"/>
        </w:rPr>
        <w:t xml:space="preserve">. Available at: </w:t>
      </w:r>
      <w:hyperlink r:id="rId16" w:tgtFrame="_blank" w:history="1">
        <w:r w:rsidRPr="00366557">
          <w:rPr>
            <w:rStyle w:val="Hyperlink"/>
            <w:rFonts w:ascii="Arial" w:hAnsi="Arial" w:cs="Arial"/>
            <w:sz w:val="22"/>
          </w:rPr>
          <w:t>https://www.legislation.gov.uk/ukpga/2022/31/contents</w:t>
        </w:r>
      </w:hyperlink>
      <w:r w:rsidRPr="00366557">
        <w:rPr>
          <w:rFonts w:ascii="Arial" w:hAnsi="Arial" w:cs="Arial"/>
          <w:sz w:val="22"/>
        </w:rPr>
        <w:t xml:space="preserve"> (Accessed: 16 July 2026).</w:t>
      </w:r>
    </w:p>
    <w:p w14:paraId="7631FB62"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GOV.UK (2025) </w:t>
      </w:r>
      <w:r w:rsidRPr="00366557">
        <w:rPr>
          <w:rFonts w:ascii="Arial" w:hAnsi="Arial" w:cs="Arial"/>
          <w:i/>
          <w:iCs/>
          <w:sz w:val="22"/>
        </w:rPr>
        <w:t>Support for adults facing staggering waits for gender services</w:t>
      </w:r>
      <w:r w:rsidRPr="00366557">
        <w:rPr>
          <w:rFonts w:ascii="Arial" w:hAnsi="Arial" w:cs="Arial"/>
          <w:sz w:val="22"/>
        </w:rPr>
        <w:t xml:space="preserve">. Available at: </w:t>
      </w:r>
      <w:hyperlink r:id="rId17" w:tgtFrame="_blank" w:history="1">
        <w:r w:rsidRPr="00366557">
          <w:rPr>
            <w:rStyle w:val="Hyperlink"/>
            <w:rFonts w:ascii="Arial" w:hAnsi="Arial" w:cs="Arial"/>
            <w:sz w:val="22"/>
          </w:rPr>
          <w:t>https://www.gov.uk/government/news/support-for-adults-facing-staggering-waits-for-gender-services</w:t>
        </w:r>
      </w:hyperlink>
      <w:r w:rsidRPr="00366557">
        <w:rPr>
          <w:rFonts w:ascii="Arial" w:hAnsi="Arial" w:cs="Arial"/>
          <w:sz w:val="22"/>
        </w:rPr>
        <w:t xml:space="preserve"> (Accessed: 18 June 2026).</w:t>
      </w:r>
    </w:p>
    <w:p w14:paraId="7685DCDA"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Guimond, S. (2023) Individual and institutional discrimination: Theoretical and methodological contributions of social psychology. </w:t>
      </w:r>
      <w:r w:rsidRPr="00366557">
        <w:rPr>
          <w:rFonts w:ascii="Arial" w:hAnsi="Arial" w:cs="Arial"/>
          <w:i/>
          <w:iCs/>
          <w:sz w:val="22"/>
        </w:rPr>
        <w:t>Appartenances &amp; Altérités</w:t>
      </w:r>
      <w:r w:rsidRPr="00366557">
        <w:rPr>
          <w:rFonts w:ascii="Arial" w:hAnsi="Arial" w:cs="Arial"/>
          <w:sz w:val="22"/>
        </w:rPr>
        <w:t>, (3), pp. 1-15.</w:t>
      </w:r>
    </w:p>
    <w:p w14:paraId="087699F3"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Hoy-Ellis, C.P. (2023) Minority stress and mental health: A review of the literature. </w:t>
      </w:r>
      <w:r w:rsidRPr="00366557">
        <w:rPr>
          <w:rFonts w:ascii="Arial" w:hAnsi="Arial" w:cs="Arial"/>
          <w:i/>
          <w:iCs/>
          <w:sz w:val="22"/>
        </w:rPr>
        <w:t>Journal of Homosexuality</w:t>
      </w:r>
      <w:r w:rsidRPr="00366557">
        <w:rPr>
          <w:rFonts w:ascii="Arial" w:hAnsi="Arial" w:cs="Arial"/>
          <w:sz w:val="22"/>
        </w:rPr>
        <w:t>, 70(5), pp. 806-830.</w:t>
      </w:r>
    </w:p>
    <w:p w14:paraId="48FCB167"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lastRenderedPageBreak/>
        <w:t xml:space="preserve">Hundera, M. and Mudde, H.L.M. (2024) A comprehensive analysis of gender dynamics in organisations: Integrating social, structural and individual dimensions. </w:t>
      </w:r>
      <w:r w:rsidRPr="00366557">
        <w:rPr>
          <w:rFonts w:ascii="Arial" w:hAnsi="Arial" w:cs="Arial"/>
          <w:i/>
          <w:iCs/>
          <w:sz w:val="22"/>
        </w:rPr>
        <w:t>European Journal of Education</w:t>
      </w:r>
      <w:r w:rsidRPr="00366557">
        <w:rPr>
          <w:rFonts w:ascii="Arial" w:hAnsi="Arial" w:cs="Arial"/>
          <w:sz w:val="22"/>
        </w:rPr>
        <w:t>, 59(4), p. e12722.</w:t>
      </w:r>
    </w:p>
    <w:p w14:paraId="212EAA1D"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Jecke, L. and Zepf, F.D. (2024) Delivering transgender-specific knowledge and skills into health and allied health studies and training: a systematic review. </w:t>
      </w:r>
      <w:r w:rsidRPr="00366557">
        <w:rPr>
          <w:rFonts w:ascii="Arial" w:hAnsi="Arial" w:cs="Arial"/>
          <w:i/>
          <w:iCs/>
          <w:sz w:val="22"/>
        </w:rPr>
        <w:t>European Child &amp; Adolescent Psychiatry</w:t>
      </w:r>
      <w:r w:rsidRPr="00366557">
        <w:rPr>
          <w:rFonts w:ascii="Arial" w:hAnsi="Arial" w:cs="Arial"/>
          <w:sz w:val="22"/>
        </w:rPr>
        <w:t>, 33(5), pp. 1327-1354.</w:t>
      </w:r>
    </w:p>
    <w:p w14:paraId="1640F161"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Jensen, L.S. (2024) </w:t>
      </w:r>
      <w:r w:rsidRPr="00366557">
        <w:rPr>
          <w:rFonts w:ascii="Arial" w:hAnsi="Arial" w:cs="Arial"/>
          <w:i/>
          <w:iCs/>
          <w:sz w:val="22"/>
        </w:rPr>
        <w:t>Social Workers' Sensitivity to Microaggressions towards Nonbinary Clients</w:t>
      </w:r>
      <w:r w:rsidRPr="00366557">
        <w:rPr>
          <w:rFonts w:ascii="Arial" w:hAnsi="Arial" w:cs="Arial"/>
          <w:sz w:val="22"/>
        </w:rPr>
        <w:t>. Master's thesis. St. Catherine University.</w:t>
      </w:r>
    </w:p>
    <w:p w14:paraId="5478DDB8"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Keats, D. (2024) </w:t>
      </w:r>
      <w:r w:rsidRPr="00366557">
        <w:rPr>
          <w:rFonts w:ascii="Arial" w:hAnsi="Arial" w:cs="Arial"/>
          <w:i/>
          <w:iCs/>
          <w:sz w:val="22"/>
        </w:rPr>
        <w:t>Navigating misgendering: A grounded theory study of gender diverse individuals’ experiences in healthcare</w:t>
      </w:r>
      <w:r w:rsidRPr="00366557">
        <w:rPr>
          <w:rFonts w:ascii="Arial" w:hAnsi="Arial" w:cs="Arial"/>
          <w:sz w:val="22"/>
        </w:rPr>
        <w:t>. Doctoral dissertation. University of British Columbia.</w:t>
      </w:r>
    </w:p>
    <w:p w14:paraId="3BDEC09F"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Kozlowska, K., Ambler, G.R., Dechêne, S., Almaraz Almaraz, M.C., Eliacheff, C., Entwistle, K., Esteva de Antonio, I., Gómez Gil, E., Hofman, P., Hunter, P. and Kaltiala, R. (2025) Evolving national guidelines for the treatment of children and adolescents with gender dysphoria: International perspectives. </w:t>
      </w:r>
      <w:r w:rsidRPr="00366557">
        <w:rPr>
          <w:rFonts w:ascii="Arial" w:hAnsi="Arial" w:cs="Arial"/>
          <w:i/>
          <w:iCs/>
          <w:sz w:val="22"/>
        </w:rPr>
        <w:t>Human Systems</w:t>
      </w:r>
      <w:r w:rsidRPr="00366557">
        <w:rPr>
          <w:rFonts w:ascii="Arial" w:hAnsi="Arial" w:cs="Arial"/>
          <w:sz w:val="22"/>
        </w:rPr>
        <w:t>, 5(2), pp. 89-152.</w:t>
      </w:r>
    </w:p>
    <w:p w14:paraId="6B90795D"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Kuper, H., Gatta, D.R., Rotenberg, S., Banks, L.M., Smythe, T. and Heydt, P. (2024) Building disability-inclusive health systems. </w:t>
      </w:r>
      <w:r w:rsidRPr="00366557">
        <w:rPr>
          <w:rFonts w:ascii="Arial" w:hAnsi="Arial" w:cs="Arial"/>
          <w:i/>
          <w:iCs/>
          <w:sz w:val="22"/>
        </w:rPr>
        <w:t>The Lancet Public Health</w:t>
      </w:r>
      <w:r w:rsidRPr="00366557">
        <w:rPr>
          <w:rFonts w:ascii="Arial" w:hAnsi="Arial" w:cs="Arial"/>
          <w:sz w:val="22"/>
        </w:rPr>
        <w:t>, 9(5), pp. e316-e325.</w:t>
      </w:r>
    </w:p>
    <w:p w14:paraId="208CCA51"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Lacombe-Duncan, A., Andalibi, N., Roosevelt, L. and Weinstein-Levey, E. (2022) Minority stress theory applied to conception, pregnancy, and pregnancy loss: A qualitative study examining LGBTQ+ people’s experiences. </w:t>
      </w:r>
      <w:r w:rsidRPr="00366557">
        <w:rPr>
          <w:rFonts w:ascii="Arial" w:hAnsi="Arial" w:cs="Arial"/>
          <w:i/>
          <w:iCs/>
          <w:sz w:val="22"/>
        </w:rPr>
        <w:t>PLoS One</w:t>
      </w:r>
      <w:r w:rsidRPr="00366557">
        <w:rPr>
          <w:rFonts w:ascii="Arial" w:hAnsi="Arial" w:cs="Arial"/>
          <w:sz w:val="22"/>
        </w:rPr>
        <w:t>, 17(7), p. e0271945.</w:t>
      </w:r>
    </w:p>
    <w:p w14:paraId="543A3DB2"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Lausi, G. (2026) Discrimination and Gender: An Umbrella Review of Psychological Evidence. </w:t>
      </w:r>
      <w:r w:rsidRPr="00366557">
        <w:rPr>
          <w:rFonts w:ascii="Arial" w:hAnsi="Arial" w:cs="Arial"/>
          <w:i/>
          <w:iCs/>
          <w:sz w:val="22"/>
        </w:rPr>
        <w:t>International Journal of Environmental Research and Public Health</w:t>
      </w:r>
      <w:r w:rsidRPr="00366557">
        <w:rPr>
          <w:rFonts w:ascii="Arial" w:hAnsi="Arial" w:cs="Arial"/>
          <w:sz w:val="22"/>
        </w:rPr>
        <w:t>, 23(1), p. 103.</w:t>
      </w:r>
    </w:p>
    <w:p w14:paraId="595DBF50"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Leason, I., Longridge, N., Mathur, M.R. and Nickpour, F. (2022) An opportunity for inclusive and human-centred design. </w:t>
      </w:r>
      <w:r w:rsidRPr="00366557">
        <w:rPr>
          <w:rFonts w:ascii="Arial" w:hAnsi="Arial" w:cs="Arial"/>
          <w:i/>
          <w:iCs/>
          <w:sz w:val="22"/>
        </w:rPr>
        <w:t>British Dental Journal</w:t>
      </w:r>
      <w:r w:rsidRPr="00366557">
        <w:rPr>
          <w:rFonts w:ascii="Arial" w:hAnsi="Arial" w:cs="Arial"/>
          <w:sz w:val="22"/>
        </w:rPr>
        <w:t>, 233(8), pp. 607-612.</w:t>
      </w:r>
    </w:p>
    <w:p w14:paraId="7C813E3E"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Lewis, T.O., Barreto, M. and Doyle, D.M. (2023) Stigma, identity and support in social relationships of transgender people throughout transition: A qualitative analysis of multiple perspectives. </w:t>
      </w:r>
      <w:r w:rsidRPr="00366557">
        <w:rPr>
          <w:rFonts w:ascii="Arial" w:hAnsi="Arial" w:cs="Arial"/>
          <w:i/>
          <w:iCs/>
          <w:sz w:val="22"/>
        </w:rPr>
        <w:t>Journal of Social Issues</w:t>
      </w:r>
      <w:r w:rsidRPr="00366557">
        <w:rPr>
          <w:rFonts w:ascii="Arial" w:hAnsi="Arial" w:cs="Arial"/>
          <w:sz w:val="22"/>
        </w:rPr>
        <w:t>, 79(1), pp. 108-128.</w:t>
      </w:r>
    </w:p>
    <w:p w14:paraId="053DDD18"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Malcarney, M.B., de los Angeles Amaro, H. and National Academies of Sciences, Engineering, and Medicine (2024) Gender-affirming care for transgender and gender diverse people. </w:t>
      </w:r>
      <w:r w:rsidRPr="00366557">
        <w:rPr>
          <w:rFonts w:ascii="Arial" w:hAnsi="Arial" w:cs="Arial"/>
          <w:sz w:val="22"/>
        </w:rPr>
        <w:lastRenderedPageBreak/>
        <w:t xml:space="preserve">In: </w:t>
      </w:r>
      <w:r w:rsidRPr="00366557">
        <w:rPr>
          <w:rFonts w:ascii="Arial" w:hAnsi="Arial" w:cs="Arial"/>
          <w:i/>
          <w:iCs/>
          <w:sz w:val="22"/>
        </w:rPr>
        <w:t>Sex and Gender Identification and Implications for Disability Evaluation</w:t>
      </w:r>
      <w:r w:rsidRPr="00366557">
        <w:rPr>
          <w:rFonts w:ascii="Arial" w:hAnsi="Arial" w:cs="Arial"/>
          <w:sz w:val="22"/>
        </w:rPr>
        <w:t>. Washington (DC): National Academies Press (US), pp. 115-138.</w:t>
      </w:r>
    </w:p>
    <w:p w14:paraId="31578BE8"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McMenamin, K.E. and Enoka, A. (2025) Integrating lived and clinical perspectives to advance transgender healthcare in rural Aotearoa New Zealand. </w:t>
      </w:r>
      <w:r w:rsidRPr="00366557">
        <w:rPr>
          <w:rFonts w:ascii="Arial" w:hAnsi="Arial" w:cs="Arial"/>
          <w:i/>
          <w:iCs/>
          <w:sz w:val="22"/>
        </w:rPr>
        <w:t>Australian Journal of Rural Health</w:t>
      </w:r>
      <w:r w:rsidRPr="00366557">
        <w:rPr>
          <w:rFonts w:ascii="Arial" w:hAnsi="Arial" w:cs="Arial"/>
          <w:sz w:val="22"/>
        </w:rPr>
        <w:t>, 33(5), p. e70100.</w:t>
      </w:r>
    </w:p>
    <w:p w14:paraId="069F00E0"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Mikulak, M., Ryan, S., Ma, R., Martin, S., Stewart, J., Davidson, S. and Stepney, M. (2021) Health professionals’ identified barriers to trans health care: a qualitative interview study. </w:t>
      </w:r>
      <w:r w:rsidRPr="00366557">
        <w:rPr>
          <w:rFonts w:ascii="Arial" w:hAnsi="Arial" w:cs="Arial"/>
          <w:i/>
          <w:iCs/>
          <w:sz w:val="22"/>
        </w:rPr>
        <w:t>British Journal of General Practice</w:t>
      </w:r>
      <w:r w:rsidRPr="00366557">
        <w:rPr>
          <w:rFonts w:ascii="Arial" w:hAnsi="Arial" w:cs="Arial"/>
          <w:sz w:val="22"/>
        </w:rPr>
        <w:t>, 71(713), pp. e941-e948.</w:t>
      </w:r>
    </w:p>
    <w:p w14:paraId="1CF150B1"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Moorhead, B., Lewis, H.K. and Arnull, L. (2024) LGBT sexuality and gender minority experiences of minority stress: a comparison of models and theories. </w:t>
      </w:r>
      <w:r w:rsidRPr="00366557">
        <w:rPr>
          <w:rFonts w:ascii="Arial" w:hAnsi="Arial" w:cs="Arial"/>
          <w:i/>
          <w:iCs/>
          <w:sz w:val="22"/>
        </w:rPr>
        <w:t>Quality &amp; Quantity</w:t>
      </w:r>
      <w:r w:rsidRPr="00366557">
        <w:rPr>
          <w:rFonts w:ascii="Arial" w:hAnsi="Arial" w:cs="Arial"/>
          <w:sz w:val="22"/>
        </w:rPr>
        <w:t>, 58(4), pp. 3973-4001.</w:t>
      </w:r>
    </w:p>
    <w:p w14:paraId="70B15C6E"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Mulenga, R. and Shilongo, H. (2024) Academic integrity in higher education: Understanding and addressing plagiarism. </w:t>
      </w:r>
      <w:r w:rsidRPr="00366557">
        <w:rPr>
          <w:rFonts w:ascii="Arial" w:hAnsi="Arial" w:cs="Arial"/>
          <w:i/>
          <w:iCs/>
          <w:sz w:val="22"/>
        </w:rPr>
        <w:t>Acta Pedagogia Asiana</w:t>
      </w:r>
      <w:r w:rsidRPr="00366557">
        <w:rPr>
          <w:rFonts w:ascii="Arial" w:hAnsi="Arial" w:cs="Arial"/>
          <w:sz w:val="22"/>
        </w:rPr>
        <w:t>, 3(1), pp. 30-43.</w:t>
      </w:r>
    </w:p>
    <w:p w14:paraId="5F33E8C3"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Mumford, K. (2023) Ethically navigating the evolution of gender affirmation surgery. </w:t>
      </w:r>
      <w:r w:rsidRPr="00366557">
        <w:rPr>
          <w:rFonts w:ascii="Arial" w:hAnsi="Arial" w:cs="Arial"/>
          <w:i/>
          <w:iCs/>
          <w:sz w:val="22"/>
        </w:rPr>
        <w:t>AMA Journal of Ethics</w:t>
      </w:r>
      <w:r w:rsidRPr="00366557">
        <w:rPr>
          <w:rFonts w:ascii="Arial" w:hAnsi="Arial" w:cs="Arial"/>
          <w:sz w:val="22"/>
        </w:rPr>
        <w:t>, 25(6), pp. 383-385.</w:t>
      </w:r>
    </w:p>
    <w:p w14:paraId="657563F8"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NHS England (2025) </w:t>
      </w:r>
      <w:r w:rsidRPr="00366557">
        <w:rPr>
          <w:rFonts w:ascii="Arial" w:hAnsi="Arial" w:cs="Arial"/>
          <w:i/>
          <w:iCs/>
          <w:sz w:val="22"/>
        </w:rPr>
        <w:t>NHS launches first ever review to tackle LGBT+ Health inequalities</w:t>
      </w:r>
      <w:r w:rsidRPr="00366557">
        <w:rPr>
          <w:rFonts w:ascii="Arial" w:hAnsi="Arial" w:cs="Arial"/>
          <w:sz w:val="22"/>
        </w:rPr>
        <w:t xml:space="preserve">. Available at: </w:t>
      </w:r>
      <w:hyperlink r:id="rId18" w:tgtFrame="_blank" w:history="1">
        <w:r w:rsidRPr="00366557">
          <w:rPr>
            <w:rStyle w:val="Hyperlink"/>
            <w:rFonts w:ascii="Arial" w:hAnsi="Arial" w:cs="Arial"/>
            <w:sz w:val="22"/>
          </w:rPr>
          <w:t>https://www.england.nhs.uk/2025/07/nhs-launches-first-ever-review-to-tackle-lgbt-health-inequalities/</w:t>
        </w:r>
      </w:hyperlink>
      <w:r w:rsidRPr="00366557">
        <w:rPr>
          <w:rFonts w:ascii="Arial" w:hAnsi="Arial" w:cs="Arial"/>
          <w:sz w:val="22"/>
        </w:rPr>
        <w:t xml:space="preserve"> (Accessed: 18 June 2026).</w:t>
      </w:r>
    </w:p>
    <w:p w14:paraId="638906D8"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NHS England (2025) </w:t>
      </w:r>
      <w:r w:rsidRPr="00366557">
        <w:rPr>
          <w:rFonts w:ascii="Arial" w:hAnsi="Arial" w:cs="Arial"/>
          <w:i/>
          <w:iCs/>
          <w:sz w:val="22"/>
        </w:rPr>
        <w:t>NHS launches first ever review to tackle LGBT+ Health inequalities</w:t>
      </w:r>
      <w:r w:rsidRPr="00366557">
        <w:rPr>
          <w:rFonts w:ascii="Arial" w:hAnsi="Arial" w:cs="Arial"/>
          <w:sz w:val="22"/>
        </w:rPr>
        <w:t xml:space="preserve">. Available at: </w:t>
      </w:r>
      <w:hyperlink r:id="rId19" w:tgtFrame="_blank" w:history="1">
        <w:r w:rsidRPr="00366557">
          <w:rPr>
            <w:rStyle w:val="Hyperlink"/>
            <w:rFonts w:ascii="Arial" w:hAnsi="Arial" w:cs="Arial"/>
            <w:sz w:val="22"/>
          </w:rPr>
          <w:t>https://www.england.nhs.uk/2025/07/nhs-launches-first-ever-review-to-tackle-lgbt-health-inequalities/</w:t>
        </w:r>
      </w:hyperlink>
      <w:r w:rsidRPr="00366557">
        <w:rPr>
          <w:rFonts w:ascii="Arial" w:hAnsi="Arial" w:cs="Arial"/>
          <w:sz w:val="22"/>
        </w:rPr>
        <w:t xml:space="preserve"> (Accessed: 18 June 2026).</w:t>
      </w:r>
    </w:p>
    <w:p w14:paraId="1AD87FF0"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NHS England (2026) </w:t>
      </w:r>
      <w:r w:rsidRPr="00366557">
        <w:rPr>
          <w:rFonts w:ascii="Arial" w:hAnsi="Arial" w:cs="Arial"/>
          <w:i/>
          <w:iCs/>
          <w:sz w:val="22"/>
        </w:rPr>
        <w:t>An Introduction to the NHS</w:t>
      </w:r>
      <w:r w:rsidRPr="00366557">
        <w:rPr>
          <w:rFonts w:ascii="Arial" w:hAnsi="Arial" w:cs="Arial"/>
          <w:sz w:val="22"/>
        </w:rPr>
        <w:t xml:space="preserve">. Available at: </w:t>
      </w:r>
      <w:hyperlink r:id="rId20" w:tgtFrame="_blank" w:history="1">
        <w:r w:rsidRPr="00366557">
          <w:rPr>
            <w:rStyle w:val="Hyperlink"/>
            <w:rFonts w:ascii="Arial" w:hAnsi="Arial" w:cs="Arial"/>
            <w:sz w:val="22"/>
          </w:rPr>
          <w:t>https://www.england.nhs.uk/get-involved/nhs/</w:t>
        </w:r>
      </w:hyperlink>
      <w:r w:rsidRPr="00366557">
        <w:rPr>
          <w:rFonts w:ascii="Arial" w:hAnsi="Arial" w:cs="Arial"/>
          <w:sz w:val="22"/>
        </w:rPr>
        <w:t xml:space="preserve"> (Accessed: 18 June 2026).</w:t>
      </w:r>
    </w:p>
    <w:p w14:paraId="7EB0CA23"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NHS England (2026) </w:t>
      </w:r>
      <w:r w:rsidRPr="00366557">
        <w:rPr>
          <w:rFonts w:ascii="Arial" w:hAnsi="Arial" w:cs="Arial"/>
          <w:i/>
          <w:iCs/>
          <w:sz w:val="22"/>
        </w:rPr>
        <w:t>Service Specification: NHS Children and Young People’s Gender Service</w:t>
      </w:r>
      <w:r w:rsidRPr="00366557">
        <w:rPr>
          <w:rFonts w:ascii="Arial" w:hAnsi="Arial" w:cs="Arial"/>
          <w:sz w:val="22"/>
        </w:rPr>
        <w:t xml:space="preserve">. Available at: </w:t>
      </w:r>
      <w:hyperlink r:id="rId21" w:tgtFrame="_blank" w:history="1">
        <w:r w:rsidRPr="00366557">
          <w:rPr>
            <w:rStyle w:val="Hyperlink"/>
            <w:rFonts w:ascii="Arial" w:hAnsi="Arial" w:cs="Arial"/>
            <w:sz w:val="22"/>
          </w:rPr>
          <w:t>https://www.england.nhs.uk/publication/service-specification-nhs-children-and-young-peoples-gender-service/</w:t>
        </w:r>
      </w:hyperlink>
      <w:r w:rsidRPr="00366557">
        <w:rPr>
          <w:rFonts w:ascii="Arial" w:hAnsi="Arial" w:cs="Arial"/>
          <w:sz w:val="22"/>
        </w:rPr>
        <w:t xml:space="preserve"> (Accessed: 18 June 2026). </w:t>
      </w:r>
    </w:p>
    <w:p w14:paraId="5F47AA82"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Norris, M. and Borneskog, C. (2022) The cisnormative blindspot explained: Healthcare experiences of trans men and non-binary persons and the accessibility to inclusive sexual &amp; reproductive healthcare, an integrative review. </w:t>
      </w:r>
      <w:r w:rsidRPr="00366557">
        <w:rPr>
          <w:rFonts w:ascii="Arial" w:hAnsi="Arial" w:cs="Arial"/>
          <w:i/>
          <w:iCs/>
          <w:sz w:val="22"/>
        </w:rPr>
        <w:t>Sexual &amp; Reproductive Healthcare</w:t>
      </w:r>
      <w:r w:rsidRPr="00366557">
        <w:rPr>
          <w:rFonts w:ascii="Arial" w:hAnsi="Arial" w:cs="Arial"/>
          <w:sz w:val="22"/>
        </w:rPr>
        <w:t>, 32, p. 100733.</w:t>
      </w:r>
    </w:p>
    <w:p w14:paraId="5B651890"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lastRenderedPageBreak/>
        <w:t xml:space="preserve">Northamptonshire Healthcare NHS Foundation Trust (2026) </w:t>
      </w:r>
      <w:r w:rsidRPr="00366557">
        <w:rPr>
          <w:rFonts w:ascii="Arial" w:hAnsi="Arial" w:cs="Arial"/>
          <w:i/>
          <w:iCs/>
          <w:sz w:val="22"/>
        </w:rPr>
        <w:t>Gender Identity Clinic</w:t>
      </w:r>
      <w:r w:rsidRPr="00366557">
        <w:rPr>
          <w:rFonts w:ascii="Arial" w:hAnsi="Arial" w:cs="Arial"/>
          <w:sz w:val="22"/>
        </w:rPr>
        <w:t xml:space="preserve">. Available at: </w:t>
      </w:r>
      <w:hyperlink r:id="rId22" w:tgtFrame="_blank" w:history="1">
        <w:r w:rsidRPr="00366557">
          <w:rPr>
            <w:rStyle w:val="Hyperlink"/>
            <w:rFonts w:ascii="Arial" w:hAnsi="Arial" w:cs="Arial"/>
            <w:sz w:val="22"/>
          </w:rPr>
          <w:t>https://www.nhft.nhs.uk/gic/</w:t>
        </w:r>
      </w:hyperlink>
      <w:r w:rsidRPr="00366557">
        <w:rPr>
          <w:rFonts w:ascii="Arial" w:hAnsi="Arial" w:cs="Arial"/>
          <w:sz w:val="22"/>
        </w:rPr>
        <w:t xml:space="preserve"> (Accessed: 18 June 2026).</w:t>
      </w:r>
    </w:p>
    <w:p w14:paraId="506C3643"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Nursing and Midwifery Council (2018) </w:t>
      </w:r>
      <w:r w:rsidRPr="00366557">
        <w:rPr>
          <w:rFonts w:ascii="Arial" w:hAnsi="Arial" w:cs="Arial"/>
          <w:i/>
          <w:iCs/>
          <w:sz w:val="22"/>
        </w:rPr>
        <w:t>The Code: Professional standards of practice and behaviour for nurses, midwives and nursing associates</w:t>
      </w:r>
      <w:r w:rsidRPr="00366557">
        <w:rPr>
          <w:rFonts w:ascii="Arial" w:hAnsi="Arial" w:cs="Arial"/>
          <w:sz w:val="22"/>
        </w:rPr>
        <w:t>. London: NMC.</w:t>
      </w:r>
    </w:p>
    <w:p w14:paraId="626A7C08"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Ong, J.S.H., Loh, K.X., Han, J.Y. and Fung, F.M. (2026) Integrating the CRAAP Framework to Support Critical Thinking and Information Literacy. </w:t>
      </w:r>
      <w:r w:rsidRPr="00366557">
        <w:rPr>
          <w:rFonts w:ascii="Arial" w:hAnsi="Arial" w:cs="Arial"/>
          <w:i/>
          <w:iCs/>
          <w:sz w:val="22"/>
        </w:rPr>
        <w:t>Journal of Chemical Education</w:t>
      </w:r>
      <w:r w:rsidRPr="00366557">
        <w:rPr>
          <w:rFonts w:ascii="Arial" w:hAnsi="Arial" w:cs="Arial"/>
          <w:sz w:val="22"/>
        </w:rPr>
        <w:t>, 103(2), pp. 319-325.</w:t>
      </w:r>
    </w:p>
    <w:p w14:paraId="2A253AFD"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O'Toole, G. (2024) </w:t>
      </w:r>
      <w:r w:rsidRPr="00366557">
        <w:rPr>
          <w:rFonts w:ascii="Arial" w:hAnsi="Arial" w:cs="Arial"/>
          <w:i/>
          <w:iCs/>
          <w:sz w:val="22"/>
        </w:rPr>
        <w:t>Communication: Core Interpersonal Skills for Healthcare Professionals</w:t>
      </w:r>
      <w:r w:rsidRPr="00366557">
        <w:rPr>
          <w:rFonts w:ascii="Arial" w:hAnsi="Arial" w:cs="Arial"/>
          <w:sz w:val="22"/>
        </w:rPr>
        <w:t>. 5th edn. Sydney: Elsevier Health Sciences.</w:t>
      </w:r>
    </w:p>
    <w:p w14:paraId="7154CDF4"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Papenkov, M., Meredith, C., Noel, C., Padalkar, J., Hendrickson, T., Nitiutomo, D. and Farrell, T. (2023) Multi-industry simplex: a probabilistic extension of GICS. </w:t>
      </w:r>
      <w:r w:rsidRPr="00366557">
        <w:rPr>
          <w:rFonts w:ascii="Arial" w:hAnsi="Arial" w:cs="Arial"/>
          <w:i/>
          <w:iCs/>
          <w:sz w:val="22"/>
        </w:rPr>
        <w:t>arXiv preprint</w:t>
      </w:r>
      <w:r w:rsidRPr="00366557">
        <w:rPr>
          <w:rFonts w:ascii="Arial" w:hAnsi="Arial" w:cs="Arial"/>
          <w:sz w:val="22"/>
        </w:rPr>
        <w:t>, arXiv:2310.04280.</w:t>
      </w:r>
    </w:p>
    <w:p w14:paraId="5D6E05DF"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Prastyaningtyas, E.W., Ausat, A.M.A., Muhamad, L.F., Wanof, M.I. and Suherlan, S. (2023) The role of information technology in improving human resources career development. </w:t>
      </w:r>
      <w:r w:rsidRPr="00366557">
        <w:rPr>
          <w:rFonts w:ascii="Arial" w:hAnsi="Arial" w:cs="Arial"/>
          <w:i/>
          <w:iCs/>
          <w:sz w:val="22"/>
        </w:rPr>
        <w:t>Jurnal Teknologi Dan Sistem Informasi Bisnis</w:t>
      </w:r>
      <w:r w:rsidRPr="00366557">
        <w:rPr>
          <w:rFonts w:ascii="Arial" w:hAnsi="Arial" w:cs="Arial"/>
          <w:sz w:val="22"/>
        </w:rPr>
        <w:t>, 5(3), pp. 266-275.</w:t>
      </w:r>
    </w:p>
    <w:p w14:paraId="60E41C25"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Ragosta, S., Berry, J., Mahanaimy, M., Fix, L., Gomez, A.M., Obedin-Maliver, J. and Moseson, H. (2023) Community-generated solutions to cancer inequity: recommendations from transgender, non-binary and intersex people on improving cancer screening and care. </w:t>
      </w:r>
      <w:r w:rsidRPr="00366557">
        <w:rPr>
          <w:rFonts w:ascii="Arial" w:hAnsi="Arial" w:cs="Arial"/>
          <w:i/>
          <w:iCs/>
          <w:sz w:val="22"/>
        </w:rPr>
        <w:t>BMJ Oncology</w:t>
      </w:r>
      <w:r w:rsidRPr="00366557">
        <w:rPr>
          <w:rFonts w:ascii="Arial" w:hAnsi="Arial" w:cs="Arial"/>
          <w:sz w:val="22"/>
        </w:rPr>
        <w:t>, 2(1), p. e000014.</w:t>
      </w:r>
    </w:p>
    <w:p w14:paraId="2A189301"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Renner, J., Taeuber, L. and Nieder, T.O. (2022) Need for inclusive consideration of transgender and gender diverse people in e-health services: a systematic review. </w:t>
      </w:r>
      <w:r w:rsidRPr="00366557">
        <w:rPr>
          <w:rFonts w:ascii="Arial" w:hAnsi="Arial" w:cs="Arial"/>
          <w:i/>
          <w:iCs/>
          <w:sz w:val="22"/>
        </w:rPr>
        <w:t>Journal of Clinical Medicine</w:t>
      </w:r>
      <w:r w:rsidRPr="00366557">
        <w:rPr>
          <w:rFonts w:ascii="Arial" w:hAnsi="Arial" w:cs="Arial"/>
          <w:sz w:val="22"/>
        </w:rPr>
        <w:t>, 11(4), p. 1090.</w:t>
      </w:r>
    </w:p>
    <w:p w14:paraId="0BCC65DB"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Rosenstadt, J. (2022) Sex-gender defining laws, birth certificates, and identity. In: </w:t>
      </w:r>
      <w:r w:rsidRPr="00366557">
        <w:rPr>
          <w:rFonts w:ascii="Arial" w:hAnsi="Arial" w:cs="Arial"/>
          <w:i/>
          <w:iCs/>
          <w:sz w:val="22"/>
        </w:rPr>
        <w:t>Queering Criminology in Theory and Praxis</w:t>
      </w:r>
      <w:r w:rsidRPr="00366557">
        <w:rPr>
          <w:rFonts w:ascii="Arial" w:hAnsi="Arial" w:cs="Arial"/>
          <w:sz w:val="22"/>
        </w:rPr>
        <w:t xml:space="preserve">. Bristol: Bristol University Press, pp. 98-110. </w:t>
      </w:r>
    </w:p>
    <w:p w14:paraId="3B6C49E4"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Saunders, C.L., Berner, A., Lund, J., Mason, A.M., Oakes-Monger, T., Roberts, M., Smith, J. and Duschinsky, R. (2023) Demographic characteristics, long-term health conditions and healthcare experiences of 6333 trans and non-binary adults in England: nationally representative evidence from the 2021 GP Patient Survey. </w:t>
      </w:r>
      <w:r w:rsidRPr="00366557">
        <w:rPr>
          <w:rFonts w:ascii="Arial" w:hAnsi="Arial" w:cs="Arial"/>
          <w:i/>
          <w:iCs/>
          <w:sz w:val="22"/>
        </w:rPr>
        <w:t>BMJ Open</w:t>
      </w:r>
      <w:r w:rsidRPr="00366557">
        <w:rPr>
          <w:rFonts w:ascii="Arial" w:hAnsi="Arial" w:cs="Arial"/>
          <w:sz w:val="22"/>
        </w:rPr>
        <w:t>, 13(2), p. e068099.</w:t>
      </w:r>
    </w:p>
    <w:p w14:paraId="445B86AC"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lastRenderedPageBreak/>
        <w:t>Sayani, A., Monteith, L., Shahil</w:t>
      </w:r>
      <w:r w:rsidRPr="00366557">
        <w:rPr>
          <w:rFonts w:ascii="Cambria Math" w:hAnsi="Cambria Math" w:cs="Cambria Math"/>
          <w:sz w:val="22"/>
        </w:rPr>
        <w:t>‐</w:t>
      </w:r>
      <w:r w:rsidRPr="00366557">
        <w:rPr>
          <w:rFonts w:ascii="Arial" w:hAnsi="Arial" w:cs="Arial"/>
          <w:sz w:val="22"/>
        </w:rPr>
        <w:t xml:space="preserve">Feroz, A., Srinivasan, D., Amsdr, I., Awil, F., Cordeaux, E., Garcia, V., Hinds, R., Jeji, T. and Khan, O. (2025) Mobilising the power of lived/living experiences to improve health outcomes for all. </w:t>
      </w:r>
      <w:r w:rsidRPr="00366557">
        <w:rPr>
          <w:rFonts w:ascii="Arial" w:hAnsi="Arial" w:cs="Arial"/>
          <w:i/>
          <w:iCs/>
          <w:sz w:val="22"/>
        </w:rPr>
        <w:t>Health Expectations</w:t>
      </w:r>
      <w:r w:rsidRPr="00366557">
        <w:rPr>
          <w:rFonts w:ascii="Arial" w:hAnsi="Arial" w:cs="Arial"/>
          <w:sz w:val="22"/>
        </w:rPr>
        <w:t>, 28(2), p. e70212.</w:t>
      </w:r>
    </w:p>
    <w:p w14:paraId="064A3BF8"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Scheim, A.I., Baker, K.E., Restar, A.J. and Sell, R.L. (2022) Health and health care among transgender adults in the United States. </w:t>
      </w:r>
      <w:r w:rsidRPr="00366557">
        <w:rPr>
          <w:rFonts w:ascii="Arial" w:hAnsi="Arial" w:cs="Arial"/>
          <w:i/>
          <w:iCs/>
          <w:sz w:val="22"/>
        </w:rPr>
        <w:t>Annual Review of Public Health</w:t>
      </w:r>
      <w:r w:rsidRPr="00366557">
        <w:rPr>
          <w:rFonts w:ascii="Arial" w:hAnsi="Arial" w:cs="Arial"/>
          <w:sz w:val="22"/>
        </w:rPr>
        <w:t>, 43(1), pp. 503-523.</w:t>
      </w:r>
    </w:p>
    <w:p w14:paraId="68EB5782"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Scheim, A.I., Restar, A.J., Zubizarreta, D., Lucas, R., Cole, S.W., Everhart, A., Baker, K.E. and Rodriguez, M.I. (2025) Legal gender recognition and the health of transgender and gender diverse people: A systematic review and meta-analysis. </w:t>
      </w:r>
      <w:r w:rsidRPr="00366557">
        <w:rPr>
          <w:rFonts w:ascii="Arial" w:hAnsi="Arial" w:cs="Arial"/>
          <w:i/>
          <w:iCs/>
          <w:sz w:val="22"/>
        </w:rPr>
        <w:t>Social Science &amp; Medicine</w:t>
      </w:r>
      <w:r w:rsidRPr="00366557">
        <w:rPr>
          <w:rFonts w:ascii="Arial" w:hAnsi="Arial" w:cs="Arial"/>
          <w:sz w:val="22"/>
        </w:rPr>
        <w:t>, 378, p. 118147.</w:t>
      </w:r>
    </w:p>
    <w:p w14:paraId="2788FBD5"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Selvakumar, P., Uprikar, V., Chavan, S., Deshmukh, P.B., Kalshett, P. and Gorde, S. (2026) Systematic literature review methodology and systems. </w:t>
      </w:r>
      <w:r w:rsidRPr="00366557">
        <w:rPr>
          <w:rFonts w:ascii="Arial" w:hAnsi="Arial" w:cs="Arial"/>
          <w:i/>
          <w:iCs/>
          <w:sz w:val="22"/>
        </w:rPr>
        <w:t>Innovative Approaches to Social Research Challenges</w:t>
      </w:r>
      <w:r w:rsidRPr="00366557">
        <w:rPr>
          <w:rFonts w:ascii="Arial" w:hAnsi="Arial" w:cs="Arial"/>
          <w:sz w:val="22"/>
        </w:rPr>
        <w:t>, pp. 17-42.</w:t>
      </w:r>
    </w:p>
    <w:p w14:paraId="4D31D98B"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Shah, S.S. and Asghar, Z. (2023) Dynamics of social influence on consumption choices: A social network representation. </w:t>
      </w:r>
      <w:r w:rsidRPr="00366557">
        <w:rPr>
          <w:rFonts w:ascii="Arial" w:hAnsi="Arial" w:cs="Arial"/>
          <w:i/>
          <w:iCs/>
          <w:sz w:val="22"/>
        </w:rPr>
        <w:t>Heliyon</w:t>
      </w:r>
      <w:r w:rsidRPr="00366557">
        <w:rPr>
          <w:rFonts w:ascii="Arial" w:hAnsi="Arial" w:cs="Arial"/>
          <w:sz w:val="22"/>
        </w:rPr>
        <w:t>, 9(6), p. e16738.</w:t>
      </w:r>
    </w:p>
    <w:p w14:paraId="0C73880F"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Squires, V. (2023) Thematic analysis. In: </w:t>
      </w:r>
      <w:r w:rsidRPr="00366557">
        <w:rPr>
          <w:rFonts w:ascii="Arial" w:hAnsi="Arial" w:cs="Arial"/>
          <w:i/>
          <w:iCs/>
          <w:sz w:val="22"/>
        </w:rPr>
        <w:t>Varieties of qualitative research methods: Selected contextual perspectives</w:t>
      </w:r>
      <w:r w:rsidRPr="00366557">
        <w:rPr>
          <w:rFonts w:ascii="Arial" w:hAnsi="Arial" w:cs="Arial"/>
          <w:sz w:val="22"/>
        </w:rPr>
        <w:t>. Cham: Springer International Publishing, pp. 463-468.</w:t>
      </w:r>
    </w:p>
    <w:p w14:paraId="473763C4"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Stepney, M., Martin, S., Mikulak, M., Ryan, S., Stewart, J., Ma, R. and Barnett, A. (2025) Improving the experience of health services for trans and gender-diverse young people and their families: an exploratory qualitative study. </w:t>
      </w:r>
      <w:r w:rsidRPr="00366557">
        <w:rPr>
          <w:rFonts w:ascii="Arial" w:hAnsi="Arial" w:cs="Arial"/>
          <w:i/>
          <w:iCs/>
          <w:sz w:val="22"/>
        </w:rPr>
        <w:t>Health and Social Care Delivery Research</w:t>
      </w:r>
      <w:r w:rsidRPr="00366557">
        <w:rPr>
          <w:rFonts w:ascii="Arial" w:hAnsi="Arial" w:cs="Arial"/>
          <w:sz w:val="22"/>
        </w:rPr>
        <w:t>, 13(4), pp. 1-130.</w:t>
      </w:r>
    </w:p>
    <w:p w14:paraId="32FB3883"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Surendran, S., Toh, H.J., Voo, T.C., De Foo, C. and Dunn, M. (2025) A scoping review of the ethical issues in gender-affirming care for transgender and gender-diverse individuals. </w:t>
      </w:r>
      <w:r w:rsidRPr="00366557">
        <w:rPr>
          <w:rFonts w:ascii="Arial" w:hAnsi="Arial" w:cs="Arial"/>
          <w:i/>
          <w:iCs/>
          <w:sz w:val="22"/>
        </w:rPr>
        <w:t>BMC Medical Ethics</w:t>
      </w:r>
      <w:r w:rsidRPr="00366557">
        <w:rPr>
          <w:rFonts w:ascii="Arial" w:hAnsi="Arial" w:cs="Arial"/>
          <w:sz w:val="22"/>
        </w:rPr>
        <w:t>, 26(1), p. 54.</w:t>
      </w:r>
    </w:p>
    <w:p w14:paraId="6AB3B90D"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Titheridge, B. (2025) What does it mean to be person-centred in the UK’s National Health Service?. </w:t>
      </w:r>
      <w:r w:rsidRPr="00366557">
        <w:rPr>
          <w:rFonts w:ascii="Arial" w:hAnsi="Arial" w:cs="Arial"/>
          <w:i/>
          <w:iCs/>
          <w:sz w:val="22"/>
        </w:rPr>
        <w:t>European Journal of Psychotherapy &amp; Counselling</w:t>
      </w:r>
      <w:r w:rsidRPr="00366557">
        <w:rPr>
          <w:rFonts w:ascii="Arial" w:hAnsi="Arial" w:cs="Arial"/>
          <w:sz w:val="22"/>
        </w:rPr>
        <w:t>, 27(3-4), pp. 215-232.</w:t>
      </w:r>
    </w:p>
    <w:p w14:paraId="0BCF2229"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Togioka, B. and Young, E. (2024) </w:t>
      </w:r>
      <w:r w:rsidRPr="00366557">
        <w:rPr>
          <w:rFonts w:ascii="Arial" w:hAnsi="Arial" w:cs="Arial"/>
          <w:i/>
          <w:iCs/>
          <w:sz w:val="22"/>
        </w:rPr>
        <w:t>Diversity and discrimination in health care</w:t>
      </w:r>
      <w:r w:rsidRPr="00366557">
        <w:rPr>
          <w:rFonts w:ascii="Arial" w:hAnsi="Arial" w:cs="Arial"/>
          <w:sz w:val="22"/>
        </w:rPr>
        <w:t>. Treasure Island (FL): StatPearls Publishing.</w:t>
      </w:r>
    </w:p>
    <w:p w14:paraId="245E2ABB"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lastRenderedPageBreak/>
        <w:t xml:space="preserve">Toze, M., Westwood, S. and Hafford-Letchfield, T. (2023) Social support and unmet needs among older trans and gender non-conforming people during the COVID-19 ‘lockdown’ in the UK. </w:t>
      </w:r>
      <w:r w:rsidRPr="00366557">
        <w:rPr>
          <w:rFonts w:ascii="Arial" w:hAnsi="Arial" w:cs="Arial"/>
          <w:i/>
          <w:iCs/>
          <w:sz w:val="22"/>
        </w:rPr>
        <w:t>International Journal of Transgender Health</w:t>
      </w:r>
      <w:r w:rsidRPr="00366557">
        <w:rPr>
          <w:rFonts w:ascii="Arial" w:hAnsi="Arial" w:cs="Arial"/>
          <w:sz w:val="22"/>
        </w:rPr>
        <w:t>, 24(3), pp. 305-319.</w:t>
      </w:r>
    </w:p>
    <w:p w14:paraId="4B9A0560"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Travis, Z.D., Parks, A. and Bravo, R.L. (2025) Poverty, unemployment, and health equity. In: Schiavo, R. (ed.) </w:t>
      </w:r>
      <w:r w:rsidRPr="00366557">
        <w:rPr>
          <w:rFonts w:ascii="Arial" w:hAnsi="Arial" w:cs="Arial"/>
          <w:i/>
          <w:iCs/>
          <w:sz w:val="22"/>
        </w:rPr>
        <w:t>Health Equity: Strategies for Action</w:t>
      </w:r>
      <w:r w:rsidRPr="00366557">
        <w:rPr>
          <w:rFonts w:ascii="Arial" w:hAnsi="Arial" w:cs="Arial"/>
          <w:sz w:val="22"/>
        </w:rPr>
        <w:t>. Hoboken (NJ): Wiley, pp. 173-195.</w:t>
      </w:r>
    </w:p>
    <w:p w14:paraId="6ECD0B9D"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Ujhadbor, R., Chuck, E., Gohlan, N., Groce, F., Hambley, T., Silverman, D., Wu, L., Bemme, D., Buckley, V., Chamberlain, K. and Woodhead, C. (2022) </w:t>
      </w:r>
      <w:r w:rsidRPr="00366557">
        <w:rPr>
          <w:rFonts w:ascii="Arial" w:hAnsi="Arial" w:cs="Arial"/>
          <w:i/>
          <w:iCs/>
          <w:sz w:val="22"/>
        </w:rPr>
        <w:t>Recommendations for Trans</w:t>
      </w:r>
      <w:r w:rsidRPr="00366557">
        <w:rPr>
          <w:rFonts w:ascii="Arial" w:hAnsi="Arial" w:cs="Arial"/>
          <w:sz w:val="22"/>
        </w:rPr>
        <w:t>-</w:t>
      </w:r>
      <w:r w:rsidRPr="00366557">
        <w:rPr>
          <w:rFonts w:ascii="Arial" w:hAnsi="Arial" w:cs="Arial"/>
          <w:i/>
          <w:iCs/>
          <w:sz w:val="22"/>
        </w:rPr>
        <w:t>Inclusive Healthcare</w:t>
      </w:r>
      <w:r w:rsidRPr="00366557">
        <w:rPr>
          <w:rFonts w:ascii="Arial" w:hAnsi="Arial" w:cs="Arial"/>
          <w:sz w:val="22"/>
        </w:rPr>
        <w:t>. London: King's College London.</w:t>
      </w:r>
    </w:p>
    <w:p w14:paraId="4B437AC6"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UK Parliament (2015) </w:t>
      </w:r>
      <w:r w:rsidRPr="00366557">
        <w:rPr>
          <w:rFonts w:ascii="Arial" w:hAnsi="Arial" w:cs="Arial"/>
          <w:i/>
          <w:iCs/>
          <w:sz w:val="22"/>
        </w:rPr>
        <w:t>TRA0034 - evidence on transgender equality</w:t>
      </w:r>
      <w:r w:rsidRPr="00366557">
        <w:rPr>
          <w:rFonts w:ascii="Arial" w:hAnsi="Arial" w:cs="Arial"/>
          <w:sz w:val="22"/>
        </w:rPr>
        <w:t xml:space="preserve">. Available at: </w:t>
      </w:r>
      <w:hyperlink r:id="rId23" w:tgtFrame="_blank" w:history="1">
        <w:r w:rsidRPr="00366557">
          <w:rPr>
            <w:rStyle w:val="Hyperlink"/>
            <w:rFonts w:ascii="Arial" w:hAnsi="Arial" w:cs="Arial"/>
            <w:sz w:val="22"/>
          </w:rPr>
          <w:t>https://committees.parliament.uk/writtenevidence/57007/html/</w:t>
        </w:r>
      </w:hyperlink>
      <w:r w:rsidRPr="00366557">
        <w:rPr>
          <w:rFonts w:ascii="Arial" w:hAnsi="Arial" w:cs="Arial"/>
          <w:sz w:val="22"/>
        </w:rPr>
        <w:t xml:space="preserve"> (Accessed: 18 June 2026).</w:t>
      </w:r>
    </w:p>
    <w:p w14:paraId="76C9D7C4"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Wayland, S., Newland, J., Gill-Atkinson, L., Vaughan, C., Emerson, E. and Llewellyn, G. (2022) I had every right to be there: discriminatory acts towards young people with disabilities on public transport. </w:t>
      </w:r>
      <w:r w:rsidRPr="00366557">
        <w:rPr>
          <w:rFonts w:ascii="Arial" w:hAnsi="Arial" w:cs="Arial"/>
          <w:i/>
          <w:iCs/>
          <w:sz w:val="22"/>
        </w:rPr>
        <w:t>Disability &amp; Society</w:t>
      </w:r>
      <w:r w:rsidRPr="00366557">
        <w:rPr>
          <w:rFonts w:ascii="Arial" w:hAnsi="Arial" w:cs="Arial"/>
          <w:sz w:val="22"/>
        </w:rPr>
        <w:t>, 37(2), pp. 296-319.</w:t>
      </w:r>
    </w:p>
    <w:p w14:paraId="3867723D"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Willis, P., Dobbs, C., Evans, E., Raithby, M. and Bishop, J.A. (2020) Reluctant educators and self</w:t>
      </w:r>
      <w:r w:rsidRPr="00366557">
        <w:rPr>
          <w:rFonts w:ascii="Cambria Math" w:hAnsi="Cambria Math" w:cs="Cambria Math"/>
          <w:sz w:val="22"/>
        </w:rPr>
        <w:t>‐</w:t>
      </w:r>
      <w:r w:rsidRPr="00366557">
        <w:rPr>
          <w:rFonts w:ascii="Arial" w:hAnsi="Arial" w:cs="Arial"/>
          <w:sz w:val="22"/>
        </w:rPr>
        <w:t>advocates: Older trans adults’ experiences of health</w:t>
      </w:r>
      <w:r w:rsidRPr="00366557">
        <w:rPr>
          <w:rFonts w:ascii="Cambria Math" w:hAnsi="Cambria Math" w:cs="Cambria Math"/>
          <w:sz w:val="22"/>
        </w:rPr>
        <w:t>‐</w:t>
      </w:r>
      <w:r w:rsidRPr="00366557">
        <w:rPr>
          <w:rFonts w:ascii="Arial" w:hAnsi="Arial" w:cs="Arial"/>
          <w:sz w:val="22"/>
        </w:rPr>
        <w:t>care services and practitioners in seeking gender</w:t>
      </w:r>
      <w:r w:rsidRPr="00366557">
        <w:rPr>
          <w:rFonts w:ascii="Cambria Math" w:hAnsi="Cambria Math" w:cs="Cambria Math"/>
          <w:sz w:val="22"/>
        </w:rPr>
        <w:t>‐</w:t>
      </w:r>
      <w:r w:rsidRPr="00366557">
        <w:rPr>
          <w:rFonts w:ascii="Arial" w:hAnsi="Arial" w:cs="Arial"/>
          <w:sz w:val="22"/>
        </w:rPr>
        <w:t xml:space="preserve">affirming services. </w:t>
      </w:r>
      <w:r w:rsidRPr="00366557">
        <w:rPr>
          <w:rFonts w:ascii="Arial" w:hAnsi="Arial" w:cs="Arial"/>
          <w:i/>
          <w:iCs/>
          <w:sz w:val="22"/>
        </w:rPr>
        <w:t>Health Expectations</w:t>
      </w:r>
      <w:r w:rsidRPr="00366557">
        <w:rPr>
          <w:rFonts w:ascii="Arial" w:hAnsi="Arial" w:cs="Arial"/>
          <w:sz w:val="22"/>
        </w:rPr>
        <w:t>, 23(5), pp. 1231-1240.</w:t>
      </w:r>
    </w:p>
    <w:p w14:paraId="739667B2"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Witney, T., Rait, G., Saunders, J., Hobbs, L., Mitchell, L., Stewart, J. and McDonagh, L.K. (2025) One way or another, you are not going to fit: trans and gender diverse people’s perspectives on sexual health services in the United Kingdom. </w:t>
      </w:r>
      <w:r w:rsidRPr="00366557">
        <w:rPr>
          <w:rFonts w:ascii="Arial" w:hAnsi="Arial" w:cs="Arial"/>
          <w:i/>
          <w:iCs/>
          <w:sz w:val="22"/>
        </w:rPr>
        <w:t>Sexually Transmitted Infections</w:t>
      </w:r>
      <w:r w:rsidRPr="00366557">
        <w:rPr>
          <w:rFonts w:ascii="Arial" w:hAnsi="Arial" w:cs="Arial"/>
          <w:sz w:val="22"/>
        </w:rPr>
        <w:t>, 101(5), pp. 287-293.</w:t>
      </w:r>
    </w:p>
    <w:p w14:paraId="6C151A30"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World Health Organization (2022) </w:t>
      </w:r>
      <w:r w:rsidRPr="00366557">
        <w:rPr>
          <w:rFonts w:ascii="Arial" w:hAnsi="Arial" w:cs="Arial"/>
          <w:i/>
          <w:iCs/>
          <w:sz w:val="22"/>
        </w:rPr>
        <w:t>Optimising brain health across the life course: WHO position paper</w:t>
      </w:r>
      <w:r w:rsidRPr="00366557">
        <w:rPr>
          <w:rFonts w:ascii="Arial" w:hAnsi="Arial" w:cs="Arial"/>
          <w:sz w:val="22"/>
        </w:rPr>
        <w:t>. Geneva: World Health Organization.</w:t>
      </w:r>
    </w:p>
    <w:p w14:paraId="009A8D77"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World Health Organization (2026) </w:t>
      </w:r>
      <w:r w:rsidRPr="00366557">
        <w:rPr>
          <w:rFonts w:ascii="Arial" w:hAnsi="Arial" w:cs="Arial"/>
          <w:i/>
          <w:iCs/>
          <w:sz w:val="22"/>
        </w:rPr>
        <w:t>Gender incongruence and Transgender Health in the ICD</w:t>
      </w:r>
      <w:r w:rsidRPr="00366557">
        <w:rPr>
          <w:rFonts w:ascii="Arial" w:hAnsi="Arial" w:cs="Arial"/>
          <w:sz w:val="22"/>
        </w:rPr>
        <w:t xml:space="preserve">. Available at: </w:t>
      </w:r>
      <w:hyperlink r:id="rId24" w:tgtFrame="_blank" w:history="1">
        <w:r w:rsidRPr="00366557">
          <w:rPr>
            <w:rStyle w:val="Hyperlink"/>
            <w:rFonts w:ascii="Arial" w:hAnsi="Arial" w:cs="Arial"/>
            <w:sz w:val="22"/>
          </w:rPr>
          <w:t>https://www.who.int/standards/classifications/frequently-asked-questions/gender-incongruence-and-transgender-health-in-the-icd</w:t>
        </w:r>
      </w:hyperlink>
      <w:r w:rsidRPr="00366557">
        <w:rPr>
          <w:rFonts w:ascii="Arial" w:hAnsi="Arial" w:cs="Arial"/>
          <w:sz w:val="22"/>
        </w:rPr>
        <w:t xml:space="preserve"> (Accessed: 18 June 2026).</w:t>
      </w:r>
    </w:p>
    <w:p w14:paraId="4431C29B"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t xml:space="preserve">World Professional Association for Transgender Health (2026) </w:t>
      </w:r>
      <w:r w:rsidRPr="00366557">
        <w:rPr>
          <w:rFonts w:ascii="Arial" w:hAnsi="Arial" w:cs="Arial"/>
          <w:i/>
          <w:iCs/>
          <w:sz w:val="22"/>
        </w:rPr>
        <w:t>Home - WPATH</w:t>
      </w:r>
      <w:r w:rsidRPr="00366557">
        <w:rPr>
          <w:rFonts w:ascii="Arial" w:hAnsi="Arial" w:cs="Arial"/>
          <w:sz w:val="22"/>
        </w:rPr>
        <w:t xml:space="preserve">. Available at: </w:t>
      </w:r>
      <w:hyperlink r:id="rId25" w:tgtFrame="_blank" w:history="1">
        <w:r w:rsidRPr="00366557">
          <w:rPr>
            <w:rStyle w:val="Hyperlink"/>
            <w:rFonts w:ascii="Arial" w:hAnsi="Arial" w:cs="Arial"/>
            <w:sz w:val="22"/>
          </w:rPr>
          <w:t>https://wpath.org/</w:t>
        </w:r>
      </w:hyperlink>
      <w:r w:rsidRPr="00366557">
        <w:rPr>
          <w:rFonts w:ascii="Arial" w:hAnsi="Arial" w:cs="Arial"/>
          <w:sz w:val="22"/>
        </w:rPr>
        <w:t xml:space="preserve"> (Accessed: 18 June 2026).</w:t>
      </w:r>
    </w:p>
    <w:p w14:paraId="44038CE0" w14:textId="77777777" w:rsidR="00670233" w:rsidRPr="00366557" w:rsidRDefault="00670233" w:rsidP="00366557">
      <w:pPr>
        <w:spacing w:line="360" w:lineRule="auto"/>
        <w:ind w:left="720" w:hanging="720"/>
        <w:rPr>
          <w:rFonts w:ascii="Arial" w:hAnsi="Arial" w:cs="Arial"/>
          <w:sz w:val="22"/>
        </w:rPr>
      </w:pPr>
      <w:r w:rsidRPr="00366557">
        <w:rPr>
          <w:rFonts w:ascii="Arial" w:hAnsi="Arial" w:cs="Arial"/>
          <w:sz w:val="22"/>
        </w:rPr>
        <w:lastRenderedPageBreak/>
        <w:t xml:space="preserve">Wynne, K., Mwangi, F., Onifade, O., Abimbola, O., Jones, F., Burrows, J., Lynagh, M., Majeed, T., Sharma, D., Bembridge, E. and Stubbs, M. (2024) Readiness for professional practice among health professions education graduates: a systematic review. </w:t>
      </w:r>
      <w:r w:rsidRPr="00366557">
        <w:rPr>
          <w:rFonts w:ascii="Arial" w:hAnsi="Arial" w:cs="Arial"/>
          <w:i/>
          <w:iCs/>
          <w:sz w:val="22"/>
        </w:rPr>
        <w:t>Frontiers in Medicine</w:t>
      </w:r>
      <w:r w:rsidRPr="00366557">
        <w:rPr>
          <w:rFonts w:ascii="Arial" w:hAnsi="Arial" w:cs="Arial"/>
          <w:sz w:val="22"/>
        </w:rPr>
        <w:t>, 11, p. 1472834.</w:t>
      </w:r>
    </w:p>
    <w:p w14:paraId="65956CBE" w14:textId="77777777" w:rsidR="0065175B" w:rsidRPr="00366557" w:rsidRDefault="0065175B" w:rsidP="00366557">
      <w:pPr>
        <w:spacing w:line="360" w:lineRule="auto"/>
        <w:rPr>
          <w:rFonts w:ascii="Arial" w:hAnsi="Arial" w:cs="Arial"/>
          <w:sz w:val="22"/>
        </w:rPr>
      </w:pPr>
    </w:p>
    <w:p w14:paraId="3A8FD498" w14:textId="687D49CC" w:rsidR="0032400A" w:rsidRPr="00366557" w:rsidRDefault="0032400A" w:rsidP="00366557">
      <w:pPr>
        <w:spacing w:line="360" w:lineRule="auto"/>
        <w:rPr>
          <w:rFonts w:ascii="Arial" w:hAnsi="Arial" w:cs="Arial"/>
          <w:sz w:val="22"/>
        </w:rPr>
        <w:sectPr w:rsidR="0032400A" w:rsidRPr="00366557">
          <w:headerReference w:type="even" r:id="rId26"/>
          <w:headerReference w:type="default" r:id="rId27"/>
          <w:footerReference w:type="even" r:id="rId28"/>
          <w:footerReference w:type="default" r:id="rId29"/>
          <w:headerReference w:type="first" r:id="rId30"/>
          <w:footerReference w:type="first" r:id="rId31"/>
          <w:pgSz w:w="12240" w:h="15840"/>
          <w:pgMar w:top="1440" w:right="1440" w:bottom="1440" w:left="1440" w:header="720" w:footer="720" w:gutter="0"/>
          <w:cols w:space="720"/>
          <w:docGrid w:linePitch="360"/>
        </w:sectPr>
      </w:pPr>
    </w:p>
    <w:p w14:paraId="66702574" w14:textId="77777777" w:rsidR="0002725C" w:rsidRPr="00366557" w:rsidRDefault="0002725C" w:rsidP="00366557">
      <w:pPr>
        <w:pStyle w:val="Heading1"/>
        <w:spacing w:line="360" w:lineRule="auto"/>
        <w:rPr>
          <w:rFonts w:ascii="Arial" w:hAnsi="Arial" w:cs="Arial"/>
          <w:sz w:val="22"/>
          <w:szCs w:val="22"/>
        </w:rPr>
      </w:pPr>
      <w:bookmarkStart w:id="176" w:name="_Toc232709870"/>
      <w:bookmarkStart w:id="177" w:name="_Toc235118506"/>
      <w:bookmarkStart w:id="178" w:name="_Toc235121238"/>
      <w:r w:rsidRPr="00366557">
        <w:rPr>
          <w:rFonts w:ascii="Arial" w:hAnsi="Arial" w:cs="Arial"/>
          <w:sz w:val="22"/>
          <w:szCs w:val="22"/>
        </w:rPr>
        <w:lastRenderedPageBreak/>
        <w:t>Appendix</w:t>
      </w:r>
      <w:bookmarkEnd w:id="176"/>
      <w:bookmarkEnd w:id="177"/>
      <w:bookmarkEnd w:id="178"/>
    </w:p>
    <w:p w14:paraId="7759C0FC" w14:textId="77777777" w:rsidR="0002725C" w:rsidRPr="00366557" w:rsidRDefault="0002725C" w:rsidP="00366557">
      <w:pPr>
        <w:pStyle w:val="Heading2"/>
        <w:spacing w:line="360" w:lineRule="auto"/>
        <w:rPr>
          <w:rFonts w:ascii="Arial" w:hAnsi="Arial" w:cs="Arial"/>
          <w:sz w:val="22"/>
          <w:szCs w:val="22"/>
        </w:rPr>
      </w:pPr>
      <w:bookmarkStart w:id="179" w:name="_Toc232709871"/>
      <w:bookmarkStart w:id="180" w:name="_Toc235118507"/>
      <w:bookmarkStart w:id="181" w:name="_Toc235121239"/>
      <w:r w:rsidRPr="00366557">
        <w:rPr>
          <w:rFonts w:ascii="Arial" w:hAnsi="Arial" w:cs="Arial"/>
          <w:sz w:val="22"/>
          <w:szCs w:val="22"/>
        </w:rPr>
        <w:t>Appendix 1: Source Tracking Table</w:t>
      </w:r>
      <w:bookmarkEnd w:id="179"/>
      <w:bookmarkEnd w:id="180"/>
      <w:bookmarkEnd w:id="181"/>
    </w:p>
    <w:tbl>
      <w:tblPr>
        <w:tblStyle w:val="TableGrid"/>
        <w:tblW w:w="0" w:type="auto"/>
        <w:tblLook w:val="04A0" w:firstRow="1" w:lastRow="0" w:firstColumn="1" w:lastColumn="0" w:noHBand="0" w:noVBand="1"/>
      </w:tblPr>
      <w:tblGrid>
        <w:gridCol w:w="1045"/>
        <w:gridCol w:w="1357"/>
        <w:gridCol w:w="3335"/>
        <w:gridCol w:w="4316"/>
        <w:gridCol w:w="2897"/>
      </w:tblGrid>
      <w:tr w:rsidR="00D81DFE" w:rsidRPr="00366557" w14:paraId="7C77B520" w14:textId="77777777" w:rsidTr="00357420">
        <w:tc>
          <w:tcPr>
            <w:tcW w:w="0" w:type="auto"/>
            <w:hideMark/>
          </w:tcPr>
          <w:p w14:paraId="5400963B" w14:textId="77777777" w:rsidR="00D81DFE" w:rsidRPr="00366557" w:rsidRDefault="00D81DFE" w:rsidP="00366557">
            <w:pPr>
              <w:spacing w:line="360" w:lineRule="auto"/>
              <w:rPr>
                <w:rFonts w:ascii="Arial" w:hAnsi="Arial" w:cs="Arial"/>
                <w:b/>
                <w:sz w:val="22"/>
              </w:rPr>
            </w:pPr>
            <w:r w:rsidRPr="00366557">
              <w:rPr>
                <w:rFonts w:ascii="Arial" w:hAnsi="Arial" w:cs="Arial"/>
                <w:b/>
                <w:sz w:val="22"/>
              </w:rPr>
              <w:t>Study</w:t>
            </w:r>
          </w:p>
        </w:tc>
        <w:tc>
          <w:tcPr>
            <w:tcW w:w="0" w:type="auto"/>
            <w:hideMark/>
          </w:tcPr>
          <w:p w14:paraId="35904959" w14:textId="77777777" w:rsidR="00D81DFE" w:rsidRPr="00366557" w:rsidRDefault="00D81DFE" w:rsidP="00366557">
            <w:pPr>
              <w:spacing w:line="360" w:lineRule="auto"/>
              <w:rPr>
                <w:rFonts w:ascii="Arial" w:hAnsi="Arial" w:cs="Arial"/>
                <w:b/>
                <w:sz w:val="22"/>
              </w:rPr>
            </w:pPr>
            <w:r w:rsidRPr="00366557">
              <w:rPr>
                <w:rFonts w:ascii="Arial" w:hAnsi="Arial" w:cs="Arial"/>
                <w:b/>
                <w:sz w:val="22"/>
              </w:rPr>
              <w:t>Author and Year</w:t>
            </w:r>
          </w:p>
        </w:tc>
        <w:tc>
          <w:tcPr>
            <w:tcW w:w="0" w:type="auto"/>
            <w:hideMark/>
          </w:tcPr>
          <w:p w14:paraId="7B5AB518" w14:textId="77777777" w:rsidR="00D81DFE" w:rsidRPr="00366557" w:rsidRDefault="00D81DFE" w:rsidP="00366557">
            <w:pPr>
              <w:spacing w:line="360" w:lineRule="auto"/>
              <w:rPr>
                <w:rFonts w:ascii="Arial" w:hAnsi="Arial" w:cs="Arial"/>
                <w:b/>
                <w:sz w:val="22"/>
              </w:rPr>
            </w:pPr>
            <w:r w:rsidRPr="00366557">
              <w:rPr>
                <w:rFonts w:ascii="Arial" w:hAnsi="Arial" w:cs="Arial"/>
                <w:b/>
                <w:sz w:val="22"/>
              </w:rPr>
              <w:t>Article Title</w:t>
            </w:r>
          </w:p>
        </w:tc>
        <w:tc>
          <w:tcPr>
            <w:tcW w:w="0" w:type="auto"/>
            <w:hideMark/>
          </w:tcPr>
          <w:p w14:paraId="61E24AC9" w14:textId="77777777" w:rsidR="00D81DFE" w:rsidRPr="00366557" w:rsidRDefault="00D81DFE" w:rsidP="00366557">
            <w:pPr>
              <w:spacing w:line="360" w:lineRule="auto"/>
              <w:rPr>
                <w:rFonts w:ascii="Arial" w:hAnsi="Arial" w:cs="Arial"/>
                <w:b/>
                <w:sz w:val="22"/>
              </w:rPr>
            </w:pPr>
            <w:r w:rsidRPr="00366557">
              <w:rPr>
                <w:rFonts w:ascii="Arial" w:hAnsi="Arial" w:cs="Arial"/>
                <w:b/>
                <w:sz w:val="22"/>
              </w:rPr>
              <w:t>Article Summary</w:t>
            </w:r>
          </w:p>
        </w:tc>
        <w:tc>
          <w:tcPr>
            <w:tcW w:w="0" w:type="auto"/>
            <w:hideMark/>
          </w:tcPr>
          <w:p w14:paraId="415BDE9B" w14:textId="77777777" w:rsidR="00D81DFE" w:rsidRPr="00366557" w:rsidRDefault="00D81DFE" w:rsidP="00366557">
            <w:pPr>
              <w:spacing w:line="360" w:lineRule="auto"/>
              <w:rPr>
                <w:rFonts w:ascii="Arial" w:hAnsi="Arial" w:cs="Arial"/>
                <w:b/>
                <w:sz w:val="22"/>
              </w:rPr>
            </w:pPr>
            <w:r w:rsidRPr="00366557">
              <w:rPr>
                <w:rFonts w:ascii="Arial" w:hAnsi="Arial" w:cs="Arial"/>
                <w:b/>
                <w:sz w:val="22"/>
              </w:rPr>
              <w:t>Keyword Codes</w:t>
            </w:r>
          </w:p>
        </w:tc>
      </w:tr>
      <w:tr w:rsidR="00D81DFE" w:rsidRPr="00366557" w14:paraId="68B3A2FA" w14:textId="77777777" w:rsidTr="00357420">
        <w:tc>
          <w:tcPr>
            <w:tcW w:w="0" w:type="auto"/>
            <w:hideMark/>
          </w:tcPr>
          <w:p w14:paraId="176C7E25" w14:textId="77777777" w:rsidR="00D81DFE" w:rsidRPr="00366557" w:rsidRDefault="00D81DFE" w:rsidP="00366557">
            <w:pPr>
              <w:spacing w:line="360" w:lineRule="auto"/>
              <w:rPr>
                <w:rFonts w:ascii="Arial" w:hAnsi="Arial" w:cs="Arial"/>
                <w:sz w:val="22"/>
              </w:rPr>
            </w:pPr>
            <w:r w:rsidRPr="00366557">
              <w:rPr>
                <w:rFonts w:ascii="Arial" w:hAnsi="Arial" w:cs="Arial"/>
                <w:sz w:val="22"/>
              </w:rPr>
              <w:t>Article 1</w:t>
            </w:r>
          </w:p>
        </w:tc>
        <w:tc>
          <w:tcPr>
            <w:tcW w:w="0" w:type="auto"/>
            <w:hideMark/>
          </w:tcPr>
          <w:p w14:paraId="38300C1C" w14:textId="77777777" w:rsidR="00D81DFE" w:rsidRPr="00366557" w:rsidRDefault="00D81DFE" w:rsidP="00366557">
            <w:pPr>
              <w:spacing w:line="360" w:lineRule="auto"/>
              <w:rPr>
                <w:rFonts w:ascii="Arial" w:hAnsi="Arial" w:cs="Arial"/>
                <w:sz w:val="22"/>
              </w:rPr>
            </w:pPr>
            <w:r w:rsidRPr="00366557">
              <w:rPr>
                <w:rFonts w:ascii="Arial" w:hAnsi="Arial" w:cs="Arial"/>
                <w:sz w:val="22"/>
              </w:rPr>
              <w:t>Willis et al. (2020)</w:t>
            </w:r>
          </w:p>
        </w:tc>
        <w:tc>
          <w:tcPr>
            <w:tcW w:w="0" w:type="auto"/>
            <w:hideMark/>
          </w:tcPr>
          <w:p w14:paraId="264D70A1" w14:textId="77777777" w:rsidR="00D81DFE" w:rsidRPr="00366557" w:rsidRDefault="00D81DFE" w:rsidP="00366557">
            <w:pPr>
              <w:spacing w:line="360" w:lineRule="auto"/>
              <w:rPr>
                <w:rFonts w:ascii="Arial" w:hAnsi="Arial" w:cs="Arial"/>
                <w:sz w:val="22"/>
              </w:rPr>
            </w:pPr>
            <w:r w:rsidRPr="00366557">
              <w:rPr>
                <w:rFonts w:ascii="Arial" w:hAnsi="Arial" w:cs="Arial"/>
                <w:iCs/>
                <w:sz w:val="22"/>
              </w:rPr>
              <w:t>Reluctant Educators and Self</w:t>
            </w:r>
            <w:r w:rsidRPr="00366557">
              <w:rPr>
                <w:rFonts w:ascii="Cambria Math" w:hAnsi="Cambria Math" w:cs="Cambria Math"/>
                <w:iCs/>
                <w:sz w:val="22"/>
              </w:rPr>
              <w:t>‐</w:t>
            </w:r>
            <w:r w:rsidRPr="00366557">
              <w:rPr>
                <w:rFonts w:ascii="Arial" w:hAnsi="Arial" w:cs="Arial"/>
                <w:iCs/>
                <w:sz w:val="22"/>
              </w:rPr>
              <w:t>Advocates: Older Trans Adults’ Experiences of Health-Care Services and Practitioners in Seeking Gender-Affirming Services</w:t>
            </w:r>
          </w:p>
        </w:tc>
        <w:tc>
          <w:tcPr>
            <w:tcW w:w="0" w:type="auto"/>
            <w:hideMark/>
          </w:tcPr>
          <w:p w14:paraId="03E69DE5" w14:textId="77777777" w:rsidR="00D81DFE" w:rsidRPr="00366557" w:rsidRDefault="00D81DFE" w:rsidP="00366557">
            <w:pPr>
              <w:spacing w:line="360" w:lineRule="auto"/>
              <w:rPr>
                <w:rFonts w:ascii="Arial" w:hAnsi="Arial" w:cs="Arial"/>
                <w:sz w:val="22"/>
              </w:rPr>
            </w:pPr>
            <w:r w:rsidRPr="00366557">
              <w:rPr>
                <w:rFonts w:ascii="Arial" w:hAnsi="Arial" w:cs="Arial"/>
                <w:sz w:val="22"/>
              </w:rPr>
              <w:t>Qualitative interviews with 19 older transgender adults in Wales explored experiences of seeking gender-affirming healthcare. Participants reported cisnormative assumptions, transphobia, and the need to educate healthcare professionals themselves.</w:t>
            </w:r>
          </w:p>
        </w:tc>
        <w:tc>
          <w:tcPr>
            <w:tcW w:w="0" w:type="auto"/>
            <w:hideMark/>
          </w:tcPr>
          <w:p w14:paraId="4143FFA8" w14:textId="77777777" w:rsidR="00D81DFE" w:rsidRPr="00366557" w:rsidRDefault="00D81DFE" w:rsidP="00366557">
            <w:pPr>
              <w:spacing w:line="360" w:lineRule="auto"/>
              <w:rPr>
                <w:rFonts w:ascii="Arial" w:hAnsi="Arial" w:cs="Arial"/>
                <w:sz w:val="22"/>
              </w:rPr>
            </w:pPr>
            <w:r w:rsidRPr="00366557">
              <w:rPr>
                <w:rFonts w:ascii="Arial" w:hAnsi="Arial" w:cs="Arial"/>
                <w:sz w:val="22"/>
              </w:rPr>
              <w:t>Healthcare barriers; Cisnormativity; Transphobia; Gender-affirming care; Older adults</w:t>
            </w:r>
          </w:p>
        </w:tc>
      </w:tr>
      <w:tr w:rsidR="00D81DFE" w:rsidRPr="00366557" w14:paraId="15ED50D0" w14:textId="77777777" w:rsidTr="00357420">
        <w:tc>
          <w:tcPr>
            <w:tcW w:w="0" w:type="auto"/>
            <w:hideMark/>
          </w:tcPr>
          <w:p w14:paraId="4E802D95" w14:textId="77777777" w:rsidR="00D81DFE" w:rsidRPr="00366557" w:rsidRDefault="00D81DFE" w:rsidP="00366557">
            <w:pPr>
              <w:spacing w:line="360" w:lineRule="auto"/>
              <w:rPr>
                <w:rFonts w:ascii="Arial" w:hAnsi="Arial" w:cs="Arial"/>
                <w:sz w:val="22"/>
              </w:rPr>
            </w:pPr>
            <w:r w:rsidRPr="00366557">
              <w:rPr>
                <w:rFonts w:ascii="Arial" w:hAnsi="Arial" w:cs="Arial"/>
                <w:sz w:val="22"/>
              </w:rPr>
              <w:t>CRAAP Notes</w:t>
            </w:r>
          </w:p>
        </w:tc>
        <w:tc>
          <w:tcPr>
            <w:tcW w:w="0" w:type="auto"/>
            <w:gridSpan w:val="3"/>
            <w:hideMark/>
          </w:tcPr>
          <w:p w14:paraId="26618206" w14:textId="77777777" w:rsidR="00D81DFE" w:rsidRPr="00366557" w:rsidRDefault="00D81DFE" w:rsidP="00366557">
            <w:pPr>
              <w:spacing w:line="360" w:lineRule="auto"/>
              <w:rPr>
                <w:rFonts w:ascii="Arial" w:hAnsi="Arial" w:cs="Arial"/>
                <w:sz w:val="22"/>
              </w:rPr>
            </w:pPr>
            <w:r w:rsidRPr="00366557">
              <w:rPr>
                <w:rFonts w:ascii="Arial" w:hAnsi="Arial" w:cs="Arial"/>
                <w:sz w:val="22"/>
              </w:rPr>
              <w:t>Recent peer-reviewed study; directly relevant to UK transgender healthcare experiences; published in a reputable journal; qualitative methodology clearly described; aims to improve healthcare practice.</w:t>
            </w:r>
          </w:p>
        </w:tc>
        <w:tc>
          <w:tcPr>
            <w:tcW w:w="0" w:type="auto"/>
            <w:hideMark/>
          </w:tcPr>
          <w:p w14:paraId="05C5F24E" w14:textId="77777777" w:rsidR="00D81DFE" w:rsidRPr="00366557" w:rsidRDefault="00D81DFE" w:rsidP="00366557">
            <w:pPr>
              <w:spacing w:line="360" w:lineRule="auto"/>
              <w:rPr>
                <w:rFonts w:ascii="Arial" w:hAnsi="Arial" w:cs="Arial"/>
                <w:sz w:val="22"/>
              </w:rPr>
            </w:pPr>
            <w:r w:rsidRPr="00366557">
              <w:rPr>
                <w:rFonts w:ascii="Arial" w:hAnsi="Arial" w:cs="Arial"/>
                <w:sz w:val="22"/>
              </w:rPr>
              <w:t>5/5</w:t>
            </w:r>
          </w:p>
        </w:tc>
      </w:tr>
      <w:tr w:rsidR="00D81DFE" w:rsidRPr="00366557" w14:paraId="0786A7BD" w14:textId="77777777" w:rsidTr="00357420">
        <w:tc>
          <w:tcPr>
            <w:tcW w:w="0" w:type="auto"/>
            <w:hideMark/>
          </w:tcPr>
          <w:p w14:paraId="4C41F110" w14:textId="77777777" w:rsidR="00D81DFE" w:rsidRPr="00366557" w:rsidRDefault="00D81DFE" w:rsidP="00366557">
            <w:pPr>
              <w:spacing w:line="360" w:lineRule="auto"/>
              <w:rPr>
                <w:rFonts w:ascii="Arial" w:hAnsi="Arial" w:cs="Arial"/>
                <w:sz w:val="22"/>
              </w:rPr>
            </w:pPr>
            <w:r w:rsidRPr="00366557">
              <w:rPr>
                <w:rFonts w:ascii="Arial" w:hAnsi="Arial" w:cs="Arial"/>
                <w:sz w:val="22"/>
              </w:rPr>
              <w:t>Article 2</w:t>
            </w:r>
          </w:p>
        </w:tc>
        <w:tc>
          <w:tcPr>
            <w:tcW w:w="0" w:type="auto"/>
            <w:hideMark/>
          </w:tcPr>
          <w:p w14:paraId="18C9C0D1" w14:textId="77777777" w:rsidR="00D81DFE" w:rsidRPr="00366557" w:rsidRDefault="00D81DFE" w:rsidP="00366557">
            <w:pPr>
              <w:spacing w:line="360" w:lineRule="auto"/>
              <w:rPr>
                <w:rFonts w:ascii="Arial" w:hAnsi="Arial" w:cs="Arial"/>
                <w:sz w:val="22"/>
              </w:rPr>
            </w:pPr>
            <w:r w:rsidRPr="00366557">
              <w:rPr>
                <w:rFonts w:ascii="Arial" w:hAnsi="Arial" w:cs="Arial"/>
                <w:sz w:val="22"/>
              </w:rPr>
              <w:t>Stepney et al. (2025)</w:t>
            </w:r>
          </w:p>
        </w:tc>
        <w:tc>
          <w:tcPr>
            <w:tcW w:w="0" w:type="auto"/>
            <w:hideMark/>
          </w:tcPr>
          <w:p w14:paraId="0EF6C8C7" w14:textId="77777777" w:rsidR="00D81DFE" w:rsidRPr="00366557" w:rsidRDefault="00D81DFE" w:rsidP="00366557">
            <w:pPr>
              <w:spacing w:line="360" w:lineRule="auto"/>
              <w:rPr>
                <w:rFonts w:ascii="Arial" w:hAnsi="Arial" w:cs="Arial"/>
                <w:sz w:val="22"/>
              </w:rPr>
            </w:pPr>
            <w:r w:rsidRPr="00366557">
              <w:rPr>
                <w:rFonts w:ascii="Arial" w:hAnsi="Arial" w:cs="Arial"/>
                <w:iCs/>
                <w:sz w:val="22"/>
              </w:rPr>
              <w:t>Improving the Experience of Health Services for Trans and Gender-Diverse Young People and Their Families</w:t>
            </w:r>
          </w:p>
        </w:tc>
        <w:tc>
          <w:tcPr>
            <w:tcW w:w="0" w:type="auto"/>
            <w:hideMark/>
          </w:tcPr>
          <w:p w14:paraId="2C812C46" w14:textId="77777777" w:rsidR="00D81DFE" w:rsidRPr="00366557" w:rsidRDefault="00D81DFE" w:rsidP="00366557">
            <w:pPr>
              <w:spacing w:line="360" w:lineRule="auto"/>
              <w:rPr>
                <w:rFonts w:ascii="Arial" w:hAnsi="Arial" w:cs="Arial"/>
                <w:sz w:val="22"/>
              </w:rPr>
            </w:pPr>
            <w:r w:rsidRPr="00366557">
              <w:rPr>
                <w:rFonts w:ascii="Arial" w:hAnsi="Arial" w:cs="Arial"/>
                <w:sz w:val="22"/>
              </w:rPr>
              <w:t>Exploratory qualitative study involving 91 interviews with young people, parents, and professionals. Identified structural, educational, social, cultural, and technical barriers to healthcare access and quality.</w:t>
            </w:r>
          </w:p>
        </w:tc>
        <w:tc>
          <w:tcPr>
            <w:tcW w:w="0" w:type="auto"/>
            <w:hideMark/>
          </w:tcPr>
          <w:p w14:paraId="728C32D2" w14:textId="77777777" w:rsidR="00D81DFE" w:rsidRPr="00366557" w:rsidRDefault="00D81DFE" w:rsidP="00366557">
            <w:pPr>
              <w:spacing w:line="360" w:lineRule="auto"/>
              <w:rPr>
                <w:rFonts w:ascii="Arial" w:hAnsi="Arial" w:cs="Arial"/>
                <w:sz w:val="22"/>
              </w:rPr>
            </w:pPr>
            <w:r w:rsidRPr="00366557">
              <w:rPr>
                <w:rFonts w:ascii="Arial" w:hAnsi="Arial" w:cs="Arial"/>
                <w:sz w:val="22"/>
              </w:rPr>
              <w:t>Youth healthcare; Gatekeeping; Healthcare access; NHS services; Family experiences</w:t>
            </w:r>
          </w:p>
        </w:tc>
      </w:tr>
      <w:tr w:rsidR="00D81DFE" w:rsidRPr="00366557" w14:paraId="22A6DDAD" w14:textId="77777777" w:rsidTr="00357420">
        <w:tc>
          <w:tcPr>
            <w:tcW w:w="0" w:type="auto"/>
            <w:hideMark/>
          </w:tcPr>
          <w:p w14:paraId="53DDC477" w14:textId="77777777" w:rsidR="00D81DFE" w:rsidRPr="00366557" w:rsidRDefault="00D81DFE" w:rsidP="00366557">
            <w:pPr>
              <w:spacing w:line="360" w:lineRule="auto"/>
              <w:rPr>
                <w:rFonts w:ascii="Arial" w:hAnsi="Arial" w:cs="Arial"/>
                <w:sz w:val="22"/>
              </w:rPr>
            </w:pPr>
            <w:r w:rsidRPr="00366557">
              <w:rPr>
                <w:rFonts w:ascii="Arial" w:hAnsi="Arial" w:cs="Arial"/>
                <w:sz w:val="22"/>
              </w:rPr>
              <w:t>CRAAP Notes</w:t>
            </w:r>
          </w:p>
        </w:tc>
        <w:tc>
          <w:tcPr>
            <w:tcW w:w="0" w:type="auto"/>
            <w:gridSpan w:val="3"/>
            <w:hideMark/>
          </w:tcPr>
          <w:p w14:paraId="7DC6FC04" w14:textId="77777777" w:rsidR="00D81DFE" w:rsidRPr="00366557" w:rsidRDefault="00D81DFE" w:rsidP="00366557">
            <w:pPr>
              <w:spacing w:line="360" w:lineRule="auto"/>
              <w:rPr>
                <w:rFonts w:ascii="Arial" w:hAnsi="Arial" w:cs="Arial"/>
                <w:sz w:val="22"/>
              </w:rPr>
            </w:pPr>
            <w:r w:rsidRPr="00366557">
              <w:rPr>
                <w:rFonts w:ascii="Arial" w:hAnsi="Arial" w:cs="Arial"/>
                <w:sz w:val="22"/>
              </w:rPr>
              <w:t>Most current study; highly relevant to healthcare experiences; funded health research publication; extensive qualitative dataset; clear improvement recommendations.</w:t>
            </w:r>
          </w:p>
        </w:tc>
        <w:tc>
          <w:tcPr>
            <w:tcW w:w="0" w:type="auto"/>
            <w:hideMark/>
          </w:tcPr>
          <w:p w14:paraId="55BF3025" w14:textId="77777777" w:rsidR="00D81DFE" w:rsidRPr="00366557" w:rsidRDefault="00D81DFE" w:rsidP="00366557">
            <w:pPr>
              <w:spacing w:line="360" w:lineRule="auto"/>
              <w:rPr>
                <w:rFonts w:ascii="Arial" w:hAnsi="Arial" w:cs="Arial"/>
                <w:sz w:val="22"/>
              </w:rPr>
            </w:pPr>
            <w:r w:rsidRPr="00366557">
              <w:rPr>
                <w:rFonts w:ascii="Arial" w:hAnsi="Arial" w:cs="Arial"/>
                <w:sz w:val="22"/>
              </w:rPr>
              <w:t>5/5</w:t>
            </w:r>
          </w:p>
        </w:tc>
      </w:tr>
      <w:tr w:rsidR="00D81DFE" w:rsidRPr="00366557" w14:paraId="147A079E" w14:textId="77777777" w:rsidTr="00357420">
        <w:tc>
          <w:tcPr>
            <w:tcW w:w="0" w:type="auto"/>
            <w:hideMark/>
          </w:tcPr>
          <w:p w14:paraId="7692EE57" w14:textId="77777777" w:rsidR="00D81DFE" w:rsidRPr="00366557" w:rsidRDefault="00D81DFE" w:rsidP="00366557">
            <w:pPr>
              <w:spacing w:line="360" w:lineRule="auto"/>
              <w:rPr>
                <w:rFonts w:ascii="Arial" w:hAnsi="Arial" w:cs="Arial"/>
                <w:sz w:val="22"/>
              </w:rPr>
            </w:pPr>
            <w:r w:rsidRPr="00366557">
              <w:rPr>
                <w:rFonts w:ascii="Arial" w:hAnsi="Arial" w:cs="Arial"/>
                <w:sz w:val="22"/>
              </w:rPr>
              <w:lastRenderedPageBreak/>
              <w:t>Article 3</w:t>
            </w:r>
          </w:p>
        </w:tc>
        <w:tc>
          <w:tcPr>
            <w:tcW w:w="0" w:type="auto"/>
            <w:hideMark/>
          </w:tcPr>
          <w:p w14:paraId="7DCE7E28" w14:textId="77777777" w:rsidR="00D81DFE" w:rsidRPr="00366557" w:rsidRDefault="00D81DFE" w:rsidP="00366557">
            <w:pPr>
              <w:spacing w:line="360" w:lineRule="auto"/>
              <w:rPr>
                <w:rFonts w:ascii="Arial" w:hAnsi="Arial" w:cs="Arial"/>
                <w:sz w:val="22"/>
              </w:rPr>
            </w:pPr>
            <w:r w:rsidRPr="00366557">
              <w:rPr>
                <w:rFonts w:ascii="Arial" w:hAnsi="Arial" w:cs="Arial"/>
                <w:sz w:val="22"/>
              </w:rPr>
              <w:t>Toze et al. (2023)</w:t>
            </w:r>
          </w:p>
        </w:tc>
        <w:tc>
          <w:tcPr>
            <w:tcW w:w="0" w:type="auto"/>
            <w:hideMark/>
          </w:tcPr>
          <w:p w14:paraId="75CABCCA" w14:textId="77777777" w:rsidR="00D81DFE" w:rsidRPr="00366557" w:rsidRDefault="00D81DFE" w:rsidP="00366557">
            <w:pPr>
              <w:spacing w:line="360" w:lineRule="auto"/>
              <w:rPr>
                <w:rFonts w:ascii="Arial" w:hAnsi="Arial" w:cs="Arial"/>
                <w:sz w:val="22"/>
              </w:rPr>
            </w:pPr>
            <w:r w:rsidRPr="00366557">
              <w:rPr>
                <w:rFonts w:ascii="Arial" w:hAnsi="Arial" w:cs="Arial"/>
                <w:iCs/>
                <w:sz w:val="22"/>
              </w:rPr>
              <w:t>Social Support and Unmet Needs among Older Trans and Gender Non-Conforming People during COVID-19 Lockdown in the UK</w:t>
            </w:r>
          </w:p>
        </w:tc>
        <w:tc>
          <w:tcPr>
            <w:tcW w:w="0" w:type="auto"/>
            <w:hideMark/>
          </w:tcPr>
          <w:p w14:paraId="7DB97FC0" w14:textId="77777777" w:rsidR="00D81DFE" w:rsidRPr="00366557" w:rsidRDefault="00D81DFE" w:rsidP="00366557">
            <w:pPr>
              <w:spacing w:line="360" w:lineRule="auto"/>
              <w:rPr>
                <w:rFonts w:ascii="Arial" w:hAnsi="Arial" w:cs="Arial"/>
                <w:sz w:val="22"/>
              </w:rPr>
            </w:pPr>
            <w:r w:rsidRPr="00366557">
              <w:rPr>
                <w:rFonts w:ascii="Arial" w:hAnsi="Arial" w:cs="Arial"/>
                <w:sz w:val="22"/>
              </w:rPr>
              <w:t>Cross-sectional survey of older TGNC adults examining social support networks, unmet needs, isolation, and access to gender-affirming care during the pandemic.</w:t>
            </w:r>
          </w:p>
        </w:tc>
        <w:tc>
          <w:tcPr>
            <w:tcW w:w="0" w:type="auto"/>
            <w:hideMark/>
          </w:tcPr>
          <w:p w14:paraId="5066D805" w14:textId="77777777" w:rsidR="00D81DFE" w:rsidRPr="00366557" w:rsidRDefault="00D81DFE" w:rsidP="00366557">
            <w:pPr>
              <w:spacing w:line="360" w:lineRule="auto"/>
              <w:rPr>
                <w:rFonts w:ascii="Arial" w:hAnsi="Arial" w:cs="Arial"/>
                <w:sz w:val="22"/>
              </w:rPr>
            </w:pPr>
            <w:r w:rsidRPr="00366557">
              <w:rPr>
                <w:rFonts w:ascii="Arial" w:hAnsi="Arial" w:cs="Arial"/>
                <w:sz w:val="22"/>
              </w:rPr>
              <w:t>Social support; Isolation; COVID-19; Older adults; Unmet needs</w:t>
            </w:r>
          </w:p>
        </w:tc>
      </w:tr>
      <w:tr w:rsidR="00D81DFE" w:rsidRPr="00366557" w14:paraId="45E69569" w14:textId="77777777" w:rsidTr="00357420">
        <w:tc>
          <w:tcPr>
            <w:tcW w:w="0" w:type="auto"/>
            <w:hideMark/>
          </w:tcPr>
          <w:p w14:paraId="2882FD09" w14:textId="77777777" w:rsidR="00D81DFE" w:rsidRPr="00366557" w:rsidRDefault="00D81DFE" w:rsidP="00366557">
            <w:pPr>
              <w:spacing w:line="360" w:lineRule="auto"/>
              <w:rPr>
                <w:rFonts w:ascii="Arial" w:hAnsi="Arial" w:cs="Arial"/>
                <w:sz w:val="22"/>
              </w:rPr>
            </w:pPr>
            <w:r w:rsidRPr="00366557">
              <w:rPr>
                <w:rFonts w:ascii="Arial" w:hAnsi="Arial" w:cs="Arial"/>
                <w:sz w:val="22"/>
              </w:rPr>
              <w:t>CRAAP Notes</w:t>
            </w:r>
          </w:p>
        </w:tc>
        <w:tc>
          <w:tcPr>
            <w:tcW w:w="0" w:type="auto"/>
            <w:gridSpan w:val="3"/>
            <w:hideMark/>
          </w:tcPr>
          <w:p w14:paraId="4432046E" w14:textId="77777777" w:rsidR="00D81DFE" w:rsidRPr="00366557" w:rsidRDefault="00D81DFE" w:rsidP="00366557">
            <w:pPr>
              <w:spacing w:line="360" w:lineRule="auto"/>
              <w:rPr>
                <w:rFonts w:ascii="Arial" w:hAnsi="Arial" w:cs="Arial"/>
                <w:sz w:val="22"/>
              </w:rPr>
            </w:pPr>
            <w:r w:rsidRPr="00366557">
              <w:rPr>
                <w:rFonts w:ascii="Arial" w:hAnsi="Arial" w:cs="Arial"/>
                <w:sz w:val="22"/>
              </w:rPr>
              <w:t>Recent UK study; directly relevant to social care experiences; peer-reviewed journal; empirical survey data; addresses practical support needs.</w:t>
            </w:r>
          </w:p>
        </w:tc>
        <w:tc>
          <w:tcPr>
            <w:tcW w:w="0" w:type="auto"/>
            <w:hideMark/>
          </w:tcPr>
          <w:p w14:paraId="4DE0D8B6" w14:textId="77777777" w:rsidR="00D81DFE" w:rsidRPr="00366557" w:rsidRDefault="00D81DFE" w:rsidP="00366557">
            <w:pPr>
              <w:spacing w:line="360" w:lineRule="auto"/>
              <w:rPr>
                <w:rFonts w:ascii="Arial" w:hAnsi="Arial" w:cs="Arial"/>
                <w:sz w:val="22"/>
              </w:rPr>
            </w:pPr>
            <w:r w:rsidRPr="00366557">
              <w:rPr>
                <w:rFonts w:ascii="Arial" w:hAnsi="Arial" w:cs="Arial"/>
                <w:sz w:val="22"/>
              </w:rPr>
              <w:t>3/5</w:t>
            </w:r>
          </w:p>
        </w:tc>
      </w:tr>
      <w:tr w:rsidR="00D81DFE" w:rsidRPr="00366557" w14:paraId="0CE33DB4" w14:textId="77777777" w:rsidTr="00357420">
        <w:tc>
          <w:tcPr>
            <w:tcW w:w="0" w:type="auto"/>
            <w:hideMark/>
          </w:tcPr>
          <w:p w14:paraId="39FEA813" w14:textId="77777777" w:rsidR="00D81DFE" w:rsidRPr="00366557" w:rsidRDefault="00D81DFE" w:rsidP="00366557">
            <w:pPr>
              <w:spacing w:line="360" w:lineRule="auto"/>
              <w:rPr>
                <w:rFonts w:ascii="Arial" w:hAnsi="Arial" w:cs="Arial"/>
                <w:sz w:val="22"/>
              </w:rPr>
            </w:pPr>
            <w:r w:rsidRPr="00366557">
              <w:rPr>
                <w:rFonts w:ascii="Arial" w:hAnsi="Arial" w:cs="Arial"/>
                <w:sz w:val="22"/>
              </w:rPr>
              <w:t>Article 4</w:t>
            </w:r>
          </w:p>
        </w:tc>
        <w:tc>
          <w:tcPr>
            <w:tcW w:w="0" w:type="auto"/>
            <w:hideMark/>
          </w:tcPr>
          <w:p w14:paraId="7982ACF4" w14:textId="77777777" w:rsidR="00D81DFE" w:rsidRPr="00366557" w:rsidRDefault="00D81DFE" w:rsidP="00366557">
            <w:pPr>
              <w:spacing w:line="360" w:lineRule="auto"/>
              <w:rPr>
                <w:rFonts w:ascii="Arial" w:hAnsi="Arial" w:cs="Arial"/>
                <w:sz w:val="22"/>
              </w:rPr>
            </w:pPr>
            <w:r w:rsidRPr="00366557">
              <w:rPr>
                <w:rFonts w:ascii="Arial" w:hAnsi="Arial" w:cs="Arial"/>
                <w:sz w:val="22"/>
              </w:rPr>
              <w:t>Mikulak et al. (2021)</w:t>
            </w:r>
          </w:p>
        </w:tc>
        <w:tc>
          <w:tcPr>
            <w:tcW w:w="0" w:type="auto"/>
            <w:hideMark/>
          </w:tcPr>
          <w:p w14:paraId="2531F47E" w14:textId="77777777" w:rsidR="00D81DFE" w:rsidRPr="00366557" w:rsidRDefault="00D81DFE" w:rsidP="00366557">
            <w:pPr>
              <w:spacing w:line="360" w:lineRule="auto"/>
              <w:rPr>
                <w:rFonts w:ascii="Arial" w:hAnsi="Arial" w:cs="Arial"/>
                <w:sz w:val="22"/>
              </w:rPr>
            </w:pPr>
            <w:r w:rsidRPr="00366557">
              <w:rPr>
                <w:rFonts w:ascii="Arial" w:hAnsi="Arial" w:cs="Arial"/>
                <w:iCs/>
                <w:sz w:val="22"/>
              </w:rPr>
              <w:t>Health Professionals’ Identified Barriers to Trans Health Care: A Qualitative Interview Study</w:t>
            </w:r>
          </w:p>
        </w:tc>
        <w:tc>
          <w:tcPr>
            <w:tcW w:w="0" w:type="auto"/>
            <w:hideMark/>
          </w:tcPr>
          <w:p w14:paraId="087D5653" w14:textId="77777777" w:rsidR="00D81DFE" w:rsidRPr="00366557" w:rsidRDefault="00D81DFE" w:rsidP="00366557">
            <w:pPr>
              <w:spacing w:line="360" w:lineRule="auto"/>
              <w:rPr>
                <w:rFonts w:ascii="Arial" w:hAnsi="Arial" w:cs="Arial"/>
                <w:sz w:val="22"/>
              </w:rPr>
            </w:pPr>
            <w:r w:rsidRPr="00366557">
              <w:rPr>
                <w:rFonts w:ascii="Arial" w:hAnsi="Arial" w:cs="Arial"/>
                <w:sz w:val="22"/>
              </w:rPr>
              <w:t>Interviews with 20 health professionals identified structural, educational, cultural, and technical barriers affecting provision of transgender healthcare services.</w:t>
            </w:r>
          </w:p>
        </w:tc>
        <w:tc>
          <w:tcPr>
            <w:tcW w:w="0" w:type="auto"/>
            <w:hideMark/>
          </w:tcPr>
          <w:p w14:paraId="4B656BBE" w14:textId="77777777" w:rsidR="00D81DFE" w:rsidRPr="00366557" w:rsidRDefault="00D81DFE" w:rsidP="00366557">
            <w:pPr>
              <w:spacing w:line="360" w:lineRule="auto"/>
              <w:rPr>
                <w:rFonts w:ascii="Arial" w:hAnsi="Arial" w:cs="Arial"/>
                <w:sz w:val="22"/>
              </w:rPr>
            </w:pPr>
            <w:r w:rsidRPr="00366557">
              <w:rPr>
                <w:rFonts w:ascii="Arial" w:hAnsi="Arial" w:cs="Arial"/>
                <w:sz w:val="22"/>
              </w:rPr>
              <w:t>Professional barriers; Training; Health policy; Service delivery; Healthcare systems</w:t>
            </w:r>
          </w:p>
        </w:tc>
      </w:tr>
      <w:tr w:rsidR="00D81DFE" w:rsidRPr="00366557" w14:paraId="0844DB6E" w14:textId="77777777" w:rsidTr="00357420">
        <w:tc>
          <w:tcPr>
            <w:tcW w:w="0" w:type="auto"/>
            <w:hideMark/>
          </w:tcPr>
          <w:p w14:paraId="04C2E887" w14:textId="77777777" w:rsidR="00D81DFE" w:rsidRPr="00366557" w:rsidRDefault="00D81DFE" w:rsidP="00366557">
            <w:pPr>
              <w:spacing w:line="360" w:lineRule="auto"/>
              <w:rPr>
                <w:rFonts w:ascii="Arial" w:hAnsi="Arial" w:cs="Arial"/>
                <w:sz w:val="22"/>
              </w:rPr>
            </w:pPr>
            <w:r w:rsidRPr="00366557">
              <w:rPr>
                <w:rFonts w:ascii="Arial" w:hAnsi="Arial" w:cs="Arial"/>
                <w:sz w:val="22"/>
              </w:rPr>
              <w:t>CRAAP Notes</w:t>
            </w:r>
          </w:p>
        </w:tc>
        <w:tc>
          <w:tcPr>
            <w:tcW w:w="0" w:type="auto"/>
            <w:gridSpan w:val="3"/>
            <w:hideMark/>
          </w:tcPr>
          <w:p w14:paraId="445F371E" w14:textId="77777777" w:rsidR="00D81DFE" w:rsidRPr="00366557" w:rsidRDefault="00D81DFE" w:rsidP="00366557">
            <w:pPr>
              <w:spacing w:line="360" w:lineRule="auto"/>
              <w:rPr>
                <w:rFonts w:ascii="Arial" w:hAnsi="Arial" w:cs="Arial"/>
                <w:sz w:val="22"/>
              </w:rPr>
            </w:pPr>
            <w:r w:rsidRPr="00366557">
              <w:rPr>
                <w:rFonts w:ascii="Arial" w:hAnsi="Arial" w:cs="Arial"/>
                <w:sz w:val="22"/>
              </w:rPr>
              <w:t>Published in a respected medical journal; directly aligned with healthcare practice barriers; robust qualitative design; highly applicable to UK healthcare settings.</w:t>
            </w:r>
          </w:p>
        </w:tc>
        <w:tc>
          <w:tcPr>
            <w:tcW w:w="0" w:type="auto"/>
            <w:hideMark/>
          </w:tcPr>
          <w:p w14:paraId="13D25CF5" w14:textId="77777777" w:rsidR="00D81DFE" w:rsidRPr="00366557" w:rsidRDefault="00D81DFE" w:rsidP="00366557">
            <w:pPr>
              <w:spacing w:line="360" w:lineRule="auto"/>
              <w:rPr>
                <w:rFonts w:ascii="Arial" w:hAnsi="Arial" w:cs="Arial"/>
                <w:sz w:val="22"/>
              </w:rPr>
            </w:pPr>
            <w:r w:rsidRPr="00366557">
              <w:rPr>
                <w:rFonts w:ascii="Arial" w:hAnsi="Arial" w:cs="Arial"/>
                <w:sz w:val="22"/>
              </w:rPr>
              <w:t>3/5</w:t>
            </w:r>
          </w:p>
        </w:tc>
      </w:tr>
      <w:tr w:rsidR="00D81DFE" w:rsidRPr="00366557" w14:paraId="17C9B091" w14:textId="77777777" w:rsidTr="00357420">
        <w:tc>
          <w:tcPr>
            <w:tcW w:w="0" w:type="auto"/>
            <w:hideMark/>
          </w:tcPr>
          <w:p w14:paraId="54A2B5D2" w14:textId="77777777" w:rsidR="00D81DFE" w:rsidRPr="00366557" w:rsidRDefault="00D81DFE" w:rsidP="00366557">
            <w:pPr>
              <w:spacing w:line="360" w:lineRule="auto"/>
              <w:rPr>
                <w:rFonts w:ascii="Arial" w:hAnsi="Arial" w:cs="Arial"/>
                <w:sz w:val="22"/>
              </w:rPr>
            </w:pPr>
            <w:r w:rsidRPr="00366557">
              <w:rPr>
                <w:rFonts w:ascii="Arial" w:hAnsi="Arial" w:cs="Arial"/>
                <w:sz w:val="22"/>
              </w:rPr>
              <w:t>Article 5</w:t>
            </w:r>
          </w:p>
        </w:tc>
        <w:tc>
          <w:tcPr>
            <w:tcW w:w="0" w:type="auto"/>
            <w:hideMark/>
          </w:tcPr>
          <w:p w14:paraId="01260F3C" w14:textId="77777777" w:rsidR="00D81DFE" w:rsidRPr="00366557" w:rsidRDefault="00D81DFE" w:rsidP="00366557">
            <w:pPr>
              <w:spacing w:line="360" w:lineRule="auto"/>
              <w:rPr>
                <w:rFonts w:ascii="Arial" w:hAnsi="Arial" w:cs="Arial"/>
                <w:sz w:val="22"/>
              </w:rPr>
            </w:pPr>
            <w:r w:rsidRPr="00366557">
              <w:rPr>
                <w:rFonts w:ascii="Arial" w:hAnsi="Arial" w:cs="Arial"/>
                <w:sz w:val="22"/>
              </w:rPr>
              <w:t>Witney et al. (2025)</w:t>
            </w:r>
          </w:p>
        </w:tc>
        <w:tc>
          <w:tcPr>
            <w:tcW w:w="0" w:type="auto"/>
            <w:hideMark/>
          </w:tcPr>
          <w:p w14:paraId="2C233163" w14:textId="77777777" w:rsidR="00D81DFE" w:rsidRPr="00366557" w:rsidRDefault="00D81DFE" w:rsidP="00366557">
            <w:pPr>
              <w:spacing w:line="360" w:lineRule="auto"/>
              <w:rPr>
                <w:rFonts w:ascii="Arial" w:hAnsi="Arial" w:cs="Arial"/>
                <w:sz w:val="22"/>
              </w:rPr>
            </w:pPr>
            <w:r w:rsidRPr="00366557">
              <w:rPr>
                <w:rFonts w:ascii="Arial" w:hAnsi="Arial" w:cs="Arial"/>
                <w:iCs/>
                <w:sz w:val="22"/>
              </w:rPr>
              <w:t>One Way or Another, You Are Not Going to Fit: Trans and Gender Diverse People’s Perspectives on Sexual Health Services in the United Kingdom</w:t>
            </w:r>
          </w:p>
        </w:tc>
        <w:tc>
          <w:tcPr>
            <w:tcW w:w="0" w:type="auto"/>
            <w:hideMark/>
          </w:tcPr>
          <w:p w14:paraId="5D2A6C78" w14:textId="77777777" w:rsidR="00D81DFE" w:rsidRPr="00366557" w:rsidRDefault="00D81DFE" w:rsidP="00366557">
            <w:pPr>
              <w:spacing w:line="360" w:lineRule="auto"/>
              <w:rPr>
                <w:rFonts w:ascii="Arial" w:hAnsi="Arial" w:cs="Arial"/>
                <w:sz w:val="22"/>
              </w:rPr>
            </w:pPr>
            <w:r w:rsidRPr="00366557">
              <w:rPr>
                <w:rFonts w:ascii="Arial" w:hAnsi="Arial" w:cs="Arial"/>
                <w:sz w:val="22"/>
              </w:rPr>
              <w:t>Interviews and focus groups explored transgender experiences of sexual health services. Findings highlighted exclusion, poor inclusivity, and the importance of staff attitudes and visible support.</w:t>
            </w:r>
          </w:p>
        </w:tc>
        <w:tc>
          <w:tcPr>
            <w:tcW w:w="0" w:type="auto"/>
            <w:hideMark/>
          </w:tcPr>
          <w:p w14:paraId="3F902434" w14:textId="77777777" w:rsidR="00D81DFE" w:rsidRPr="00366557" w:rsidRDefault="00D81DFE" w:rsidP="00366557">
            <w:pPr>
              <w:spacing w:line="360" w:lineRule="auto"/>
              <w:rPr>
                <w:rFonts w:ascii="Arial" w:hAnsi="Arial" w:cs="Arial"/>
                <w:sz w:val="22"/>
              </w:rPr>
            </w:pPr>
            <w:r w:rsidRPr="00366557">
              <w:rPr>
                <w:rFonts w:ascii="Arial" w:hAnsi="Arial" w:cs="Arial"/>
                <w:sz w:val="22"/>
              </w:rPr>
              <w:t>Sexual health; Inclusivity; Healthcare experiences; Staff attitudes; Service accessibility</w:t>
            </w:r>
          </w:p>
        </w:tc>
      </w:tr>
      <w:tr w:rsidR="00D81DFE" w:rsidRPr="00366557" w14:paraId="5FBBA938" w14:textId="77777777" w:rsidTr="00357420">
        <w:tc>
          <w:tcPr>
            <w:tcW w:w="0" w:type="auto"/>
            <w:hideMark/>
          </w:tcPr>
          <w:p w14:paraId="2F875DB4" w14:textId="77777777" w:rsidR="00D81DFE" w:rsidRPr="00366557" w:rsidRDefault="00D81DFE" w:rsidP="00366557">
            <w:pPr>
              <w:spacing w:line="360" w:lineRule="auto"/>
              <w:rPr>
                <w:rFonts w:ascii="Arial" w:hAnsi="Arial" w:cs="Arial"/>
                <w:sz w:val="22"/>
              </w:rPr>
            </w:pPr>
            <w:r w:rsidRPr="00366557">
              <w:rPr>
                <w:rFonts w:ascii="Arial" w:hAnsi="Arial" w:cs="Arial"/>
                <w:sz w:val="22"/>
              </w:rPr>
              <w:t>CRAAP Notes</w:t>
            </w:r>
          </w:p>
        </w:tc>
        <w:tc>
          <w:tcPr>
            <w:tcW w:w="0" w:type="auto"/>
            <w:gridSpan w:val="3"/>
            <w:hideMark/>
          </w:tcPr>
          <w:p w14:paraId="7722909D" w14:textId="77777777" w:rsidR="00D81DFE" w:rsidRPr="00366557" w:rsidRDefault="00D81DFE" w:rsidP="00366557">
            <w:pPr>
              <w:spacing w:line="360" w:lineRule="auto"/>
              <w:rPr>
                <w:rFonts w:ascii="Arial" w:hAnsi="Arial" w:cs="Arial"/>
                <w:sz w:val="22"/>
              </w:rPr>
            </w:pPr>
            <w:r w:rsidRPr="00366557">
              <w:rPr>
                <w:rFonts w:ascii="Arial" w:hAnsi="Arial" w:cs="Arial"/>
                <w:sz w:val="22"/>
              </w:rPr>
              <w:t>Recent peer-reviewed UK study; focuses on service-user experiences; rigorous qualitative approach; directly addresses inclusive healthcare delivery.</w:t>
            </w:r>
          </w:p>
        </w:tc>
        <w:tc>
          <w:tcPr>
            <w:tcW w:w="0" w:type="auto"/>
            <w:hideMark/>
          </w:tcPr>
          <w:p w14:paraId="0412C928" w14:textId="77777777" w:rsidR="00D81DFE" w:rsidRPr="00366557" w:rsidRDefault="00D81DFE" w:rsidP="00366557">
            <w:pPr>
              <w:spacing w:line="360" w:lineRule="auto"/>
              <w:rPr>
                <w:rFonts w:ascii="Arial" w:hAnsi="Arial" w:cs="Arial"/>
                <w:sz w:val="22"/>
              </w:rPr>
            </w:pPr>
            <w:r w:rsidRPr="00366557">
              <w:rPr>
                <w:rFonts w:ascii="Arial" w:hAnsi="Arial" w:cs="Arial"/>
                <w:sz w:val="22"/>
              </w:rPr>
              <w:t>2/5</w:t>
            </w:r>
          </w:p>
        </w:tc>
      </w:tr>
      <w:tr w:rsidR="00D81DFE" w:rsidRPr="00366557" w14:paraId="3EFC4AE4" w14:textId="77777777" w:rsidTr="00357420">
        <w:tc>
          <w:tcPr>
            <w:tcW w:w="0" w:type="auto"/>
            <w:hideMark/>
          </w:tcPr>
          <w:p w14:paraId="3D57B132" w14:textId="77777777" w:rsidR="00D81DFE" w:rsidRPr="00366557" w:rsidRDefault="00D81DFE" w:rsidP="00366557">
            <w:pPr>
              <w:spacing w:line="360" w:lineRule="auto"/>
              <w:rPr>
                <w:rFonts w:ascii="Arial" w:hAnsi="Arial" w:cs="Arial"/>
                <w:sz w:val="22"/>
              </w:rPr>
            </w:pPr>
            <w:r w:rsidRPr="00366557">
              <w:rPr>
                <w:rFonts w:ascii="Arial" w:hAnsi="Arial" w:cs="Arial"/>
                <w:sz w:val="22"/>
              </w:rPr>
              <w:t>Article 6</w:t>
            </w:r>
          </w:p>
        </w:tc>
        <w:tc>
          <w:tcPr>
            <w:tcW w:w="0" w:type="auto"/>
            <w:hideMark/>
          </w:tcPr>
          <w:p w14:paraId="68359B8F" w14:textId="77777777" w:rsidR="00D81DFE" w:rsidRPr="00366557" w:rsidRDefault="00D81DFE" w:rsidP="00366557">
            <w:pPr>
              <w:spacing w:line="360" w:lineRule="auto"/>
              <w:rPr>
                <w:rFonts w:ascii="Arial" w:hAnsi="Arial" w:cs="Arial"/>
                <w:sz w:val="22"/>
              </w:rPr>
            </w:pPr>
            <w:r w:rsidRPr="00366557">
              <w:rPr>
                <w:rFonts w:ascii="Arial" w:hAnsi="Arial" w:cs="Arial"/>
                <w:sz w:val="22"/>
              </w:rPr>
              <w:t>Saunders et al. (2023)</w:t>
            </w:r>
          </w:p>
        </w:tc>
        <w:tc>
          <w:tcPr>
            <w:tcW w:w="0" w:type="auto"/>
            <w:hideMark/>
          </w:tcPr>
          <w:p w14:paraId="6B9DB954" w14:textId="77777777" w:rsidR="00D81DFE" w:rsidRPr="00366557" w:rsidRDefault="00D81DFE" w:rsidP="00366557">
            <w:pPr>
              <w:spacing w:line="360" w:lineRule="auto"/>
              <w:rPr>
                <w:rFonts w:ascii="Arial" w:hAnsi="Arial" w:cs="Arial"/>
                <w:sz w:val="22"/>
              </w:rPr>
            </w:pPr>
            <w:r w:rsidRPr="00366557">
              <w:rPr>
                <w:rFonts w:ascii="Arial" w:hAnsi="Arial" w:cs="Arial"/>
                <w:iCs/>
                <w:sz w:val="22"/>
              </w:rPr>
              <w:t xml:space="preserve">Demographic Characteristics, Long-Term Health Conditions and Healthcare Experiences of </w:t>
            </w:r>
            <w:r w:rsidRPr="00366557">
              <w:rPr>
                <w:rFonts w:ascii="Arial" w:hAnsi="Arial" w:cs="Arial"/>
                <w:iCs/>
                <w:sz w:val="22"/>
              </w:rPr>
              <w:lastRenderedPageBreak/>
              <w:t>6333 Trans and Non-Binary Adults in England</w:t>
            </w:r>
          </w:p>
        </w:tc>
        <w:tc>
          <w:tcPr>
            <w:tcW w:w="0" w:type="auto"/>
            <w:hideMark/>
          </w:tcPr>
          <w:p w14:paraId="1CDBB970" w14:textId="77777777" w:rsidR="00D81DFE" w:rsidRPr="00366557" w:rsidRDefault="00D81DFE" w:rsidP="00366557">
            <w:pPr>
              <w:spacing w:line="360" w:lineRule="auto"/>
              <w:rPr>
                <w:rFonts w:ascii="Arial" w:hAnsi="Arial" w:cs="Arial"/>
                <w:sz w:val="22"/>
              </w:rPr>
            </w:pPr>
            <w:r w:rsidRPr="00366557">
              <w:rPr>
                <w:rFonts w:ascii="Arial" w:hAnsi="Arial" w:cs="Arial"/>
                <w:sz w:val="22"/>
              </w:rPr>
              <w:lastRenderedPageBreak/>
              <w:t xml:space="preserve">National survey analysis examining healthcare experiences and health inequalities among trans and non-binary adults. Significant disparities found in </w:t>
            </w:r>
            <w:r w:rsidRPr="00366557">
              <w:rPr>
                <w:rFonts w:ascii="Arial" w:hAnsi="Arial" w:cs="Arial"/>
                <w:sz w:val="22"/>
              </w:rPr>
              <w:lastRenderedPageBreak/>
              <w:t>communication and mental health outcomes.</w:t>
            </w:r>
          </w:p>
        </w:tc>
        <w:tc>
          <w:tcPr>
            <w:tcW w:w="0" w:type="auto"/>
            <w:hideMark/>
          </w:tcPr>
          <w:p w14:paraId="3465C326" w14:textId="77777777" w:rsidR="00D81DFE" w:rsidRPr="00366557" w:rsidRDefault="00D81DFE" w:rsidP="00366557">
            <w:pPr>
              <w:spacing w:line="360" w:lineRule="auto"/>
              <w:rPr>
                <w:rFonts w:ascii="Arial" w:hAnsi="Arial" w:cs="Arial"/>
                <w:sz w:val="22"/>
              </w:rPr>
            </w:pPr>
            <w:r w:rsidRPr="00366557">
              <w:rPr>
                <w:rFonts w:ascii="Arial" w:hAnsi="Arial" w:cs="Arial"/>
                <w:sz w:val="22"/>
              </w:rPr>
              <w:lastRenderedPageBreak/>
              <w:t xml:space="preserve">Health inequalities; Healthcare experiences; Mental health; </w:t>
            </w:r>
            <w:r w:rsidRPr="00366557">
              <w:rPr>
                <w:rFonts w:ascii="Arial" w:hAnsi="Arial" w:cs="Arial"/>
                <w:sz w:val="22"/>
              </w:rPr>
              <w:lastRenderedPageBreak/>
              <w:t>Demographics; NHS survey</w:t>
            </w:r>
          </w:p>
        </w:tc>
      </w:tr>
      <w:tr w:rsidR="00D81DFE" w:rsidRPr="00366557" w14:paraId="02068A70" w14:textId="77777777" w:rsidTr="00357420">
        <w:tc>
          <w:tcPr>
            <w:tcW w:w="0" w:type="auto"/>
            <w:hideMark/>
          </w:tcPr>
          <w:p w14:paraId="6FD1EE9B" w14:textId="77777777" w:rsidR="00D81DFE" w:rsidRPr="00366557" w:rsidRDefault="00D81DFE" w:rsidP="00366557">
            <w:pPr>
              <w:spacing w:line="360" w:lineRule="auto"/>
              <w:rPr>
                <w:rFonts w:ascii="Arial" w:hAnsi="Arial" w:cs="Arial"/>
                <w:sz w:val="22"/>
              </w:rPr>
            </w:pPr>
            <w:r w:rsidRPr="00366557">
              <w:rPr>
                <w:rFonts w:ascii="Arial" w:hAnsi="Arial" w:cs="Arial"/>
                <w:sz w:val="22"/>
              </w:rPr>
              <w:t>CRAAP Notes</w:t>
            </w:r>
          </w:p>
        </w:tc>
        <w:tc>
          <w:tcPr>
            <w:tcW w:w="0" w:type="auto"/>
            <w:gridSpan w:val="3"/>
            <w:hideMark/>
          </w:tcPr>
          <w:p w14:paraId="63BBB215" w14:textId="77777777" w:rsidR="00D81DFE" w:rsidRPr="00366557" w:rsidRDefault="00D81DFE" w:rsidP="00366557">
            <w:pPr>
              <w:spacing w:line="360" w:lineRule="auto"/>
              <w:rPr>
                <w:rFonts w:ascii="Arial" w:hAnsi="Arial" w:cs="Arial"/>
                <w:sz w:val="22"/>
              </w:rPr>
            </w:pPr>
            <w:r w:rsidRPr="00366557">
              <w:rPr>
                <w:rFonts w:ascii="Arial" w:hAnsi="Arial" w:cs="Arial"/>
                <w:sz w:val="22"/>
              </w:rPr>
              <w:t>Large nationally representative dataset; excellent authority and accuracy; highly relevant to healthcare inequalities; published in BMJ Open.</w:t>
            </w:r>
          </w:p>
        </w:tc>
        <w:tc>
          <w:tcPr>
            <w:tcW w:w="0" w:type="auto"/>
            <w:hideMark/>
          </w:tcPr>
          <w:p w14:paraId="32ABC08C" w14:textId="77777777" w:rsidR="00D81DFE" w:rsidRPr="00366557" w:rsidRDefault="00D81DFE" w:rsidP="00366557">
            <w:pPr>
              <w:spacing w:line="360" w:lineRule="auto"/>
              <w:rPr>
                <w:rFonts w:ascii="Arial" w:hAnsi="Arial" w:cs="Arial"/>
                <w:sz w:val="22"/>
              </w:rPr>
            </w:pPr>
            <w:r w:rsidRPr="00366557">
              <w:rPr>
                <w:rFonts w:ascii="Arial" w:hAnsi="Arial" w:cs="Arial"/>
                <w:sz w:val="22"/>
              </w:rPr>
              <w:t>5/5</w:t>
            </w:r>
          </w:p>
        </w:tc>
      </w:tr>
      <w:tr w:rsidR="00D81DFE" w:rsidRPr="00366557" w14:paraId="32B156D1" w14:textId="77777777" w:rsidTr="00357420">
        <w:tc>
          <w:tcPr>
            <w:tcW w:w="0" w:type="auto"/>
            <w:hideMark/>
          </w:tcPr>
          <w:p w14:paraId="4FF99A6B" w14:textId="77777777" w:rsidR="00D81DFE" w:rsidRPr="00366557" w:rsidRDefault="00D81DFE" w:rsidP="00366557">
            <w:pPr>
              <w:spacing w:line="360" w:lineRule="auto"/>
              <w:rPr>
                <w:rFonts w:ascii="Arial" w:hAnsi="Arial" w:cs="Arial"/>
                <w:sz w:val="22"/>
              </w:rPr>
            </w:pPr>
            <w:r w:rsidRPr="00366557">
              <w:rPr>
                <w:rFonts w:ascii="Arial" w:hAnsi="Arial" w:cs="Arial"/>
                <w:sz w:val="22"/>
              </w:rPr>
              <w:t>Article 7</w:t>
            </w:r>
          </w:p>
        </w:tc>
        <w:tc>
          <w:tcPr>
            <w:tcW w:w="0" w:type="auto"/>
            <w:hideMark/>
          </w:tcPr>
          <w:p w14:paraId="35A5C966" w14:textId="77777777" w:rsidR="00D81DFE" w:rsidRPr="00366557" w:rsidRDefault="00D81DFE" w:rsidP="00366557">
            <w:pPr>
              <w:spacing w:line="360" w:lineRule="auto"/>
              <w:rPr>
                <w:rFonts w:ascii="Arial" w:hAnsi="Arial" w:cs="Arial"/>
                <w:sz w:val="22"/>
              </w:rPr>
            </w:pPr>
            <w:r w:rsidRPr="00366557">
              <w:rPr>
                <w:rFonts w:ascii="Arial" w:hAnsi="Arial" w:cs="Arial"/>
                <w:sz w:val="22"/>
              </w:rPr>
              <w:t>Franklin et al. (2025)</w:t>
            </w:r>
          </w:p>
        </w:tc>
        <w:tc>
          <w:tcPr>
            <w:tcW w:w="0" w:type="auto"/>
            <w:hideMark/>
          </w:tcPr>
          <w:p w14:paraId="342C2652" w14:textId="77777777" w:rsidR="00D81DFE" w:rsidRPr="00366557" w:rsidRDefault="00D81DFE" w:rsidP="00366557">
            <w:pPr>
              <w:spacing w:line="360" w:lineRule="auto"/>
              <w:rPr>
                <w:rFonts w:ascii="Arial" w:hAnsi="Arial" w:cs="Arial"/>
                <w:sz w:val="22"/>
              </w:rPr>
            </w:pPr>
            <w:r w:rsidRPr="00366557">
              <w:rPr>
                <w:rFonts w:ascii="Arial" w:hAnsi="Arial" w:cs="Arial"/>
                <w:iCs/>
                <w:sz w:val="22"/>
              </w:rPr>
              <w:t>How Doctors Think About Their Role in Transgender Care: A Qualitative Study of UK General Practitioners and Endocrinologists</w:t>
            </w:r>
          </w:p>
        </w:tc>
        <w:tc>
          <w:tcPr>
            <w:tcW w:w="0" w:type="auto"/>
            <w:hideMark/>
          </w:tcPr>
          <w:p w14:paraId="1CC6F095" w14:textId="77777777" w:rsidR="00D81DFE" w:rsidRPr="00366557" w:rsidRDefault="00D81DFE" w:rsidP="00366557">
            <w:pPr>
              <w:spacing w:line="360" w:lineRule="auto"/>
              <w:rPr>
                <w:rFonts w:ascii="Arial" w:hAnsi="Arial" w:cs="Arial"/>
                <w:sz w:val="22"/>
              </w:rPr>
            </w:pPr>
            <w:r w:rsidRPr="00366557">
              <w:rPr>
                <w:rFonts w:ascii="Arial" w:hAnsi="Arial" w:cs="Arial"/>
                <w:sz w:val="22"/>
              </w:rPr>
              <w:t>Interviews with doctors explored perceptions of transgender care, prescribing responsibilities, multidisciplinary approaches, and healthcare system constraints.</w:t>
            </w:r>
          </w:p>
        </w:tc>
        <w:tc>
          <w:tcPr>
            <w:tcW w:w="0" w:type="auto"/>
            <w:hideMark/>
          </w:tcPr>
          <w:p w14:paraId="170840F9" w14:textId="77777777" w:rsidR="00D81DFE" w:rsidRPr="00366557" w:rsidRDefault="00D81DFE" w:rsidP="00366557">
            <w:pPr>
              <w:spacing w:line="360" w:lineRule="auto"/>
              <w:rPr>
                <w:rFonts w:ascii="Arial" w:hAnsi="Arial" w:cs="Arial"/>
                <w:sz w:val="22"/>
              </w:rPr>
            </w:pPr>
            <w:r w:rsidRPr="00366557">
              <w:rPr>
                <w:rFonts w:ascii="Arial" w:hAnsi="Arial" w:cs="Arial"/>
                <w:sz w:val="22"/>
              </w:rPr>
              <w:t>Medical professionals; Gender identity; Clinical practice; Healthcare provision; Organisational barriers</w:t>
            </w:r>
          </w:p>
        </w:tc>
      </w:tr>
      <w:tr w:rsidR="00D81DFE" w:rsidRPr="00366557" w14:paraId="3915EECE" w14:textId="77777777" w:rsidTr="00357420">
        <w:tc>
          <w:tcPr>
            <w:tcW w:w="0" w:type="auto"/>
            <w:hideMark/>
          </w:tcPr>
          <w:p w14:paraId="585C58E8" w14:textId="77777777" w:rsidR="00D81DFE" w:rsidRPr="00366557" w:rsidRDefault="00D81DFE" w:rsidP="00366557">
            <w:pPr>
              <w:spacing w:line="360" w:lineRule="auto"/>
              <w:rPr>
                <w:rFonts w:ascii="Arial" w:hAnsi="Arial" w:cs="Arial"/>
                <w:sz w:val="22"/>
              </w:rPr>
            </w:pPr>
            <w:r w:rsidRPr="00366557">
              <w:rPr>
                <w:rFonts w:ascii="Arial" w:hAnsi="Arial" w:cs="Arial"/>
                <w:sz w:val="22"/>
              </w:rPr>
              <w:t>CRAAP Notes</w:t>
            </w:r>
          </w:p>
        </w:tc>
        <w:tc>
          <w:tcPr>
            <w:tcW w:w="0" w:type="auto"/>
            <w:gridSpan w:val="3"/>
            <w:hideMark/>
          </w:tcPr>
          <w:p w14:paraId="69CB92F9" w14:textId="77777777" w:rsidR="00D81DFE" w:rsidRPr="00366557" w:rsidRDefault="00D81DFE" w:rsidP="00366557">
            <w:pPr>
              <w:spacing w:line="360" w:lineRule="auto"/>
              <w:rPr>
                <w:rFonts w:ascii="Arial" w:hAnsi="Arial" w:cs="Arial"/>
                <w:sz w:val="22"/>
              </w:rPr>
            </w:pPr>
            <w:r w:rsidRPr="00366557">
              <w:rPr>
                <w:rFonts w:ascii="Arial" w:hAnsi="Arial" w:cs="Arial"/>
                <w:sz w:val="22"/>
              </w:rPr>
              <w:t>Current peer-reviewed research; directly examines practitioner perspectives; transparent methodology; useful for policy and practice analysis.</w:t>
            </w:r>
          </w:p>
        </w:tc>
        <w:tc>
          <w:tcPr>
            <w:tcW w:w="0" w:type="auto"/>
            <w:hideMark/>
          </w:tcPr>
          <w:p w14:paraId="41D23A5E" w14:textId="77777777" w:rsidR="00D81DFE" w:rsidRPr="00366557" w:rsidRDefault="00D81DFE" w:rsidP="00366557">
            <w:pPr>
              <w:spacing w:line="360" w:lineRule="auto"/>
              <w:rPr>
                <w:rFonts w:ascii="Arial" w:hAnsi="Arial" w:cs="Arial"/>
                <w:sz w:val="22"/>
              </w:rPr>
            </w:pPr>
            <w:r w:rsidRPr="00366557">
              <w:rPr>
                <w:rFonts w:ascii="Arial" w:hAnsi="Arial" w:cs="Arial"/>
                <w:sz w:val="22"/>
              </w:rPr>
              <w:t>5/5</w:t>
            </w:r>
          </w:p>
        </w:tc>
      </w:tr>
      <w:tr w:rsidR="00D81DFE" w:rsidRPr="00366557" w14:paraId="3047A290" w14:textId="77777777" w:rsidTr="00357420">
        <w:tc>
          <w:tcPr>
            <w:tcW w:w="0" w:type="auto"/>
            <w:hideMark/>
          </w:tcPr>
          <w:p w14:paraId="197739B1" w14:textId="77777777" w:rsidR="00D81DFE" w:rsidRPr="00366557" w:rsidRDefault="00D81DFE" w:rsidP="00366557">
            <w:pPr>
              <w:spacing w:line="360" w:lineRule="auto"/>
              <w:rPr>
                <w:rFonts w:ascii="Arial" w:hAnsi="Arial" w:cs="Arial"/>
                <w:sz w:val="22"/>
              </w:rPr>
            </w:pPr>
            <w:r w:rsidRPr="00366557">
              <w:rPr>
                <w:rFonts w:ascii="Arial" w:hAnsi="Arial" w:cs="Arial"/>
                <w:sz w:val="22"/>
              </w:rPr>
              <w:t>Article 8</w:t>
            </w:r>
          </w:p>
        </w:tc>
        <w:tc>
          <w:tcPr>
            <w:tcW w:w="0" w:type="auto"/>
            <w:hideMark/>
          </w:tcPr>
          <w:p w14:paraId="0DED0183" w14:textId="77777777" w:rsidR="00D81DFE" w:rsidRPr="00366557" w:rsidRDefault="00D81DFE" w:rsidP="00366557">
            <w:pPr>
              <w:spacing w:line="360" w:lineRule="auto"/>
              <w:rPr>
                <w:rFonts w:ascii="Arial" w:hAnsi="Arial" w:cs="Arial"/>
                <w:sz w:val="22"/>
              </w:rPr>
            </w:pPr>
            <w:r w:rsidRPr="00366557">
              <w:rPr>
                <w:rFonts w:ascii="Arial" w:hAnsi="Arial" w:cs="Arial"/>
                <w:sz w:val="22"/>
              </w:rPr>
              <w:t>Braybrook et al. (2023)</w:t>
            </w:r>
          </w:p>
        </w:tc>
        <w:tc>
          <w:tcPr>
            <w:tcW w:w="0" w:type="auto"/>
            <w:hideMark/>
          </w:tcPr>
          <w:p w14:paraId="585FB9A2" w14:textId="77777777" w:rsidR="00D81DFE" w:rsidRPr="00366557" w:rsidRDefault="00D81DFE" w:rsidP="00366557">
            <w:pPr>
              <w:spacing w:line="360" w:lineRule="auto"/>
              <w:rPr>
                <w:rFonts w:ascii="Arial" w:hAnsi="Arial" w:cs="Arial"/>
                <w:sz w:val="22"/>
              </w:rPr>
            </w:pPr>
            <w:r w:rsidRPr="00366557">
              <w:rPr>
                <w:rFonts w:ascii="Arial" w:hAnsi="Arial" w:cs="Arial"/>
                <w:iCs/>
                <w:sz w:val="22"/>
              </w:rPr>
              <w:t>Communication about Sexual Orientation and Gender between Clinicians, LGBT+ People Facing Serious Illness and Their Significant Others</w:t>
            </w:r>
          </w:p>
        </w:tc>
        <w:tc>
          <w:tcPr>
            <w:tcW w:w="0" w:type="auto"/>
            <w:hideMark/>
          </w:tcPr>
          <w:p w14:paraId="6B615AC9" w14:textId="77777777" w:rsidR="00D81DFE" w:rsidRPr="00366557" w:rsidRDefault="00D81DFE" w:rsidP="00366557">
            <w:pPr>
              <w:spacing w:line="360" w:lineRule="auto"/>
              <w:rPr>
                <w:rFonts w:ascii="Arial" w:hAnsi="Arial" w:cs="Arial"/>
                <w:sz w:val="22"/>
              </w:rPr>
            </w:pPr>
            <w:r w:rsidRPr="00366557">
              <w:rPr>
                <w:rFonts w:ascii="Arial" w:hAnsi="Arial" w:cs="Arial"/>
                <w:sz w:val="22"/>
              </w:rPr>
              <w:t>Qualitative interviews explored communication strategies that improve inclusivity and person-centred care for LGBT+ patients.</w:t>
            </w:r>
          </w:p>
        </w:tc>
        <w:tc>
          <w:tcPr>
            <w:tcW w:w="0" w:type="auto"/>
            <w:hideMark/>
          </w:tcPr>
          <w:p w14:paraId="10E4B02F" w14:textId="77777777" w:rsidR="00D81DFE" w:rsidRPr="00366557" w:rsidRDefault="00D81DFE" w:rsidP="00366557">
            <w:pPr>
              <w:spacing w:line="360" w:lineRule="auto"/>
              <w:rPr>
                <w:rFonts w:ascii="Arial" w:hAnsi="Arial" w:cs="Arial"/>
                <w:sz w:val="22"/>
              </w:rPr>
            </w:pPr>
            <w:r w:rsidRPr="00366557">
              <w:rPr>
                <w:rFonts w:ascii="Arial" w:hAnsi="Arial" w:cs="Arial"/>
                <w:sz w:val="22"/>
              </w:rPr>
              <w:t>Communication; Inclusive practice; LGBT+ care; Person-centred care; Healthcare interactions</w:t>
            </w:r>
          </w:p>
        </w:tc>
      </w:tr>
      <w:tr w:rsidR="00D81DFE" w:rsidRPr="00366557" w14:paraId="0DADEFC6" w14:textId="77777777" w:rsidTr="00357420">
        <w:tc>
          <w:tcPr>
            <w:tcW w:w="0" w:type="auto"/>
            <w:hideMark/>
          </w:tcPr>
          <w:p w14:paraId="47343D96" w14:textId="77777777" w:rsidR="00D81DFE" w:rsidRPr="00366557" w:rsidRDefault="00D81DFE" w:rsidP="00366557">
            <w:pPr>
              <w:spacing w:line="360" w:lineRule="auto"/>
              <w:rPr>
                <w:rFonts w:ascii="Arial" w:hAnsi="Arial" w:cs="Arial"/>
                <w:sz w:val="22"/>
              </w:rPr>
            </w:pPr>
            <w:r w:rsidRPr="00366557">
              <w:rPr>
                <w:rFonts w:ascii="Arial" w:hAnsi="Arial" w:cs="Arial"/>
                <w:sz w:val="22"/>
              </w:rPr>
              <w:t>CRAAP Notes</w:t>
            </w:r>
          </w:p>
        </w:tc>
        <w:tc>
          <w:tcPr>
            <w:tcW w:w="0" w:type="auto"/>
            <w:gridSpan w:val="3"/>
            <w:hideMark/>
          </w:tcPr>
          <w:p w14:paraId="3A2B8413" w14:textId="77777777" w:rsidR="00D81DFE" w:rsidRPr="00366557" w:rsidRDefault="00D81DFE" w:rsidP="00366557">
            <w:pPr>
              <w:spacing w:line="360" w:lineRule="auto"/>
              <w:rPr>
                <w:rFonts w:ascii="Arial" w:hAnsi="Arial" w:cs="Arial"/>
                <w:sz w:val="22"/>
              </w:rPr>
            </w:pPr>
            <w:r w:rsidRPr="00366557">
              <w:rPr>
                <w:rFonts w:ascii="Arial" w:hAnsi="Arial" w:cs="Arial"/>
                <w:sz w:val="22"/>
              </w:rPr>
              <w:t>Published in a high-impact healthcare journal; strong qualitative evidence; directly relevant to inclusive healthcare communication.</w:t>
            </w:r>
          </w:p>
        </w:tc>
        <w:tc>
          <w:tcPr>
            <w:tcW w:w="0" w:type="auto"/>
            <w:hideMark/>
          </w:tcPr>
          <w:p w14:paraId="3276ABEA" w14:textId="77777777" w:rsidR="00D81DFE" w:rsidRPr="00366557" w:rsidRDefault="00D81DFE" w:rsidP="00366557">
            <w:pPr>
              <w:spacing w:line="360" w:lineRule="auto"/>
              <w:rPr>
                <w:rFonts w:ascii="Arial" w:hAnsi="Arial" w:cs="Arial"/>
                <w:sz w:val="22"/>
              </w:rPr>
            </w:pPr>
            <w:r w:rsidRPr="00366557">
              <w:rPr>
                <w:rFonts w:ascii="Arial" w:hAnsi="Arial" w:cs="Arial"/>
                <w:sz w:val="22"/>
              </w:rPr>
              <w:t>5/5</w:t>
            </w:r>
          </w:p>
        </w:tc>
      </w:tr>
      <w:tr w:rsidR="00D81DFE" w:rsidRPr="00366557" w14:paraId="235A18B0" w14:textId="77777777" w:rsidTr="00357420">
        <w:tc>
          <w:tcPr>
            <w:tcW w:w="0" w:type="auto"/>
            <w:hideMark/>
          </w:tcPr>
          <w:p w14:paraId="64D44882" w14:textId="77777777" w:rsidR="00D81DFE" w:rsidRPr="00366557" w:rsidRDefault="00D81DFE" w:rsidP="00366557">
            <w:pPr>
              <w:spacing w:line="360" w:lineRule="auto"/>
              <w:rPr>
                <w:rFonts w:ascii="Arial" w:hAnsi="Arial" w:cs="Arial"/>
                <w:sz w:val="22"/>
              </w:rPr>
            </w:pPr>
            <w:r w:rsidRPr="00366557">
              <w:rPr>
                <w:rFonts w:ascii="Arial" w:hAnsi="Arial" w:cs="Arial"/>
                <w:sz w:val="22"/>
              </w:rPr>
              <w:t>Article 9</w:t>
            </w:r>
          </w:p>
        </w:tc>
        <w:tc>
          <w:tcPr>
            <w:tcW w:w="0" w:type="auto"/>
            <w:hideMark/>
          </w:tcPr>
          <w:p w14:paraId="3EEE8B4D" w14:textId="77777777" w:rsidR="00D81DFE" w:rsidRPr="00366557" w:rsidRDefault="00D81DFE" w:rsidP="00366557">
            <w:pPr>
              <w:spacing w:line="360" w:lineRule="auto"/>
              <w:rPr>
                <w:rFonts w:ascii="Arial" w:hAnsi="Arial" w:cs="Arial"/>
                <w:sz w:val="22"/>
              </w:rPr>
            </w:pPr>
            <w:r w:rsidRPr="00366557">
              <w:rPr>
                <w:rFonts w:ascii="Arial" w:hAnsi="Arial" w:cs="Arial"/>
                <w:sz w:val="22"/>
              </w:rPr>
              <w:t>Berner et al. (2021)</w:t>
            </w:r>
          </w:p>
        </w:tc>
        <w:tc>
          <w:tcPr>
            <w:tcW w:w="0" w:type="auto"/>
            <w:hideMark/>
          </w:tcPr>
          <w:p w14:paraId="6062EE46" w14:textId="77777777" w:rsidR="00D81DFE" w:rsidRPr="00366557" w:rsidRDefault="00D81DFE" w:rsidP="00366557">
            <w:pPr>
              <w:spacing w:line="360" w:lineRule="auto"/>
              <w:rPr>
                <w:rFonts w:ascii="Arial" w:hAnsi="Arial" w:cs="Arial"/>
                <w:sz w:val="22"/>
              </w:rPr>
            </w:pPr>
            <w:r w:rsidRPr="00366557">
              <w:rPr>
                <w:rFonts w:ascii="Arial" w:hAnsi="Arial" w:cs="Arial"/>
                <w:iCs/>
                <w:sz w:val="22"/>
              </w:rPr>
              <w:t>Attitudes of Transgender Men and Non-Binary People to Cervical Screening: A Cross-Sectional Mixed-Methods Study in the UK</w:t>
            </w:r>
          </w:p>
        </w:tc>
        <w:tc>
          <w:tcPr>
            <w:tcW w:w="0" w:type="auto"/>
            <w:hideMark/>
          </w:tcPr>
          <w:p w14:paraId="4E5BE372" w14:textId="77777777" w:rsidR="00D81DFE" w:rsidRPr="00366557" w:rsidRDefault="00D81DFE" w:rsidP="00366557">
            <w:pPr>
              <w:spacing w:line="360" w:lineRule="auto"/>
              <w:rPr>
                <w:rFonts w:ascii="Arial" w:hAnsi="Arial" w:cs="Arial"/>
                <w:sz w:val="22"/>
              </w:rPr>
            </w:pPr>
            <w:r w:rsidRPr="00366557">
              <w:rPr>
                <w:rFonts w:ascii="Arial" w:hAnsi="Arial" w:cs="Arial"/>
                <w:sz w:val="22"/>
              </w:rPr>
              <w:t>Mixed-methods study investigating attitudes toward cervical screening and identifying barriers and facilitators affecting screening uptake.</w:t>
            </w:r>
          </w:p>
        </w:tc>
        <w:tc>
          <w:tcPr>
            <w:tcW w:w="0" w:type="auto"/>
            <w:hideMark/>
          </w:tcPr>
          <w:p w14:paraId="36317B75" w14:textId="77777777" w:rsidR="00D81DFE" w:rsidRPr="00366557" w:rsidRDefault="00D81DFE" w:rsidP="00366557">
            <w:pPr>
              <w:spacing w:line="360" w:lineRule="auto"/>
              <w:rPr>
                <w:rFonts w:ascii="Arial" w:hAnsi="Arial" w:cs="Arial"/>
                <w:sz w:val="22"/>
              </w:rPr>
            </w:pPr>
            <w:r w:rsidRPr="00366557">
              <w:rPr>
                <w:rFonts w:ascii="Arial" w:hAnsi="Arial" w:cs="Arial"/>
                <w:sz w:val="22"/>
              </w:rPr>
              <w:t>Screening access; Preventive healthcare; Gender identity; Healthcare barriers; Patient experience</w:t>
            </w:r>
          </w:p>
        </w:tc>
      </w:tr>
      <w:tr w:rsidR="00D81DFE" w:rsidRPr="00366557" w14:paraId="5A6951DA" w14:textId="77777777" w:rsidTr="00357420">
        <w:tc>
          <w:tcPr>
            <w:tcW w:w="0" w:type="auto"/>
          </w:tcPr>
          <w:p w14:paraId="5271E1F7" w14:textId="77777777" w:rsidR="00D81DFE" w:rsidRPr="00366557" w:rsidRDefault="00D81DFE" w:rsidP="00366557">
            <w:pPr>
              <w:spacing w:line="360" w:lineRule="auto"/>
              <w:rPr>
                <w:rFonts w:ascii="Arial" w:hAnsi="Arial" w:cs="Arial"/>
                <w:sz w:val="22"/>
              </w:rPr>
            </w:pPr>
            <w:r w:rsidRPr="00366557">
              <w:rPr>
                <w:rFonts w:ascii="Arial" w:hAnsi="Arial" w:cs="Arial"/>
                <w:sz w:val="22"/>
              </w:rPr>
              <w:lastRenderedPageBreak/>
              <w:t>CRAAP Notes</w:t>
            </w:r>
          </w:p>
        </w:tc>
        <w:tc>
          <w:tcPr>
            <w:tcW w:w="0" w:type="auto"/>
            <w:gridSpan w:val="3"/>
          </w:tcPr>
          <w:p w14:paraId="75F6AC40" w14:textId="77777777" w:rsidR="00D81DFE" w:rsidRPr="00366557" w:rsidRDefault="00D81DFE" w:rsidP="00366557">
            <w:pPr>
              <w:spacing w:line="360" w:lineRule="auto"/>
              <w:rPr>
                <w:rFonts w:ascii="Arial" w:hAnsi="Arial" w:cs="Arial"/>
                <w:sz w:val="22"/>
              </w:rPr>
            </w:pPr>
            <w:r w:rsidRPr="00366557">
              <w:rPr>
                <w:rFonts w:ascii="Arial" w:hAnsi="Arial" w:cs="Arial"/>
                <w:sz w:val="22"/>
              </w:rPr>
              <w:t>Peer-reviewed primary research; UK-based sample; combines quantitative and qualitative evidence; highly relevant to inclusive healthcare provision.</w:t>
            </w:r>
          </w:p>
        </w:tc>
        <w:tc>
          <w:tcPr>
            <w:tcW w:w="0" w:type="auto"/>
          </w:tcPr>
          <w:p w14:paraId="133B0631" w14:textId="77777777" w:rsidR="00D81DFE" w:rsidRPr="00366557" w:rsidRDefault="00D81DFE" w:rsidP="00366557">
            <w:pPr>
              <w:spacing w:line="360" w:lineRule="auto"/>
              <w:rPr>
                <w:rFonts w:ascii="Arial" w:hAnsi="Arial" w:cs="Arial"/>
                <w:sz w:val="22"/>
              </w:rPr>
            </w:pPr>
            <w:r w:rsidRPr="00366557">
              <w:rPr>
                <w:rFonts w:ascii="Arial" w:hAnsi="Arial" w:cs="Arial"/>
                <w:sz w:val="22"/>
              </w:rPr>
              <w:t>3/5</w:t>
            </w:r>
          </w:p>
        </w:tc>
      </w:tr>
      <w:tr w:rsidR="00D81DFE" w:rsidRPr="00366557" w14:paraId="071C82D8" w14:textId="77777777" w:rsidTr="00357420">
        <w:tc>
          <w:tcPr>
            <w:tcW w:w="0" w:type="auto"/>
          </w:tcPr>
          <w:p w14:paraId="1576000D" w14:textId="77777777" w:rsidR="00D81DFE" w:rsidRPr="00366557" w:rsidRDefault="00D81DFE" w:rsidP="00366557">
            <w:pPr>
              <w:spacing w:line="360" w:lineRule="auto"/>
              <w:rPr>
                <w:rFonts w:ascii="Arial" w:hAnsi="Arial" w:cs="Arial"/>
                <w:sz w:val="22"/>
              </w:rPr>
            </w:pPr>
            <w:r w:rsidRPr="00366557">
              <w:rPr>
                <w:rFonts w:ascii="Arial" w:hAnsi="Arial" w:cs="Arial"/>
                <w:sz w:val="22"/>
              </w:rPr>
              <w:t>Article 10</w:t>
            </w:r>
          </w:p>
        </w:tc>
        <w:tc>
          <w:tcPr>
            <w:tcW w:w="0" w:type="auto"/>
          </w:tcPr>
          <w:p w14:paraId="6AEC9CC1" w14:textId="77777777" w:rsidR="00D81DFE" w:rsidRPr="00366557" w:rsidRDefault="00D81DFE" w:rsidP="00366557">
            <w:pPr>
              <w:spacing w:line="360" w:lineRule="auto"/>
              <w:rPr>
                <w:rFonts w:ascii="Arial" w:hAnsi="Arial" w:cs="Arial"/>
                <w:sz w:val="22"/>
              </w:rPr>
            </w:pPr>
            <w:r w:rsidRPr="00366557">
              <w:rPr>
                <w:rFonts w:ascii="Arial" w:hAnsi="Arial" w:cs="Arial"/>
                <w:sz w:val="22"/>
              </w:rPr>
              <w:t>Wayland et al. (2022)</w:t>
            </w:r>
          </w:p>
        </w:tc>
        <w:tc>
          <w:tcPr>
            <w:tcW w:w="0" w:type="auto"/>
          </w:tcPr>
          <w:p w14:paraId="1246947F" w14:textId="77777777" w:rsidR="00D81DFE" w:rsidRPr="00366557" w:rsidRDefault="00D81DFE" w:rsidP="00366557">
            <w:pPr>
              <w:spacing w:line="360" w:lineRule="auto"/>
              <w:rPr>
                <w:rFonts w:ascii="Arial" w:hAnsi="Arial" w:cs="Arial"/>
                <w:iCs/>
                <w:sz w:val="22"/>
              </w:rPr>
            </w:pPr>
            <w:r w:rsidRPr="00366557">
              <w:rPr>
                <w:rFonts w:ascii="Arial" w:hAnsi="Arial" w:cs="Arial"/>
                <w:iCs/>
                <w:sz w:val="22"/>
              </w:rPr>
              <w:t>I Had Every Right to Be There: Discriminatory Acts Towards Young People with Disabilities on Public Transport</w:t>
            </w:r>
          </w:p>
        </w:tc>
        <w:tc>
          <w:tcPr>
            <w:tcW w:w="0" w:type="auto"/>
          </w:tcPr>
          <w:p w14:paraId="38BB93B2" w14:textId="77777777" w:rsidR="00D81DFE" w:rsidRPr="00366557" w:rsidRDefault="00D81DFE" w:rsidP="00366557">
            <w:pPr>
              <w:spacing w:line="360" w:lineRule="auto"/>
              <w:rPr>
                <w:rFonts w:ascii="Arial" w:hAnsi="Arial" w:cs="Arial"/>
                <w:sz w:val="22"/>
              </w:rPr>
            </w:pPr>
            <w:r w:rsidRPr="00366557">
              <w:rPr>
                <w:rFonts w:ascii="Arial" w:hAnsi="Arial" w:cs="Arial"/>
                <w:sz w:val="22"/>
              </w:rPr>
              <w:t>Qualitative interviews explored discrimination experienced by young adults with disabilities on public transport, highlighting bullying, verbal abuse, accessibility barriers, and challenges to disability legitimacy.</w:t>
            </w:r>
          </w:p>
        </w:tc>
        <w:tc>
          <w:tcPr>
            <w:tcW w:w="0" w:type="auto"/>
          </w:tcPr>
          <w:p w14:paraId="0F1DD90D" w14:textId="77777777" w:rsidR="00D81DFE" w:rsidRPr="00366557" w:rsidRDefault="00D81DFE" w:rsidP="00366557">
            <w:pPr>
              <w:spacing w:line="360" w:lineRule="auto"/>
              <w:rPr>
                <w:rFonts w:ascii="Arial" w:hAnsi="Arial" w:cs="Arial"/>
                <w:sz w:val="22"/>
              </w:rPr>
            </w:pPr>
            <w:r w:rsidRPr="00366557">
              <w:rPr>
                <w:rFonts w:ascii="Arial" w:hAnsi="Arial" w:cs="Arial"/>
                <w:sz w:val="22"/>
              </w:rPr>
              <w:t>Disability discrimination; Public transport; Accessibility; Social exclusion; Invisible disabilities; Young adults; Inclusion</w:t>
            </w:r>
          </w:p>
        </w:tc>
      </w:tr>
      <w:tr w:rsidR="00D81DFE" w:rsidRPr="00366557" w14:paraId="501F17D8" w14:textId="77777777" w:rsidTr="00357420">
        <w:tc>
          <w:tcPr>
            <w:tcW w:w="0" w:type="auto"/>
          </w:tcPr>
          <w:p w14:paraId="666AE514" w14:textId="77777777" w:rsidR="00D81DFE" w:rsidRPr="00366557" w:rsidRDefault="00D81DFE" w:rsidP="00366557">
            <w:pPr>
              <w:spacing w:line="360" w:lineRule="auto"/>
              <w:rPr>
                <w:rFonts w:ascii="Arial" w:hAnsi="Arial" w:cs="Arial"/>
                <w:sz w:val="22"/>
              </w:rPr>
            </w:pPr>
            <w:r w:rsidRPr="00366557">
              <w:rPr>
                <w:rFonts w:ascii="Arial" w:hAnsi="Arial" w:cs="Arial"/>
                <w:sz w:val="22"/>
              </w:rPr>
              <w:t>CRAAP Notes</w:t>
            </w:r>
          </w:p>
          <w:p w14:paraId="6BD45801" w14:textId="5BEE777D" w:rsidR="00D81DFE" w:rsidRPr="00366557" w:rsidRDefault="00D81DFE" w:rsidP="00366557">
            <w:pPr>
              <w:spacing w:line="360" w:lineRule="auto"/>
              <w:rPr>
                <w:rFonts w:ascii="Arial" w:hAnsi="Arial" w:cs="Arial"/>
                <w:sz w:val="22"/>
              </w:rPr>
            </w:pPr>
          </w:p>
        </w:tc>
        <w:tc>
          <w:tcPr>
            <w:tcW w:w="0" w:type="auto"/>
            <w:gridSpan w:val="3"/>
          </w:tcPr>
          <w:p w14:paraId="4C411FC4" w14:textId="77777777" w:rsidR="00D81DFE" w:rsidRPr="00366557" w:rsidRDefault="00D81DFE" w:rsidP="00366557">
            <w:pPr>
              <w:spacing w:line="360" w:lineRule="auto"/>
              <w:rPr>
                <w:rFonts w:ascii="Arial" w:hAnsi="Arial" w:cs="Arial"/>
                <w:sz w:val="22"/>
              </w:rPr>
            </w:pPr>
            <w:r w:rsidRPr="00366557">
              <w:rPr>
                <w:rFonts w:ascii="Arial" w:hAnsi="Arial" w:cs="Arial"/>
                <w:sz w:val="22"/>
              </w:rPr>
              <w:t>Recent peer-reviewed study with a clear qualitative methodology. Highly relevant to disability discrimination, though findings are based on the Australian context.</w:t>
            </w:r>
          </w:p>
        </w:tc>
        <w:tc>
          <w:tcPr>
            <w:tcW w:w="0" w:type="auto"/>
          </w:tcPr>
          <w:p w14:paraId="796C705A" w14:textId="77777777" w:rsidR="00D81DFE" w:rsidRPr="00366557" w:rsidRDefault="00D81DFE" w:rsidP="00366557">
            <w:pPr>
              <w:spacing w:line="360" w:lineRule="auto"/>
              <w:rPr>
                <w:rFonts w:ascii="Arial" w:hAnsi="Arial" w:cs="Arial"/>
                <w:sz w:val="22"/>
              </w:rPr>
            </w:pPr>
            <w:r w:rsidRPr="00366557">
              <w:rPr>
                <w:rFonts w:ascii="Arial" w:hAnsi="Arial" w:cs="Arial"/>
                <w:sz w:val="22"/>
              </w:rPr>
              <w:t>2/5</w:t>
            </w:r>
          </w:p>
        </w:tc>
      </w:tr>
      <w:tr w:rsidR="00D81DFE" w:rsidRPr="00366557" w14:paraId="74A4BA30" w14:textId="77777777" w:rsidTr="00357420">
        <w:tc>
          <w:tcPr>
            <w:tcW w:w="0" w:type="auto"/>
            <w:hideMark/>
          </w:tcPr>
          <w:p w14:paraId="53E289B7" w14:textId="77777777" w:rsidR="00D81DFE" w:rsidRPr="00366557" w:rsidRDefault="00D81DFE" w:rsidP="00366557">
            <w:pPr>
              <w:spacing w:line="360" w:lineRule="auto"/>
              <w:rPr>
                <w:rFonts w:ascii="Arial" w:hAnsi="Arial" w:cs="Arial"/>
                <w:sz w:val="22"/>
              </w:rPr>
            </w:pPr>
          </w:p>
        </w:tc>
        <w:tc>
          <w:tcPr>
            <w:tcW w:w="0" w:type="auto"/>
            <w:gridSpan w:val="3"/>
            <w:hideMark/>
          </w:tcPr>
          <w:p w14:paraId="34CA1FED" w14:textId="77777777" w:rsidR="00D81DFE" w:rsidRPr="00366557" w:rsidRDefault="00D81DFE" w:rsidP="00366557">
            <w:pPr>
              <w:spacing w:line="360" w:lineRule="auto"/>
              <w:rPr>
                <w:rFonts w:ascii="Arial" w:hAnsi="Arial" w:cs="Arial"/>
                <w:sz w:val="22"/>
              </w:rPr>
            </w:pPr>
          </w:p>
        </w:tc>
        <w:tc>
          <w:tcPr>
            <w:tcW w:w="0" w:type="auto"/>
            <w:hideMark/>
          </w:tcPr>
          <w:p w14:paraId="493796E5" w14:textId="77777777" w:rsidR="00D81DFE" w:rsidRPr="00366557" w:rsidRDefault="00D81DFE" w:rsidP="00366557">
            <w:pPr>
              <w:spacing w:line="360" w:lineRule="auto"/>
              <w:rPr>
                <w:rFonts w:ascii="Arial" w:hAnsi="Arial" w:cs="Arial"/>
                <w:sz w:val="22"/>
              </w:rPr>
            </w:pPr>
          </w:p>
        </w:tc>
      </w:tr>
    </w:tbl>
    <w:p w14:paraId="51B0C7F0" w14:textId="05F32CBD" w:rsidR="001730E0" w:rsidRPr="00366557" w:rsidRDefault="001730E0" w:rsidP="00366557">
      <w:pPr>
        <w:spacing w:line="360" w:lineRule="auto"/>
        <w:rPr>
          <w:rFonts w:ascii="Arial" w:hAnsi="Arial" w:cs="Arial"/>
          <w:sz w:val="22"/>
        </w:rPr>
      </w:pPr>
    </w:p>
    <w:p w14:paraId="4CD8539F" w14:textId="1BF079BF" w:rsidR="001730E0" w:rsidRPr="00366557" w:rsidRDefault="001730E0" w:rsidP="00366557">
      <w:pPr>
        <w:spacing w:line="360" w:lineRule="auto"/>
        <w:rPr>
          <w:rFonts w:ascii="Arial" w:hAnsi="Arial" w:cs="Arial"/>
          <w:sz w:val="22"/>
        </w:rPr>
      </w:pPr>
      <w:r w:rsidRPr="00366557">
        <w:rPr>
          <w:rFonts w:ascii="Arial" w:hAnsi="Arial" w:cs="Arial"/>
          <w:sz w:val="22"/>
        </w:rPr>
        <w:br w:type="page"/>
      </w:r>
    </w:p>
    <w:p w14:paraId="0F293474" w14:textId="77777777" w:rsidR="0002725C" w:rsidRPr="00366557" w:rsidRDefault="0002725C" w:rsidP="00366557">
      <w:pPr>
        <w:pStyle w:val="Heading2"/>
        <w:spacing w:line="360" w:lineRule="auto"/>
        <w:rPr>
          <w:rFonts w:ascii="Arial" w:hAnsi="Arial" w:cs="Arial"/>
          <w:sz w:val="22"/>
          <w:szCs w:val="22"/>
        </w:rPr>
      </w:pPr>
      <w:bookmarkStart w:id="182" w:name="_Toc232709872"/>
      <w:bookmarkStart w:id="183" w:name="_Toc235118508"/>
      <w:bookmarkStart w:id="184" w:name="_Toc235121240"/>
      <w:r w:rsidRPr="00366557">
        <w:rPr>
          <w:rFonts w:ascii="Arial" w:hAnsi="Arial" w:cs="Arial"/>
          <w:sz w:val="22"/>
          <w:szCs w:val="22"/>
        </w:rPr>
        <w:lastRenderedPageBreak/>
        <w:t>Appendix 2: CRAAP Test</w:t>
      </w:r>
      <w:bookmarkEnd w:id="182"/>
      <w:bookmarkEnd w:id="183"/>
      <w:bookmarkEnd w:id="184"/>
    </w:p>
    <w:tbl>
      <w:tblPr>
        <w:tblStyle w:val="TableGrid"/>
        <w:tblW w:w="0" w:type="auto"/>
        <w:tblLook w:val="04A0" w:firstRow="1" w:lastRow="0" w:firstColumn="1" w:lastColumn="0" w:noHBand="0" w:noVBand="1"/>
      </w:tblPr>
      <w:tblGrid>
        <w:gridCol w:w="1448"/>
        <w:gridCol w:w="1678"/>
        <w:gridCol w:w="2607"/>
        <w:gridCol w:w="2357"/>
        <w:gridCol w:w="2398"/>
        <w:gridCol w:w="2462"/>
      </w:tblGrid>
      <w:tr w:rsidR="0002725C" w:rsidRPr="00366557" w14:paraId="7F0623B4" w14:textId="77777777" w:rsidTr="0002725C">
        <w:tc>
          <w:tcPr>
            <w:tcW w:w="0" w:type="auto"/>
            <w:hideMark/>
          </w:tcPr>
          <w:p w14:paraId="3ACE06BB" w14:textId="77777777" w:rsidR="0002725C" w:rsidRPr="00366557" w:rsidRDefault="0002725C" w:rsidP="00366557">
            <w:pPr>
              <w:spacing w:line="360" w:lineRule="auto"/>
              <w:rPr>
                <w:rFonts w:ascii="Arial" w:hAnsi="Arial" w:cs="Arial"/>
                <w:b/>
                <w:sz w:val="22"/>
              </w:rPr>
            </w:pPr>
            <w:r w:rsidRPr="00366557">
              <w:rPr>
                <w:rFonts w:ascii="Arial" w:hAnsi="Arial" w:cs="Arial"/>
                <w:b/>
                <w:sz w:val="22"/>
              </w:rPr>
              <w:t>Studies</w:t>
            </w:r>
          </w:p>
        </w:tc>
        <w:tc>
          <w:tcPr>
            <w:tcW w:w="0" w:type="auto"/>
            <w:hideMark/>
          </w:tcPr>
          <w:p w14:paraId="0CE4FD71" w14:textId="77777777" w:rsidR="0002725C" w:rsidRPr="00366557" w:rsidRDefault="0002725C" w:rsidP="00366557">
            <w:pPr>
              <w:spacing w:line="360" w:lineRule="auto"/>
              <w:rPr>
                <w:rFonts w:ascii="Arial" w:hAnsi="Arial" w:cs="Arial"/>
                <w:b/>
                <w:sz w:val="22"/>
              </w:rPr>
            </w:pPr>
            <w:r w:rsidRPr="00366557">
              <w:rPr>
                <w:rFonts w:ascii="Arial" w:hAnsi="Arial" w:cs="Arial"/>
                <w:b/>
                <w:sz w:val="22"/>
              </w:rPr>
              <w:t>Currency</w:t>
            </w:r>
          </w:p>
        </w:tc>
        <w:tc>
          <w:tcPr>
            <w:tcW w:w="0" w:type="auto"/>
            <w:hideMark/>
          </w:tcPr>
          <w:p w14:paraId="47DB92CB" w14:textId="77777777" w:rsidR="0002725C" w:rsidRPr="00366557" w:rsidRDefault="0002725C" w:rsidP="00366557">
            <w:pPr>
              <w:spacing w:line="360" w:lineRule="auto"/>
              <w:rPr>
                <w:rFonts w:ascii="Arial" w:hAnsi="Arial" w:cs="Arial"/>
                <w:b/>
                <w:sz w:val="22"/>
              </w:rPr>
            </w:pPr>
            <w:r w:rsidRPr="00366557">
              <w:rPr>
                <w:rFonts w:ascii="Arial" w:hAnsi="Arial" w:cs="Arial"/>
                <w:b/>
                <w:sz w:val="22"/>
              </w:rPr>
              <w:t>Relevance</w:t>
            </w:r>
          </w:p>
        </w:tc>
        <w:tc>
          <w:tcPr>
            <w:tcW w:w="0" w:type="auto"/>
            <w:hideMark/>
          </w:tcPr>
          <w:p w14:paraId="4D9B5F2B" w14:textId="77777777" w:rsidR="0002725C" w:rsidRPr="00366557" w:rsidRDefault="0002725C" w:rsidP="00366557">
            <w:pPr>
              <w:spacing w:line="360" w:lineRule="auto"/>
              <w:rPr>
                <w:rFonts w:ascii="Arial" w:hAnsi="Arial" w:cs="Arial"/>
                <w:b/>
                <w:sz w:val="22"/>
              </w:rPr>
            </w:pPr>
            <w:r w:rsidRPr="00366557">
              <w:rPr>
                <w:rFonts w:ascii="Arial" w:hAnsi="Arial" w:cs="Arial"/>
                <w:b/>
                <w:sz w:val="22"/>
              </w:rPr>
              <w:t>Authority</w:t>
            </w:r>
          </w:p>
        </w:tc>
        <w:tc>
          <w:tcPr>
            <w:tcW w:w="0" w:type="auto"/>
            <w:hideMark/>
          </w:tcPr>
          <w:p w14:paraId="5C9EE443" w14:textId="77777777" w:rsidR="0002725C" w:rsidRPr="00366557" w:rsidRDefault="0002725C" w:rsidP="00366557">
            <w:pPr>
              <w:spacing w:line="360" w:lineRule="auto"/>
              <w:rPr>
                <w:rFonts w:ascii="Arial" w:hAnsi="Arial" w:cs="Arial"/>
                <w:b/>
                <w:sz w:val="22"/>
              </w:rPr>
            </w:pPr>
            <w:r w:rsidRPr="00366557">
              <w:rPr>
                <w:rFonts w:ascii="Arial" w:hAnsi="Arial" w:cs="Arial"/>
                <w:b/>
                <w:sz w:val="22"/>
              </w:rPr>
              <w:t>Accuracy</w:t>
            </w:r>
          </w:p>
        </w:tc>
        <w:tc>
          <w:tcPr>
            <w:tcW w:w="0" w:type="auto"/>
            <w:hideMark/>
          </w:tcPr>
          <w:p w14:paraId="56A7D0E7" w14:textId="77777777" w:rsidR="0002725C" w:rsidRPr="00366557" w:rsidRDefault="0002725C" w:rsidP="00366557">
            <w:pPr>
              <w:spacing w:line="360" w:lineRule="auto"/>
              <w:rPr>
                <w:rFonts w:ascii="Arial" w:hAnsi="Arial" w:cs="Arial"/>
                <w:b/>
                <w:sz w:val="22"/>
              </w:rPr>
            </w:pPr>
            <w:r w:rsidRPr="00366557">
              <w:rPr>
                <w:rFonts w:ascii="Arial" w:hAnsi="Arial" w:cs="Arial"/>
                <w:b/>
                <w:sz w:val="22"/>
              </w:rPr>
              <w:t>Purpose</w:t>
            </w:r>
          </w:p>
        </w:tc>
      </w:tr>
      <w:tr w:rsidR="0002725C" w:rsidRPr="00366557" w14:paraId="3B10E59F" w14:textId="77777777" w:rsidTr="0002725C">
        <w:tc>
          <w:tcPr>
            <w:tcW w:w="0" w:type="auto"/>
            <w:hideMark/>
          </w:tcPr>
          <w:p w14:paraId="29949EE9" w14:textId="77777777" w:rsidR="0002725C" w:rsidRPr="00366557" w:rsidRDefault="0002725C" w:rsidP="00366557">
            <w:pPr>
              <w:spacing w:line="360" w:lineRule="auto"/>
              <w:rPr>
                <w:rFonts w:ascii="Arial" w:hAnsi="Arial" w:cs="Arial"/>
                <w:sz w:val="22"/>
              </w:rPr>
            </w:pPr>
            <w:r w:rsidRPr="00366557">
              <w:rPr>
                <w:rFonts w:ascii="Arial" w:hAnsi="Arial" w:cs="Arial"/>
                <w:sz w:val="22"/>
              </w:rPr>
              <w:t>Willis et al. (2020)</w:t>
            </w:r>
          </w:p>
        </w:tc>
        <w:tc>
          <w:tcPr>
            <w:tcW w:w="0" w:type="auto"/>
            <w:hideMark/>
          </w:tcPr>
          <w:p w14:paraId="45A1277D" w14:textId="77777777" w:rsidR="0002725C" w:rsidRPr="00366557" w:rsidRDefault="0002725C" w:rsidP="00366557">
            <w:pPr>
              <w:spacing w:line="360" w:lineRule="auto"/>
              <w:rPr>
                <w:rFonts w:ascii="Arial" w:hAnsi="Arial" w:cs="Arial"/>
                <w:sz w:val="22"/>
              </w:rPr>
            </w:pPr>
            <w:r w:rsidRPr="00366557">
              <w:rPr>
                <w:rFonts w:ascii="Arial" w:hAnsi="Arial" w:cs="Arial"/>
                <w:sz w:val="22"/>
              </w:rPr>
              <w:t>Published 2020; current evidence</w:t>
            </w:r>
          </w:p>
        </w:tc>
        <w:tc>
          <w:tcPr>
            <w:tcW w:w="0" w:type="auto"/>
            <w:hideMark/>
          </w:tcPr>
          <w:p w14:paraId="5274ADE4" w14:textId="77777777" w:rsidR="0002725C" w:rsidRPr="00366557" w:rsidRDefault="0002725C" w:rsidP="00366557">
            <w:pPr>
              <w:spacing w:line="360" w:lineRule="auto"/>
              <w:rPr>
                <w:rFonts w:ascii="Arial" w:hAnsi="Arial" w:cs="Arial"/>
                <w:sz w:val="22"/>
              </w:rPr>
            </w:pPr>
            <w:r w:rsidRPr="00366557">
              <w:rPr>
                <w:rFonts w:ascii="Arial" w:hAnsi="Arial" w:cs="Arial"/>
                <w:sz w:val="22"/>
              </w:rPr>
              <w:t>Directly examines transgender healthcare experiences in UK</w:t>
            </w:r>
          </w:p>
        </w:tc>
        <w:tc>
          <w:tcPr>
            <w:tcW w:w="0" w:type="auto"/>
            <w:hideMark/>
          </w:tcPr>
          <w:p w14:paraId="613FE89B" w14:textId="77777777" w:rsidR="0002725C" w:rsidRPr="00366557" w:rsidRDefault="0002725C" w:rsidP="00366557">
            <w:pPr>
              <w:spacing w:line="360" w:lineRule="auto"/>
              <w:rPr>
                <w:rFonts w:ascii="Arial" w:hAnsi="Arial" w:cs="Arial"/>
                <w:sz w:val="22"/>
              </w:rPr>
            </w:pPr>
            <w:r w:rsidRPr="00366557">
              <w:rPr>
                <w:rFonts w:ascii="Arial" w:hAnsi="Arial" w:cs="Arial"/>
                <w:sz w:val="22"/>
              </w:rPr>
              <w:t>Authors are recognised health and social care researchers</w:t>
            </w:r>
          </w:p>
        </w:tc>
        <w:tc>
          <w:tcPr>
            <w:tcW w:w="0" w:type="auto"/>
            <w:hideMark/>
          </w:tcPr>
          <w:p w14:paraId="6BCB67E9" w14:textId="77777777" w:rsidR="0002725C" w:rsidRPr="00366557" w:rsidRDefault="0002725C" w:rsidP="00366557">
            <w:pPr>
              <w:spacing w:line="360" w:lineRule="auto"/>
              <w:rPr>
                <w:rFonts w:ascii="Arial" w:hAnsi="Arial" w:cs="Arial"/>
                <w:sz w:val="22"/>
              </w:rPr>
            </w:pPr>
            <w:r w:rsidRPr="00366557">
              <w:rPr>
                <w:rFonts w:ascii="Arial" w:hAnsi="Arial" w:cs="Arial"/>
                <w:sz w:val="22"/>
              </w:rPr>
              <w:t>Peer-reviewed qualitative study with transparent methods</w:t>
            </w:r>
          </w:p>
        </w:tc>
        <w:tc>
          <w:tcPr>
            <w:tcW w:w="0" w:type="auto"/>
            <w:hideMark/>
          </w:tcPr>
          <w:p w14:paraId="755E3B2B" w14:textId="77777777" w:rsidR="0002725C" w:rsidRPr="00366557" w:rsidRDefault="0002725C" w:rsidP="00366557">
            <w:pPr>
              <w:spacing w:line="360" w:lineRule="auto"/>
              <w:rPr>
                <w:rFonts w:ascii="Arial" w:hAnsi="Arial" w:cs="Arial"/>
                <w:sz w:val="22"/>
              </w:rPr>
            </w:pPr>
            <w:r w:rsidRPr="00366557">
              <w:rPr>
                <w:rFonts w:ascii="Arial" w:hAnsi="Arial" w:cs="Arial"/>
                <w:sz w:val="22"/>
              </w:rPr>
              <w:t>To identify barriers and improve gender-affirming care</w:t>
            </w:r>
          </w:p>
        </w:tc>
      </w:tr>
      <w:tr w:rsidR="0002725C" w:rsidRPr="00366557" w14:paraId="5B33B719" w14:textId="77777777" w:rsidTr="0002725C">
        <w:tc>
          <w:tcPr>
            <w:tcW w:w="0" w:type="auto"/>
            <w:hideMark/>
          </w:tcPr>
          <w:p w14:paraId="1245C820" w14:textId="77777777" w:rsidR="0002725C" w:rsidRPr="00366557" w:rsidRDefault="0002725C" w:rsidP="00366557">
            <w:pPr>
              <w:spacing w:line="360" w:lineRule="auto"/>
              <w:rPr>
                <w:rFonts w:ascii="Arial" w:hAnsi="Arial" w:cs="Arial"/>
                <w:sz w:val="22"/>
              </w:rPr>
            </w:pPr>
            <w:r w:rsidRPr="00366557">
              <w:rPr>
                <w:rFonts w:ascii="Arial" w:hAnsi="Arial" w:cs="Arial"/>
                <w:sz w:val="22"/>
              </w:rPr>
              <w:t>Stepney et al. (2025)</w:t>
            </w:r>
          </w:p>
        </w:tc>
        <w:tc>
          <w:tcPr>
            <w:tcW w:w="0" w:type="auto"/>
            <w:hideMark/>
          </w:tcPr>
          <w:p w14:paraId="1A1B326B" w14:textId="77777777" w:rsidR="0002725C" w:rsidRPr="00366557" w:rsidRDefault="0002725C" w:rsidP="00366557">
            <w:pPr>
              <w:spacing w:line="360" w:lineRule="auto"/>
              <w:rPr>
                <w:rFonts w:ascii="Arial" w:hAnsi="Arial" w:cs="Arial"/>
                <w:sz w:val="22"/>
              </w:rPr>
            </w:pPr>
            <w:r w:rsidRPr="00366557">
              <w:rPr>
                <w:rFonts w:ascii="Arial" w:hAnsi="Arial" w:cs="Arial"/>
                <w:sz w:val="22"/>
              </w:rPr>
              <w:t>Very recent publication</w:t>
            </w:r>
          </w:p>
        </w:tc>
        <w:tc>
          <w:tcPr>
            <w:tcW w:w="0" w:type="auto"/>
            <w:hideMark/>
          </w:tcPr>
          <w:p w14:paraId="2069EE97" w14:textId="77777777" w:rsidR="0002725C" w:rsidRPr="00366557" w:rsidRDefault="0002725C" w:rsidP="00366557">
            <w:pPr>
              <w:spacing w:line="360" w:lineRule="auto"/>
              <w:rPr>
                <w:rFonts w:ascii="Arial" w:hAnsi="Arial" w:cs="Arial"/>
                <w:sz w:val="22"/>
              </w:rPr>
            </w:pPr>
            <w:r w:rsidRPr="00366557">
              <w:rPr>
                <w:rFonts w:ascii="Arial" w:hAnsi="Arial" w:cs="Arial"/>
                <w:sz w:val="22"/>
              </w:rPr>
              <w:t>Directly relevant to trans healthcare access and experiences</w:t>
            </w:r>
          </w:p>
        </w:tc>
        <w:tc>
          <w:tcPr>
            <w:tcW w:w="0" w:type="auto"/>
            <w:hideMark/>
          </w:tcPr>
          <w:p w14:paraId="1AF2E7C8" w14:textId="77777777" w:rsidR="0002725C" w:rsidRPr="00366557" w:rsidRDefault="0002725C" w:rsidP="00366557">
            <w:pPr>
              <w:spacing w:line="360" w:lineRule="auto"/>
              <w:rPr>
                <w:rFonts w:ascii="Arial" w:hAnsi="Arial" w:cs="Arial"/>
                <w:sz w:val="22"/>
              </w:rPr>
            </w:pPr>
            <w:r w:rsidRPr="00366557">
              <w:rPr>
                <w:rFonts w:ascii="Arial" w:hAnsi="Arial" w:cs="Arial"/>
                <w:sz w:val="22"/>
              </w:rPr>
              <w:t>Conducted by established UK researchers and NIHR-funded team</w:t>
            </w:r>
          </w:p>
        </w:tc>
        <w:tc>
          <w:tcPr>
            <w:tcW w:w="0" w:type="auto"/>
            <w:hideMark/>
          </w:tcPr>
          <w:p w14:paraId="73B29DB9" w14:textId="77777777" w:rsidR="0002725C" w:rsidRPr="00366557" w:rsidRDefault="0002725C" w:rsidP="00366557">
            <w:pPr>
              <w:spacing w:line="360" w:lineRule="auto"/>
              <w:rPr>
                <w:rFonts w:ascii="Arial" w:hAnsi="Arial" w:cs="Arial"/>
                <w:sz w:val="22"/>
              </w:rPr>
            </w:pPr>
            <w:r w:rsidRPr="00366557">
              <w:rPr>
                <w:rFonts w:ascii="Arial" w:hAnsi="Arial" w:cs="Arial"/>
                <w:sz w:val="22"/>
              </w:rPr>
              <w:t>Large qualitative dataset and rigorous analysis</w:t>
            </w:r>
          </w:p>
        </w:tc>
        <w:tc>
          <w:tcPr>
            <w:tcW w:w="0" w:type="auto"/>
            <w:hideMark/>
          </w:tcPr>
          <w:p w14:paraId="2659B9A5" w14:textId="77777777" w:rsidR="0002725C" w:rsidRPr="00366557" w:rsidRDefault="0002725C" w:rsidP="00366557">
            <w:pPr>
              <w:spacing w:line="360" w:lineRule="auto"/>
              <w:rPr>
                <w:rFonts w:ascii="Arial" w:hAnsi="Arial" w:cs="Arial"/>
                <w:sz w:val="22"/>
              </w:rPr>
            </w:pPr>
            <w:r w:rsidRPr="00366557">
              <w:rPr>
                <w:rFonts w:ascii="Arial" w:hAnsi="Arial" w:cs="Arial"/>
                <w:sz w:val="22"/>
              </w:rPr>
              <w:t>To improve NHS services for trans youth and families</w:t>
            </w:r>
          </w:p>
        </w:tc>
      </w:tr>
      <w:tr w:rsidR="0002725C" w:rsidRPr="00366557" w14:paraId="09B1F3F7" w14:textId="77777777" w:rsidTr="0002725C">
        <w:tc>
          <w:tcPr>
            <w:tcW w:w="0" w:type="auto"/>
            <w:hideMark/>
          </w:tcPr>
          <w:p w14:paraId="6A0410D9" w14:textId="77777777" w:rsidR="0002725C" w:rsidRPr="00366557" w:rsidRDefault="0002725C" w:rsidP="00366557">
            <w:pPr>
              <w:spacing w:line="360" w:lineRule="auto"/>
              <w:rPr>
                <w:rFonts w:ascii="Arial" w:hAnsi="Arial" w:cs="Arial"/>
                <w:sz w:val="22"/>
              </w:rPr>
            </w:pPr>
            <w:r w:rsidRPr="00366557">
              <w:rPr>
                <w:rFonts w:ascii="Arial" w:hAnsi="Arial" w:cs="Arial"/>
                <w:sz w:val="22"/>
              </w:rPr>
              <w:t>Saunders et al. (2023)</w:t>
            </w:r>
          </w:p>
        </w:tc>
        <w:tc>
          <w:tcPr>
            <w:tcW w:w="0" w:type="auto"/>
            <w:hideMark/>
          </w:tcPr>
          <w:p w14:paraId="39073BB6" w14:textId="77777777" w:rsidR="0002725C" w:rsidRPr="00366557" w:rsidRDefault="0002725C" w:rsidP="00366557">
            <w:pPr>
              <w:spacing w:line="360" w:lineRule="auto"/>
              <w:rPr>
                <w:rFonts w:ascii="Arial" w:hAnsi="Arial" w:cs="Arial"/>
                <w:sz w:val="22"/>
              </w:rPr>
            </w:pPr>
            <w:r w:rsidRPr="00366557">
              <w:rPr>
                <w:rFonts w:ascii="Arial" w:hAnsi="Arial" w:cs="Arial"/>
                <w:sz w:val="22"/>
              </w:rPr>
              <w:t>Recent national evidence</w:t>
            </w:r>
          </w:p>
        </w:tc>
        <w:tc>
          <w:tcPr>
            <w:tcW w:w="0" w:type="auto"/>
            <w:hideMark/>
          </w:tcPr>
          <w:p w14:paraId="658A77A7" w14:textId="77777777" w:rsidR="0002725C" w:rsidRPr="00366557" w:rsidRDefault="0002725C" w:rsidP="00366557">
            <w:pPr>
              <w:spacing w:line="360" w:lineRule="auto"/>
              <w:rPr>
                <w:rFonts w:ascii="Arial" w:hAnsi="Arial" w:cs="Arial"/>
                <w:sz w:val="22"/>
              </w:rPr>
            </w:pPr>
            <w:r w:rsidRPr="00366557">
              <w:rPr>
                <w:rFonts w:ascii="Arial" w:hAnsi="Arial" w:cs="Arial"/>
                <w:sz w:val="22"/>
              </w:rPr>
              <w:t>Directly addresses health inequalities and healthcare experiences</w:t>
            </w:r>
          </w:p>
        </w:tc>
        <w:tc>
          <w:tcPr>
            <w:tcW w:w="0" w:type="auto"/>
            <w:hideMark/>
          </w:tcPr>
          <w:p w14:paraId="0C1D26E6" w14:textId="77777777" w:rsidR="0002725C" w:rsidRPr="00366557" w:rsidRDefault="0002725C" w:rsidP="00366557">
            <w:pPr>
              <w:spacing w:line="360" w:lineRule="auto"/>
              <w:rPr>
                <w:rFonts w:ascii="Arial" w:hAnsi="Arial" w:cs="Arial"/>
                <w:sz w:val="22"/>
              </w:rPr>
            </w:pPr>
            <w:r w:rsidRPr="00366557">
              <w:rPr>
                <w:rFonts w:ascii="Arial" w:hAnsi="Arial" w:cs="Arial"/>
                <w:sz w:val="22"/>
              </w:rPr>
              <w:t>Published in BMJ Open with NHS survey data</w:t>
            </w:r>
          </w:p>
        </w:tc>
        <w:tc>
          <w:tcPr>
            <w:tcW w:w="0" w:type="auto"/>
            <w:hideMark/>
          </w:tcPr>
          <w:p w14:paraId="556A083D" w14:textId="77777777" w:rsidR="0002725C" w:rsidRPr="00366557" w:rsidRDefault="0002725C" w:rsidP="00366557">
            <w:pPr>
              <w:spacing w:line="360" w:lineRule="auto"/>
              <w:rPr>
                <w:rFonts w:ascii="Arial" w:hAnsi="Arial" w:cs="Arial"/>
                <w:sz w:val="22"/>
              </w:rPr>
            </w:pPr>
            <w:r w:rsidRPr="00366557">
              <w:rPr>
                <w:rFonts w:ascii="Arial" w:hAnsi="Arial" w:cs="Arial"/>
                <w:sz w:val="22"/>
              </w:rPr>
              <w:t>Large representative sample increases reliability</w:t>
            </w:r>
          </w:p>
        </w:tc>
        <w:tc>
          <w:tcPr>
            <w:tcW w:w="0" w:type="auto"/>
            <w:hideMark/>
          </w:tcPr>
          <w:p w14:paraId="5FCAFF53" w14:textId="77777777" w:rsidR="0002725C" w:rsidRPr="00366557" w:rsidRDefault="0002725C" w:rsidP="00366557">
            <w:pPr>
              <w:spacing w:line="360" w:lineRule="auto"/>
              <w:rPr>
                <w:rFonts w:ascii="Arial" w:hAnsi="Arial" w:cs="Arial"/>
                <w:sz w:val="22"/>
              </w:rPr>
            </w:pPr>
            <w:r w:rsidRPr="00366557">
              <w:rPr>
                <w:rFonts w:ascii="Arial" w:hAnsi="Arial" w:cs="Arial"/>
                <w:sz w:val="22"/>
              </w:rPr>
              <w:t>To support healthcare improvement programmes</w:t>
            </w:r>
          </w:p>
        </w:tc>
      </w:tr>
      <w:tr w:rsidR="0002725C" w:rsidRPr="00366557" w14:paraId="7F5FB1F5" w14:textId="77777777" w:rsidTr="0002725C">
        <w:tc>
          <w:tcPr>
            <w:tcW w:w="0" w:type="auto"/>
            <w:hideMark/>
          </w:tcPr>
          <w:p w14:paraId="0AE8F1EC" w14:textId="77777777" w:rsidR="0002725C" w:rsidRPr="00366557" w:rsidRDefault="0002725C" w:rsidP="00366557">
            <w:pPr>
              <w:spacing w:line="360" w:lineRule="auto"/>
              <w:rPr>
                <w:rFonts w:ascii="Arial" w:hAnsi="Arial" w:cs="Arial"/>
                <w:sz w:val="22"/>
              </w:rPr>
            </w:pPr>
            <w:r w:rsidRPr="00366557">
              <w:rPr>
                <w:rFonts w:ascii="Arial" w:hAnsi="Arial" w:cs="Arial"/>
                <w:sz w:val="22"/>
              </w:rPr>
              <w:t>Franklin et al. (2025)</w:t>
            </w:r>
          </w:p>
        </w:tc>
        <w:tc>
          <w:tcPr>
            <w:tcW w:w="0" w:type="auto"/>
            <w:hideMark/>
          </w:tcPr>
          <w:p w14:paraId="25959E23" w14:textId="77777777" w:rsidR="0002725C" w:rsidRPr="00366557" w:rsidRDefault="0002725C" w:rsidP="00366557">
            <w:pPr>
              <w:spacing w:line="360" w:lineRule="auto"/>
              <w:rPr>
                <w:rFonts w:ascii="Arial" w:hAnsi="Arial" w:cs="Arial"/>
                <w:sz w:val="22"/>
              </w:rPr>
            </w:pPr>
            <w:r w:rsidRPr="00366557">
              <w:rPr>
                <w:rFonts w:ascii="Arial" w:hAnsi="Arial" w:cs="Arial"/>
                <w:sz w:val="22"/>
              </w:rPr>
              <w:t>Very recent publication</w:t>
            </w:r>
          </w:p>
        </w:tc>
        <w:tc>
          <w:tcPr>
            <w:tcW w:w="0" w:type="auto"/>
            <w:hideMark/>
          </w:tcPr>
          <w:p w14:paraId="77E06F6A" w14:textId="77777777" w:rsidR="0002725C" w:rsidRPr="00366557" w:rsidRDefault="0002725C" w:rsidP="00366557">
            <w:pPr>
              <w:spacing w:line="360" w:lineRule="auto"/>
              <w:rPr>
                <w:rFonts w:ascii="Arial" w:hAnsi="Arial" w:cs="Arial"/>
                <w:sz w:val="22"/>
              </w:rPr>
            </w:pPr>
            <w:r w:rsidRPr="00366557">
              <w:rPr>
                <w:rFonts w:ascii="Arial" w:hAnsi="Arial" w:cs="Arial"/>
                <w:sz w:val="22"/>
              </w:rPr>
              <w:t>Relevant to practitioner roles and healthcare provision</w:t>
            </w:r>
          </w:p>
        </w:tc>
        <w:tc>
          <w:tcPr>
            <w:tcW w:w="0" w:type="auto"/>
            <w:hideMark/>
          </w:tcPr>
          <w:p w14:paraId="781F3961" w14:textId="77777777" w:rsidR="0002725C" w:rsidRPr="00366557" w:rsidRDefault="0002725C" w:rsidP="00366557">
            <w:pPr>
              <w:spacing w:line="360" w:lineRule="auto"/>
              <w:rPr>
                <w:rFonts w:ascii="Arial" w:hAnsi="Arial" w:cs="Arial"/>
                <w:sz w:val="22"/>
              </w:rPr>
            </w:pPr>
            <w:r w:rsidRPr="00366557">
              <w:rPr>
                <w:rFonts w:ascii="Arial" w:hAnsi="Arial" w:cs="Arial"/>
                <w:sz w:val="22"/>
              </w:rPr>
              <w:t>Published in Journal of the Royal Society of Medicine</w:t>
            </w:r>
          </w:p>
        </w:tc>
        <w:tc>
          <w:tcPr>
            <w:tcW w:w="0" w:type="auto"/>
            <w:hideMark/>
          </w:tcPr>
          <w:p w14:paraId="60E93273" w14:textId="77777777" w:rsidR="0002725C" w:rsidRPr="00366557" w:rsidRDefault="0002725C" w:rsidP="00366557">
            <w:pPr>
              <w:spacing w:line="360" w:lineRule="auto"/>
              <w:rPr>
                <w:rFonts w:ascii="Arial" w:hAnsi="Arial" w:cs="Arial"/>
                <w:sz w:val="22"/>
              </w:rPr>
            </w:pPr>
            <w:r w:rsidRPr="00366557">
              <w:rPr>
                <w:rFonts w:ascii="Arial" w:hAnsi="Arial" w:cs="Arial"/>
                <w:sz w:val="22"/>
              </w:rPr>
              <w:t>Rigorous qualitative interviews with clinicians</w:t>
            </w:r>
          </w:p>
        </w:tc>
        <w:tc>
          <w:tcPr>
            <w:tcW w:w="0" w:type="auto"/>
            <w:hideMark/>
          </w:tcPr>
          <w:p w14:paraId="6D415B7D" w14:textId="77777777" w:rsidR="0002725C" w:rsidRPr="00366557" w:rsidRDefault="0002725C" w:rsidP="00366557">
            <w:pPr>
              <w:spacing w:line="360" w:lineRule="auto"/>
              <w:rPr>
                <w:rFonts w:ascii="Arial" w:hAnsi="Arial" w:cs="Arial"/>
                <w:sz w:val="22"/>
              </w:rPr>
            </w:pPr>
            <w:r w:rsidRPr="00366557">
              <w:rPr>
                <w:rFonts w:ascii="Arial" w:hAnsi="Arial" w:cs="Arial"/>
                <w:sz w:val="22"/>
              </w:rPr>
              <w:t>To understand healthcare provision and policy challenges</w:t>
            </w:r>
          </w:p>
        </w:tc>
      </w:tr>
      <w:tr w:rsidR="0002725C" w:rsidRPr="00366557" w14:paraId="173CC6CD" w14:textId="77777777" w:rsidTr="0002725C">
        <w:tc>
          <w:tcPr>
            <w:tcW w:w="0" w:type="auto"/>
            <w:hideMark/>
          </w:tcPr>
          <w:p w14:paraId="153B0568" w14:textId="77777777" w:rsidR="0002725C" w:rsidRPr="00366557" w:rsidRDefault="0002725C" w:rsidP="00366557">
            <w:pPr>
              <w:spacing w:line="360" w:lineRule="auto"/>
              <w:rPr>
                <w:rFonts w:ascii="Arial" w:hAnsi="Arial" w:cs="Arial"/>
                <w:sz w:val="22"/>
              </w:rPr>
            </w:pPr>
            <w:r w:rsidRPr="00366557">
              <w:rPr>
                <w:rFonts w:ascii="Arial" w:hAnsi="Arial" w:cs="Arial"/>
                <w:sz w:val="22"/>
              </w:rPr>
              <w:t>Braybrook et al. (2023)</w:t>
            </w:r>
          </w:p>
        </w:tc>
        <w:tc>
          <w:tcPr>
            <w:tcW w:w="0" w:type="auto"/>
            <w:hideMark/>
          </w:tcPr>
          <w:p w14:paraId="144B34EF" w14:textId="77777777" w:rsidR="0002725C" w:rsidRPr="00366557" w:rsidRDefault="0002725C" w:rsidP="00366557">
            <w:pPr>
              <w:spacing w:line="360" w:lineRule="auto"/>
              <w:rPr>
                <w:rFonts w:ascii="Arial" w:hAnsi="Arial" w:cs="Arial"/>
                <w:sz w:val="22"/>
              </w:rPr>
            </w:pPr>
            <w:r w:rsidRPr="00366557">
              <w:rPr>
                <w:rFonts w:ascii="Arial" w:hAnsi="Arial" w:cs="Arial"/>
                <w:sz w:val="22"/>
              </w:rPr>
              <w:t>Recent study</w:t>
            </w:r>
          </w:p>
        </w:tc>
        <w:tc>
          <w:tcPr>
            <w:tcW w:w="0" w:type="auto"/>
            <w:hideMark/>
          </w:tcPr>
          <w:p w14:paraId="243A799C" w14:textId="77777777" w:rsidR="0002725C" w:rsidRPr="00366557" w:rsidRDefault="0002725C" w:rsidP="00366557">
            <w:pPr>
              <w:spacing w:line="360" w:lineRule="auto"/>
              <w:rPr>
                <w:rFonts w:ascii="Arial" w:hAnsi="Arial" w:cs="Arial"/>
                <w:sz w:val="22"/>
              </w:rPr>
            </w:pPr>
            <w:r w:rsidRPr="00366557">
              <w:rPr>
                <w:rFonts w:ascii="Arial" w:hAnsi="Arial" w:cs="Arial"/>
                <w:sz w:val="22"/>
              </w:rPr>
              <w:t>Relevant to communication and inclusive healthcare practice</w:t>
            </w:r>
          </w:p>
        </w:tc>
        <w:tc>
          <w:tcPr>
            <w:tcW w:w="0" w:type="auto"/>
            <w:hideMark/>
          </w:tcPr>
          <w:p w14:paraId="725825C4" w14:textId="77777777" w:rsidR="0002725C" w:rsidRPr="00366557" w:rsidRDefault="0002725C" w:rsidP="00366557">
            <w:pPr>
              <w:spacing w:line="360" w:lineRule="auto"/>
              <w:rPr>
                <w:rFonts w:ascii="Arial" w:hAnsi="Arial" w:cs="Arial"/>
                <w:sz w:val="22"/>
              </w:rPr>
            </w:pPr>
            <w:r w:rsidRPr="00366557">
              <w:rPr>
                <w:rFonts w:ascii="Arial" w:hAnsi="Arial" w:cs="Arial"/>
                <w:sz w:val="22"/>
              </w:rPr>
              <w:t>Published in BMJ Quality &amp; Safety</w:t>
            </w:r>
          </w:p>
        </w:tc>
        <w:tc>
          <w:tcPr>
            <w:tcW w:w="0" w:type="auto"/>
            <w:hideMark/>
          </w:tcPr>
          <w:p w14:paraId="3AADD713" w14:textId="77777777" w:rsidR="0002725C" w:rsidRPr="00366557" w:rsidRDefault="0002725C" w:rsidP="00366557">
            <w:pPr>
              <w:spacing w:line="360" w:lineRule="auto"/>
              <w:rPr>
                <w:rFonts w:ascii="Arial" w:hAnsi="Arial" w:cs="Arial"/>
                <w:sz w:val="22"/>
              </w:rPr>
            </w:pPr>
            <w:r w:rsidRPr="00366557">
              <w:rPr>
                <w:rFonts w:ascii="Arial" w:hAnsi="Arial" w:cs="Arial"/>
                <w:sz w:val="22"/>
              </w:rPr>
              <w:t>Strong qualitative design and stakeholder representation</w:t>
            </w:r>
          </w:p>
        </w:tc>
        <w:tc>
          <w:tcPr>
            <w:tcW w:w="0" w:type="auto"/>
            <w:hideMark/>
          </w:tcPr>
          <w:p w14:paraId="3A20CBF2" w14:textId="77777777" w:rsidR="0002725C" w:rsidRPr="00366557" w:rsidRDefault="0002725C" w:rsidP="00366557">
            <w:pPr>
              <w:spacing w:line="360" w:lineRule="auto"/>
              <w:rPr>
                <w:rFonts w:ascii="Arial" w:hAnsi="Arial" w:cs="Arial"/>
                <w:sz w:val="22"/>
              </w:rPr>
            </w:pPr>
            <w:r w:rsidRPr="00366557">
              <w:rPr>
                <w:rFonts w:ascii="Arial" w:hAnsi="Arial" w:cs="Arial"/>
                <w:sz w:val="22"/>
              </w:rPr>
              <w:t>To improve communication and reduce inequalities</w:t>
            </w:r>
          </w:p>
        </w:tc>
      </w:tr>
    </w:tbl>
    <w:p w14:paraId="11A36FAE" w14:textId="77777777" w:rsidR="0002725C" w:rsidRPr="00366557" w:rsidRDefault="0002725C" w:rsidP="00366557">
      <w:pPr>
        <w:spacing w:line="360" w:lineRule="auto"/>
        <w:rPr>
          <w:rFonts w:ascii="Arial" w:hAnsi="Arial" w:cs="Arial"/>
          <w:sz w:val="22"/>
        </w:rPr>
      </w:pPr>
    </w:p>
    <w:p w14:paraId="46002B72" w14:textId="77777777" w:rsidR="0002725C" w:rsidRPr="00366557" w:rsidRDefault="0002725C" w:rsidP="00366557">
      <w:pPr>
        <w:pStyle w:val="Heading2"/>
        <w:spacing w:line="360" w:lineRule="auto"/>
        <w:rPr>
          <w:rFonts w:ascii="Arial" w:hAnsi="Arial" w:cs="Arial"/>
          <w:sz w:val="22"/>
          <w:szCs w:val="22"/>
        </w:rPr>
      </w:pPr>
      <w:bookmarkStart w:id="185" w:name="_Toc232709873"/>
      <w:bookmarkStart w:id="186" w:name="_Toc235118509"/>
      <w:bookmarkStart w:id="187" w:name="_Toc235121241"/>
      <w:r w:rsidRPr="00366557">
        <w:rPr>
          <w:rFonts w:ascii="Arial" w:hAnsi="Arial" w:cs="Arial"/>
          <w:sz w:val="22"/>
          <w:szCs w:val="22"/>
        </w:rPr>
        <w:lastRenderedPageBreak/>
        <w:t>Appendix 3: Summary Table</w:t>
      </w:r>
      <w:bookmarkEnd w:id="185"/>
      <w:bookmarkEnd w:id="186"/>
      <w:bookmarkEnd w:id="187"/>
    </w:p>
    <w:tbl>
      <w:tblPr>
        <w:tblStyle w:val="TableGrid"/>
        <w:tblW w:w="0" w:type="auto"/>
        <w:tblLook w:val="04A0" w:firstRow="1" w:lastRow="0" w:firstColumn="1" w:lastColumn="0" w:noHBand="0" w:noVBand="1"/>
      </w:tblPr>
      <w:tblGrid>
        <w:gridCol w:w="1282"/>
        <w:gridCol w:w="2385"/>
        <w:gridCol w:w="2481"/>
        <w:gridCol w:w="2639"/>
        <w:gridCol w:w="2018"/>
        <w:gridCol w:w="2145"/>
      </w:tblGrid>
      <w:tr w:rsidR="0002725C" w:rsidRPr="00366557" w14:paraId="2562BB16" w14:textId="77777777" w:rsidTr="00357420">
        <w:tc>
          <w:tcPr>
            <w:tcW w:w="0" w:type="auto"/>
            <w:hideMark/>
          </w:tcPr>
          <w:p w14:paraId="0F8F87F6" w14:textId="77777777" w:rsidR="0002725C" w:rsidRPr="00366557" w:rsidRDefault="0002725C" w:rsidP="00366557">
            <w:pPr>
              <w:spacing w:line="360" w:lineRule="auto"/>
              <w:rPr>
                <w:rFonts w:ascii="Arial" w:hAnsi="Arial" w:cs="Arial"/>
                <w:b/>
                <w:sz w:val="22"/>
              </w:rPr>
            </w:pPr>
            <w:r w:rsidRPr="00366557">
              <w:rPr>
                <w:rFonts w:ascii="Arial" w:hAnsi="Arial" w:cs="Arial"/>
                <w:b/>
                <w:sz w:val="22"/>
              </w:rPr>
              <w:t>Author and Year</w:t>
            </w:r>
          </w:p>
        </w:tc>
        <w:tc>
          <w:tcPr>
            <w:tcW w:w="0" w:type="auto"/>
            <w:hideMark/>
          </w:tcPr>
          <w:p w14:paraId="105FB027" w14:textId="77777777" w:rsidR="0002725C" w:rsidRPr="00366557" w:rsidRDefault="0002725C" w:rsidP="00366557">
            <w:pPr>
              <w:spacing w:line="360" w:lineRule="auto"/>
              <w:rPr>
                <w:rFonts w:ascii="Arial" w:hAnsi="Arial" w:cs="Arial"/>
                <w:b/>
                <w:sz w:val="22"/>
              </w:rPr>
            </w:pPr>
            <w:r w:rsidRPr="00366557">
              <w:rPr>
                <w:rFonts w:ascii="Arial" w:hAnsi="Arial" w:cs="Arial"/>
                <w:b/>
                <w:sz w:val="22"/>
              </w:rPr>
              <w:t>Research Aim</w:t>
            </w:r>
          </w:p>
        </w:tc>
        <w:tc>
          <w:tcPr>
            <w:tcW w:w="0" w:type="auto"/>
            <w:hideMark/>
          </w:tcPr>
          <w:p w14:paraId="41F57C18" w14:textId="77777777" w:rsidR="0002725C" w:rsidRPr="00366557" w:rsidRDefault="0002725C" w:rsidP="00366557">
            <w:pPr>
              <w:spacing w:line="360" w:lineRule="auto"/>
              <w:rPr>
                <w:rFonts w:ascii="Arial" w:hAnsi="Arial" w:cs="Arial"/>
                <w:b/>
                <w:sz w:val="22"/>
              </w:rPr>
            </w:pPr>
            <w:r w:rsidRPr="00366557">
              <w:rPr>
                <w:rFonts w:ascii="Arial" w:hAnsi="Arial" w:cs="Arial"/>
                <w:b/>
                <w:sz w:val="22"/>
              </w:rPr>
              <w:t>Method</w:t>
            </w:r>
          </w:p>
        </w:tc>
        <w:tc>
          <w:tcPr>
            <w:tcW w:w="0" w:type="auto"/>
            <w:hideMark/>
          </w:tcPr>
          <w:p w14:paraId="01A679D7" w14:textId="77777777" w:rsidR="0002725C" w:rsidRPr="00366557" w:rsidRDefault="0002725C" w:rsidP="00366557">
            <w:pPr>
              <w:spacing w:line="360" w:lineRule="auto"/>
              <w:rPr>
                <w:rFonts w:ascii="Arial" w:hAnsi="Arial" w:cs="Arial"/>
                <w:b/>
                <w:sz w:val="22"/>
              </w:rPr>
            </w:pPr>
            <w:r w:rsidRPr="00366557">
              <w:rPr>
                <w:rFonts w:ascii="Arial" w:hAnsi="Arial" w:cs="Arial"/>
                <w:b/>
                <w:sz w:val="22"/>
              </w:rPr>
              <w:t>Key Findings</w:t>
            </w:r>
          </w:p>
        </w:tc>
        <w:tc>
          <w:tcPr>
            <w:tcW w:w="0" w:type="auto"/>
            <w:hideMark/>
          </w:tcPr>
          <w:p w14:paraId="6A9CEDC4" w14:textId="77777777" w:rsidR="0002725C" w:rsidRPr="00366557" w:rsidRDefault="0002725C" w:rsidP="00366557">
            <w:pPr>
              <w:spacing w:line="360" w:lineRule="auto"/>
              <w:rPr>
                <w:rFonts w:ascii="Arial" w:hAnsi="Arial" w:cs="Arial"/>
                <w:b/>
                <w:sz w:val="22"/>
              </w:rPr>
            </w:pPr>
            <w:r w:rsidRPr="00366557">
              <w:rPr>
                <w:rFonts w:ascii="Arial" w:hAnsi="Arial" w:cs="Arial"/>
                <w:b/>
                <w:sz w:val="22"/>
              </w:rPr>
              <w:t>Strengths</w:t>
            </w:r>
          </w:p>
        </w:tc>
        <w:tc>
          <w:tcPr>
            <w:tcW w:w="0" w:type="auto"/>
            <w:hideMark/>
          </w:tcPr>
          <w:p w14:paraId="215A6F0B" w14:textId="77777777" w:rsidR="0002725C" w:rsidRPr="00366557" w:rsidRDefault="0002725C" w:rsidP="00366557">
            <w:pPr>
              <w:spacing w:line="360" w:lineRule="auto"/>
              <w:rPr>
                <w:rFonts w:ascii="Arial" w:hAnsi="Arial" w:cs="Arial"/>
                <w:b/>
                <w:sz w:val="22"/>
              </w:rPr>
            </w:pPr>
            <w:r w:rsidRPr="00366557">
              <w:rPr>
                <w:rFonts w:ascii="Arial" w:hAnsi="Arial" w:cs="Arial"/>
                <w:b/>
                <w:sz w:val="22"/>
              </w:rPr>
              <w:t>Weaknesses</w:t>
            </w:r>
          </w:p>
        </w:tc>
      </w:tr>
      <w:tr w:rsidR="0002725C" w:rsidRPr="00366557" w14:paraId="053F361F" w14:textId="77777777" w:rsidTr="00357420">
        <w:tc>
          <w:tcPr>
            <w:tcW w:w="0" w:type="auto"/>
            <w:hideMark/>
          </w:tcPr>
          <w:p w14:paraId="57AFF669" w14:textId="77777777" w:rsidR="0002725C" w:rsidRPr="00366557" w:rsidRDefault="0002725C" w:rsidP="00366557">
            <w:pPr>
              <w:spacing w:line="360" w:lineRule="auto"/>
              <w:rPr>
                <w:rFonts w:ascii="Arial" w:hAnsi="Arial" w:cs="Arial"/>
                <w:sz w:val="22"/>
              </w:rPr>
            </w:pPr>
            <w:r w:rsidRPr="00366557">
              <w:rPr>
                <w:rFonts w:ascii="Arial" w:hAnsi="Arial" w:cs="Arial"/>
                <w:sz w:val="22"/>
              </w:rPr>
              <w:t>Willis et al. (2020)</w:t>
            </w:r>
          </w:p>
        </w:tc>
        <w:tc>
          <w:tcPr>
            <w:tcW w:w="0" w:type="auto"/>
            <w:hideMark/>
          </w:tcPr>
          <w:p w14:paraId="148CF58F" w14:textId="77777777" w:rsidR="0002725C" w:rsidRPr="00366557" w:rsidRDefault="0002725C" w:rsidP="00366557">
            <w:pPr>
              <w:spacing w:line="360" w:lineRule="auto"/>
              <w:rPr>
                <w:rFonts w:ascii="Arial" w:hAnsi="Arial" w:cs="Arial"/>
                <w:sz w:val="22"/>
              </w:rPr>
            </w:pPr>
            <w:r w:rsidRPr="00366557">
              <w:rPr>
                <w:rFonts w:ascii="Arial" w:hAnsi="Arial" w:cs="Arial"/>
                <w:sz w:val="22"/>
              </w:rPr>
              <w:t>To explore older transgender adults’ experiences of healthcare services and practitioners while seeking gender-affirming care in later life.</w:t>
            </w:r>
          </w:p>
        </w:tc>
        <w:tc>
          <w:tcPr>
            <w:tcW w:w="0" w:type="auto"/>
            <w:hideMark/>
          </w:tcPr>
          <w:p w14:paraId="7EB53980" w14:textId="77777777" w:rsidR="0002725C" w:rsidRPr="00366557" w:rsidRDefault="0002725C" w:rsidP="00366557">
            <w:pPr>
              <w:spacing w:line="360" w:lineRule="auto"/>
              <w:rPr>
                <w:rFonts w:ascii="Arial" w:hAnsi="Arial" w:cs="Arial"/>
                <w:sz w:val="22"/>
              </w:rPr>
            </w:pPr>
            <w:r w:rsidRPr="00366557">
              <w:rPr>
                <w:rFonts w:ascii="Arial" w:hAnsi="Arial" w:cs="Arial"/>
                <w:sz w:val="22"/>
              </w:rPr>
              <w:t>Qualitative study using life-history and semi-structured interviews with 19 transgender adults aged 50–74 years in Wales. Thematic analysis.</w:t>
            </w:r>
          </w:p>
        </w:tc>
        <w:tc>
          <w:tcPr>
            <w:tcW w:w="0" w:type="auto"/>
            <w:hideMark/>
          </w:tcPr>
          <w:p w14:paraId="096BD971" w14:textId="77777777" w:rsidR="0002725C" w:rsidRPr="00366557" w:rsidRDefault="0002725C" w:rsidP="00366557">
            <w:pPr>
              <w:spacing w:line="360" w:lineRule="auto"/>
              <w:rPr>
                <w:rFonts w:ascii="Arial" w:hAnsi="Arial" w:cs="Arial"/>
                <w:sz w:val="22"/>
              </w:rPr>
            </w:pPr>
            <w:r w:rsidRPr="00366557">
              <w:rPr>
                <w:rFonts w:ascii="Arial" w:hAnsi="Arial" w:cs="Arial"/>
                <w:sz w:val="22"/>
              </w:rPr>
              <w:t>Participants experienced cisnormative assumptions, transphobia, inadequate professional knowledge, and often felt responsible for educating healthcare providers.</w:t>
            </w:r>
          </w:p>
        </w:tc>
        <w:tc>
          <w:tcPr>
            <w:tcW w:w="0" w:type="auto"/>
            <w:hideMark/>
          </w:tcPr>
          <w:p w14:paraId="098173EF" w14:textId="77777777" w:rsidR="0002725C" w:rsidRPr="00366557" w:rsidRDefault="0002725C" w:rsidP="00366557">
            <w:pPr>
              <w:spacing w:line="360" w:lineRule="auto"/>
              <w:rPr>
                <w:rFonts w:ascii="Arial" w:hAnsi="Arial" w:cs="Arial"/>
                <w:sz w:val="22"/>
              </w:rPr>
            </w:pPr>
            <w:r w:rsidRPr="00366557">
              <w:rPr>
                <w:rFonts w:ascii="Arial" w:hAnsi="Arial" w:cs="Arial"/>
                <w:sz w:val="22"/>
              </w:rPr>
              <w:t>Provides rich first-hand accounts from an under-researched population; strong qualitative depth.</w:t>
            </w:r>
          </w:p>
        </w:tc>
        <w:tc>
          <w:tcPr>
            <w:tcW w:w="0" w:type="auto"/>
            <w:hideMark/>
          </w:tcPr>
          <w:p w14:paraId="46494DEC" w14:textId="77777777" w:rsidR="0002725C" w:rsidRPr="00366557" w:rsidRDefault="0002725C" w:rsidP="00366557">
            <w:pPr>
              <w:spacing w:line="360" w:lineRule="auto"/>
              <w:rPr>
                <w:rFonts w:ascii="Arial" w:hAnsi="Arial" w:cs="Arial"/>
                <w:sz w:val="22"/>
              </w:rPr>
            </w:pPr>
            <w:r w:rsidRPr="00366557">
              <w:rPr>
                <w:rFonts w:ascii="Arial" w:hAnsi="Arial" w:cs="Arial"/>
                <w:sz w:val="22"/>
              </w:rPr>
              <w:t>Small sample size limits generalisability; focused primarily on Wales.</w:t>
            </w:r>
          </w:p>
        </w:tc>
      </w:tr>
      <w:tr w:rsidR="0002725C" w:rsidRPr="00366557" w14:paraId="4F2482C6" w14:textId="77777777" w:rsidTr="00357420">
        <w:tc>
          <w:tcPr>
            <w:tcW w:w="0" w:type="auto"/>
            <w:hideMark/>
          </w:tcPr>
          <w:p w14:paraId="650BFF81" w14:textId="77777777" w:rsidR="0002725C" w:rsidRPr="00366557" w:rsidRDefault="0002725C" w:rsidP="00366557">
            <w:pPr>
              <w:spacing w:line="360" w:lineRule="auto"/>
              <w:rPr>
                <w:rFonts w:ascii="Arial" w:hAnsi="Arial" w:cs="Arial"/>
                <w:sz w:val="22"/>
              </w:rPr>
            </w:pPr>
            <w:r w:rsidRPr="00366557">
              <w:rPr>
                <w:rFonts w:ascii="Arial" w:hAnsi="Arial" w:cs="Arial"/>
                <w:sz w:val="22"/>
              </w:rPr>
              <w:t>Stepney et al. (2025)</w:t>
            </w:r>
          </w:p>
        </w:tc>
        <w:tc>
          <w:tcPr>
            <w:tcW w:w="0" w:type="auto"/>
            <w:hideMark/>
          </w:tcPr>
          <w:p w14:paraId="1855D334" w14:textId="77777777" w:rsidR="0002725C" w:rsidRPr="00366557" w:rsidRDefault="0002725C" w:rsidP="00366557">
            <w:pPr>
              <w:spacing w:line="360" w:lineRule="auto"/>
              <w:rPr>
                <w:rFonts w:ascii="Arial" w:hAnsi="Arial" w:cs="Arial"/>
                <w:sz w:val="22"/>
              </w:rPr>
            </w:pPr>
            <w:r w:rsidRPr="00366557">
              <w:rPr>
                <w:rFonts w:ascii="Arial" w:hAnsi="Arial" w:cs="Arial"/>
                <w:sz w:val="22"/>
              </w:rPr>
              <w:t>To understand experiences of trans and gender-diverse young people, families, and healthcare professionals and identify improvements to NHS services.</w:t>
            </w:r>
          </w:p>
        </w:tc>
        <w:tc>
          <w:tcPr>
            <w:tcW w:w="0" w:type="auto"/>
            <w:hideMark/>
          </w:tcPr>
          <w:p w14:paraId="2F94357A" w14:textId="77777777" w:rsidR="0002725C" w:rsidRPr="00366557" w:rsidRDefault="0002725C" w:rsidP="00366557">
            <w:pPr>
              <w:spacing w:line="360" w:lineRule="auto"/>
              <w:rPr>
                <w:rFonts w:ascii="Arial" w:hAnsi="Arial" w:cs="Arial"/>
                <w:sz w:val="22"/>
              </w:rPr>
            </w:pPr>
            <w:r w:rsidRPr="00366557">
              <w:rPr>
                <w:rFonts w:ascii="Arial" w:hAnsi="Arial" w:cs="Arial"/>
                <w:sz w:val="22"/>
              </w:rPr>
              <w:t>Qualitative exploratory study involving 91 interviews with young people, family members, and health professionals.</w:t>
            </w:r>
          </w:p>
        </w:tc>
        <w:tc>
          <w:tcPr>
            <w:tcW w:w="0" w:type="auto"/>
            <w:hideMark/>
          </w:tcPr>
          <w:p w14:paraId="63D45D03" w14:textId="77777777" w:rsidR="0002725C" w:rsidRPr="00366557" w:rsidRDefault="0002725C" w:rsidP="00366557">
            <w:pPr>
              <w:spacing w:line="360" w:lineRule="auto"/>
              <w:rPr>
                <w:rFonts w:ascii="Arial" w:hAnsi="Arial" w:cs="Arial"/>
                <w:sz w:val="22"/>
              </w:rPr>
            </w:pPr>
            <w:r w:rsidRPr="00366557">
              <w:rPr>
                <w:rFonts w:ascii="Arial" w:hAnsi="Arial" w:cs="Arial"/>
                <w:sz w:val="22"/>
              </w:rPr>
              <w:t>Structural, educational, social, cultural, and technical barriers affected access to care. Participants reported gatekeeping, pathologisation, and long waiting times.</w:t>
            </w:r>
          </w:p>
        </w:tc>
        <w:tc>
          <w:tcPr>
            <w:tcW w:w="0" w:type="auto"/>
            <w:hideMark/>
          </w:tcPr>
          <w:p w14:paraId="6501382B" w14:textId="77777777" w:rsidR="0002725C" w:rsidRPr="00366557" w:rsidRDefault="0002725C" w:rsidP="00366557">
            <w:pPr>
              <w:spacing w:line="360" w:lineRule="auto"/>
              <w:rPr>
                <w:rFonts w:ascii="Arial" w:hAnsi="Arial" w:cs="Arial"/>
                <w:sz w:val="22"/>
              </w:rPr>
            </w:pPr>
            <w:r w:rsidRPr="00366557">
              <w:rPr>
                <w:rFonts w:ascii="Arial" w:hAnsi="Arial" w:cs="Arial"/>
                <w:sz w:val="22"/>
              </w:rPr>
              <w:t>Large qualitative sample; includes multiple stakeholder perspectives.</w:t>
            </w:r>
          </w:p>
        </w:tc>
        <w:tc>
          <w:tcPr>
            <w:tcW w:w="0" w:type="auto"/>
            <w:hideMark/>
          </w:tcPr>
          <w:p w14:paraId="7AD4C207" w14:textId="77777777" w:rsidR="0002725C" w:rsidRPr="00366557" w:rsidRDefault="0002725C" w:rsidP="00366557">
            <w:pPr>
              <w:spacing w:line="360" w:lineRule="auto"/>
              <w:rPr>
                <w:rFonts w:ascii="Arial" w:hAnsi="Arial" w:cs="Arial"/>
                <w:sz w:val="22"/>
              </w:rPr>
            </w:pPr>
            <w:r w:rsidRPr="00366557">
              <w:rPr>
                <w:rFonts w:ascii="Arial" w:hAnsi="Arial" w:cs="Arial"/>
                <w:sz w:val="22"/>
              </w:rPr>
              <w:t>Findings may not represent all regions of the UK; qualitative design limits statistical generalisation.</w:t>
            </w:r>
          </w:p>
        </w:tc>
      </w:tr>
      <w:tr w:rsidR="0002725C" w:rsidRPr="00366557" w14:paraId="7FEEDF74" w14:textId="77777777" w:rsidTr="00357420">
        <w:tc>
          <w:tcPr>
            <w:tcW w:w="0" w:type="auto"/>
            <w:hideMark/>
          </w:tcPr>
          <w:p w14:paraId="46B9C610" w14:textId="77777777" w:rsidR="0002725C" w:rsidRPr="00366557" w:rsidRDefault="0002725C" w:rsidP="00366557">
            <w:pPr>
              <w:spacing w:line="360" w:lineRule="auto"/>
              <w:rPr>
                <w:rFonts w:ascii="Arial" w:hAnsi="Arial" w:cs="Arial"/>
                <w:sz w:val="22"/>
              </w:rPr>
            </w:pPr>
            <w:r w:rsidRPr="00366557">
              <w:rPr>
                <w:rFonts w:ascii="Arial" w:hAnsi="Arial" w:cs="Arial"/>
                <w:sz w:val="22"/>
              </w:rPr>
              <w:lastRenderedPageBreak/>
              <w:t>Saunders et al. (2023)</w:t>
            </w:r>
          </w:p>
        </w:tc>
        <w:tc>
          <w:tcPr>
            <w:tcW w:w="0" w:type="auto"/>
            <w:hideMark/>
          </w:tcPr>
          <w:p w14:paraId="5FF02F60" w14:textId="77777777" w:rsidR="0002725C" w:rsidRPr="00366557" w:rsidRDefault="0002725C" w:rsidP="00366557">
            <w:pPr>
              <w:spacing w:line="360" w:lineRule="auto"/>
              <w:rPr>
                <w:rFonts w:ascii="Arial" w:hAnsi="Arial" w:cs="Arial"/>
                <w:sz w:val="22"/>
              </w:rPr>
            </w:pPr>
            <w:r w:rsidRPr="00366557">
              <w:rPr>
                <w:rFonts w:ascii="Arial" w:hAnsi="Arial" w:cs="Arial"/>
                <w:sz w:val="22"/>
              </w:rPr>
              <w:t>To examine demographic characteristics, health conditions, and healthcare experiences of trans and non-binary adults in England.</w:t>
            </w:r>
          </w:p>
        </w:tc>
        <w:tc>
          <w:tcPr>
            <w:tcW w:w="0" w:type="auto"/>
            <w:hideMark/>
          </w:tcPr>
          <w:p w14:paraId="1C564E5E" w14:textId="77777777" w:rsidR="0002725C" w:rsidRPr="00366557" w:rsidRDefault="0002725C" w:rsidP="00366557">
            <w:pPr>
              <w:spacing w:line="360" w:lineRule="auto"/>
              <w:rPr>
                <w:rFonts w:ascii="Arial" w:hAnsi="Arial" w:cs="Arial"/>
                <w:sz w:val="22"/>
              </w:rPr>
            </w:pPr>
            <w:r w:rsidRPr="00366557">
              <w:rPr>
                <w:rFonts w:ascii="Arial" w:hAnsi="Arial" w:cs="Arial"/>
                <w:sz w:val="22"/>
              </w:rPr>
              <w:t>Nationally representative cross-sectional survey analysis of 6,333 trans and non-binary adults from the GP Patient Survey.</w:t>
            </w:r>
          </w:p>
        </w:tc>
        <w:tc>
          <w:tcPr>
            <w:tcW w:w="0" w:type="auto"/>
            <w:hideMark/>
          </w:tcPr>
          <w:p w14:paraId="3609337B" w14:textId="77777777" w:rsidR="0002725C" w:rsidRPr="00366557" w:rsidRDefault="0002725C" w:rsidP="00366557">
            <w:pPr>
              <w:spacing w:line="360" w:lineRule="auto"/>
              <w:rPr>
                <w:rFonts w:ascii="Arial" w:hAnsi="Arial" w:cs="Arial"/>
                <w:sz w:val="22"/>
              </w:rPr>
            </w:pPr>
            <w:r w:rsidRPr="00366557">
              <w:rPr>
                <w:rFonts w:ascii="Arial" w:hAnsi="Arial" w:cs="Arial"/>
                <w:sz w:val="22"/>
              </w:rPr>
              <w:t>Significant inequalities were found in mental health, communication experiences, and healthcare satisfaction. Participants reported poorer interpersonal interactions than cisgender respondents.</w:t>
            </w:r>
          </w:p>
        </w:tc>
        <w:tc>
          <w:tcPr>
            <w:tcW w:w="0" w:type="auto"/>
            <w:hideMark/>
          </w:tcPr>
          <w:p w14:paraId="1A08CC87" w14:textId="77777777" w:rsidR="0002725C" w:rsidRPr="00366557" w:rsidRDefault="0002725C" w:rsidP="00366557">
            <w:pPr>
              <w:spacing w:line="360" w:lineRule="auto"/>
              <w:rPr>
                <w:rFonts w:ascii="Arial" w:hAnsi="Arial" w:cs="Arial"/>
                <w:sz w:val="22"/>
              </w:rPr>
            </w:pPr>
            <w:r w:rsidRPr="00366557">
              <w:rPr>
                <w:rFonts w:ascii="Arial" w:hAnsi="Arial" w:cs="Arial"/>
                <w:sz w:val="22"/>
              </w:rPr>
              <w:t>Large nationally representative sample; strong statistical analysis.</w:t>
            </w:r>
          </w:p>
        </w:tc>
        <w:tc>
          <w:tcPr>
            <w:tcW w:w="0" w:type="auto"/>
            <w:hideMark/>
          </w:tcPr>
          <w:p w14:paraId="5E9B1E86" w14:textId="77777777" w:rsidR="0002725C" w:rsidRPr="00366557" w:rsidRDefault="0002725C" w:rsidP="00366557">
            <w:pPr>
              <w:spacing w:line="360" w:lineRule="auto"/>
              <w:rPr>
                <w:rFonts w:ascii="Arial" w:hAnsi="Arial" w:cs="Arial"/>
                <w:sz w:val="22"/>
              </w:rPr>
            </w:pPr>
            <w:r w:rsidRPr="00366557">
              <w:rPr>
                <w:rFonts w:ascii="Arial" w:hAnsi="Arial" w:cs="Arial"/>
                <w:sz w:val="22"/>
              </w:rPr>
              <w:t>Self-reported survey data may introduce response bias; cannot establish causality.</w:t>
            </w:r>
          </w:p>
        </w:tc>
      </w:tr>
      <w:tr w:rsidR="0002725C" w:rsidRPr="00366557" w14:paraId="6A8D4616" w14:textId="77777777" w:rsidTr="00357420">
        <w:tc>
          <w:tcPr>
            <w:tcW w:w="0" w:type="auto"/>
            <w:hideMark/>
          </w:tcPr>
          <w:p w14:paraId="09FF711C" w14:textId="77777777" w:rsidR="0002725C" w:rsidRPr="00366557" w:rsidRDefault="0002725C" w:rsidP="00366557">
            <w:pPr>
              <w:spacing w:line="360" w:lineRule="auto"/>
              <w:rPr>
                <w:rFonts w:ascii="Arial" w:hAnsi="Arial" w:cs="Arial"/>
                <w:sz w:val="22"/>
              </w:rPr>
            </w:pPr>
            <w:r w:rsidRPr="00366557">
              <w:rPr>
                <w:rFonts w:ascii="Arial" w:hAnsi="Arial" w:cs="Arial"/>
                <w:sz w:val="22"/>
              </w:rPr>
              <w:t>Franklin et al. (2025)</w:t>
            </w:r>
          </w:p>
        </w:tc>
        <w:tc>
          <w:tcPr>
            <w:tcW w:w="0" w:type="auto"/>
            <w:hideMark/>
          </w:tcPr>
          <w:p w14:paraId="27A2FE57" w14:textId="77777777" w:rsidR="0002725C" w:rsidRPr="00366557" w:rsidRDefault="0002725C" w:rsidP="00366557">
            <w:pPr>
              <w:spacing w:line="360" w:lineRule="auto"/>
              <w:rPr>
                <w:rFonts w:ascii="Arial" w:hAnsi="Arial" w:cs="Arial"/>
                <w:sz w:val="22"/>
              </w:rPr>
            </w:pPr>
            <w:r w:rsidRPr="00366557">
              <w:rPr>
                <w:rFonts w:ascii="Arial" w:hAnsi="Arial" w:cs="Arial"/>
                <w:sz w:val="22"/>
              </w:rPr>
              <w:t>To examine how UK doctors perceive their role in transgender healthcare and identify organisational challenges.</w:t>
            </w:r>
          </w:p>
        </w:tc>
        <w:tc>
          <w:tcPr>
            <w:tcW w:w="0" w:type="auto"/>
            <w:hideMark/>
          </w:tcPr>
          <w:p w14:paraId="330407CE" w14:textId="77777777" w:rsidR="0002725C" w:rsidRPr="00366557" w:rsidRDefault="0002725C" w:rsidP="00366557">
            <w:pPr>
              <w:spacing w:line="360" w:lineRule="auto"/>
              <w:rPr>
                <w:rFonts w:ascii="Arial" w:hAnsi="Arial" w:cs="Arial"/>
                <w:sz w:val="22"/>
              </w:rPr>
            </w:pPr>
            <w:r w:rsidRPr="00366557">
              <w:rPr>
                <w:rFonts w:ascii="Arial" w:hAnsi="Arial" w:cs="Arial"/>
                <w:sz w:val="22"/>
              </w:rPr>
              <w:t>Qualitative semi-structured interviews with 16 GPs and endocrinologists.</w:t>
            </w:r>
          </w:p>
        </w:tc>
        <w:tc>
          <w:tcPr>
            <w:tcW w:w="0" w:type="auto"/>
            <w:hideMark/>
          </w:tcPr>
          <w:p w14:paraId="3CAC2627" w14:textId="77777777" w:rsidR="0002725C" w:rsidRPr="00366557" w:rsidRDefault="0002725C" w:rsidP="00366557">
            <w:pPr>
              <w:spacing w:line="360" w:lineRule="auto"/>
              <w:rPr>
                <w:rFonts w:ascii="Arial" w:hAnsi="Arial" w:cs="Arial"/>
                <w:sz w:val="22"/>
              </w:rPr>
            </w:pPr>
            <w:r w:rsidRPr="00366557">
              <w:rPr>
                <w:rFonts w:ascii="Arial" w:hAnsi="Arial" w:cs="Arial"/>
                <w:sz w:val="22"/>
              </w:rPr>
              <w:t>Clinicians reported uncertainty regarding responsibilities, concerns about prescribing, and significant structural barriers within healthcare systems.</w:t>
            </w:r>
          </w:p>
        </w:tc>
        <w:tc>
          <w:tcPr>
            <w:tcW w:w="0" w:type="auto"/>
            <w:hideMark/>
          </w:tcPr>
          <w:p w14:paraId="3340887A" w14:textId="77777777" w:rsidR="0002725C" w:rsidRPr="00366557" w:rsidRDefault="0002725C" w:rsidP="00366557">
            <w:pPr>
              <w:spacing w:line="360" w:lineRule="auto"/>
              <w:rPr>
                <w:rFonts w:ascii="Arial" w:hAnsi="Arial" w:cs="Arial"/>
                <w:sz w:val="22"/>
              </w:rPr>
            </w:pPr>
            <w:r w:rsidRPr="00366557">
              <w:rPr>
                <w:rFonts w:ascii="Arial" w:hAnsi="Arial" w:cs="Arial"/>
                <w:sz w:val="22"/>
              </w:rPr>
              <w:t>Provides insight into clinical decision-making and healthcare structures.</w:t>
            </w:r>
          </w:p>
        </w:tc>
        <w:tc>
          <w:tcPr>
            <w:tcW w:w="0" w:type="auto"/>
            <w:hideMark/>
          </w:tcPr>
          <w:p w14:paraId="4DC06FC9" w14:textId="77777777" w:rsidR="0002725C" w:rsidRPr="00366557" w:rsidRDefault="0002725C" w:rsidP="00366557">
            <w:pPr>
              <w:spacing w:line="360" w:lineRule="auto"/>
              <w:rPr>
                <w:rFonts w:ascii="Arial" w:hAnsi="Arial" w:cs="Arial"/>
                <w:sz w:val="22"/>
              </w:rPr>
            </w:pPr>
            <w:r w:rsidRPr="00366557">
              <w:rPr>
                <w:rFonts w:ascii="Arial" w:hAnsi="Arial" w:cs="Arial"/>
                <w:sz w:val="22"/>
              </w:rPr>
              <w:t>Small sample size and limited to two medical specialties.</w:t>
            </w:r>
          </w:p>
        </w:tc>
      </w:tr>
      <w:tr w:rsidR="0002725C" w:rsidRPr="00366557" w14:paraId="48395E60" w14:textId="77777777" w:rsidTr="00357420">
        <w:tc>
          <w:tcPr>
            <w:tcW w:w="0" w:type="auto"/>
            <w:hideMark/>
          </w:tcPr>
          <w:p w14:paraId="48C6B28D" w14:textId="77777777" w:rsidR="0002725C" w:rsidRPr="00366557" w:rsidRDefault="0002725C" w:rsidP="00366557">
            <w:pPr>
              <w:spacing w:line="360" w:lineRule="auto"/>
              <w:rPr>
                <w:rFonts w:ascii="Arial" w:hAnsi="Arial" w:cs="Arial"/>
                <w:sz w:val="22"/>
              </w:rPr>
            </w:pPr>
            <w:r w:rsidRPr="00366557">
              <w:rPr>
                <w:rFonts w:ascii="Arial" w:hAnsi="Arial" w:cs="Arial"/>
                <w:sz w:val="22"/>
              </w:rPr>
              <w:t>Braybrook et al. (2023)</w:t>
            </w:r>
          </w:p>
        </w:tc>
        <w:tc>
          <w:tcPr>
            <w:tcW w:w="0" w:type="auto"/>
            <w:hideMark/>
          </w:tcPr>
          <w:p w14:paraId="09BCAF08" w14:textId="77777777" w:rsidR="0002725C" w:rsidRPr="00366557" w:rsidRDefault="0002725C" w:rsidP="00366557">
            <w:pPr>
              <w:spacing w:line="360" w:lineRule="auto"/>
              <w:rPr>
                <w:rFonts w:ascii="Arial" w:hAnsi="Arial" w:cs="Arial"/>
                <w:sz w:val="22"/>
              </w:rPr>
            </w:pPr>
            <w:r w:rsidRPr="00366557">
              <w:rPr>
                <w:rFonts w:ascii="Arial" w:hAnsi="Arial" w:cs="Arial"/>
                <w:sz w:val="22"/>
              </w:rPr>
              <w:t>To explore experiences and preferences regarding communication about sexual orientation and gender identity in healthcare settings.</w:t>
            </w:r>
          </w:p>
        </w:tc>
        <w:tc>
          <w:tcPr>
            <w:tcW w:w="0" w:type="auto"/>
            <w:hideMark/>
          </w:tcPr>
          <w:p w14:paraId="26937749" w14:textId="77777777" w:rsidR="0002725C" w:rsidRPr="00366557" w:rsidRDefault="0002725C" w:rsidP="00366557">
            <w:pPr>
              <w:spacing w:line="360" w:lineRule="auto"/>
              <w:rPr>
                <w:rFonts w:ascii="Arial" w:hAnsi="Arial" w:cs="Arial"/>
                <w:sz w:val="22"/>
              </w:rPr>
            </w:pPr>
            <w:r w:rsidRPr="00366557">
              <w:rPr>
                <w:rFonts w:ascii="Arial" w:hAnsi="Arial" w:cs="Arial"/>
                <w:sz w:val="22"/>
              </w:rPr>
              <w:t>Qualitative interviews with 74 participants including LGBT+ patients, carers, and clinicians.</w:t>
            </w:r>
          </w:p>
        </w:tc>
        <w:tc>
          <w:tcPr>
            <w:tcW w:w="0" w:type="auto"/>
            <w:hideMark/>
          </w:tcPr>
          <w:p w14:paraId="0253F9E6" w14:textId="77777777" w:rsidR="0002725C" w:rsidRPr="00366557" w:rsidRDefault="0002725C" w:rsidP="00366557">
            <w:pPr>
              <w:spacing w:line="360" w:lineRule="auto"/>
              <w:rPr>
                <w:rFonts w:ascii="Arial" w:hAnsi="Arial" w:cs="Arial"/>
                <w:sz w:val="22"/>
              </w:rPr>
            </w:pPr>
            <w:r w:rsidRPr="00366557">
              <w:rPr>
                <w:rFonts w:ascii="Arial" w:hAnsi="Arial" w:cs="Arial"/>
                <w:sz w:val="22"/>
              </w:rPr>
              <w:t>Inclusive language, visible organisational support, and clinician-led discussions improved healthcare experiences and trust.</w:t>
            </w:r>
          </w:p>
        </w:tc>
        <w:tc>
          <w:tcPr>
            <w:tcW w:w="0" w:type="auto"/>
            <w:hideMark/>
          </w:tcPr>
          <w:p w14:paraId="6AA69FE1" w14:textId="77777777" w:rsidR="0002725C" w:rsidRPr="00366557" w:rsidRDefault="0002725C" w:rsidP="00366557">
            <w:pPr>
              <w:spacing w:line="360" w:lineRule="auto"/>
              <w:rPr>
                <w:rFonts w:ascii="Arial" w:hAnsi="Arial" w:cs="Arial"/>
                <w:sz w:val="22"/>
              </w:rPr>
            </w:pPr>
            <w:r w:rsidRPr="00366557">
              <w:rPr>
                <w:rFonts w:ascii="Arial" w:hAnsi="Arial" w:cs="Arial"/>
                <w:sz w:val="22"/>
              </w:rPr>
              <w:t>Diverse participant groups enhance credibility and transferability.</w:t>
            </w:r>
          </w:p>
        </w:tc>
        <w:tc>
          <w:tcPr>
            <w:tcW w:w="0" w:type="auto"/>
            <w:hideMark/>
          </w:tcPr>
          <w:p w14:paraId="155064D8" w14:textId="77777777" w:rsidR="0002725C" w:rsidRPr="00366557" w:rsidRDefault="0002725C" w:rsidP="00366557">
            <w:pPr>
              <w:spacing w:line="360" w:lineRule="auto"/>
              <w:rPr>
                <w:rFonts w:ascii="Arial" w:hAnsi="Arial" w:cs="Arial"/>
                <w:sz w:val="22"/>
              </w:rPr>
            </w:pPr>
            <w:r w:rsidRPr="00366557">
              <w:rPr>
                <w:rFonts w:ascii="Arial" w:hAnsi="Arial" w:cs="Arial"/>
                <w:sz w:val="22"/>
              </w:rPr>
              <w:t>Focuses on broader LGBT+ populations rather than exclusively transgender participants.</w:t>
            </w:r>
          </w:p>
        </w:tc>
      </w:tr>
    </w:tbl>
    <w:p w14:paraId="1573F49E" w14:textId="3F946FDF" w:rsidR="002F5FE0" w:rsidRPr="00366557" w:rsidRDefault="002F5FE0" w:rsidP="00366557">
      <w:pPr>
        <w:spacing w:line="360" w:lineRule="auto"/>
        <w:rPr>
          <w:rFonts w:ascii="Arial" w:hAnsi="Arial" w:cs="Arial"/>
          <w:sz w:val="22"/>
        </w:rPr>
      </w:pPr>
    </w:p>
    <w:sectPr w:rsidR="002F5FE0" w:rsidRPr="00366557" w:rsidSect="0032400A">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C585A" w14:textId="77777777" w:rsidR="00B2257F" w:rsidRDefault="00B2257F">
      <w:pPr>
        <w:spacing w:after="0" w:line="240" w:lineRule="auto"/>
      </w:pPr>
      <w:r>
        <w:separator/>
      </w:r>
    </w:p>
  </w:endnote>
  <w:endnote w:type="continuationSeparator" w:id="0">
    <w:p w14:paraId="08C061D0" w14:textId="77777777" w:rsidR="00B2257F" w:rsidRDefault="00B225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634DC" w14:textId="77777777" w:rsidR="00357420" w:rsidRDefault="003574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A205B" w14:textId="77777777" w:rsidR="00357420" w:rsidRDefault="003574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30A06" w14:textId="77777777" w:rsidR="00357420" w:rsidRDefault="003574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0129C" w14:textId="77777777" w:rsidR="00B2257F" w:rsidRDefault="00B2257F">
      <w:pPr>
        <w:spacing w:after="0" w:line="240" w:lineRule="auto"/>
      </w:pPr>
      <w:r>
        <w:separator/>
      </w:r>
    </w:p>
  </w:footnote>
  <w:footnote w:type="continuationSeparator" w:id="0">
    <w:p w14:paraId="6346DE35" w14:textId="77777777" w:rsidR="00B2257F" w:rsidRDefault="00B225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8DDB8" w14:textId="77777777" w:rsidR="00357420" w:rsidRDefault="003574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327924"/>
      <w:docPartObj>
        <w:docPartGallery w:val="Page Numbers (Top of Page)"/>
        <w:docPartUnique/>
      </w:docPartObj>
    </w:sdtPr>
    <w:sdtEndPr>
      <w:rPr>
        <w:noProof/>
      </w:rPr>
    </w:sdtEndPr>
    <w:sdtContent>
      <w:p w14:paraId="4A3AFE00" w14:textId="2FC86290" w:rsidR="00357420" w:rsidRDefault="0035742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B6753B" w14:textId="77777777" w:rsidR="00357420" w:rsidRDefault="00357420" w:rsidP="00702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D13B0" w14:textId="77777777" w:rsidR="00357420" w:rsidRDefault="003574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11F25"/>
    <w:multiLevelType w:val="hybridMultilevel"/>
    <w:tmpl w:val="25F0AD82"/>
    <w:lvl w:ilvl="0" w:tplc="85A805F8">
      <w:start w:val="1"/>
      <w:numFmt w:val="bullet"/>
      <w:lvlText w:val=""/>
      <w:lvlJc w:val="left"/>
      <w:pPr>
        <w:ind w:left="720" w:hanging="360"/>
      </w:pPr>
      <w:rPr>
        <w:rFonts w:ascii="Symbol" w:hAnsi="Symbol" w:hint="default"/>
      </w:rPr>
    </w:lvl>
    <w:lvl w:ilvl="1" w:tplc="5DD63BA0" w:tentative="1">
      <w:start w:val="1"/>
      <w:numFmt w:val="bullet"/>
      <w:lvlText w:val="o"/>
      <w:lvlJc w:val="left"/>
      <w:pPr>
        <w:ind w:left="1440" w:hanging="360"/>
      </w:pPr>
      <w:rPr>
        <w:rFonts w:ascii="Courier New" w:hAnsi="Courier New" w:cs="Courier New" w:hint="default"/>
      </w:rPr>
    </w:lvl>
    <w:lvl w:ilvl="2" w:tplc="D40443EE" w:tentative="1">
      <w:start w:val="1"/>
      <w:numFmt w:val="bullet"/>
      <w:lvlText w:val=""/>
      <w:lvlJc w:val="left"/>
      <w:pPr>
        <w:ind w:left="2160" w:hanging="360"/>
      </w:pPr>
      <w:rPr>
        <w:rFonts w:ascii="Wingdings" w:hAnsi="Wingdings" w:hint="default"/>
      </w:rPr>
    </w:lvl>
    <w:lvl w:ilvl="3" w:tplc="4D646746" w:tentative="1">
      <w:start w:val="1"/>
      <w:numFmt w:val="bullet"/>
      <w:lvlText w:val=""/>
      <w:lvlJc w:val="left"/>
      <w:pPr>
        <w:ind w:left="2880" w:hanging="360"/>
      </w:pPr>
      <w:rPr>
        <w:rFonts w:ascii="Symbol" w:hAnsi="Symbol" w:hint="default"/>
      </w:rPr>
    </w:lvl>
    <w:lvl w:ilvl="4" w:tplc="84FE9EC6" w:tentative="1">
      <w:start w:val="1"/>
      <w:numFmt w:val="bullet"/>
      <w:lvlText w:val="o"/>
      <w:lvlJc w:val="left"/>
      <w:pPr>
        <w:ind w:left="3600" w:hanging="360"/>
      </w:pPr>
      <w:rPr>
        <w:rFonts w:ascii="Courier New" w:hAnsi="Courier New" w:cs="Courier New" w:hint="default"/>
      </w:rPr>
    </w:lvl>
    <w:lvl w:ilvl="5" w:tplc="A23AF654" w:tentative="1">
      <w:start w:val="1"/>
      <w:numFmt w:val="bullet"/>
      <w:lvlText w:val=""/>
      <w:lvlJc w:val="left"/>
      <w:pPr>
        <w:ind w:left="4320" w:hanging="360"/>
      </w:pPr>
      <w:rPr>
        <w:rFonts w:ascii="Wingdings" w:hAnsi="Wingdings" w:hint="default"/>
      </w:rPr>
    </w:lvl>
    <w:lvl w:ilvl="6" w:tplc="B4C80294" w:tentative="1">
      <w:start w:val="1"/>
      <w:numFmt w:val="bullet"/>
      <w:lvlText w:val=""/>
      <w:lvlJc w:val="left"/>
      <w:pPr>
        <w:ind w:left="5040" w:hanging="360"/>
      </w:pPr>
      <w:rPr>
        <w:rFonts w:ascii="Symbol" w:hAnsi="Symbol" w:hint="default"/>
      </w:rPr>
    </w:lvl>
    <w:lvl w:ilvl="7" w:tplc="4D785A56" w:tentative="1">
      <w:start w:val="1"/>
      <w:numFmt w:val="bullet"/>
      <w:lvlText w:val="o"/>
      <w:lvlJc w:val="left"/>
      <w:pPr>
        <w:ind w:left="5760" w:hanging="360"/>
      </w:pPr>
      <w:rPr>
        <w:rFonts w:ascii="Courier New" w:hAnsi="Courier New" w:cs="Courier New" w:hint="default"/>
      </w:rPr>
    </w:lvl>
    <w:lvl w:ilvl="8" w:tplc="126E841C" w:tentative="1">
      <w:start w:val="1"/>
      <w:numFmt w:val="bullet"/>
      <w:lvlText w:val=""/>
      <w:lvlJc w:val="left"/>
      <w:pPr>
        <w:ind w:left="6480" w:hanging="360"/>
      </w:pPr>
      <w:rPr>
        <w:rFonts w:ascii="Wingdings" w:hAnsi="Wingdings" w:hint="default"/>
      </w:rPr>
    </w:lvl>
  </w:abstractNum>
  <w:abstractNum w:abstractNumId="1" w15:restartNumberingAfterBreak="0">
    <w:nsid w:val="16586BF2"/>
    <w:multiLevelType w:val="hybridMultilevel"/>
    <w:tmpl w:val="E5C8BE4E"/>
    <w:lvl w:ilvl="0" w:tplc="6A26C0FA">
      <w:start w:val="1"/>
      <w:numFmt w:val="bullet"/>
      <w:lvlText w:val=""/>
      <w:lvlJc w:val="left"/>
      <w:pPr>
        <w:ind w:left="720" w:hanging="360"/>
      </w:pPr>
      <w:rPr>
        <w:rFonts w:ascii="Symbol" w:hAnsi="Symbol" w:hint="default"/>
      </w:rPr>
    </w:lvl>
    <w:lvl w:ilvl="1" w:tplc="E2846E56" w:tentative="1">
      <w:start w:val="1"/>
      <w:numFmt w:val="bullet"/>
      <w:lvlText w:val="o"/>
      <w:lvlJc w:val="left"/>
      <w:pPr>
        <w:ind w:left="1440" w:hanging="360"/>
      </w:pPr>
      <w:rPr>
        <w:rFonts w:ascii="Courier New" w:hAnsi="Courier New" w:cs="Courier New" w:hint="default"/>
      </w:rPr>
    </w:lvl>
    <w:lvl w:ilvl="2" w:tplc="34F6442C" w:tentative="1">
      <w:start w:val="1"/>
      <w:numFmt w:val="bullet"/>
      <w:lvlText w:val=""/>
      <w:lvlJc w:val="left"/>
      <w:pPr>
        <w:ind w:left="2160" w:hanging="360"/>
      </w:pPr>
      <w:rPr>
        <w:rFonts w:ascii="Wingdings" w:hAnsi="Wingdings" w:hint="default"/>
      </w:rPr>
    </w:lvl>
    <w:lvl w:ilvl="3" w:tplc="DFAA176A" w:tentative="1">
      <w:start w:val="1"/>
      <w:numFmt w:val="bullet"/>
      <w:lvlText w:val=""/>
      <w:lvlJc w:val="left"/>
      <w:pPr>
        <w:ind w:left="2880" w:hanging="360"/>
      </w:pPr>
      <w:rPr>
        <w:rFonts w:ascii="Symbol" w:hAnsi="Symbol" w:hint="default"/>
      </w:rPr>
    </w:lvl>
    <w:lvl w:ilvl="4" w:tplc="7D7EF264" w:tentative="1">
      <w:start w:val="1"/>
      <w:numFmt w:val="bullet"/>
      <w:lvlText w:val="o"/>
      <w:lvlJc w:val="left"/>
      <w:pPr>
        <w:ind w:left="3600" w:hanging="360"/>
      </w:pPr>
      <w:rPr>
        <w:rFonts w:ascii="Courier New" w:hAnsi="Courier New" w:cs="Courier New" w:hint="default"/>
      </w:rPr>
    </w:lvl>
    <w:lvl w:ilvl="5" w:tplc="76948E6C" w:tentative="1">
      <w:start w:val="1"/>
      <w:numFmt w:val="bullet"/>
      <w:lvlText w:val=""/>
      <w:lvlJc w:val="left"/>
      <w:pPr>
        <w:ind w:left="4320" w:hanging="360"/>
      </w:pPr>
      <w:rPr>
        <w:rFonts w:ascii="Wingdings" w:hAnsi="Wingdings" w:hint="default"/>
      </w:rPr>
    </w:lvl>
    <w:lvl w:ilvl="6" w:tplc="3EEC584E" w:tentative="1">
      <w:start w:val="1"/>
      <w:numFmt w:val="bullet"/>
      <w:lvlText w:val=""/>
      <w:lvlJc w:val="left"/>
      <w:pPr>
        <w:ind w:left="5040" w:hanging="360"/>
      </w:pPr>
      <w:rPr>
        <w:rFonts w:ascii="Symbol" w:hAnsi="Symbol" w:hint="default"/>
      </w:rPr>
    </w:lvl>
    <w:lvl w:ilvl="7" w:tplc="2AEE3C26" w:tentative="1">
      <w:start w:val="1"/>
      <w:numFmt w:val="bullet"/>
      <w:lvlText w:val="o"/>
      <w:lvlJc w:val="left"/>
      <w:pPr>
        <w:ind w:left="5760" w:hanging="360"/>
      </w:pPr>
      <w:rPr>
        <w:rFonts w:ascii="Courier New" w:hAnsi="Courier New" w:cs="Courier New" w:hint="default"/>
      </w:rPr>
    </w:lvl>
    <w:lvl w:ilvl="8" w:tplc="FC2CD504" w:tentative="1">
      <w:start w:val="1"/>
      <w:numFmt w:val="bullet"/>
      <w:lvlText w:val=""/>
      <w:lvlJc w:val="left"/>
      <w:pPr>
        <w:ind w:left="6480" w:hanging="360"/>
      </w:pPr>
      <w:rPr>
        <w:rFonts w:ascii="Wingdings" w:hAnsi="Wingdings" w:hint="default"/>
      </w:rPr>
    </w:lvl>
  </w:abstractNum>
  <w:abstractNum w:abstractNumId="2" w15:restartNumberingAfterBreak="0">
    <w:nsid w:val="23983C3C"/>
    <w:multiLevelType w:val="hybridMultilevel"/>
    <w:tmpl w:val="F8AA2B5E"/>
    <w:lvl w:ilvl="0" w:tplc="DB9A63E4">
      <w:start w:val="1"/>
      <w:numFmt w:val="decimal"/>
      <w:lvlText w:val="%1."/>
      <w:lvlJc w:val="left"/>
      <w:pPr>
        <w:ind w:left="720" w:hanging="360"/>
      </w:pPr>
    </w:lvl>
    <w:lvl w:ilvl="1" w:tplc="AF329E68" w:tentative="1">
      <w:start w:val="1"/>
      <w:numFmt w:val="lowerLetter"/>
      <w:lvlText w:val="%2."/>
      <w:lvlJc w:val="left"/>
      <w:pPr>
        <w:ind w:left="1440" w:hanging="360"/>
      </w:pPr>
    </w:lvl>
    <w:lvl w:ilvl="2" w:tplc="947270DA" w:tentative="1">
      <w:start w:val="1"/>
      <w:numFmt w:val="lowerRoman"/>
      <w:lvlText w:val="%3."/>
      <w:lvlJc w:val="right"/>
      <w:pPr>
        <w:ind w:left="2160" w:hanging="180"/>
      </w:pPr>
    </w:lvl>
    <w:lvl w:ilvl="3" w:tplc="DF426E46" w:tentative="1">
      <w:start w:val="1"/>
      <w:numFmt w:val="decimal"/>
      <w:lvlText w:val="%4."/>
      <w:lvlJc w:val="left"/>
      <w:pPr>
        <w:ind w:left="2880" w:hanging="360"/>
      </w:pPr>
    </w:lvl>
    <w:lvl w:ilvl="4" w:tplc="D5F24BC8" w:tentative="1">
      <w:start w:val="1"/>
      <w:numFmt w:val="lowerLetter"/>
      <w:lvlText w:val="%5."/>
      <w:lvlJc w:val="left"/>
      <w:pPr>
        <w:ind w:left="3600" w:hanging="360"/>
      </w:pPr>
    </w:lvl>
    <w:lvl w:ilvl="5" w:tplc="AA921AA8" w:tentative="1">
      <w:start w:val="1"/>
      <w:numFmt w:val="lowerRoman"/>
      <w:lvlText w:val="%6."/>
      <w:lvlJc w:val="right"/>
      <w:pPr>
        <w:ind w:left="4320" w:hanging="180"/>
      </w:pPr>
    </w:lvl>
    <w:lvl w:ilvl="6" w:tplc="FAD44F00" w:tentative="1">
      <w:start w:val="1"/>
      <w:numFmt w:val="decimal"/>
      <w:lvlText w:val="%7."/>
      <w:lvlJc w:val="left"/>
      <w:pPr>
        <w:ind w:left="5040" w:hanging="360"/>
      </w:pPr>
    </w:lvl>
    <w:lvl w:ilvl="7" w:tplc="36DC1DD6" w:tentative="1">
      <w:start w:val="1"/>
      <w:numFmt w:val="lowerLetter"/>
      <w:lvlText w:val="%8."/>
      <w:lvlJc w:val="left"/>
      <w:pPr>
        <w:ind w:left="5760" w:hanging="360"/>
      </w:pPr>
    </w:lvl>
    <w:lvl w:ilvl="8" w:tplc="1908CA06" w:tentative="1">
      <w:start w:val="1"/>
      <w:numFmt w:val="lowerRoman"/>
      <w:lvlText w:val="%9."/>
      <w:lvlJc w:val="right"/>
      <w:pPr>
        <w:ind w:left="6480" w:hanging="180"/>
      </w:pPr>
    </w:lvl>
  </w:abstractNum>
  <w:abstractNum w:abstractNumId="3" w15:restartNumberingAfterBreak="0">
    <w:nsid w:val="4B1D5EB2"/>
    <w:multiLevelType w:val="hybridMultilevel"/>
    <w:tmpl w:val="5704AF1A"/>
    <w:lvl w:ilvl="0" w:tplc="C5F4D2CC">
      <w:start w:val="1"/>
      <w:numFmt w:val="bullet"/>
      <w:lvlText w:val=""/>
      <w:lvlJc w:val="left"/>
      <w:pPr>
        <w:ind w:left="720" w:hanging="360"/>
      </w:pPr>
      <w:rPr>
        <w:rFonts w:ascii="Symbol" w:hAnsi="Symbol" w:hint="default"/>
      </w:rPr>
    </w:lvl>
    <w:lvl w:ilvl="1" w:tplc="6F08088A" w:tentative="1">
      <w:start w:val="1"/>
      <w:numFmt w:val="bullet"/>
      <w:lvlText w:val="o"/>
      <w:lvlJc w:val="left"/>
      <w:pPr>
        <w:ind w:left="1440" w:hanging="360"/>
      </w:pPr>
      <w:rPr>
        <w:rFonts w:ascii="Courier New" w:hAnsi="Courier New" w:cs="Courier New" w:hint="default"/>
      </w:rPr>
    </w:lvl>
    <w:lvl w:ilvl="2" w:tplc="D334F33C" w:tentative="1">
      <w:start w:val="1"/>
      <w:numFmt w:val="bullet"/>
      <w:lvlText w:val=""/>
      <w:lvlJc w:val="left"/>
      <w:pPr>
        <w:ind w:left="2160" w:hanging="360"/>
      </w:pPr>
      <w:rPr>
        <w:rFonts w:ascii="Wingdings" w:hAnsi="Wingdings" w:hint="default"/>
      </w:rPr>
    </w:lvl>
    <w:lvl w:ilvl="3" w:tplc="0778E42E" w:tentative="1">
      <w:start w:val="1"/>
      <w:numFmt w:val="bullet"/>
      <w:lvlText w:val=""/>
      <w:lvlJc w:val="left"/>
      <w:pPr>
        <w:ind w:left="2880" w:hanging="360"/>
      </w:pPr>
      <w:rPr>
        <w:rFonts w:ascii="Symbol" w:hAnsi="Symbol" w:hint="default"/>
      </w:rPr>
    </w:lvl>
    <w:lvl w:ilvl="4" w:tplc="465A7DDE" w:tentative="1">
      <w:start w:val="1"/>
      <w:numFmt w:val="bullet"/>
      <w:lvlText w:val="o"/>
      <w:lvlJc w:val="left"/>
      <w:pPr>
        <w:ind w:left="3600" w:hanging="360"/>
      </w:pPr>
      <w:rPr>
        <w:rFonts w:ascii="Courier New" w:hAnsi="Courier New" w:cs="Courier New" w:hint="default"/>
      </w:rPr>
    </w:lvl>
    <w:lvl w:ilvl="5" w:tplc="396AEC90" w:tentative="1">
      <w:start w:val="1"/>
      <w:numFmt w:val="bullet"/>
      <w:lvlText w:val=""/>
      <w:lvlJc w:val="left"/>
      <w:pPr>
        <w:ind w:left="4320" w:hanging="360"/>
      </w:pPr>
      <w:rPr>
        <w:rFonts w:ascii="Wingdings" w:hAnsi="Wingdings" w:hint="default"/>
      </w:rPr>
    </w:lvl>
    <w:lvl w:ilvl="6" w:tplc="F9B2E7AE" w:tentative="1">
      <w:start w:val="1"/>
      <w:numFmt w:val="bullet"/>
      <w:lvlText w:val=""/>
      <w:lvlJc w:val="left"/>
      <w:pPr>
        <w:ind w:left="5040" w:hanging="360"/>
      </w:pPr>
      <w:rPr>
        <w:rFonts w:ascii="Symbol" w:hAnsi="Symbol" w:hint="default"/>
      </w:rPr>
    </w:lvl>
    <w:lvl w:ilvl="7" w:tplc="A4946D14" w:tentative="1">
      <w:start w:val="1"/>
      <w:numFmt w:val="bullet"/>
      <w:lvlText w:val="o"/>
      <w:lvlJc w:val="left"/>
      <w:pPr>
        <w:ind w:left="5760" w:hanging="360"/>
      </w:pPr>
      <w:rPr>
        <w:rFonts w:ascii="Courier New" w:hAnsi="Courier New" w:cs="Courier New" w:hint="default"/>
      </w:rPr>
    </w:lvl>
    <w:lvl w:ilvl="8" w:tplc="153ACE10" w:tentative="1">
      <w:start w:val="1"/>
      <w:numFmt w:val="bullet"/>
      <w:lvlText w:val=""/>
      <w:lvlJc w:val="left"/>
      <w:pPr>
        <w:ind w:left="6480" w:hanging="360"/>
      </w:pPr>
      <w:rPr>
        <w:rFonts w:ascii="Wingdings" w:hAnsi="Wingdings" w:hint="default"/>
      </w:rPr>
    </w:lvl>
  </w:abstractNum>
  <w:abstractNum w:abstractNumId="4" w15:restartNumberingAfterBreak="0">
    <w:nsid w:val="5C671407"/>
    <w:multiLevelType w:val="hybridMultilevel"/>
    <w:tmpl w:val="274E4772"/>
    <w:lvl w:ilvl="0" w:tplc="8A56893C">
      <w:start w:val="1"/>
      <w:numFmt w:val="decimal"/>
      <w:lvlText w:val="%1."/>
      <w:lvlJc w:val="left"/>
      <w:pPr>
        <w:ind w:left="720" w:hanging="360"/>
      </w:pPr>
    </w:lvl>
    <w:lvl w:ilvl="1" w:tplc="6254CBB6" w:tentative="1">
      <w:start w:val="1"/>
      <w:numFmt w:val="lowerLetter"/>
      <w:lvlText w:val="%2."/>
      <w:lvlJc w:val="left"/>
      <w:pPr>
        <w:ind w:left="1440" w:hanging="360"/>
      </w:pPr>
    </w:lvl>
    <w:lvl w:ilvl="2" w:tplc="80CA2EC2" w:tentative="1">
      <w:start w:val="1"/>
      <w:numFmt w:val="lowerRoman"/>
      <w:lvlText w:val="%3."/>
      <w:lvlJc w:val="right"/>
      <w:pPr>
        <w:ind w:left="2160" w:hanging="180"/>
      </w:pPr>
    </w:lvl>
    <w:lvl w:ilvl="3" w:tplc="52AAB478" w:tentative="1">
      <w:start w:val="1"/>
      <w:numFmt w:val="decimal"/>
      <w:lvlText w:val="%4."/>
      <w:lvlJc w:val="left"/>
      <w:pPr>
        <w:ind w:left="2880" w:hanging="360"/>
      </w:pPr>
    </w:lvl>
    <w:lvl w:ilvl="4" w:tplc="D1AA0430" w:tentative="1">
      <w:start w:val="1"/>
      <w:numFmt w:val="lowerLetter"/>
      <w:lvlText w:val="%5."/>
      <w:lvlJc w:val="left"/>
      <w:pPr>
        <w:ind w:left="3600" w:hanging="360"/>
      </w:pPr>
    </w:lvl>
    <w:lvl w:ilvl="5" w:tplc="0F325BF2" w:tentative="1">
      <w:start w:val="1"/>
      <w:numFmt w:val="lowerRoman"/>
      <w:lvlText w:val="%6."/>
      <w:lvlJc w:val="right"/>
      <w:pPr>
        <w:ind w:left="4320" w:hanging="180"/>
      </w:pPr>
    </w:lvl>
    <w:lvl w:ilvl="6" w:tplc="D764C492" w:tentative="1">
      <w:start w:val="1"/>
      <w:numFmt w:val="decimal"/>
      <w:lvlText w:val="%7."/>
      <w:lvlJc w:val="left"/>
      <w:pPr>
        <w:ind w:left="5040" w:hanging="360"/>
      </w:pPr>
    </w:lvl>
    <w:lvl w:ilvl="7" w:tplc="C8D2B024" w:tentative="1">
      <w:start w:val="1"/>
      <w:numFmt w:val="lowerLetter"/>
      <w:lvlText w:val="%8."/>
      <w:lvlJc w:val="left"/>
      <w:pPr>
        <w:ind w:left="5760" w:hanging="360"/>
      </w:pPr>
    </w:lvl>
    <w:lvl w:ilvl="8" w:tplc="D870FE3C" w:tentative="1">
      <w:start w:val="1"/>
      <w:numFmt w:val="lowerRoman"/>
      <w:lvlText w:val="%9."/>
      <w:lvlJc w:val="right"/>
      <w:pPr>
        <w:ind w:left="6480" w:hanging="180"/>
      </w:pPr>
    </w:lvl>
  </w:abstractNum>
  <w:num w:numId="1" w16cid:durableId="535507730">
    <w:abstractNumId w:val="0"/>
  </w:num>
  <w:num w:numId="2" w16cid:durableId="60249580">
    <w:abstractNumId w:val="1"/>
  </w:num>
  <w:num w:numId="3" w16cid:durableId="507403122">
    <w:abstractNumId w:val="4"/>
  </w:num>
  <w:num w:numId="4" w16cid:durableId="581723990">
    <w:abstractNumId w:val="2"/>
  </w:num>
  <w:num w:numId="5" w16cid:durableId="7348571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F89"/>
    <w:rsid w:val="00001AA3"/>
    <w:rsid w:val="000023DB"/>
    <w:rsid w:val="00004FB0"/>
    <w:rsid w:val="000072C6"/>
    <w:rsid w:val="00017183"/>
    <w:rsid w:val="00017A50"/>
    <w:rsid w:val="000204F3"/>
    <w:rsid w:val="000217A7"/>
    <w:rsid w:val="00022609"/>
    <w:rsid w:val="00023B30"/>
    <w:rsid w:val="00025334"/>
    <w:rsid w:val="0002725C"/>
    <w:rsid w:val="00027EDA"/>
    <w:rsid w:val="00033092"/>
    <w:rsid w:val="00033C19"/>
    <w:rsid w:val="00034E85"/>
    <w:rsid w:val="000403DC"/>
    <w:rsid w:val="00040DA7"/>
    <w:rsid w:val="00041597"/>
    <w:rsid w:val="00041D21"/>
    <w:rsid w:val="00042420"/>
    <w:rsid w:val="00043794"/>
    <w:rsid w:val="00044FBD"/>
    <w:rsid w:val="00046429"/>
    <w:rsid w:val="00046FBB"/>
    <w:rsid w:val="000524F8"/>
    <w:rsid w:val="000528D5"/>
    <w:rsid w:val="00055C0E"/>
    <w:rsid w:val="0006684D"/>
    <w:rsid w:val="00067248"/>
    <w:rsid w:val="00070565"/>
    <w:rsid w:val="00071CEB"/>
    <w:rsid w:val="00072AF0"/>
    <w:rsid w:val="00077845"/>
    <w:rsid w:val="00077866"/>
    <w:rsid w:val="0008149D"/>
    <w:rsid w:val="000815EF"/>
    <w:rsid w:val="00082ECC"/>
    <w:rsid w:val="00093A61"/>
    <w:rsid w:val="00093C6D"/>
    <w:rsid w:val="00094D8C"/>
    <w:rsid w:val="000953BC"/>
    <w:rsid w:val="00095AEB"/>
    <w:rsid w:val="00095B6B"/>
    <w:rsid w:val="000973EE"/>
    <w:rsid w:val="000A31C2"/>
    <w:rsid w:val="000A3313"/>
    <w:rsid w:val="000B2B02"/>
    <w:rsid w:val="000B378E"/>
    <w:rsid w:val="000B71E2"/>
    <w:rsid w:val="000B7BA0"/>
    <w:rsid w:val="000C0776"/>
    <w:rsid w:val="000C1055"/>
    <w:rsid w:val="000C13D1"/>
    <w:rsid w:val="000C3EAE"/>
    <w:rsid w:val="000C4812"/>
    <w:rsid w:val="000C7B9C"/>
    <w:rsid w:val="000D56EF"/>
    <w:rsid w:val="000D60AE"/>
    <w:rsid w:val="000D6324"/>
    <w:rsid w:val="000D726C"/>
    <w:rsid w:val="000E14BF"/>
    <w:rsid w:val="000E2952"/>
    <w:rsid w:val="000E4057"/>
    <w:rsid w:val="000E5491"/>
    <w:rsid w:val="000E66E3"/>
    <w:rsid w:val="000E747E"/>
    <w:rsid w:val="000F0191"/>
    <w:rsid w:val="000F035B"/>
    <w:rsid w:val="000F0C13"/>
    <w:rsid w:val="000F0C31"/>
    <w:rsid w:val="001011CC"/>
    <w:rsid w:val="00102444"/>
    <w:rsid w:val="00103A32"/>
    <w:rsid w:val="00104C71"/>
    <w:rsid w:val="00105F54"/>
    <w:rsid w:val="001071BD"/>
    <w:rsid w:val="00107498"/>
    <w:rsid w:val="00113FFD"/>
    <w:rsid w:val="00116002"/>
    <w:rsid w:val="00120C72"/>
    <w:rsid w:val="001213C1"/>
    <w:rsid w:val="001219D8"/>
    <w:rsid w:val="00122AD9"/>
    <w:rsid w:val="00124993"/>
    <w:rsid w:val="0012588F"/>
    <w:rsid w:val="0013081C"/>
    <w:rsid w:val="001319E1"/>
    <w:rsid w:val="00132748"/>
    <w:rsid w:val="0013383E"/>
    <w:rsid w:val="0013496D"/>
    <w:rsid w:val="00134DB7"/>
    <w:rsid w:val="001361F6"/>
    <w:rsid w:val="0013736B"/>
    <w:rsid w:val="001373B8"/>
    <w:rsid w:val="00140D32"/>
    <w:rsid w:val="00143721"/>
    <w:rsid w:val="0014472E"/>
    <w:rsid w:val="00144F69"/>
    <w:rsid w:val="00145459"/>
    <w:rsid w:val="00145914"/>
    <w:rsid w:val="00145C7E"/>
    <w:rsid w:val="001471E3"/>
    <w:rsid w:val="00154C46"/>
    <w:rsid w:val="001573C1"/>
    <w:rsid w:val="001574FE"/>
    <w:rsid w:val="00160724"/>
    <w:rsid w:val="00164051"/>
    <w:rsid w:val="00165657"/>
    <w:rsid w:val="001730E0"/>
    <w:rsid w:val="001732CE"/>
    <w:rsid w:val="001761EC"/>
    <w:rsid w:val="001817CB"/>
    <w:rsid w:val="0018235D"/>
    <w:rsid w:val="0018301A"/>
    <w:rsid w:val="00183677"/>
    <w:rsid w:val="00184BB9"/>
    <w:rsid w:val="0018545A"/>
    <w:rsid w:val="001863CD"/>
    <w:rsid w:val="00191971"/>
    <w:rsid w:val="00192B0D"/>
    <w:rsid w:val="00195426"/>
    <w:rsid w:val="00196EA0"/>
    <w:rsid w:val="001A16E9"/>
    <w:rsid w:val="001A3032"/>
    <w:rsid w:val="001A3C3C"/>
    <w:rsid w:val="001A6B22"/>
    <w:rsid w:val="001A7D9D"/>
    <w:rsid w:val="001B0942"/>
    <w:rsid w:val="001B2456"/>
    <w:rsid w:val="001B2C26"/>
    <w:rsid w:val="001B4A0D"/>
    <w:rsid w:val="001B4CBB"/>
    <w:rsid w:val="001B7A21"/>
    <w:rsid w:val="001C159B"/>
    <w:rsid w:val="001C40CB"/>
    <w:rsid w:val="001C50DF"/>
    <w:rsid w:val="001C6829"/>
    <w:rsid w:val="001D097E"/>
    <w:rsid w:val="001D1864"/>
    <w:rsid w:val="001D1B5B"/>
    <w:rsid w:val="001D7C27"/>
    <w:rsid w:val="001D7CC6"/>
    <w:rsid w:val="001F08F0"/>
    <w:rsid w:val="001F37E5"/>
    <w:rsid w:val="001F47B9"/>
    <w:rsid w:val="001F553B"/>
    <w:rsid w:val="001F66D0"/>
    <w:rsid w:val="002000F5"/>
    <w:rsid w:val="0020289C"/>
    <w:rsid w:val="002040AE"/>
    <w:rsid w:val="00205FBC"/>
    <w:rsid w:val="0021347D"/>
    <w:rsid w:val="00213E0B"/>
    <w:rsid w:val="00214E02"/>
    <w:rsid w:val="00216236"/>
    <w:rsid w:val="00217DA2"/>
    <w:rsid w:val="0022050C"/>
    <w:rsid w:val="00220F85"/>
    <w:rsid w:val="0022174E"/>
    <w:rsid w:val="0022339A"/>
    <w:rsid w:val="00224077"/>
    <w:rsid w:val="00226A27"/>
    <w:rsid w:val="0022720A"/>
    <w:rsid w:val="00231028"/>
    <w:rsid w:val="00231C00"/>
    <w:rsid w:val="00232A07"/>
    <w:rsid w:val="00232A67"/>
    <w:rsid w:val="002340F1"/>
    <w:rsid w:val="0024088B"/>
    <w:rsid w:val="00243297"/>
    <w:rsid w:val="00247445"/>
    <w:rsid w:val="00250BAF"/>
    <w:rsid w:val="0025250A"/>
    <w:rsid w:val="00252656"/>
    <w:rsid w:val="00253C72"/>
    <w:rsid w:val="002542A4"/>
    <w:rsid w:val="00255379"/>
    <w:rsid w:val="00256B1F"/>
    <w:rsid w:val="00256E1A"/>
    <w:rsid w:val="00256E5C"/>
    <w:rsid w:val="00257C58"/>
    <w:rsid w:val="002622FA"/>
    <w:rsid w:val="002630F3"/>
    <w:rsid w:val="00263FAB"/>
    <w:rsid w:val="00270268"/>
    <w:rsid w:val="00270A78"/>
    <w:rsid w:val="00282279"/>
    <w:rsid w:val="00282B7E"/>
    <w:rsid w:val="00285996"/>
    <w:rsid w:val="00287DEB"/>
    <w:rsid w:val="00290747"/>
    <w:rsid w:val="0029158B"/>
    <w:rsid w:val="00292129"/>
    <w:rsid w:val="00293210"/>
    <w:rsid w:val="00294691"/>
    <w:rsid w:val="00295102"/>
    <w:rsid w:val="002A0849"/>
    <w:rsid w:val="002A4847"/>
    <w:rsid w:val="002A7047"/>
    <w:rsid w:val="002B0792"/>
    <w:rsid w:val="002B4EE8"/>
    <w:rsid w:val="002B7AB9"/>
    <w:rsid w:val="002C54C8"/>
    <w:rsid w:val="002C702C"/>
    <w:rsid w:val="002D0857"/>
    <w:rsid w:val="002D1E6D"/>
    <w:rsid w:val="002D2732"/>
    <w:rsid w:val="002D373F"/>
    <w:rsid w:val="002D45C2"/>
    <w:rsid w:val="002D4E24"/>
    <w:rsid w:val="002E06BF"/>
    <w:rsid w:val="002E489A"/>
    <w:rsid w:val="002E6579"/>
    <w:rsid w:val="002E6AAF"/>
    <w:rsid w:val="002F03E1"/>
    <w:rsid w:val="002F0C16"/>
    <w:rsid w:val="002F20CF"/>
    <w:rsid w:val="002F2AEC"/>
    <w:rsid w:val="002F31F6"/>
    <w:rsid w:val="002F4E15"/>
    <w:rsid w:val="002F5FE0"/>
    <w:rsid w:val="002F71D0"/>
    <w:rsid w:val="003003B4"/>
    <w:rsid w:val="00300ADA"/>
    <w:rsid w:val="00301EA0"/>
    <w:rsid w:val="00304205"/>
    <w:rsid w:val="0030619B"/>
    <w:rsid w:val="00307E34"/>
    <w:rsid w:val="00310912"/>
    <w:rsid w:val="00314D36"/>
    <w:rsid w:val="00315158"/>
    <w:rsid w:val="003153D7"/>
    <w:rsid w:val="00315BB4"/>
    <w:rsid w:val="00316271"/>
    <w:rsid w:val="00321A54"/>
    <w:rsid w:val="0032275C"/>
    <w:rsid w:val="00323B59"/>
    <w:rsid w:val="0032400A"/>
    <w:rsid w:val="00324C80"/>
    <w:rsid w:val="00325D77"/>
    <w:rsid w:val="00334E70"/>
    <w:rsid w:val="00335CFB"/>
    <w:rsid w:val="0034264B"/>
    <w:rsid w:val="00344F19"/>
    <w:rsid w:val="003452FF"/>
    <w:rsid w:val="00345791"/>
    <w:rsid w:val="003462E0"/>
    <w:rsid w:val="00350909"/>
    <w:rsid w:val="00351592"/>
    <w:rsid w:val="00354E9B"/>
    <w:rsid w:val="00356DEF"/>
    <w:rsid w:val="00357420"/>
    <w:rsid w:val="0036008A"/>
    <w:rsid w:val="003604CA"/>
    <w:rsid w:val="00361219"/>
    <w:rsid w:val="00362FDB"/>
    <w:rsid w:val="00363CB8"/>
    <w:rsid w:val="00365ED6"/>
    <w:rsid w:val="00366557"/>
    <w:rsid w:val="00366DE8"/>
    <w:rsid w:val="0036716A"/>
    <w:rsid w:val="00370A94"/>
    <w:rsid w:val="0037102E"/>
    <w:rsid w:val="003716EB"/>
    <w:rsid w:val="00372413"/>
    <w:rsid w:val="00375445"/>
    <w:rsid w:val="0037566D"/>
    <w:rsid w:val="00375747"/>
    <w:rsid w:val="00381AFE"/>
    <w:rsid w:val="00383918"/>
    <w:rsid w:val="003858B9"/>
    <w:rsid w:val="00385C54"/>
    <w:rsid w:val="00392165"/>
    <w:rsid w:val="00393FCE"/>
    <w:rsid w:val="0039480B"/>
    <w:rsid w:val="00394B80"/>
    <w:rsid w:val="00395C88"/>
    <w:rsid w:val="003966CB"/>
    <w:rsid w:val="00397A12"/>
    <w:rsid w:val="003A530F"/>
    <w:rsid w:val="003A54D1"/>
    <w:rsid w:val="003B03BF"/>
    <w:rsid w:val="003B1FCB"/>
    <w:rsid w:val="003B2E32"/>
    <w:rsid w:val="003B3E97"/>
    <w:rsid w:val="003B6220"/>
    <w:rsid w:val="003B68F3"/>
    <w:rsid w:val="003B6D98"/>
    <w:rsid w:val="003C2230"/>
    <w:rsid w:val="003C2927"/>
    <w:rsid w:val="003C49AD"/>
    <w:rsid w:val="003C52D0"/>
    <w:rsid w:val="003C5EFC"/>
    <w:rsid w:val="003C720D"/>
    <w:rsid w:val="003D0154"/>
    <w:rsid w:val="003D2B5D"/>
    <w:rsid w:val="003D34D3"/>
    <w:rsid w:val="003D3815"/>
    <w:rsid w:val="003D5F5E"/>
    <w:rsid w:val="003D70B9"/>
    <w:rsid w:val="003E3157"/>
    <w:rsid w:val="003E4070"/>
    <w:rsid w:val="003E4897"/>
    <w:rsid w:val="003E6252"/>
    <w:rsid w:val="003F073B"/>
    <w:rsid w:val="003F0F03"/>
    <w:rsid w:val="003F1E6B"/>
    <w:rsid w:val="003F2565"/>
    <w:rsid w:val="003F3465"/>
    <w:rsid w:val="003F7B76"/>
    <w:rsid w:val="003F7C62"/>
    <w:rsid w:val="0040079D"/>
    <w:rsid w:val="00400F2D"/>
    <w:rsid w:val="00403D20"/>
    <w:rsid w:val="00407E47"/>
    <w:rsid w:val="0041485E"/>
    <w:rsid w:val="00415BD9"/>
    <w:rsid w:val="00417FE6"/>
    <w:rsid w:val="00421BD4"/>
    <w:rsid w:val="00422159"/>
    <w:rsid w:val="0042501A"/>
    <w:rsid w:val="00432FE3"/>
    <w:rsid w:val="00440D8C"/>
    <w:rsid w:val="004411C9"/>
    <w:rsid w:val="0044181A"/>
    <w:rsid w:val="004419F0"/>
    <w:rsid w:val="004429BE"/>
    <w:rsid w:val="004439D7"/>
    <w:rsid w:val="0044489E"/>
    <w:rsid w:val="0044571B"/>
    <w:rsid w:val="00446D7B"/>
    <w:rsid w:val="004473C4"/>
    <w:rsid w:val="004510C5"/>
    <w:rsid w:val="0045203A"/>
    <w:rsid w:val="00454DC2"/>
    <w:rsid w:val="00456C79"/>
    <w:rsid w:val="00457B52"/>
    <w:rsid w:val="00457F0B"/>
    <w:rsid w:val="00463A29"/>
    <w:rsid w:val="0046442B"/>
    <w:rsid w:val="004665EF"/>
    <w:rsid w:val="00466A51"/>
    <w:rsid w:val="00466B61"/>
    <w:rsid w:val="00466B91"/>
    <w:rsid w:val="0047050C"/>
    <w:rsid w:val="004723E6"/>
    <w:rsid w:val="00472413"/>
    <w:rsid w:val="00474066"/>
    <w:rsid w:val="00474708"/>
    <w:rsid w:val="00474A7B"/>
    <w:rsid w:val="004755C8"/>
    <w:rsid w:val="004768E0"/>
    <w:rsid w:val="0047735D"/>
    <w:rsid w:val="00477BAD"/>
    <w:rsid w:val="004842CB"/>
    <w:rsid w:val="00486402"/>
    <w:rsid w:val="00486E94"/>
    <w:rsid w:val="0049233D"/>
    <w:rsid w:val="00494612"/>
    <w:rsid w:val="004959F3"/>
    <w:rsid w:val="0049655F"/>
    <w:rsid w:val="00496611"/>
    <w:rsid w:val="00496A07"/>
    <w:rsid w:val="00497DA4"/>
    <w:rsid w:val="004A02E4"/>
    <w:rsid w:val="004A351B"/>
    <w:rsid w:val="004A3949"/>
    <w:rsid w:val="004B05FD"/>
    <w:rsid w:val="004B0727"/>
    <w:rsid w:val="004B25AE"/>
    <w:rsid w:val="004B34A2"/>
    <w:rsid w:val="004C0671"/>
    <w:rsid w:val="004C085F"/>
    <w:rsid w:val="004C0D17"/>
    <w:rsid w:val="004C30B1"/>
    <w:rsid w:val="004C35A2"/>
    <w:rsid w:val="004C3C5F"/>
    <w:rsid w:val="004C4321"/>
    <w:rsid w:val="004C511C"/>
    <w:rsid w:val="004C5212"/>
    <w:rsid w:val="004C6064"/>
    <w:rsid w:val="004C63CF"/>
    <w:rsid w:val="004C671C"/>
    <w:rsid w:val="004C7677"/>
    <w:rsid w:val="004C76EE"/>
    <w:rsid w:val="004D1F75"/>
    <w:rsid w:val="004D4437"/>
    <w:rsid w:val="004D5D6E"/>
    <w:rsid w:val="004D5D81"/>
    <w:rsid w:val="004D7482"/>
    <w:rsid w:val="004E0ACE"/>
    <w:rsid w:val="004E2068"/>
    <w:rsid w:val="004E23AE"/>
    <w:rsid w:val="004E2E17"/>
    <w:rsid w:val="004E3B28"/>
    <w:rsid w:val="004E3F99"/>
    <w:rsid w:val="004E6B71"/>
    <w:rsid w:val="004E7FC7"/>
    <w:rsid w:val="004F1835"/>
    <w:rsid w:val="004F243C"/>
    <w:rsid w:val="004F345B"/>
    <w:rsid w:val="004F3F90"/>
    <w:rsid w:val="004F6687"/>
    <w:rsid w:val="00503EBF"/>
    <w:rsid w:val="005069E0"/>
    <w:rsid w:val="00507A4B"/>
    <w:rsid w:val="00507FDE"/>
    <w:rsid w:val="00510590"/>
    <w:rsid w:val="00510EB5"/>
    <w:rsid w:val="005139BD"/>
    <w:rsid w:val="00514BB7"/>
    <w:rsid w:val="00515085"/>
    <w:rsid w:val="00515926"/>
    <w:rsid w:val="00517292"/>
    <w:rsid w:val="00521BE3"/>
    <w:rsid w:val="005226CE"/>
    <w:rsid w:val="005236E9"/>
    <w:rsid w:val="0052468D"/>
    <w:rsid w:val="005261F4"/>
    <w:rsid w:val="0053238B"/>
    <w:rsid w:val="00532E4D"/>
    <w:rsid w:val="00533883"/>
    <w:rsid w:val="00534E0D"/>
    <w:rsid w:val="0054023C"/>
    <w:rsid w:val="00540FF6"/>
    <w:rsid w:val="005444DC"/>
    <w:rsid w:val="00546A4D"/>
    <w:rsid w:val="005475A8"/>
    <w:rsid w:val="00547AB7"/>
    <w:rsid w:val="0055338A"/>
    <w:rsid w:val="0055364A"/>
    <w:rsid w:val="0055664C"/>
    <w:rsid w:val="00560859"/>
    <w:rsid w:val="00560A13"/>
    <w:rsid w:val="00560A60"/>
    <w:rsid w:val="005621EA"/>
    <w:rsid w:val="00563DD7"/>
    <w:rsid w:val="00563F2E"/>
    <w:rsid w:val="00564F4D"/>
    <w:rsid w:val="00572769"/>
    <w:rsid w:val="00572B1D"/>
    <w:rsid w:val="00572B2B"/>
    <w:rsid w:val="00572B2E"/>
    <w:rsid w:val="00573F42"/>
    <w:rsid w:val="005774E4"/>
    <w:rsid w:val="00580665"/>
    <w:rsid w:val="0058105B"/>
    <w:rsid w:val="005827A0"/>
    <w:rsid w:val="0058376C"/>
    <w:rsid w:val="00584F42"/>
    <w:rsid w:val="00591B0C"/>
    <w:rsid w:val="005959E6"/>
    <w:rsid w:val="005A0FCA"/>
    <w:rsid w:val="005A18DB"/>
    <w:rsid w:val="005A29CD"/>
    <w:rsid w:val="005A6BD8"/>
    <w:rsid w:val="005A6D79"/>
    <w:rsid w:val="005B2A8C"/>
    <w:rsid w:val="005B340A"/>
    <w:rsid w:val="005B5D5A"/>
    <w:rsid w:val="005B5EDF"/>
    <w:rsid w:val="005B61EA"/>
    <w:rsid w:val="005C0391"/>
    <w:rsid w:val="005C1D9B"/>
    <w:rsid w:val="005C20D1"/>
    <w:rsid w:val="005C2347"/>
    <w:rsid w:val="005C5C85"/>
    <w:rsid w:val="005C700B"/>
    <w:rsid w:val="005D2855"/>
    <w:rsid w:val="005D2E96"/>
    <w:rsid w:val="005D6724"/>
    <w:rsid w:val="005E0569"/>
    <w:rsid w:val="005E1D3B"/>
    <w:rsid w:val="005E1EFB"/>
    <w:rsid w:val="005E393D"/>
    <w:rsid w:val="005E458B"/>
    <w:rsid w:val="005E74CB"/>
    <w:rsid w:val="005F0A2F"/>
    <w:rsid w:val="005F1FBF"/>
    <w:rsid w:val="005F4103"/>
    <w:rsid w:val="005F70E0"/>
    <w:rsid w:val="00601AA4"/>
    <w:rsid w:val="00602F8B"/>
    <w:rsid w:val="0060528A"/>
    <w:rsid w:val="00605FC9"/>
    <w:rsid w:val="00611C96"/>
    <w:rsid w:val="0061562C"/>
    <w:rsid w:val="00615809"/>
    <w:rsid w:val="006209F8"/>
    <w:rsid w:val="00620B2B"/>
    <w:rsid w:val="00623136"/>
    <w:rsid w:val="006247FC"/>
    <w:rsid w:val="0062611F"/>
    <w:rsid w:val="006267FC"/>
    <w:rsid w:val="0062730E"/>
    <w:rsid w:val="00632FB5"/>
    <w:rsid w:val="00633B3E"/>
    <w:rsid w:val="00634D5D"/>
    <w:rsid w:val="00635108"/>
    <w:rsid w:val="00641E10"/>
    <w:rsid w:val="006429E6"/>
    <w:rsid w:val="006468C0"/>
    <w:rsid w:val="006475B8"/>
    <w:rsid w:val="006475F7"/>
    <w:rsid w:val="0065175B"/>
    <w:rsid w:val="006519CE"/>
    <w:rsid w:val="0065367B"/>
    <w:rsid w:val="00653FA2"/>
    <w:rsid w:val="0065581E"/>
    <w:rsid w:val="006609FE"/>
    <w:rsid w:val="00661BC7"/>
    <w:rsid w:val="00663B5F"/>
    <w:rsid w:val="0066452F"/>
    <w:rsid w:val="00665380"/>
    <w:rsid w:val="00665E4C"/>
    <w:rsid w:val="006662B2"/>
    <w:rsid w:val="00666CFA"/>
    <w:rsid w:val="00670233"/>
    <w:rsid w:val="00670F24"/>
    <w:rsid w:val="006717A0"/>
    <w:rsid w:val="0067201D"/>
    <w:rsid w:val="0068138C"/>
    <w:rsid w:val="006854FE"/>
    <w:rsid w:val="00692479"/>
    <w:rsid w:val="00693C5D"/>
    <w:rsid w:val="006977B4"/>
    <w:rsid w:val="00697C78"/>
    <w:rsid w:val="006A0B4C"/>
    <w:rsid w:val="006A2431"/>
    <w:rsid w:val="006A2BC9"/>
    <w:rsid w:val="006A35FB"/>
    <w:rsid w:val="006A3C3F"/>
    <w:rsid w:val="006A6C89"/>
    <w:rsid w:val="006A7E2F"/>
    <w:rsid w:val="006B135D"/>
    <w:rsid w:val="006B20EF"/>
    <w:rsid w:val="006B652B"/>
    <w:rsid w:val="006B65CC"/>
    <w:rsid w:val="006B6E13"/>
    <w:rsid w:val="006C5D4D"/>
    <w:rsid w:val="006D20EE"/>
    <w:rsid w:val="006D270A"/>
    <w:rsid w:val="006D3C03"/>
    <w:rsid w:val="006D3F78"/>
    <w:rsid w:val="006D7BF8"/>
    <w:rsid w:val="006D7E3E"/>
    <w:rsid w:val="006E0920"/>
    <w:rsid w:val="006E42DA"/>
    <w:rsid w:val="006E4C6E"/>
    <w:rsid w:val="006E4E73"/>
    <w:rsid w:val="006E6917"/>
    <w:rsid w:val="006E6D55"/>
    <w:rsid w:val="006E7146"/>
    <w:rsid w:val="006E7D34"/>
    <w:rsid w:val="006F129B"/>
    <w:rsid w:val="006F5378"/>
    <w:rsid w:val="006F789B"/>
    <w:rsid w:val="007018FC"/>
    <w:rsid w:val="007029F9"/>
    <w:rsid w:val="00702BFA"/>
    <w:rsid w:val="00706D7E"/>
    <w:rsid w:val="0070771A"/>
    <w:rsid w:val="00710A8A"/>
    <w:rsid w:val="007117D4"/>
    <w:rsid w:val="00711DD2"/>
    <w:rsid w:val="00713C96"/>
    <w:rsid w:val="007165E7"/>
    <w:rsid w:val="00716893"/>
    <w:rsid w:val="007211A9"/>
    <w:rsid w:val="007211B8"/>
    <w:rsid w:val="007216E5"/>
    <w:rsid w:val="00721EE5"/>
    <w:rsid w:val="007237F6"/>
    <w:rsid w:val="007246AD"/>
    <w:rsid w:val="00725DC6"/>
    <w:rsid w:val="007270C4"/>
    <w:rsid w:val="00727BE6"/>
    <w:rsid w:val="00730027"/>
    <w:rsid w:val="00731C1C"/>
    <w:rsid w:val="00732351"/>
    <w:rsid w:val="007346AE"/>
    <w:rsid w:val="00734F0D"/>
    <w:rsid w:val="0073548E"/>
    <w:rsid w:val="00735969"/>
    <w:rsid w:val="00736162"/>
    <w:rsid w:val="00740839"/>
    <w:rsid w:val="007411B5"/>
    <w:rsid w:val="00742610"/>
    <w:rsid w:val="00742BA4"/>
    <w:rsid w:val="00745758"/>
    <w:rsid w:val="007475C6"/>
    <w:rsid w:val="007511B1"/>
    <w:rsid w:val="00751CE2"/>
    <w:rsid w:val="007521CF"/>
    <w:rsid w:val="00754F7A"/>
    <w:rsid w:val="007605F6"/>
    <w:rsid w:val="00763AD5"/>
    <w:rsid w:val="0076666C"/>
    <w:rsid w:val="007668FB"/>
    <w:rsid w:val="00770A8F"/>
    <w:rsid w:val="00772EFA"/>
    <w:rsid w:val="00773921"/>
    <w:rsid w:val="007747BA"/>
    <w:rsid w:val="00775F29"/>
    <w:rsid w:val="00775F37"/>
    <w:rsid w:val="00776B56"/>
    <w:rsid w:val="00780D27"/>
    <w:rsid w:val="0078310B"/>
    <w:rsid w:val="00786DDD"/>
    <w:rsid w:val="00791442"/>
    <w:rsid w:val="00793551"/>
    <w:rsid w:val="00794EB1"/>
    <w:rsid w:val="007965A9"/>
    <w:rsid w:val="00797869"/>
    <w:rsid w:val="007978B8"/>
    <w:rsid w:val="007A0B2D"/>
    <w:rsid w:val="007A2BF9"/>
    <w:rsid w:val="007A3A32"/>
    <w:rsid w:val="007A3AF5"/>
    <w:rsid w:val="007B0374"/>
    <w:rsid w:val="007B21A0"/>
    <w:rsid w:val="007B3780"/>
    <w:rsid w:val="007B514A"/>
    <w:rsid w:val="007B53F5"/>
    <w:rsid w:val="007B6B33"/>
    <w:rsid w:val="007C0371"/>
    <w:rsid w:val="007C1BA1"/>
    <w:rsid w:val="007C1D00"/>
    <w:rsid w:val="007C4955"/>
    <w:rsid w:val="007C4B73"/>
    <w:rsid w:val="007C5313"/>
    <w:rsid w:val="007C7A5B"/>
    <w:rsid w:val="007D02C4"/>
    <w:rsid w:val="007D1A3B"/>
    <w:rsid w:val="007D744C"/>
    <w:rsid w:val="007E07BB"/>
    <w:rsid w:val="007E1221"/>
    <w:rsid w:val="007E18F4"/>
    <w:rsid w:val="007E1B85"/>
    <w:rsid w:val="007E31A6"/>
    <w:rsid w:val="007E69F0"/>
    <w:rsid w:val="007E74A7"/>
    <w:rsid w:val="007F1589"/>
    <w:rsid w:val="007F1D09"/>
    <w:rsid w:val="007F1D6C"/>
    <w:rsid w:val="007F2230"/>
    <w:rsid w:val="007F54F4"/>
    <w:rsid w:val="007F5DC3"/>
    <w:rsid w:val="007F72F5"/>
    <w:rsid w:val="007F7D30"/>
    <w:rsid w:val="008006A9"/>
    <w:rsid w:val="00801006"/>
    <w:rsid w:val="00803C56"/>
    <w:rsid w:val="008048F6"/>
    <w:rsid w:val="00805B2E"/>
    <w:rsid w:val="0080603D"/>
    <w:rsid w:val="00807DFA"/>
    <w:rsid w:val="00810AD5"/>
    <w:rsid w:val="00812D93"/>
    <w:rsid w:val="008130A3"/>
    <w:rsid w:val="00814731"/>
    <w:rsid w:val="00815B97"/>
    <w:rsid w:val="00820425"/>
    <w:rsid w:val="008226C8"/>
    <w:rsid w:val="00823052"/>
    <w:rsid w:val="008244C0"/>
    <w:rsid w:val="008261B8"/>
    <w:rsid w:val="0082720C"/>
    <w:rsid w:val="0083089A"/>
    <w:rsid w:val="0083252B"/>
    <w:rsid w:val="00837C6F"/>
    <w:rsid w:val="00837E37"/>
    <w:rsid w:val="00840E87"/>
    <w:rsid w:val="00841A76"/>
    <w:rsid w:val="00841C39"/>
    <w:rsid w:val="00843E71"/>
    <w:rsid w:val="008462EA"/>
    <w:rsid w:val="00850474"/>
    <w:rsid w:val="008519AF"/>
    <w:rsid w:val="00852BC1"/>
    <w:rsid w:val="00853131"/>
    <w:rsid w:val="00854362"/>
    <w:rsid w:val="0085703A"/>
    <w:rsid w:val="00857611"/>
    <w:rsid w:val="00862A89"/>
    <w:rsid w:val="00863204"/>
    <w:rsid w:val="00863298"/>
    <w:rsid w:val="00863A5A"/>
    <w:rsid w:val="00865404"/>
    <w:rsid w:val="008678FD"/>
    <w:rsid w:val="00871694"/>
    <w:rsid w:val="008718F9"/>
    <w:rsid w:val="00875C08"/>
    <w:rsid w:val="00880586"/>
    <w:rsid w:val="0088274F"/>
    <w:rsid w:val="00886E1A"/>
    <w:rsid w:val="008916AC"/>
    <w:rsid w:val="0089275C"/>
    <w:rsid w:val="008A1A13"/>
    <w:rsid w:val="008A3490"/>
    <w:rsid w:val="008A5A77"/>
    <w:rsid w:val="008A6428"/>
    <w:rsid w:val="008A757F"/>
    <w:rsid w:val="008B07C1"/>
    <w:rsid w:val="008B1AFE"/>
    <w:rsid w:val="008B3E1A"/>
    <w:rsid w:val="008C2CA0"/>
    <w:rsid w:val="008C64A8"/>
    <w:rsid w:val="008D0570"/>
    <w:rsid w:val="008D27B5"/>
    <w:rsid w:val="008D2FF4"/>
    <w:rsid w:val="008D3361"/>
    <w:rsid w:val="008D404B"/>
    <w:rsid w:val="008E0A3A"/>
    <w:rsid w:val="008E2D2E"/>
    <w:rsid w:val="008E311C"/>
    <w:rsid w:val="008E4E3D"/>
    <w:rsid w:val="008E78C9"/>
    <w:rsid w:val="008E7A1C"/>
    <w:rsid w:val="008F0811"/>
    <w:rsid w:val="008F1E8E"/>
    <w:rsid w:val="008F26B4"/>
    <w:rsid w:val="008F2DFF"/>
    <w:rsid w:val="008F3197"/>
    <w:rsid w:val="008F379A"/>
    <w:rsid w:val="008F6D70"/>
    <w:rsid w:val="008F7553"/>
    <w:rsid w:val="00904AA4"/>
    <w:rsid w:val="00907008"/>
    <w:rsid w:val="0090744A"/>
    <w:rsid w:val="0090774E"/>
    <w:rsid w:val="0091080F"/>
    <w:rsid w:val="00912AB0"/>
    <w:rsid w:val="00913BDD"/>
    <w:rsid w:val="0091483F"/>
    <w:rsid w:val="00916ED7"/>
    <w:rsid w:val="0091704F"/>
    <w:rsid w:val="00920C6D"/>
    <w:rsid w:val="00921602"/>
    <w:rsid w:val="0092632C"/>
    <w:rsid w:val="00927825"/>
    <w:rsid w:val="00927D8F"/>
    <w:rsid w:val="009300BB"/>
    <w:rsid w:val="00930600"/>
    <w:rsid w:val="00931C9C"/>
    <w:rsid w:val="00932264"/>
    <w:rsid w:val="00935075"/>
    <w:rsid w:val="00937C07"/>
    <w:rsid w:val="00937C4B"/>
    <w:rsid w:val="00937F1A"/>
    <w:rsid w:val="009407BD"/>
    <w:rsid w:val="00943A2E"/>
    <w:rsid w:val="0094411A"/>
    <w:rsid w:val="0094782F"/>
    <w:rsid w:val="00951D09"/>
    <w:rsid w:val="009538ED"/>
    <w:rsid w:val="00955871"/>
    <w:rsid w:val="00957267"/>
    <w:rsid w:val="0096138D"/>
    <w:rsid w:val="009621CA"/>
    <w:rsid w:val="009721F0"/>
    <w:rsid w:val="0097366B"/>
    <w:rsid w:val="00980373"/>
    <w:rsid w:val="009824A0"/>
    <w:rsid w:val="009836DC"/>
    <w:rsid w:val="009838E9"/>
    <w:rsid w:val="00983947"/>
    <w:rsid w:val="00984ABD"/>
    <w:rsid w:val="00985BA4"/>
    <w:rsid w:val="009861A8"/>
    <w:rsid w:val="00986E33"/>
    <w:rsid w:val="009875AF"/>
    <w:rsid w:val="00987728"/>
    <w:rsid w:val="00987F4D"/>
    <w:rsid w:val="00991F89"/>
    <w:rsid w:val="0099341C"/>
    <w:rsid w:val="00993DE1"/>
    <w:rsid w:val="00993F80"/>
    <w:rsid w:val="009947D9"/>
    <w:rsid w:val="009953C5"/>
    <w:rsid w:val="009967F3"/>
    <w:rsid w:val="009A0AA4"/>
    <w:rsid w:val="009A37C6"/>
    <w:rsid w:val="009A4EAD"/>
    <w:rsid w:val="009A549E"/>
    <w:rsid w:val="009A5B17"/>
    <w:rsid w:val="009A5F09"/>
    <w:rsid w:val="009B1F92"/>
    <w:rsid w:val="009B22C1"/>
    <w:rsid w:val="009B2770"/>
    <w:rsid w:val="009B5972"/>
    <w:rsid w:val="009B6724"/>
    <w:rsid w:val="009C0663"/>
    <w:rsid w:val="009C0D93"/>
    <w:rsid w:val="009C1DDE"/>
    <w:rsid w:val="009C2031"/>
    <w:rsid w:val="009C23B6"/>
    <w:rsid w:val="009C5A8F"/>
    <w:rsid w:val="009C60F1"/>
    <w:rsid w:val="009D02E3"/>
    <w:rsid w:val="009D40F7"/>
    <w:rsid w:val="009D6C0E"/>
    <w:rsid w:val="009E359E"/>
    <w:rsid w:val="009E3900"/>
    <w:rsid w:val="009E5539"/>
    <w:rsid w:val="009E66FA"/>
    <w:rsid w:val="009E6E8D"/>
    <w:rsid w:val="009F0252"/>
    <w:rsid w:val="009F391C"/>
    <w:rsid w:val="009F4023"/>
    <w:rsid w:val="009F4325"/>
    <w:rsid w:val="009F517B"/>
    <w:rsid w:val="009F6BDF"/>
    <w:rsid w:val="00A00AF7"/>
    <w:rsid w:val="00A02FD2"/>
    <w:rsid w:val="00A030FF"/>
    <w:rsid w:val="00A03E24"/>
    <w:rsid w:val="00A044A3"/>
    <w:rsid w:val="00A0523A"/>
    <w:rsid w:val="00A05A71"/>
    <w:rsid w:val="00A06A06"/>
    <w:rsid w:val="00A0768B"/>
    <w:rsid w:val="00A105DC"/>
    <w:rsid w:val="00A11318"/>
    <w:rsid w:val="00A119FB"/>
    <w:rsid w:val="00A166B4"/>
    <w:rsid w:val="00A1731F"/>
    <w:rsid w:val="00A20967"/>
    <w:rsid w:val="00A212D8"/>
    <w:rsid w:val="00A2250B"/>
    <w:rsid w:val="00A241D9"/>
    <w:rsid w:val="00A278D8"/>
    <w:rsid w:val="00A30376"/>
    <w:rsid w:val="00A315C3"/>
    <w:rsid w:val="00A356BA"/>
    <w:rsid w:val="00A36BB6"/>
    <w:rsid w:val="00A37ECC"/>
    <w:rsid w:val="00A44B48"/>
    <w:rsid w:val="00A45BC9"/>
    <w:rsid w:val="00A475F3"/>
    <w:rsid w:val="00A478DB"/>
    <w:rsid w:val="00A51CE3"/>
    <w:rsid w:val="00A53E0A"/>
    <w:rsid w:val="00A5530A"/>
    <w:rsid w:val="00A55871"/>
    <w:rsid w:val="00A56384"/>
    <w:rsid w:val="00A60C01"/>
    <w:rsid w:val="00A60E4B"/>
    <w:rsid w:val="00A60F47"/>
    <w:rsid w:val="00A610B5"/>
    <w:rsid w:val="00A63790"/>
    <w:rsid w:val="00A63F79"/>
    <w:rsid w:val="00A65C17"/>
    <w:rsid w:val="00A65F16"/>
    <w:rsid w:val="00A667E5"/>
    <w:rsid w:val="00A67CE4"/>
    <w:rsid w:val="00A723F4"/>
    <w:rsid w:val="00A731A5"/>
    <w:rsid w:val="00A74605"/>
    <w:rsid w:val="00A74F60"/>
    <w:rsid w:val="00A7567C"/>
    <w:rsid w:val="00A776D5"/>
    <w:rsid w:val="00A8041E"/>
    <w:rsid w:val="00A815D6"/>
    <w:rsid w:val="00A82414"/>
    <w:rsid w:val="00A82D12"/>
    <w:rsid w:val="00A85155"/>
    <w:rsid w:val="00A85BE5"/>
    <w:rsid w:val="00A865F0"/>
    <w:rsid w:val="00A8753B"/>
    <w:rsid w:val="00A87576"/>
    <w:rsid w:val="00A87622"/>
    <w:rsid w:val="00A912E8"/>
    <w:rsid w:val="00A92338"/>
    <w:rsid w:val="00A93F9A"/>
    <w:rsid w:val="00A943C6"/>
    <w:rsid w:val="00A94AE9"/>
    <w:rsid w:val="00A95F40"/>
    <w:rsid w:val="00A97398"/>
    <w:rsid w:val="00AA1B81"/>
    <w:rsid w:val="00AA32E8"/>
    <w:rsid w:val="00AA52DA"/>
    <w:rsid w:val="00AA5383"/>
    <w:rsid w:val="00AA5C3A"/>
    <w:rsid w:val="00AA6BAA"/>
    <w:rsid w:val="00AB0A3B"/>
    <w:rsid w:val="00AB48B6"/>
    <w:rsid w:val="00AB588C"/>
    <w:rsid w:val="00AB683F"/>
    <w:rsid w:val="00AB758F"/>
    <w:rsid w:val="00AC381F"/>
    <w:rsid w:val="00AC4E12"/>
    <w:rsid w:val="00AC759B"/>
    <w:rsid w:val="00AD185B"/>
    <w:rsid w:val="00AD2FBA"/>
    <w:rsid w:val="00AD3547"/>
    <w:rsid w:val="00AD4684"/>
    <w:rsid w:val="00AD5B39"/>
    <w:rsid w:val="00AE38EA"/>
    <w:rsid w:val="00AE53F4"/>
    <w:rsid w:val="00AE5E3C"/>
    <w:rsid w:val="00AE6BC6"/>
    <w:rsid w:val="00AF01F3"/>
    <w:rsid w:val="00AF1065"/>
    <w:rsid w:val="00AF24B7"/>
    <w:rsid w:val="00AF32E8"/>
    <w:rsid w:val="00AF4767"/>
    <w:rsid w:val="00AF5873"/>
    <w:rsid w:val="00AF58DF"/>
    <w:rsid w:val="00AF6FFD"/>
    <w:rsid w:val="00B0448A"/>
    <w:rsid w:val="00B04C54"/>
    <w:rsid w:val="00B05271"/>
    <w:rsid w:val="00B06EAC"/>
    <w:rsid w:val="00B07E07"/>
    <w:rsid w:val="00B07E68"/>
    <w:rsid w:val="00B12550"/>
    <w:rsid w:val="00B147EA"/>
    <w:rsid w:val="00B168C2"/>
    <w:rsid w:val="00B17B6D"/>
    <w:rsid w:val="00B20CCB"/>
    <w:rsid w:val="00B214DE"/>
    <w:rsid w:val="00B214E2"/>
    <w:rsid w:val="00B21E6B"/>
    <w:rsid w:val="00B21FED"/>
    <w:rsid w:val="00B2257F"/>
    <w:rsid w:val="00B236D2"/>
    <w:rsid w:val="00B23EED"/>
    <w:rsid w:val="00B33223"/>
    <w:rsid w:val="00B33DC7"/>
    <w:rsid w:val="00B365EE"/>
    <w:rsid w:val="00B369D2"/>
    <w:rsid w:val="00B4333C"/>
    <w:rsid w:val="00B44CA7"/>
    <w:rsid w:val="00B45FD2"/>
    <w:rsid w:val="00B46370"/>
    <w:rsid w:val="00B46594"/>
    <w:rsid w:val="00B475A8"/>
    <w:rsid w:val="00B47BEB"/>
    <w:rsid w:val="00B50360"/>
    <w:rsid w:val="00B54B30"/>
    <w:rsid w:val="00B54FFA"/>
    <w:rsid w:val="00B55170"/>
    <w:rsid w:val="00B56900"/>
    <w:rsid w:val="00B56B1C"/>
    <w:rsid w:val="00B623CB"/>
    <w:rsid w:val="00B655EB"/>
    <w:rsid w:val="00B66BE3"/>
    <w:rsid w:val="00B7065E"/>
    <w:rsid w:val="00B70CD4"/>
    <w:rsid w:val="00B7112D"/>
    <w:rsid w:val="00B71449"/>
    <w:rsid w:val="00B72191"/>
    <w:rsid w:val="00B72811"/>
    <w:rsid w:val="00B83D0E"/>
    <w:rsid w:val="00B84F8E"/>
    <w:rsid w:val="00B8703C"/>
    <w:rsid w:val="00B94BE2"/>
    <w:rsid w:val="00B97C53"/>
    <w:rsid w:val="00BA3FA9"/>
    <w:rsid w:val="00BA4BE3"/>
    <w:rsid w:val="00BA5040"/>
    <w:rsid w:val="00BA5CB0"/>
    <w:rsid w:val="00BA6171"/>
    <w:rsid w:val="00BA65EB"/>
    <w:rsid w:val="00BA6B01"/>
    <w:rsid w:val="00BA7911"/>
    <w:rsid w:val="00BB01BD"/>
    <w:rsid w:val="00BB38E4"/>
    <w:rsid w:val="00BB3FEF"/>
    <w:rsid w:val="00BB4405"/>
    <w:rsid w:val="00BB53C4"/>
    <w:rsid w:val="00BB75A7"/>
    <w:rsid w:val="00BB7F9F"/>
    <w:rsid w:val="00BC123E"/>
    <w:rsid w:val="00BC2432"/>
    <w:rsid w:val="00BC6237"/>
    <w:rsid w:val="00BC7AC0"/>
    <w:rsid w:val="00BD12A5"/>
    <w:rsid w:val="00BD1BDD"/>
    <w:rsid w:val="00BD2100"/>
    <w:rsid w:val="00BD246A"/>
    <w:rsid w:val="00BD325D"/>
    <w:rsid w:val="00BD4463"/>
    <w:rsid w:val="00BE0656"/>
    <w:rsid w:val="00BE122F"/>
    <w:rsid w:val="00BE1926"/>
    <w:rsid w:val="00BE2228"/>
    <w:rsid w:val="00BE79FF"/>
    <w:rsid w:val="00BF455D"/>
    <w:rsid w:val="00BF7725"/>
    <w:rsid w:val="00C019D3"/>
    <w:rsid w:val="00C0363D"/>
    <w:rsid w:val="00C04453"/>
    <w:rsid w:val="00C05347"/>
    <w:rsid w:val="00C05F8F"/>
    <w:rsid w:val="00C07098"/>
    <w:rsid w:val="00C10489"/>
    <w:rsid w:val="00C12430"/>
    <w:rsid w:val="00C136B6"/>
    <w:rsid w:val="00C13D41"/>
    <w:rsid w:val="00C14EAF"/>
    <w:rsid w:val="00C155F3"/>
    <w:rsid w:val="00C1655A"/>
    <w:rsid w:val="00C20270"/>
    <w:rsid w:val="00C20B63"/>
    <w:rsid w:val="00C23CE5"/>
    <w:rsid w:val="00C2635D"/>
    <w:rsid w:val="00C2799D"/>
    <w:rsid w:val="00C279D3"/>
    <w:rsid w:val="00C3189F"/>
    <w:rsid w:val="00C324E7"/>
    <w:rsid w:val="00C33318"/>
    <w:rsid w:val="00C33389"/>
    <w:rsid w:val="00C372F3"/>
    <w:rsid w:val="00C404C2"/>
    <w:rsid w:val="00C40DF5"/>
    <w:rsid w:val="00C4185F"/>
    <w:rsid w:val="00C45492"/>
    <w:rsid w:val="00C45EA9"/>
    <w:rsid w:val="00C476B1"/>
    <w:rsid w:val="00C47E64"/>
    <w:rsid w:val="00C50909"/>
    <w:rsid w:val="00C55D32"/>
    <w:rsid w:val="00C579D7"/>
    <w:rsid w:val="00C6038D"/>
    <w:rsid w:val="00C60C92"/>
    <w:rsid w:val="00C61315"/>
    <w:rsid w:val="00C62155"/>
    <w:rsid w:val="00C641E9"/>
    <w:rsid w:val="00C6747B"/>
    <w:rsid w:val="00C67B6F"/>
    <w:rsid w:val="00C71C6A"/>
    <w:rsid w:val="00C72FE9"/>
    <w:rsid w:val="00C7411A"/>
    <w:rsid w:val="00C7490B"/>
    <w:rsid w:val="00C756A3"/>
    <w:rsid w:val="00C75A20"/>
    <w:rsid w:val="00C75F65"/>
    <w:rsid w:val="00C76260"/>
    <w:rsid w:val="00C809C2"/>
    <w:rsid w:val="00C85DFE"/>
    <w:rsid w:val="00C86F90"/>
    <w:rsid w:val="00C87318"/>
    <w:rsid w:val="00C912B8"/>
    <w:rsid w:val="00C91D4B"/>
    <w:rsid w:val="00C9395F"/>
    <w:rsid w:val="00C93A96"/>
    <w:rsid w:val="00C95637"/>
    <w:rsid w:val="00CA05A5"/>
    <w:rsid w:val="00CA0925"/>
    <w:rsid w:val="00CA23F9"/>
    <w:rsid w:val="00CA4D05"/>
    <w:rsid w:val="00CA6467"/>
    <w:rsid w:val="00CA7758"/>
    <w:rsid w:val="00CA7B47"/>
    <w:rsid w:val="00CB18E9"/>
    <w:rsid w:val="00CB24BF"/>
    <w:rsid w:val="00CB61E1"/>
    <w:rsid w:val="00CB74AE"/>
    <w:rsid w:val="00CB74EA"/>
    <w:rsid w:val="00CC0646"/>
    <w:rsid w:val="00CC4E74"/>
    <w:rsid w:val="00CC6206"/>
    <w:rsid w:val="00CC77B0"/>
    <w:rsid w:val="00CC78E8"/>
    <w:rsid w:val="00CC7950"/>
    <w:rsid w:val="00CD3B86"/>
    <w:rsid w:val="00CE0B78"/>
    <w:rsid w:val="00CE149A"/>
    <w:rsid w:val="00CE1DA6"/>
    <w:rsid w:val="00CE20FE"/>
    <w:rsid w:val="00CE73DB"/>
    <w:rsid w:val="00CF1D2F"/>
    <w:rsid w:val="00CF3A9A"/>
    <w:rsid w:val="00CF40DB"/>
    <w:rsid w:val="00CF560F"/>
    <w:rsid w:val="00CF6215"/>
    <w:rsid w:val="00CF6F41"/>
    <w:rsid w:val="00D00AD8"/>
    <w:rsid w:val="00D03F3B"/>
    <w:rsid w:val="00D06109"/>
    <w:rsid w:val="00D11786"/>
    <w:rsid w:val="00D12D8B"/>
    <w:rsid w:val="00D150D6"/>
    <w:rsid w:val="00D156C9"/>
    <w:rsid w:val="00D15BA1"/>
    <w:rsid w:val="00D165ED"/>
    <w:rsid w:val="00D20624"/>
    <w:rsid w:val="00D21BDA"/>
    <w:rsid w:val="00D2235C"/>
    <w:rsid w:val="00D2556C"/>
    <w:rsid w:val="00D26DF4"/>
    <w:rsid w:val="00D26E0A"/>
    <w:rsid w:val="00D31A7B"/>
    <w:rsid w:val="00D31C7D"/>
    <w:rsid w:val="00D32D14"/>
    <w:rsid w:val="00D338C1"/>
    <w:rsid w:val="00D33EED"/>
    <w:rsid w:val="00D33F52"/>
    <w:rsid w:val="00D34183"/>
    <w:rsid w:val="00D35459"/>
    <w:rsid w:val="00D35CF4"/>
    <w:rsid w:val="00D370AB"/>
    <w:rsid w:val="00D408A0"/>
    <w:rsid w:val="00D410CC"/>
    <w:rsid w:val="00D4369C"/>
    <w:rsid w:val="00D46D29"/>
    <w:rsid w:val="00D47D31"/>
    <w:rsid w:val="00D51288"/>
    <w:rsid w:val="00D53C06"/>
    <w:rsid w:val="00D555B4"/>
    <w:rsid w:val="00D55677"/>
    <w:rsid w:val="00D6189D"/>
    <w:rsid w:val="00D63278"/>
    <w:rsid w:val="00D65619"/>
    <w:rsid w:val="00D65B7F"/>
    <w:rsid w:val="00D669D2"/>
    <w:rsid w:val="00D7281E"/>
    <w:rsid w:val="00D736B2"/>
    <w:rsid w:val="00D746ED"/>
    <w:rsid w:val="00D7516B"/>
    <w:rsid w:val="00D75626"/>
    <w:rsid w:val="00D762AB"/>
    <w:rsid w:val="00D80718"/>
    <w:rsid w:val="00D81DD3"/>
    <w:rsid w:val="00D81DFE"/>
    <w:rsid w:val="00D81ED5"/>
    <w:rsid w:val="00D82749"/>
    <w:rsid w:val="00D82995"/>
    <w:rsid w:val="00D85854"/>
    <w:rsid w:val="00D859BA"/>
    <w:rsid w:val="00D866EF"/>
    <w:rsid w:val="00D916E8"/>
    <w:rsid w:val="00D917A4"/>
    <w:rsid w:val="00D92300"/>
    <w:rsid w:val="00D92F15"/>
    <w:rsid w:val="00D93472"/>
    <w:rsid w:val="00D974E8"/>
    <w:rsid w:val="00D9783D"/>
    <w:rsid w:val="00D97A92"/>
    <w:rsid w:val="00DA210D"/>
    <w:rsid w:val="00DA29D0"/>
    <w:rsid w:val="00DA3E23"/>
    <w:rsid w:val="00DA56EA"/>
    <w:rsid w:val="00DA7FB9"/>
    <w:rsid w:val="00DB08DC"/>
    <w:rsid w:val="00DB2B92"/>
    <w:rsid w:val="00DB3A83"/>
    <w:rsid w:val="00DB4DB4"/>
    <w:rsid w:val="00DB5BAB"/>
    <w:rsid w:val="00DB6CEB"/>
    <w:rsid w:val="00DC4D48"/>
    <w:rsid w:val="00DC5C0F"/>
    <w:rsid w:val="00DC791B"/>
    <w:rsid w:val="00DD11CC"/>
    <w:rsid w:val="00DD5E48"/>
    <w:rsid w:val="00DD6690"/>
    <w:rsid w:val="00DD736E"/>
    <w:rsid w:val="00DD7C89"/>
    <w:rsid w:val="00DD7EE5"/>
    <w:rsid w:val="00DE1166"/>
    <w:rsid w:val="00DE1B4E"/>
    <w:rsid w:val="00DE1E73"/>
    <w:rsid w:val="00DE206F"/>
    <w:rsid w:val="00DF0AD9"/>
    <w:rsid w:val="00DF1C4B"/>
    <w:rsid w:val="00DF3909"/>
    <w:rsid w:val="00DF3FDB"/>
    <w:rsid w:val="00DF4008"/>
    <w:rsid w:val="00DF5492"/>
    <w:rsid w:val="00E0396D"/>
    <w:rsid w:val="00E04356"/>
    <w:rsid w:val="00E051F9"/>
    <w:rsid w:val="00E05E70"/>
    <w:rsid w:val="00E06292"/>
    <w:rsid w:val="00E06490"/>
    <w:rsid w:val="00E072A4"/>
    <w:rsid w:val="00E0734C"/>
    <w:rsid w:val="00E0751C"/>
    <w:rsid w:val="00E07645"/>
    <w:rsid w:val="00E118F8"/>
    <w:rsid w:val="00E11DA0"/>
    <w:rsid w:val="00E13095"/>
    <w:rsid w:val="00E13BAC"/>
    <w:rsid w:val="00E13EA9"/>
    <w:rsid w:val="00E160C4"/>
    <w:rsid w:val="00E20D83"/>
    <w:rsid w:val="00E20D9F"/>
    <w:rsid w:val="00E229B9"/>
    <w:rsid w:val="00E23032"/>
    <w:rsid w:val="00E24330"/>
    <w:rsid w:val="00E2636D"/>
    <w:rsid w:val="00E30531"/>
    <w:rsid w:val="00E30880"/>
    <w:rsid w:val="00E320FE"/>
    <w:rsid w:val="00E321F2"/>
    <w:rsid w:val="00E37F20"/>
    <w:rsid w:val="00E40166"/>
    <w:rsid w:val="00E47C7D"/>
    <w:rsid w:val="00E47C92"/>
    <w:rsid w:val="00E557C9"/>
    <w:rsid w:val="00E55BE5"/>
    <w:rsid w:val="00E5677B"/>
    <w:rsid w:val="00E56D9A"/>
    <w:rsid w:val="00E607DC"/>
    <w:rsid w:val="00E60DAA"/>
    <w:rsid w:val="00E61157"/>
    <w:rsid w:val="00E61951"/>
    <w:rsid w:val="00E62C67"/>
    <w:rsid w:val="00E646D6"/>
    <w:rsid w:val="00E65859"/>
    <w:rsid w:val="00E7014C"/>
    <w:rsid w:val="00E70DD5"/>
    <w:rsid w:val="00E8209F"/>
    <w:rsid w:val="00E82FF2"/>
    <w:rsid w:val="00E856C9"/>
    <w:rsid w:val="00E90253"/>
    <w:rsid w:val="00E937C2"/>
    <w:rsid w:val="00E93851"/>
    <w:rsid w:val="00E9460F"/>
    <w:rsid w:val="00E94822"/>
    <w:rsid w:val="00E94BE5"/>
    <w:rsid w:val="00E963BE"/>
    <w:rsid w:val="00E9792C"/>
    <w:rsid w:val="00EA226E"/>
    <w:rsid w:val="00EB191A"/>
    <w:rsid w:val="00EB1D14"/>
    <w:rsid w:val="00EB2438"/>
    <w:rsid w:val="00EB2790"/>
    <w:rsid w:val="00EB48FF"/>
    <w:rsid w:val="00EB5E21"/>
    <w:rsid w:val="00EB6749"/>
    <w:rsid w:val="00EC3427"/>
    <w:rsid w:val="00EC5553"/>
    <w:rsid w:val="00EC6DEB"/>
    <w:rsid w:val="00ED49AD"/>
    <w:rsid w:val="00ED63A9"/>
    <w:rsid w:val="00ED6BDD"/>
    <w:rsid w:val="00EE1A63"/>
    <w:rsid w:val="00EE64C4"/>
    <w:rsid w:val="00EE7DB4"/>
    <w:rsid w:val="00EF2637"/>
    <w:rsid w:val="00EF5197"/>
    <w:rsid w:val="00EF6404"/>
    <w:rsid w:val="00EF6D1E"/>
    <w:rsid w:val="00EF7B52"/>
    <w:rsid w:val="00F01B92"/>
    <w:rsid w:val="00F01F54"/>
    <w:rsid w:val="00F0276D"/>
    <w:rsid w:val="00F02F8A"/>
    <w:rsid w:val="00F03E66"/>
    <w:rsid w:val="00F03EED"/>
    <w:rsid w:val="00F03FC8"/>
    <w:rsid w:val="00F0484B"/>
    <w:rsid w:val="00F04923"/>
    <w:rsid w:val="00F04B91"/>
    <w:rsid w:val="00F05BAA"/>
    <w:rsid w:val="00F06041"/>
    <w:rsid w:val="00F06F8D"/>
    <w:rsid w:val="00F0796B"/>
    <w:rsid w:val="00F1052B"/>
    <w:rsid w:val="00F1212A"/>
    <w:rsid w:val="00F131B1"/>
    <w:rsid w:val="00F14507"/>
    <w:rsid w:val="00F150A3"/>
    <w:rsid w:val="00F15701"/>
    <w:rsid w:val="00F210E8"/>
    <w:rsid w:val="00F2410F"/>
    <w:rsid w:val="00F26208"/>
    <w:rsid w:val="00F307B6"/>
    <w:rsid w:val="00F321B4"/>
    <w:rsid w:val="00F32FED"/>
    <w:rsid w:val="00F333B7"/>
    <w:rsid w:val="00F34372"/>
    <w:rsid w:val="00F3521B"/>
    <w:rsid w:val="00F3599C"/>
    <w:rsid w:val="00F37294"/>
    <w:rsid w:val="00F404BC"/>
    <w:rsid w:val="00F40E94"/>
    <w:rsid w:val="00F41848"/>
    <w:rsid w:val="00F41A90"/>
    <w:rsid w:val="00F42366"/>
    <w:rsid w:val="00F42650"/>
    <w:rsid w:val="00F438E7"/>
    <w:rsid w:val="00F4546D"/>
    <w:rsid w:val="00F47358"/>
    <w:rsid w:val="00F47FFB"/>
    <w:rsid w:val="00F5151E"/>
    <w:rsid w:val="00F5425C"/>
    <w:rsid w:val="00F551B9"/>
    <w:rsid w:val="00F55D67"/>
    <w:rsid w:val="00F622F4"/>
    <w:rsid w:val="00F645B3"/>
    <w:rsid w:val="00F650B3"/>
    <w:rsid w:val="00F66F3F"/>
    <w:rsid w:val="00F67A06"/>
    <w:rsid w:val="00F70060"/>
    <w:rsid w:val="00F7029E"/>
    <w:rsid w:val="00F720F0"/>
    <w:rsid w:val="00F73890"/>
    <w:rsid w:val="00F76964"/>
    <w:rsid w:val="00F76BD0"/>
    <w:rsid w:val="00F771BE"/>
    <w:rsid w:val="00F77368"/>
    <w:rsid w:val="00F77540"/>
    <w:rsid w:val="00F77E7F"/>
    <w:rsid w:val="00F8025A"/>
    <w:rsid w:val="00F80390"/>
    <w:rsid w:val="00F83035"/>
    <w:rsid w:val="00F83E8A"/>
    <w:rsid w:val="00F859EC"/>
    <w:rsid w:val="00F86ADF"/>
    <w:rsid w:val="00F9239F"/>
    <w:rsid w:val="00F92845"/>
    <w:rsid w:val="00F92E7B"/>
    <w:rsid w:val="00F9360B"/>
    <w:rsid w:val="00F93F1C"/>
    <w:rsid w:val="00F97265"/>
    <w:rsid w:val="00F9787E"/>
    <w:rsid w:val="00FA265A"/>
    <w:rsid w:val="00FB24E6"/>
    <w:rsid w:val="00FB42EE"/>
    <w:rsid w:val="00FB4C29"/>
    <w:rsid w:val="00FB7BBC"/>
    <w:rsid w:val="00FC0D0B"/>
    <w:rsid w:val="00FC1FCF"/>
    <w:rsid w:val="00FC32D4"/>
    <w:rsid w:val="00FC331C"/>
    <w:rsid w:val="00FC43C9"/>
    <w:rsid w:val="00FC46A5"/>
    <w:rsid w:val="00FC501E"/>
    <w:rsid w:val="00FC6559"/>
    <w:rsid w:val="00FC6FEA"/>
    <w:rsid w:val="00FC7B0C"/>
    <w:rsid w:val="00FD01E9"/>
    <w:rsid w:val="00FD16A7"/>
    <w:rsid w:val="00FD20C3"/>
    <w:rsid w:val="00FD2DCB"/>
    <w:rsid w:val="00FD2FEE"/>
    <w:rsid w:val="00FD4252"/>
    <w:rsid w:val="00FD5781"/>
    <w:rsid w:val="00FD720F"/>
    <w:rsid w:val="00FE031E"/>
    <w:rsid w:val="00FE2033"/>
    <w:rsid w:val="00FE5044"/>
    <w:rsid w:val="00FE78E4"/>
    <w:rsid w:val="00FF2BCC"/>
    <w:rsid w:val="00FF4FF6"/>
    <w:rsid w:val="00FF65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60C50"/>
  <w15:chartTrackingRefBased/>
  <w15:docId w15:val="{79099797-2882-46FF-A135-79B0BF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9F9"/>
    <w:pPr>
      <w:spacing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134DB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F8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91F8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91F89"/>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styleId="UnresolvedMention">
    <w:name w:val="Unresolved Mention"/>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customStyle="1" w:styleId="hhd2">
    <w:name w:val="hhd2"/>
    <w:basedOn w:val="Normal"/>
    <w:rsid w:val="00C33318"/>
    <w:pPr>
      <w:spacing w:before="100" w:beforeAutospacing="1" w:after="100" w:afterAutospacing="1" w:line="240" w:lineRule="auto"/>
    </w:pPr>
    <w:rPr>
      <w:rFonts w:eastAsia="Times New Roman" w:cs="Times New Roman"/>
      <w:szCs w:val="24"/>
    </w:rPr>
  </w:style>
  <w:style w:type="paragraph" w:styleId="NoSpacing">
    <w:name w:val="No Spacing"/>
    <w:uiPriority w:val="1"/>
    <w:qFormat/>
    <w:rsid w:val="007E1221"/>
    <w:pPr>
      <w:spacing w:after="0" w:line="240" w:lineRule="auto"/>
    </w:pPr>
    <w:rPr>
      <w:rFonts w:ascii="Times New Roman" w:hAnsi="Times New Roman"/>
      <w:sz w:val="24"/>
      <w:lang w:val="en-GB"/>
    </w:rPr>
  </w:style>
  <w:style w:type="table" w:styleId="TableGrid">
    <w:name w:val="Table Grid"/>
    <w:basedOn w:val="TableNormal"/>
    <w:uiPriority w:val="39"/>
    <w:rsid w:val="0025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91B0C"/>
    <w:pPr>
      <w:spacing w:before="240" w:after="0"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591B0C"/>
    <w:pPr>
      <w:spacing w:after="100"/>
    </w:pPr>
  </w:style>
  <w:style w:type="paragraph" w:styleId="TOC2">
    <w:name w:val="toc 2"/>
    <w:basedOn w:val="Normal"/>
    <w:next w:val="Normal"/>
    <w:autoRedefine/>
    <w:uiPriority w:val="39"/>
    <w:unhideWhenUsed/>
    <w:rsid w:val="00591B0C"/>
    <w:pPr>
      <w:spacing w:after="100"/>
      <w:ind w:left="240"/>
    </w:pPr>
  </w:style>
  <w:style w:type="paragraph" w:styleId="TOC3">
    <w:name w:val="toc 3"/>
    <w:basedOn w:val="Normal"/>
    <w:next w:val="Normal"/>
    <w:autoRedefine/>
    <w:uiPriority w:val="39"/>
    <w:unhideWhenUsed/>
    <w:rsid w:val="00591B0C"/>
    <w:pPr>
      <w:spacing w:after="100"/>
      <w:ind w:left="480"/>
    </w:pPr>
  </w:style>
  <w:style w:type="character" w:styleId="FollowedHyperlink">
    <w:name w:val="FollowedHyperlink"/>
    <w:basedOn w:val="DefaultParagraphFont"/>
    <w:uiPriority w:val="99"/>
    <w:semiHidden/>
    <w:unhideWhenUsed/>
    <w:rsid w:val="004E2068"/>
    <w:rPr>
      <w:color w:val="954F72" w:themeColor="followedHyperlink"/>
      <w:u w:val="single"/>
    </w:rPr>
  </w:style>
  <w:style w:type="character" w:customStyle="1" w:styleId="Heading4Char">
    <w:name w:val="Heading 4 Char"/>
    <w:basedOn w:val="DefaultParagraphFont"/>
    <w:link w:val="Heading4"/>
    <w:uiPriority w:val="9"/>
    <w:rsid w:val="00134DB7"/>
    <w:rPr>
      <w:rFonts w:asciiTheme="majorHAnsi" w:eastAsiaTheme="majorEastAsia" w:hAnsiTheme="majorHAnsi" w:cstheme="majorBidi"/>
      <w:i/>
      <w:iCs/>
      <w:color w:val="2F5496" w:themeColor="accent1" w:themeShade="B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739722">
      <w:bodyDiv w:val="1"/>
      <w:marLeft w:val="0"/>
      <w:marRight w:val="0"/>
      <w:marTop w:val="0"/>
      <w:marBottom w:val="0"/>
      <w:divBdr>
        <w:top w:val="none" w:sz="0" w:space="0" w:color="auto"/>
        <w:left w:val="none" w:sz="0" w:space="0" w:color="auto"/>
        <w:bottom w:val="none" w:sz="0" w:space="0" w:color="auto"/>
        <w:right w:val="none" w:sz="0" w:space="0" w:color="auto"/>
      </w:divBdr>
    </w:div>
    <w:div w:id="314724960">
      <w:bodyDiv w:val="1"/>
      <w:marLeft w:val="0"/>
      <w:marRight w:val="0"/>
      <w:marTop w:val="0"/>
      <w:marBottom w:val="0"/>
      <w:divBdr>
        <w:top w:val="none" w:sz="0" w:space="0" w:color="auto"/>
        <w:left w:val="none" w:sz="0" w:space="0" w:color="auto"/>
        <w:bottom w:val="none" w:sz="0" w:space="0" w:color="auto"/>
        <w:right w:val="none" w:sz="0" w:space="0" w:color="auto"/>
      </w:divBdr>
    </w:div>
    <w:div w:id="680352738">
      <w:bodyDiv w:val="1"/>
      <w:marLeft w:val="0"/>
      <w:marRight w:val="0"/>
      <w:marTop w:val="0"/>
      <w:marBottom w:val="0"/>
      <w:divBdr>
        <w:top w:val="none" w:sz="0" w:space="0" w:color="auto"/>
        <w:left w:val="none" w:sz="0" w:space="0" w:color="auto"/>
        <w:bottom w:val="none" w:sz="0" w:space="0" w:color="auto"/>
        <w:right w:val="none" w:sz="0" w:space="0" w:color="auto"/>
      </w:divBdr>
    </w:div>
    <w:div w:id="752630709">
      <w:bodyDiv w:val="1"/>
      <w:marLeft w:val="0"/>
      <w:marRight w:val="0"/>
      <w:marTop w:val="0"/>
      <w:marBottom w:val="0"/>
      <w:divBdr>
        <w:top w:val="none" w:sz="0" w:space="0" w:color="auto"/>
        <w:left w:val="none" w:sz="0" w:space="0" w:color="auto"/>
        <w:bottom w:val="none" w:sz="0" w:space="0" w:color="auto"/>
        <w:right w:val="none" w:sz="0" w:space="0" w:color="auto"/>
      </w:divBdr>
    </w:div>
    <w:div w:id="1346132182">
      <w:bodyDiv w:val="1"/>
      <w:marLeft w:val="0"/>
      <w:marRight w:val="0"/>
      <w:marTop w:val="0"/>
      <w:marBottom w:val="0"/>
      <w:divBdr>
        <w:top w:val="none" w:sz="0" w:space="0" w:color="auto"/>
        <w:left w:val="none" w:sz="0" w:space="0" w:color="auto"/>
        <w:bottom w:val="none" w:sz="0" w:space="0" w:color="auto"/>
        <w:right w:val="none" w:sz="0" w:space="0" w:color="auto"/>
      </w:divBdr>
    </w:div>
    <w:div w:id="1372025716">
      <w:bodyDiv w:val="1"/>
      <w:marLeft w:val="0"/>
      <w:marRight w:val="0"/>
      <w:marTop w:val="0"/>
      <w:marBottom w:val="0"/>
      <w:divBdr>
        <w:top w:val="none" w:sz="0" w:space="0" w:color="auto"/>
        <w:left w:val="none" w:sz="0" w:space="0" w:color="auto"/>
        <w:bottom w:val="none" w:sz="0" w:space="0" w:color="auto"/>
        <w:right w:val="none" w:sz="0" w:space="0" w:color="auto"/>
      </w:divBdr>
    </w:div>
    <w:div w:id="1510749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4/7/contents" TargetMode="External"/><Relationship Id="rId18" Type="http://schemas.openxmlformats.org/officeDocument/2006/relationships/hyperlink" Target="https://www.england.nhs.uk/2025/07/nhs-launches-first-ever-review-to-tackle-lgbt-health-inequalities/"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england.nhs.uk/publication/service-specification-nhs-children-and-young-peoples-gender-service/" TargetMode="External"/><Relationship Id="rId7" Type="http://schemas.openxmlformats.org/officeDocument/2006/relationships/settings" Target="settings.xml"/><Relationship Id="rId12" Type="http://schemas.openxmlformats.org/officeDocument/2006/relationships/hyperlink" Target="https://gate.ngo/knowledge-portal/publication/argentina-gender-identity-law-english-translation-document/" TargetMode="External"/><Relationship Id="rId17" Type="http://schemas.openxmlformats.org/officeDocument/2006/relationships/hyperlink" Target="https://www.gov.uk/government/news/support-for-adults-facing-staggering-waits-for-gender-services" TargetMode="External"/><Relationship Id="rId25" Type="http://schemas.openxmlformats.org/officeDocument/2006/relationships/hyperlink" Target="https://wpath.org/"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gov.uk/ukpga/2022/31/contents" TargetMode="External"/><Relationship Id="rId20" Type="http://schemas.openxmlformats.org/officeDocument/2006/relationships/hyperlink" Target="https://www.england.nhs.uk/get-involved/nh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who.int/standards/classifications/frequently-asked-questions/gender-incongruence-and-transgender-health-in-the-icd"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assets.publishing.service.gov.uk/media/5b3cb6b6ed915d39fd5f14df/GEO-LGBT-Survey-Report.pdf" TargetMode="External"/><Relationship Id="rId23" Type="http://schemas.openxmlformats.org/officeDocument/2006/relationships/hyperlink" Target="https://committees.parliament.uk/writtenevidence/57007/html/"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england.nhs.uk/2025/07/nhs-launches-first-ever-review-to-tackle-lgbt-health-inequalities/"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10/15/contents" TargetMode="External"/><Relationship Id="rId22" Type="http://schemas.openxmlformats.org/officeDocument/2006/relationships/hyperlink" Target="https://www.nhft.nhs.uk/gic/"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85595f7b7be4d9909cdf233a0440606c">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2053449ecf57e0ebf67f974a55eed980"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CBB90D-E3FC-415A-AE5C-A97B07DDBE92}">
  <ds:schemaRefs>
    <ds:schemaRef ds:uri="http://schemas.microsoft.com/office/2006/metadata/properties"/>
    <ds:schemaRef ds:uri="http://schemas.microsoft.com/office/infopath/2007/PartnerControls"/>
    <ds:schemaRef ds:uri="60ab93c2-c2e2-4a82-ab36-09e8ba3f753e"/>
  </ds:schemaRefs>
</ds:datastoreItem>
</file>

<file path=customXml/itemProps2.xml><?xml version="1.0" encoding="utf-8"?>
<ds:datastoreItem xmlns:ds="http://schemas.openxmlformats.org/officeDocument/2006/customXml" ds:itemID="{BCBCCECE-7BA7-4A1F-BF15-793BEAD594BA}">
  <ds:schemaRefs>
    <ds:schemaRef ds:uri="http://schemas.openxmlformats.org/officeDocument/2006/bibliography"/>
  </ds:schemaRefs>
</ds:datastoreItem>
</file>

<file path=customXml/itemProps3.xml><?xml version="1.0" encoding="utf-8"?>
<ds:datastoreItem xmlns:ds="http://schemas.openxmlformats.org/officeDocument/2006/customXml" ds:itemID="{10A15147-CF22-49D8-9F59-79AE72D698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AE7966-0925-42D4-B208-2DAB3B21DB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16639</Words>
  <Characters>94845</Characters>
  <Application>Microsoft Office Word</Application>
  <DocSecurity>0</DocSecurity>
  <Lines>790</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Nazia Sharif (1907313)</cp:lastModifiedBy>
  <cp:revision>39</cp:revision>
  <dcterms:created xsi:type="dcterms:W3CDTF">2026-07-17T13:42:00Z</dcterms:created>
  <dcterms:modified xsi:type="dcterms:W3CDTF">2026-07-23T15:09:00Z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