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60BF39E" w14:textId="06F0DB57" w:rsidR="004B18E9" w:rsidRDefault="004B18E9" w:rsidP="004B18E9">
      <w:pPr>
        <w:pStyle w:val="Heading2"/>
        <w:keepNext w:val="0"/>
        <w:keepLines w:val="0"/>
        <w:spacing w:before="240" w:after="240"/>
        <w:jc w:val="center"/>
        <w:rPr>
          <w:rFonts w:asciiTheme="majorHAnsi" w:hAnsiTheme="majorHAnsi" w:cstheme="majorHAnsi"/>
          <w:sz w:val="32"/>
          <w:szCs w:val="32"/>
        </w:rPr>
      </w:pPr>
      <w:bookmarkStart w:id="0" w:name="_heading=h.hq7pth19cpdj" w:colFirst="0" w:colLast="0"/>
      <w:bookmarkEnd w:id="0"/>
      <w:r>
        <w:rPr>
          <w:rFonts w:asciiTheme="majorHAnsi" w:hAnsiTheme="majorHAnsi" w:cstheme="majorHAnsi"/>
          <w:noProof/>
          <w:sz w:val="32"/>
          <w:szCs w:val="32"/>
        </w:rPr>
        <w:drawing>
          <wp:inline distT="0" distB="0" distL="0" distR="0" wp14:anchorId="61B846BC" wp14:editId="71CE61AE">
            <wp:extent cx="2700655" cy="1633855"/>
            <wp:effectExtent l="0" t="0" r="4445" b="4445"/>
            <wp:docPr id="53511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00655" cy="1633855"/>
                    </a:xfrm>
                    <a:prstGeom prst="rect">
                      <a:avLst/>
                    </a:prstGeom>
                    <a:noFill/>
                  </pic:spPr>
                </pic:pic>
              </a:graphicData>
            </a:graphic>
          </wp:inline>
        </w:drawing>
      </w:r>
    </w:p>
    <w:p w14:paraId="711FBDD4" w14:textId="77777777" w:rsidR="004B18E9" w:rsidRPr="004B18E9" w:rsidRDefault="004B18E9" w:rsidP="004B18E9"/>
    <w:p w14:paraId="2A189F4C" w14:textId="5AC3010B" w:rsidR="008A5BCE" w:rsidRDefault="008A5BCE" w:rsidP="008A5BCE">
      <w:pPr>
        <w:pStyle w:val="Heading2"/>
        <w:keepNext w:val="0"/>
        <w:keepLines w:val="0"/>
        <w:spacing w:before="240" w:after="240"/>
        <w:jc w:val="center"/>
        <w:rPr>
          <w:rFonts w:asciiTheme="majorHAnsi" w:hAnsiTheme="majorHAnsi" w:cstheme="majorHAnsi"/>
          <w:sz w:val="32"/>
          <w:szCs w:val="32"/>
        </w:rPr>
      </w:pPr>
      <w:r w:rsidRPr="008A5BCE">
        <w:rPr>
          <w:rFonts w:asciiTheme="majorHAnsi" w:hAnsiTheme="majorHAnsi" w:cstheme="majorHAnsi"/>
          <w:sz w:val="32"/>
          <w:szCs w:val="32"/>
        </w:rPr>
        <w:t>Subject: Strategic Management</w:t>
      </w:r>
    </w:p>
    <w:p w14:paraId="0DA3F3F0" w14:textId="77777777" w:rsidR="008A5BCE" w:rsidRDefault="008A5BCE" w:rsidP="008A5BCE">
      <w:pPr>
        <w:jc w:val="center"/>
        <w:rPr>
          <w:b/>
          <w:bCs/>
          <w:sz w:val="28"/>
          <w:szCs w:val="28"/>
        </w:rPr>
      </w:pPr>
      <w:r w:rsidRPr="008A5BCE">
        <w:rPr>
          <w:b/>
          <w:bCs/>
          <w:sz w:val="28"/>
          <w:szCs w:val="28"/>
        </w:rPr>
        <w:t>Subject</w:t>
      </w:r>
      <w:r>
        <w:rPr>
          <w:b/>
          <w:bCs/>
          <w:sz w:val="28"/>
          <w:szCs w:val="28"/>
        </w:rPr>
        <w:t xml:space="preserve"> Code: LCMB7003</w:t>
      </w:r>
    </w:p>
    <w:p w14:paraId="267BF46A" w14:textId="2604A0DF" w:rsidR="008A5BCE" w:rsidRDefault="008A5BCE" w:rsidP="008A5BCE">
      <w:pPr>
        <w:jc w:val="center"/>
        <w:rPr>
          <w:b/>
          <w:bCs/>
          <w:sz w:val="28"/>
          <w:szCs w:val="28"/>
        </w:rPr>
      </w:pPr>
    </w:p>
    <w:p w14:paraId="44CBBA6D" w14:textId="1CA27E5D" w:rsidR="008A5BCE" w:rsidRDefault="004B18E9" w:rsidP="008A5BCE">
      <w:pPr>
        <w:jc w:val="center"/>
        <w:rPr>
          <w:b/>
          <w:bCs/>
          <w:sz w:val="28"/>
          <w:szCs w:val="28"/>
        </w:rPr>
      </w:pPr>
      <w:r>
        <w:rPr>
          <w:b/>
          <w:bCs/>
          <w:sz w:val="28"/>
          <w:szCs w:val="28"/>
        </w:rPr>
        <w:t>Student name: Sachin Ashokbhai Japi</w:t>
      </w:r>
    </w:p>
    <w:p w14:paraId="5CA5201B" w14:textId="5B94A91C" w:rsidR="004B18E9" w:rsidRDefault="004B18E9" w:rsidP="008A5BCE">
      <w:pPr>
        <w:jc w:val="center"/>
        <w:rPr>
          <w:b/>
          <w:bCs/>
          <w:sz w:val="28"/>
          <w:szCs w:val="28"/>
        </w:rPr>
      </w:pPr>
      <w:r>
        <w:rPr>
          <w:b/>
          <w:bCs/>
          <w:sz w:val="28"/>
          <w:szCs w:val="28"/>
        </w:rPr>
        <w:br/>
        <w:t>Student ID: 2430819</w:t>
      </w:r>
    </w:p>
    <w:p w14:paraId="3B868398" w14:textId="0EE3C81C" w:rsidR="004B18E9" w:rsidRDefault="004B18E9" w:rsidP="008A5BCE">
      <w:pPr>
        <w:jc w:val="center"/>
        <w:rPr>
          <w:b/>
          <w:bCs/>
          <w:sz w:val="28"/>
          <w:szCs w:val="28"/>
        </w:rPr>
      </w:pPr>
    </w:p>
    <w:p w14:paraId="06EC1DCA" w14:textId="3070EC2E" w:rsidR="004B18E9" w:rsidRDefault="004B18E9" w:rsidP="008A5BCE">
      <w:pPr>
        <w:jc w:val="center"/>
        <w:rPr>
          <w:b/>
          <w:bCs/>
          <w:sz w:val="28"/>
          <w:szCs w:val="28"/>
        </w:rPr>
      </w:pPr>
      <w:r>
        <w:rPr>
          <w:b/>
          <w:bCs/>
          <w:sz w:val="28"/>
          <w:szCs w:val="28"/>
        </w:rPr>
        <w:t>Term-2</w:t>
      </w:r>
    </w:p>
    <w:p w14:paraId="5A338739" w14:textId="77777777" w:rsidR="004B18E9" w:rsidRDefault="004B18E9" w:rsidP="008A5BCE">
      <w:pPr>
        <w:jc w:val="center"/>
        <w:rPr>
          <w:b/>
          <w:bCs/>
          <w:sz w:val="28"/>
          <w:szCs w:val="28"/>
        </w:rPr>
      </w:pPr>
    </w:p>
    <w:p w14:paraId="346C24B5" w14:textId="6651D736" w:rsidR="004B18E9" w:rsidRPr="004B18E9" w:rsidRDefault="004B18E9" w:rsidP="008A5BCE">
      <w:pPr>
        <w:jc w:val="center"/>
        <w:rPr>
          <w:b/>
          <w:bCs/>
          <w:sz w:val="28"/>
          <w:szCs w:val="28"/>
        </w:rPr>
      </w:pPr>
      <w:r>
        <w:rPr>
          <w:b/>
          <w:bCs/>
          <w:sz w:val="28"/>
          <w:szCs w:val="28"/>
        </w:rPr>
        <w:t xml:space="preserve">Prof: Dr. Andry </w:t>
      </w:r>
      <w:proofErr w:type="spellStart"/>
      <w:r>
        <w:rPr>
          <w:b/>
          <w:bCs/>
          <w:sz w:val="28"/>
          <w:szCs w:val="28"/>
        </w:rPr>
        <w:t>Rakotovololona</w:t>
      </w:r>
      <w:proofErr w:type="spellEnd"/>
    </w:p>
    <w:p w14:paraId="660EE5B2" w14:textId="64D18A2F" w:rsidR="008A5BCE" w:rsidRPr="008A5BCE" w:rsidRDefault="008A5BCE" w:rsidP="004B18E9">
      <w:pPr>
        <w:rPr>
          <w:rFonts w:asciiTheme="majorHAnsi" w:hAnsiTheme="majorHAnsi" w:cstheme="majorHAnsi"/>
          <w:b/>
          <w:bCs/>
          <w:sz w:val="32"/>
          <w:szCs w:val="32"/>
        </w:rPr>
      </w:pPr>
    </w:p>
    <w:p w14:paraId="708F2792" w14:textId="38C3D438" w:rsidR="006E2C30" w:rsidRPr="008A5BCE" w:rsidRDefault="00000000">
      <w:pPr>
        <w:pStyle w:val="Heading2"/>
        <w:keepNext w:val="0"/>
        <w:keepLines w:val="0"/>
        <w:spacing w:before="240" w:after="240"/>
        <w:jc w:val="center"/>
        <w:rPr>
          <w:rFonts w:asciiTheme="majorHAnsi" w:hAnsiTheme="majorHAnsi" w:cstheme="majorHAnsi"/>
          <w:sz w:val="32"/>
          <w:szCs w:val="32"/>
        </w:rPr>
      </w:pPr>
      <w:r w:rsidRPr="008A5BCE">
        <w:rPr>
          <w:rFonts w:asciiTheme="majorHAnsi" w:hAnsiTheme="majorHAnsi" w:cstheme="majorHAnsi"/>
          <w:sz w:val="32"/>
          <w:szCs w:val="32"/>
        </w:rPr>
        <w:t>Strategic Expansion of Mahindra &amp; Mahindra’s Electric Vehicle Business into the United States Market: An Integrated Strategic Management Analysis</w:t>
      </w:r>
    </w:p>
    <w:p w14:paraId="3EEE0B7E" w14:textId="77777777" w:rsidR="006E2C30" w:rsidRDefault="00000000">
      <w:pPr>
        <w:spacing w:before="240" w:after="240" w:line="360" w:lineRule="auto"/>
        <w:jc w:val="both"/>
        <w:rPr>
          <w:rFonts w:ascii="Times New Roman" w:eastAsia="Times New Roman" w:hAnsi="Times New Roman" w:cs="Times New Roman"/>
          <w:sz w:val="24"/>
          <w:szCs w:val="24"/>
        </w:rPr>
      </w:pPr>
      <w:r>
        <w:br w:type="page"/>
      </w:r>
    </w:p>
    <w:p w14:paraId="4D3BB990" w14:textId="77777777" w:rsidR="006E2C30" w:rsidRDefault="00000000">
      <w:pPr>
        <w:pStyle w:val="Heading1"/>
        <w:spacing w:before="240" w:after="240"/>
        <w:jc w:val="center"/>
      </w:pPr>
      <w:bookmarkStart w:id="1" w:name="_heading=h.q0rxd4vqf5lh" w:colFirst="0" w:colLast="0"/>
      <w:bookmarkEnd w:id="1"/>
      <w:r>
        <w:lastRenderedPageBreak/>
        <w:t>Table of Content</w:t>
      </w:r>
    </w:p>
    <w:sdt>
      <w:sdtPr>
        <w:id w:val="-989182314"/>
        <w:docPartObj>
          <w:docPartGallery w:val="Table of Contents"/>
          <w:docPartUnique/>
        </w:docPartObj>
      </w:sdtPr>
      <w:sdtContent>
        <w:p w14:paraId="074AAC85" w14:textId="77777777" w:rsidR="006E2C30"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tj295abdo9yy">
            <w:r w:rsidR="006E2C30">
              <w:rPr>
                <w:rFonts w:ascii="Times New Roman" w:eastAsia="Times New Roman" w:hAnsi="Times New Roman" w:cs="Times New Roman"/>
                <w:color w:val="000000"/>
                <w:sz w:val="24"/>
                <w:szCs w:val="24"/>
              </w:rPr>
              <w:t>1. Introduction</w:t>
            </w:r>
            <w:r w:rsidR="006E2C30">
              <w:rPr>
                <w:rFonts w:ascii="Times New Roman" w:eastAsia="Times New Roman" w:hAnsi="Times New Roman" w:cs="Times New Roman"/>
                <w:color w:val="000000"/>
                <w:sz w:val="24"/>
                <w:szCs w:val="24"/>
              </w:rPr>
              <w:tab/>
            </w:r>
          </w:hyperlink>
          <w:r>
            <w:fldChar w:fldCharType="begin"/>
          </w:r>
          <w:r>
            <w:instrText xml:space="preserve"> PAGEREF _heading=h.tj295abdo9yy \h </w:instrText>
          </w:r>
          <w:r>
            <w:fldChar w:fldCharType="separate"/>
          </w:r>
          <w:r>
            <w:rPr>
              <w:rFonts w:ascii="Times New Roman" w:eastAsia="Times New Roman" w:hAnsi="Times New Roman" w:cs="Times New Roman"/>
              <w:sz w:val="24"/>
              <w:szCs w:val="24"/>
            </w:rPr>
            <w:t>3</w:t>
          </w:r>
          <w:r>
            <w:fldChar w:fldCharType="end"/>
          </w:r>
        </w:p>
        <w:p w14:paraId="56C930AC"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mbd1dyqn3j7k">
            <w:r>
              <w:rPr>
                <w:rFonts w:ascii="Times New Roman" w:eastAsia="Times New Roman" w:hAnsi="Times New Roman" w:cs="Times New Roman"/>
                <w:color w:val="000000"/>
                <w:sz w:val="24"/>
                <w:szCs w:val="24"/>
              </w:rPr>
              <w:t>2. Organisation and Target Market Choice.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_heading=h.mbd1dyqn3j7k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7F5D25D3"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pnda0qxbfecr">
            <w:r>
              <w:rPr>
                <w:rFonts w:ascii="Times New Roman" w:eastAsia="Times New Roman" w:hAnsi="Times New Roman" w:cs="Times New Roman"/>
                <w:color w:val="000000"/>
                <w:sz w:val="24"/>
                <w:szCs w:val="24"/>
              </w:rPr>
              <w:t>2.1 Mahindra and Mahindra Company Overview.</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_heading=h.pnda0qxbfecr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33810CB5"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5vnn557kchh">
            <w:r>
              <w:rPr>
                <w:rFonts w:ascii="Times New Roman" w:eastAsia="Times New Roman" w:hAnsi="Times New Roman" w:cs="Times New Roman"/>
                <w:color w:val="000000"/>
                <w:sz w:val="24"/>
                <w:szCs w:val="24"/>
              </w:rPr>
              <w:t>2.2 Target Market Choice: United States.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_heading=h.5vnn557kchh \h </w:instrText>
          </w:r>
          <w:r w:rsidR="00000000">
            <w:fldChar w:fldCharType="separate"/>
          </w:r>
          <w:r w:rsidR="00000000">
            <w:rPr>
              <w:rFonts w:ascii="Times New Roman" w:eastAsia="Times New Roman" w:hAnsi="Times New Roman" w:cs="Times New Roman"/>
              <w:sz w:val="24"/>
              <w:szCs w:val="24"/>
            </w:rPr>
            <w:t>5</w:t>
          </w:r>
          <w:r w:rsidR="00000000">
            <w:fldChar w:fldCharType="end"/>
          </w:r>
        </w:p>
        <w:p w14:paraId="78D15BBC"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m8xkyrly85ij">
            <w:r>
              <w:rPr>
                <w:rFonts w:ascii="Times New Roman" w:eastAsia="Times New Roman" w:hAnsi="Times New Roman" w:cs="Times New Roman"/>
                <w:color w:val="000000"/>
                <w:sz w:val="24"/>
                <w:szCs w:val="24"/>
              </w:rPr>
              <w:t>2.3 Strategic Justification of Market Selection.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_heading=h.m8xkyrly85ij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12B92F4A"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fwnk2c1v8qg2">
            <w:r>
              <w:rPr>
                <w:rFonts w:ascii="Times New Roman" w:eastAsia="Times New Roman" w:hAnsi="Times New Roman" w:cs="Times New Roman"/>
                <w:color w:val="000000"/>
                <w:sz w:val="24"/>
                <w:szCs w:val="24"/>
              </w:rPr>
              <w:t>3. General Strategic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_heading=h.fwnk2c1v8qg2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6557E440"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aaws75chrelu">
            <w:r>
              <w:rPr>
                <w:rFonts w:ascii="Times New Roman" w:eastAsia="Times New Roman" w:hAnsi="Times New Roman" w:cs="Times New Roman"/>
                <w:color w:val="000000"/>
                <w:sz w:val="24"/>
                <w:szCs w:val="24"/>
              </w:rPr>
              <w:t>3.1 PESTLE Analysis of the United States Electric Vehicle (EV) Market</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_heading=h.aaws75chrelu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77DC5831"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fjfjz9w92puf">
            <w:r>
              <w:rPr>
                <w:rFonts w:ascii="Times New Roman" w:eastAsia="Times New Roman" w:hAnsi="Times New Roman" w:cs="Times New Roman"/>
                <w:color w:val="000000"/>
                <w:sz w:val="24"/>
                <w:szCs w:val="24"/>
              </w:rPr>
              <w:t>3.2: Porter’s Five Forces – US Electric Vehicle (EV) Industry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_heading=h.fjfjz9w92puf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5B30540C"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a8giaqajdph">
            <w:r>
              <w:rPr>
                <w:rFonts w:ascii="Times New Roman" w:eastAsia="Times New Roman" w:hAnsi="Times New Roman" w:cs="Times New Roman"/>
                <w:color w:val="000000"/>
                <w:sz w:val="24"/>
                <w:szCs w:val="24"/>
              </w:rPr>
              <w:t>3.3: VRIO Analysis of Mahindra &amp; Mahindra</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_heading=h.a8giaqajdph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68154120"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6eguh40fkl4">
            <w:r>
              <w:rPr>
                <w:rFonts w:ascii="Times New Roman" w:eastAsia="Times New Roman" w:hAnsi="Times New Roman" w:cs="Times New Roman"/>
                <w:color w:val="000000"/>
                <w:sz w:val="24"/>
                <w:szCs w:val="24"/>
              </w:rPr>
              <w:t>Table 3.4: Porter’s Diamond Model – US EV Market Conditions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_heading=h.6eguh40fkl4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127050A1"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9j2cyfcvwvqb">
            <w:r>
              <w:rPr>
                <w:rFonts w:ascii="Times New Roman" w:eastAsia="Times New Roman" w:hAnsi="Times New Roman" w:cs="Times New Roman"/>
                <w:color w:val="000000"/>
                <w:sz w:val="24"/>
                <w:szCs w:val="24"/>
              </w:rPr>
              <w:t>3.5 Critical Analysis of Strategic Tools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_heading=h.9j2cyfcvwvqb \h </w:instrText>
          </w:r>
          <w:r w:rsidR="00000000">
            <w:fldChar w:fldCharType="separate"/>
          </w:r>
          <w:r w:rsidR="00000000">
            <w:rPr>
              <w:rFonts w:ascii="Times New Roman" w:eastAsia="Times New Roman" w:hAnsi="Times New Roman" w:cs="Times New Roman"/>
              <w:sz w:val="24"/>
              <w:szCs w:val="24"/>
            </w:rPr>
            <w:t>10</w:t>
          </w:r>
          <w:r w:rsidR="00000000">
            <w:fldChar w:fldCharType="end"/>
          </w:r>
        </w:p>
        <w:p w14:paraId="79D1E875"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ob6s4hq94l8h">
            <w:r>
              <w:rPr>
                <w:rFonts w:ascii="Times New Roman" w:eastAsia="Times New Roman" w:hAnsi="Times New Roman" w:cs="Times New Roman"/>
                <w:color w:val="000000"/>
                <w:sz w:val="24"/>
                <w:szCs w:val="24"/>
              </w:rPr>
              <w:t>4. Strategy Development and Formulation.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_heading=h.ob6s4hq94l8h \h </w:instrText>
          </w:r>
          <w:r w:rsidR="00000000">
            <w:fldChar w:fldCharType="separate"/>
          </w:r>
          <w:r w:rsidR="00000000">
            <w:rPr>
              <w:rFonts w:ascii="Times New Roman" w:eastAsia="Times New Roman" w:hAnsi="Times New Roman" w:cs="Times New Roman"/>
              <w:sz w:val="24"/>
              <w:szCs w:val="24"/>
            </w:rPr>
            <w:t>11</w:t>
          </w:r>
          <w:r w:rsidR="00000000">
            <w:fldChar w:fldCharType="end"/>
          </w:r>
        </w:p>
        <w:p w14:paraId="04CFC4A6"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579w6yh76ixp">
            <w:r>
              <w:rPr>
                <w:rFonts w:ascii="Times New Roman" w:eastAsia="Times New Roman" w:hAnsi="Times New Roman" w:cs="Times New Roman"/>
                <w:color w:val="000000"/>
                <w:sz w:val="24"/>
                <w:szCs w:val="24"/>
              </w:rPr>
              <w:t>4.1 Matrix of the Ansoff Growth Direction in expanding to the US.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_heading=h.579w6yh76ixp \h </w:instrText>
          </w:r>
          <w:r w:rsidR="00000000">
            <w:fldChar w:fldCharType="separate"/>
          </w:r>
          <w:r w:rsidR="00000000">
            <w:rPr>
              <w:rFonts w:ascii="Times New Roman" w:eastAsia="Times New Roman" w:hAnsi="Times New Roman" w:cs="Times New Roman"/>
              <w:sz w:val="24"/>
              <w:szCs w:val="24"/>
            </w:rPr>
            <w:t>11</w:t>
          </w:r>
          <w:r w:rsidR="00000000">
            <w:fldChar w:fldCharType="end"/>
          </w:r>
        </w:p>
        <w:p w14:paraId="31B7B666"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g090zmqykmqi">
            <w:r>
              <w:rPr>
                <w:rFonts w:ascii="Times New Roman" w:eastAsia="Times New Roman" w:hAnsi="Times New Roman" w:cs="Times New Roman"/>
                <w:color w:val="000000"/>
                <w:sz w:val="24"/>
                <w:szCs w:val="24"/>
              </w:rPr>
              <w:t>Table 4.1: Ansoff’s Matrix Application for Mahindra’s EV Strategy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_heading=h.g090zmqykmqi \h </w:instrText>
          </w:r>
          <w:r w:rsidR="00000000">
            <w:fldChar w:fldCharType="separate"/>
          </w:r>
          <w:r w:rsidR="00000000">
            <w:rPr>
              <w:rFonts w:ascii="Times New Roman" w:eastAsia="Times New Roman" w:hAnsi="Times New Roman" w:cs="Times New Roman"/>
              <w:sz w:val="24"/>
              <w:szCs w:val="24"/>
            </w:rPr>
            <w:t>12</w:t>
          </w:r>
          <w:r w:rsidR="00000000">
            <w:fldChar w:fldCharType="end"/>
          </w:r>
        </w:p>
        <w:p w14:paraId="6FDD3354"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9dpekxom7fhl">
            <w:r>
              <w:rPr>
                <w:rFonts w:ascii="Times New Roman" w:eastAsia="Times New Roman" w:hAnsi="Times New Roman" w:cs="Times New Roman"/>
                <w:color w:val="000000"/>
                <w:sz w:val="24"/>
                <w:szCs w:val="24"/>
              </w:rPr>
              <w:t>4.2 Generic Competitive Strategy of Porter.</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_heading=h.9dpekxom7fhl \h </w:instrText>
          </w:r>
          <w:r w:rsidR="00000000">
            <w:fldChar w:fldCharType="separate"/>
          </w:r>
          <w:r w:rsidR="00000000">
            <w:rPr>
              <w:rFonts w:ascii="Times New Roman" w:eastAsia="Times New Roman" w:hAnsi="Times New Roman" w:cs="Times New Roman"/>
              <w:sz w:val="24"/>
              <w:szCs w:val="24"/>
            </w:rPr>
            <w:t>12</w:t>
          </w:r>
          <w:r w:rsidR="00000000">
            <w:fldChar w:fldCharType="end"/>
          </w:r>
        </w:p>
        <w:p w14:paraId="14071A46"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ms64u8mwbruf">
            <w:r>
              <w:rPr>
                <w:rFonts w:ascii="Times New Roman" w:eastAsia="Times New Roman" w:hAnsi="Times New Roman" w:cs="Times New Roman"/>
                <w:color w:val="000000"/>
                <w:sz w:val="24"/>
                <w:szCs w:val="24"/>
              </w:rPr>
              <w:t>Table 4.2: Porter’s Generic Strategy for Mahindra EVs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_heading=h.ms64u8mwbruf \h </w:instrText>
          </w:r>
          <w:r w:rsidR="00000000">
            <w:fldChar w:fldCharType="separate"/>
          </w:r>
          <w:r w:rsidR="00000000">
            <w:rPr>
              <w:rFonts w:ascii="Times New Roman" w:eastAsia="Times New Roman" w:hAnsi="Times New Roman" w:cs="Times New Roman"/>
              <w:sz w:val="24"/>
              <w:szCs w:val="24"/>
            </w:rPr>
            <w:t>13</w:t>
          </w:r>
          <w:r w:rsidR="00000000">
            <w:fldChar w:fldCharType="end"/>
          </w:r>
        </w:p>
        <w:p w14:paraId="6F87B389"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eftvgvxjp5ck">
            <w:r>
              <w:rPr>
                <w:rFonts w:ascii="Times New Roman" w:eastAsia="Times New Roman" w:hAnsi="Times New Roman" w:cs="Times New Roman"/>
                <w:color w:val="000000"/>
                <w:sz w:val="24"/>
                <w:szCs w:val="24"/>
              </w:rPr>
              <w:t>4.3 Market Entry Strategy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_heading=h.eftvgvxjp5ck \h </w:instrText>
          </w:r>
          <w:r w:rsidR="00000000">
            <w:fldChar w:fldCharType="separate"/>
          </w:r>
          <w:r w:rsidR="00000000">
            <w:rPr>
              <w:rFonts w:ascii="Times New Roman" w:eastAsia="Times New Roman" w:hAnsi="Times New Roman" w:cs="Times New Roman"/>
              <w:sz w:val="24"/>
              <w:szCs w:val="24"/>
            </w:rPr>
            <w:t>13</w:t>
          </w:r>
          <w:r w:rsidR="00000000">
            <w:fldChar w:fldCharType="end"/>
          </w:r>
        </w:p>
        <w:p w14:paraId="43FF933E"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6ce85dz49kao">
            <w:r>
              <w:rPr>
                <w:rFonts w:ascii="Times New Roman" w:eastAsia="Times New Roman" w:hAnsi="Times New Roman" w:cs="Times New Roman"/>
                <w:color w:val="000000"/>
                <w:sz w:val="24"/>
                <w:szCs w:val="24"/>
              </w:rPr>
              <w:t>Table 4.3: Evaluation of Market Entry Modes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_heading=h.6ce85dz49kao \h </w:instrText>
          </w:r>
          <w:r w:rsidR="00000000">
            <w:fldChar w:fldCharType="separate"/>
          </w:r>
          <w:r w:rsidR="00000000">
            <w:rPr>
              <w:rFonts w:ascii="Times New Roman" w:eastAsia="Times New Roman" w:hAnsi="Times New Roman" w:cs="Times New Roman"/>
              <w:sz w:val="24"/>
              <w:szCs w:val="24"/>
            </w:rPr>
            <w:t>14</w:t>
          </w:r>
          <w:r w:rsidR="00000000">
            <w:fldChar w:fldCharType="end"/>
          </w:r>
        </w:p>
        <w:p w14:paraId="3EC090C2"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x5zns1mamadt">
            <w:r>
              <w:rPr>
                <w:rFonts w:ascii="Times New Roman" w:eastAsia="Times New Roman" w:hAnsi="Times New Roman" w:cs="Times New Roman"/>
                <w:color w:val="000000"/>
                <w:sz w:val="24"/>
                <w:szCs w:val="24"/>
              </w:rPr>
              <w:t>4.4 BCG Matrix – Strategic Positioning of Mahindra’s EV Portfolio</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_heading=h.x5zns1mamadt \h </w:instrText>
          </w:r>
          <w:r w:rsidR="00000000">
            <w:fldChar w:fldCharType="separate"/>
          </w:r>
          <w:r w:rsidR="00000000">
            <w:rPr>
              <w:rFonts w:ascii="Times New Roman" w:eastAsia="Times New Roman" w:hAnsi="Times New Roman" w:cs="Times New Roman"/>
              <w:sz w:val="24"/>
              <w:szCs w:val="24"/>
            </w:rPr>
            <w:t>14</w:t>
          </w:r>
          <w:r w:rsidR="00000000">
            <w:fldChar w:fldCharType="end"/>
          </w:r>
        </w:p>
        <w:p w14:paraId="7C7E3724"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cwe9fockqm0a">
            <w:r>
              <w:rPr>
                <w:rFonts w:ascii="Times New Roman" w:eastAsia="Times New Roman" w:hAnsi="Times New Roman" w:cs="Times New Roman"/>
                <w:color w:val="000000"/>
                <w:sz w:val="24"/>
                <w:szCs w:val="24"/>
              </w:rPr>
              <w:t>Table 4.4: BCG Matrix Classification of Mahindra’s EV Business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_heading=h.cwe9fockqm0a \h </w:instrText>
          </w:r>
          <w:r w:rsidR="00000000">
            <w:fldChar w:fldCharType="separate"/>
          </w:r>
          <w:r w:rsidR="00000000">
            <w:rPr>
              <w:rFonts w:ascii="Times New Roman" w:eastAsia="Times New Roman" w:hAnsi="Times New Roman" w:cs="Times New Roman"/>
              <w:sz w:val="24"/>
              <w:szCs w:val="24"/>
            </w:rPr>
            <w:t>15</w:t>
          </w:r>
          <w:r w:rsidR="00000000">
            <w:fldChar w:fldCharType="end"/>
          </w:r>
        </w:p>
        <w:p w14:paraId="11166A06"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8bf2uxrocpoq">
            <w:r>
              <w:rPr>
                <w:rFonts w:ascii="Times New Roman" w:eastAsia="Times New Roman" w:hAnsi="Times New Roman" w:cs="Times New Roman"/>
                <w:color w:val="000000"/>
                <w:sz w:val="24"/>
                <w:szCs w:val="24"/>
              </w:rPr>
              <w:t>4.5 CSR and Sustainability Strategy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_heading=h.8bf2uxrocpoq \h </w:instrText>
          </w:r>
          <w:r w:rsidR="00000000">
            <w:fldChar w:fldCharType="separate"/>
          </w:r>
          <w:r w:rsidR="00000000">
            <w:rPr>
              <w:rFonts w:ascii="Times New Roman" w:eastAsia="Times New Roman" w:hAnsi="Times New Roman" w:cs="Times New Roman"/>
              <w:sz w:val="24"/>
              <w:szCs w:val="24"/>
            </w:rPr>
            <w:t>15</w:t>
          </w:r>
          <w:r w:rsidR="00000000">
            <w:fldChar w:fldCharType="end"/>
          </w:r>
        </w:p>
        <w:p w14:paraId="23EE2B18"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j5desl60n7q">
            <w:r>
              <w:rPr>
                <w:rFonts w:ascii="Times New Roman" w:eastAsia="Times New Roman" w:hAnsi="Times New Roman" w:cs="Times New Roman"/>
                <w:color w:val="000000"/>
                <w:sz w:val="24"/>
                <w:szCs w:val="24"/>
              </w:rPr>
              <w:t>4.6 Risk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_heading=h.j5desl60n7q \h </w:instrText>
          </w:r>
          <w:r w:rsidR="00000000">
            <w:fldChar w:fldCharType="separate"/>
          </w:r>
          <w:r w:rsidR="00000000">
            <w:rPr>
              <w:rFonts w:ascii="Times New Roman" w:eastAsia="Times New Roman" w:hAnsi="Times New Roman" w:cs="Times New Roman"/>
              <w:sz w:val="24"/>
              <w:szCs w:val="24"/>
            </w:rPr>
            <w:t>16</w:t>
          </w:r>
          <w:r w:rsidR="00000000">
            <w:fldChar w:fldCharType="end"/>
          </w:r>
        </w:p>
        <w:p w14:paraId="02F7F311"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82zi57kssjd3">
            <w:r>
              <w:rPr>
                <w:rFonts w:ascii="Times New Roman" w:eastAsia="Times New Roman" w:hAnsi="Times New Roman" w:cs="Times New Roman"/>
                <w:color w:val="000000"/>
                <w:sz w:val="24"/>
                <w:szCs w:val="24"/>
              </w:rPr>
              <w:t>5. Performance Evaluation Framework</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_heading=h.82zi57kssjd3 \h </w:instrText>
          </w:r>
          <w:r w:rsidR="00000000">
            <w:fldChar w:fldCharType="separate"/>
          </w:r>
          <w:r w:rsidR="00000000">
            <w:rPr>
              <w:rFonts w:ascii="Times New Roman" w:eastAsia="Times New Roman" w:hAnsi="Times New Roman" w:cs="Times New Roman"/>
              <w:sz w:val="24"/>
              <w:szCs w:val="24"/>
            </w:rPr>
            <w:t>17</w:t>
          </w:r>
          <w:r w:rsidR="00000000">
            <w:fldChar w:fldCharType="end"/>
          </w:r>
        </w:p>
        <w:p w14:paraId="7D348141"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7pfkhdy3kx34">
            <w:r>
              <w:rPr>
                <w:rFonts w:ascii="Times New Roman" w:eastAsia="Times New Roman" w:hAnsi="Times New Roman" w:cs="Times New Roman"/>
                <w:color w:val="000000"/>
                <w:sz w:val="24"/>
                <w:szCs w:val="24"/>
              </w:rPr>
              <w:t>5.1 Balanced Scorecard Framework.</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_heading=h.7pfkhdy3kx34 \h </w:instrText>
          </w:r>
          <w:r w:rsidR="00000000">
            <w:fldChar w:fldCharType="separate"/>
          </w:r>
          <w:r w:rsidR="00000000">
            <w:rPr>
              <w:rFonts w:ascii="Times New Roman" w:eastAsia="Times New Roman" w:hAnsi="Times New Roman" w:cs="Times New Roman"/>
              <w:sz w:val="24"/>
              <w:szCs w:val="24"/>
            </w:rPr>
            <w:t>17</w:t>
          </w:r>
          <w:r w:rsidR="00000000">
            <w:fldChar w:fldCharType="end"/>
          </w:r>
        </w:p>
        <w:p w14:paraId="624F8FA7"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4lwmmwz07uw7">
            <w:r>
              <w:rPr>
                <w:rFonts w:ascii="Times New Roman" w:eastAsia="Times New Roman" w:hAnsi="Times New Roman" w:cs="Times New Roman"/>
                <w:color w:val="000000"/>
                <w:sz w:val="24"/>
                <w:szCs w:val="24"/>
              </w:rPr>
              <w:t>5.1.1 Financial Perspective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_heading=h.4lwmmwz07uw7 \h </w:instrText>
          </w:r>
          <w:r w:rsidR="00000000">
            <w:fldChar w:fldCharType="separate"/>
          </w:r>
          <w:r w:rsidR="00000000">
            <w:rPr>
              <w:rFonts w:ascii="Times New Roman" w:eastAsia="Times New Roman" w:hAnsi="Times New Roman" w:cs="Times New Roman"/>
              <w:sz w:val="24"/>
              <w:szCs w:val="24"/>
            </w:rPr>
            <w:t>17</w:t>
          </w:r>
          <w:r w:rsidR="00000000">
            <w:fldChar w:fldCharType="end"/>
          </w:r>
        </w:p>
        <w:p w14:paraId="2146DFF3"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bf4paq42xzxr">
            <w:r>
              <w:rPr>
                <w:rFonts w:ascii="Times New Roman" w:eastAsia="Times New Roman" w:hAnsi="Times New Roman" w:cs="Times New Roman"/>
                <w:color w:val="000000"/>
                <w:sz w:val="24"/>
                <w:szCs w:val="24"/>
              </w:rPr>
              <w:t>5.1.2 Customer Perspective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_heading=h.bf4paq42xzxr \h </w:instrText>
          </w:r>
          <w:r w:rsidR="00000000">
            <w:fldChar w:fldCharType="separate"/>
          </w:r>
          <w:r w:rsidR="00000000">
            <w:rPr>
              <w:rFonts w:ascii="Times New Roman" w:eastAsia="Times New Roman" w:hAnsi="Times New Roman" w:cs="Times New Roman"/>
              <w:sz w:val="24"/>
              <w:szCs w:val="24"/>
            </w:rPr>
            <w:t>18</w:t>
          </w:r>
          <w:r w:rsidR="00000000">
            <w:fldChar w:fldCharType="end"/>
          </w:r>
        </w:p>
        <w:p w14:paraId="370A1E6E"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xhs3hd3mnw6t">
            <w:r>
              <w:rPr>
                <w:rFonts w:ascii="Times New Roman" w:eastAsia="Times New Roman" w:hAnsi="Times New Roman" w:cs="Times New Roman"/>
                <w:color w:val="000000"/>
                <w:sz w:val="24"/>
                <w:szCs w:val="24"/>
              </w:rPr>
              <w:t>5.1.3 Internal Business Processes Perspective.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_heading=h.xhs3hd3mnw6t \h </w:instrText>
          </w:r>
          <w:r w:rsidR="00000000">
            <w:fldChar w:fldCharType="separate"/>
          </w:r>
          <w:r w:rsidR="00000000">
            <w:rPr>
              <w:rFonts w:ascii="Times New Roman" w:eastAsia="Times New Roman" w:hAnsi="Times New Roman" w:cs="Times New Roman"/>
              <w:sz w:val="24"/>
              <w:szCs w:val="24"/>
            </w:rPr>
            <w:t>19</w:t>
          </w:r>
          <w:r w:rsidR="00000000">
            <w:fldChar w:fldCharType="end"/>
          </w:r>
        </w:p>
        <w:p w14:paraId="1A3E41CC" w14:textId="77777777" w:rsidR="006E2C30" w:rsidRDefault="006E2C3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m3rwfcheo0x5">
            <w:r>
              <w:rPr>
                <w:rFonts w:ascii="Times New Roman" w:eastAsia="Times New Roman" w:hAnsi="Times New Roman" w:cs="Times New Roman"/>
                <w:color w:val="000000"/>
                <w:sz w:val="24"/>
                <w:szCs w:val="24"/>
              </w:rPr>
              <w:t>5.1.4 Learning and Growth Perspective.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_heading=h.m3rwfcheo0x5 \h </w:instrText>
          </w:r>
          <w:r w:rsidR="00000000">
            <w:fldChar w:fldCharType="separate"/>
          </w:r>
          <w:r w:rsidR="00000000">
            <w:rPr>
              <w:rFonts w:ascii="Times New Roman" w:eastAsia="Times New Roman" w:hAnsi="Times New Roman" w:cs="Times New Roman"/>
              <w:sz w:val="24"/>
              <w:szCs w:val="24"/>
            </w:rPr>
            <w:t>19</w:t>
          </w:r>
          <w:r w:rsidR="00000000">
            <w:fldChar w:fldCharType="end"/>
          </w:r>
        </w:p>
        <w:p w14:paraId="616EEECC"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7gsrdkdcvb6z">
            <w:r>
              <w:rPr>
                <w:rFonts w:ascii="Times New Roman" w:eastAsia="Times New Roman" w:hAnsi="Times New Roman" w:cs="Times New Roman"/>
                <w:color w:val="000000"/>
                <w:sz w:val="24"/>
                <w:szCs w:val="24"/>
              </w:rPr>
              <w:t>5.2 Triple Bottom Line (TBL) Integration.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_heading=h.7gsrdkdcvb6z \h </w:instrText>
          </w:r>
          <w:r w:rsidR="00000000">
            <w:fldChar w:fldCharType="separate"/>
          </w:r>
          <w:r w:rsidR="00000000">
            <w:rPr>
              <w:rFonts w:ascii="Times New Roman" w:eastAsia="Times New Roman" w:hAnsi="Times New Roman" w:cs="Times New Roman"/>
              <w:sz w:val="24"/>
              <w:szCs w:val="24"/>
            </w:rPr>
            <w:t>20</w:t>
          </w:r>
          <w:r w:rsidR="00000000">
            <w:fldChar w:fldCharType="end"/>
          </w:r>
        </w:p>
        <w:p w14:paraId="77CBF115" w14:textId="77777777" w:rsidR="006E2C30" w:rsidRDefault="006E2C3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n9tmrpq6stty">
            <w:r>
              <w:rPr>
                <w:rFonts w:ascii="Times New Roman" w:eastAsia="Times New Roman" w:hAnsi="Times New Roman" w:cs="Times New Roman"/>
                <w:color w:val="000000"/>
                <w:sz w:val="24"/>
                <w:szCs w:val="24"/>
              </w:rPr>
              <w:t>5.3 KPI Measurement and Financial Reporting.</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_heading=h.n9tmrpq6stty \h </w:instrText>
          </w:r>
          <w:r w:rsidR="00000000">
            <w:fldChar w:fldCharType="separate"/>
          </w:r>
          <w:r w:rsidR="00000000">
            <w:rPr>
              <w:rFonts w:ascii="Times New Roman" w:eastAsia="Times New Roman" w:hAnsi="Times New Roman" w:cs="Times New Roman"/>
              <w:sz w:val="24"/>
              <w:szCs w:val="24"/>
            </w:rPr>
            <w:t>20</w:t>
          </w:r>
          <w:r w:rsidR="00000000">
            <w:fldChar w:fldCharType="end"/>
          </w:r>
        </w:p>
        <w:p w14:paraId="65EC9ED3"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sa7mkeg0f97r">
            <w:r>
              <w:rPr>
                <w:rFonts w:ascii="Times New Roman" w:eastAsia="Times New Roman" w:hAnsi="Times New Roman" w:cs="Times New Roman"/>
                <w:color w:val="000000"/>
                <w:sz w:val="24"/>
                <w:szCs w:val="24"/>
              </w:rPr>
              <w:t>6. Discussion and Strategic Integration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_heading=h.sa7mkeg0f97r \h </w:instrText>
          </w:r>
          <w:r w:rsidR="00000000">
            <w:fldChar w:fldCharType="separate"/>
          </w:r>
          <w:r w:rsidR="00000000">
            <w:rPr>
              <w:rFonts w:ascii="Times New Roman" w:eastAsia="Times New Roman" w:hAnsi="Times New Roman" w:cs="Times New Roman"/>
              <w:sz w:val="24"/>
              <w:szCs w:val="24"/>
            </w:rPr>
            <w:t>21</w:t>
          </w:r>
          <w:r w:rsidR="00000000">
            <w:fldChar w:fldCharType="end"/>
          </w:r>
        </w:p>
        <w:p w14:paraId="4195E995" w14:textId="77777777" w:rsidR="006E2C30" w:rsidRDefault="006E2C3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g7aqoxjem93s">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_heading=h.g7aqoxjem93s \h </w:instrText>
          </w:r>
          <w:r w:rsidR="00000000">
            <w:fldChar w:fldCharType="separate"/>
          </w:r>
          <w:r w:rsidR="00000000">
            <w:rPr>
              <w:rFonts w:ascii="Times New Roman" w:eastAsia="Times New Roman" w:hAnsi="Times New Roman" w:cs="Times New Roman"/>
              <w:sz w:val="24"/>
              <w:szCs w:val="24"/>
            </w:rPr>
            <w:t>22</w:t>
          </w:r>
          <w:r w:rsidR="00000000">
            <w:fldChar w:fldCharType="end"/>
          </w:r>
          <w:r w:rsidR="00000000">
            <w:fldChar w:fldCharType="end"/>
          </w:r>
        </w:p>
      </w:sdtContent>
    </w:sdt>
    <w:p w14:paraId="2F2EC64E" w14:textId="77777777" w:rsidR="006E2C30" w:rsidRDefault="00000000">
      <w:pPr>
        <w:pStyle w:val="Heading1"/>
        <w:spacing w:before="240" w:after="240"/>
        <w:jc w:val="left"/>
      </w:pPr>
      <w:bookmarkStart w:id="2" w:name="_heading=h.i7t3jrne4l0t" w:colFirst="0" w:colLast="0"/>
      <w:bookmarkEnd w:id="2"/>
      <w:r>
        <w:br w:type="page"/>
      </w:r>
    </w:p>
    <w:p w14:paraId="307A7B9F" w14:textId="77777777" w:rsidR="006E2C30" w:rsidRDefault="00000000">
      <w:pPr>
        <w:pStyle w:val="Heading1"/>
        <w:spacing w:before="240" w:after="240"/>
      </w:pPr>
      <w:bookmarkStart w:id="3" w:name="_heading=h.tj295abdo9yy" w:colFirst="0" w:colLast="0"/>
      <w:bookmarkEnd w:id="3"/>
      <w:r>
        <w:lastRenderedPageBreak/>
        <w:t xml:space="preserve">1. Introduction </w:t>
      </w:r>
    </w:p>
    <w:p w14:paraId="65E56212"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case of international expansion, firms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access new markets, enjoy economies of scale, diversify risks and position themselves better. Nevertheless, the trade protectionism, tariff changes, and economic instability is increasingly becoming a factor in global business operations, especially in such major economies as the United States and the European Union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Contractor, 2025). These difficulties were heightened by the COVID-19 pandemic that disrupted supply chains all over the world and increased the pace of digital and technological transformation in industries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w:t>
      </w:r>
    </w:p>
    <w:p w14:paraId="2BF0282E"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markets too have undergone structural changes, and equity markets have been growing very well,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technological development, and investor belief in new sectors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 The concept of sustainability, environmental responsibility, and climate adaptation has become an inseparable part of strategic decision-making, especially in industries that are characterized by a high ratio of manufacturing (Chu et al., 2022; Karner, 2021).</w:t>
      </w:r>
    </w:p>
    <w:p w14:paraId="374225CF"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Electric Vehicle (EV) business has become a major force of industry change in the global arena, with strong environmental demands, government policy subsidies, and accelerated technological advancement (Hsu, 2023;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The general embrace of electric and autonomous vehicles has also been growing, which further bolsters the business potential of the industry (Alqahtani, 2025). The EV industry is a strategically important industry that is highly competitive due to these forces.</w:t>
      </w:r>
    </w:p>
    <w:p w14:paraId="7FB13968"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Mahindra and Mahindra (M &amp; M) is among the major multinationals in India in the automotive sector that features intensely in the manufacturing, invention and green mobility. Its electric mobility department is an indicator of the long-term strategic interest of the firm in clean transportation and vehicle design that is low-cost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2025).</w:t>
      </w:r>
    </w:p>
    <w:p w14:paraId="4CF4485C" w14:textId="77777777" w:rsidR="006E2C30" w:rsidRDefault="00000000">
      <w:pPr>
        <w:pStyle w:val="Heading1"/>
        <w:spacing w:before="240" w:after="240"/>
      </w:pPr>
      <w:bookmarkStart w:id="4" w:name="_heading=h.mbd1dyqn3j7k" w:colFirst="0" w:colLast="0"/>
      <w:bookmarkEnd w:id="4"/>
      <w:r>
        <w:t xml:space="preserve">2. </w:t>
      </w:r>
      <w:proofErr w:type="spellStart"/>
      <w:r>
        <w:t>Organisation</w:t>
      </w:r>
      <w:proofErr w:type="spellEnd"/>
      <w:r>
        <w:t xml:space="preserve"> and Target Market Choice.</w:t>
      </w:r>
    </w:p>
    <w:p w14:paraId="5288DBBF" w14:textId="77777777" w:rsidR="006E2C30" w:rsidRDefault="00000000">
      <w:pPr>
        <w:pStyle w:val="Heading2"/>
        <w:spacing w:before="240" w:after="240"/>
      </w:pPr>
      <w:bookmarkStart w:id="5" w:name="_heading=h.pnda0qxbfecr" w:colFirst="0" w:colLast="0"/>
      <w:bookmarkEnd w:id="5"/>
      <w:r>
        <w:t>2.1 Mahindra and Mahindra Company Overview.</w:t>
      </w:r>
    </w:p>
    <w:p w14:paraId="6762FE8F"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Mahindra and Mahindra (M&amp;M) is among the largest multinational auto and manufacturing conglomerates in India, with diversified deals in the areas of passenger cars, commercial cars, farm </w:t>
      </w:r>
      <w:r>
        <w:rPr>
          <w:rFonts w:ascii="Times New Roman" w:eastAsia="Times New Roman" w:hAnsi="Times New Roman" w:cs="Times New Roman"/>
          <w:sz w:val="24"/>
          <w:szCs w:val="24"/>
        </w:rPr>
        <w:lastRenderedPageBreak/>
        <w:t xml:space="preserve">machinery, electric mobility, financial services and information technology (Mahindra &amp; Mahindra Ltd, 2024). The company has built a powerful brand name in terms of cost-effective engineering, mobility solutions innovation and strong manufacturing capacities in both developing and developed markets. Its automotive sector is part of the international strategy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generates a significant share of the total earnings and brand image (Sikder, 2021).</w:t>
      </w:r>
    </w:p>
    <w:p w14:paraId="5BCC9B6C"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Mahindra has been putting a growing emphasis on its corporate strategy on sustainability and clean mobility, especially in the electric vehicle (EV) business unit. The initial investment in EV technology demonstrates a perspective strategy of the company in reaction to the climate change threat by being proactive and involving consuming trends towards eco-friendly transport (Karner, 2021; Hsu, 2023). The portfolio of Vehicles under the electric mobility has three categories: electric passenger vehicles, three-wheelers and commercial EVs, which puts Mahindra in a strategic position to serve the low-priced and utility-oriented EV segment.</w:t>
      </w:r>
    </w:p>
    <w:p w14:paraId="53737884"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Financially and strategically, Mahindra has a high level of operational resilience with its diversified sources of revenue, </w:t>
      </w:r>
      <w:proofErr w:type="gramStart"/>
      <w:r>
        <w:rPr>
          <w:rFonts w:ascii="Times New Roman" w:eastAsia="Times New Roman" w:hAnsi="Times New Roman" w:cs="Times New Roman"/>
          <w:sz w:val="24"/>
          <w:szCs w:val="24"/>
        </w:rPr>
        <w:t>a market</w:t>
      </w:r>
      <w:proofErr w:type="gramEnd"/>
      <w:r>
        <w:rPr>
          <w:rFonts w:ascii="Times New Roman" w:eastAsia="Times New Roman" w:hAnsi="Times New Roman" w:cs="Times New Roman"/>
          <w:sz w:val="24"/>
          <w:szCs w:val="24"/>
        </w:rPr>
        <w:t xml:space="preserve"> leadership and strategic investment in innovation in the domestic market. Financial analysis of Mahindra vs. Mahindra and the primary Indian rivals (e.g. Maruti Suzuki) shows that Mahindra has competitive profitability and cost positioning, especially on utility cars and new EV platforms (Sikder, 2021). Moreover, the corporate finance-driven analysis reveals that the capital efficiency of Mahindra has been improved, and it has a better orientation towards strategic investments in the process of EV transition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These aspects render Mahindra &amp; Mahindra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is strategically appropriate to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terms of international expansion.</w:t>
      </w:r>
    </w:p>
    <w:p w14:paraId="0FE34A94" w14:textId="77777777" w:rsidR="006E2C30" w:rsidRDefault="00000000">
      <w:pPr>
        <w:pStyle w:val="Heading2"/>
        <w:spacing w:before="240" w:after="240"/>
      </w:pPr>
      <w:bookmarkStart w:id="6" w:name="_heading=h.5vnn557kchh" w:colFirst="0" w:colLast="0"/>
      <w:bookmarkEnd w:id="6"/>
      <w:r>
        <w:t>2.2 Target Market Choice: United States.</w:t>
      </w:r>
    </w:p>
    <w:p w14:paraId="1DB0D574"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States is chosen as the target foreign market in the expansion of Mahindra &amp; Mahindra EV as it is a technologically advanced country, has a large market, an EV shift via policies and consumer demand towards sustainable mobility. The US is one of the biggest and </w:t>
      </w:r>
      <w:proofErr w:type="gramStart"/>
      <w:r>
        <w:rPr>
          <w:rFonts w:ascii="Times New Roman" w:eastAsia="Times New Roman" w:hAnsi="Times New Roman" w:cs="Times New Roman"/>
          <w:sz w:val="24"/>
          <w:szCs w:val="24"/>
        </w:rPr>
        <w:t>competitive</w:t>
      </w:r>
      <w:proofErr w:type="gramEnd"/>
      <w:r>
        <w:rPr>
          <w:rFonts w:ascii="Times New Roman" w:eastAsia="Times New Roman" w:hAnsi="Times New Roman" w:cs="Times New Roman"/>
          <w:sz w:val="24"/>
          <w:szCs w:val="24"/>
        </w:rPr>
        <w:t xml:space="preserve"> markets of the automotive industry in the world, and the use of electric and autonomous vehicles is quickly gaining momentum. Electric cars and full autopilot transport systems have been increasingly accepted by the society, which enhances long-term business sustainability (Alqahtani, 2025).</w:t>
      </w:r>
    </w:p>
    <w:p w14:paraId="23F973C5" w14:textId="77777777" w:rsidR="006E2C30" w:rsidRDefault="00000000">
      <w:pPr>
        <w:spacing w:before="240" w:after="240" w:line="36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DD3EB3A" wp14:editId="45F4136B">
            <wp:extent cx="4567238" cy="280328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567238" cy="2803288"/>
                    </a:xfrm>
                    <a:prstGeom prst="rect">
                      <a:avLst/>
                    </a:prstGeom>
                    <a:ln/>
                  </pic:spPr>
                </pic:pic>
              </a:graphicData>
            </a:graphic>
          </wp:inline>
        </w:drawing>
      </w:r>
    </w:p>
    <w:p w14:paraId="33DB21FC" w14:textId="77777777" w:rsidR="006E2C30" w:rsidRDefault="0000000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The United States has established a wide range of federal and state incentives</w:t>
      </w:r>
    </w:p>
    <w:p w14:paraId="78B39D15" w14:textId="77777777" w:rsidR="006E2C30" w:rsidRDefault="0000000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Ajeigbe</w:t>
      </w:r>
      <w:proofErr w:type="spellEnd"/>
      <w:r>
        <w:rPr>
          <w:rFonts w:ascii="Times New Roman" w:eastAsia="Times New Roman" w:hAnsi="Times New Roman" w:cs="Times New Roman"/>
          <w:b/>
          <w:bCs/>
          <w:sz w:val="24"/>
          <w:szCs w:val="24"/>
        </w:rPr>
        <w:t xml:space="preserve"> and Holt, 2025) </w:t>
      </w:r>
    </w:p>
    <w:p w14:paraId="1D9E14FC"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Policymaking On a policy level, the United States has established a wide range of federal and state incentives to promote EV production, deployment of infrastructure, and purchase by consumers. International EV producers have been provided with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market entry conditions by the government policies, subsidies, tax credits and green industrial policies that directly target the production of EVs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Also, climate policies and environmental regulations are still pressuring the automotive manufacturers to begin electrification and emission cutoffs (Hsu, 2023).</w:t>
      </w:r>
    </w:p>
    <w:p w14:paraId="5497BFD1"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 offers a deep capital market, venture capital financing and innovation ecosystems that sustain high-growth sectors like electric mobility and autonomous vehicle technology, economically. The successful growth of the US stock market has been well-associated with technological breakthrough and investor trust in areas of the future such as clean energy and EVs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 This economic climate is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to foreign companies in </w:t>
      </w:r>
      <w:proofErr w:type="gramStart"/>
      <w:r>
        <w:rPr>
          <w:rFonts w:ascii="Times New Roman" w:eastAsia="Times New Roman" w:hAnsi="Times New Roman" w:cs="Times New Roman"/>
          <w:sz w:val="24"/>
          <w:szCs w:val="24"/>
        </w:rPr>
        <w:t>the need</w:t>
      </w:r>
      <w:proofErr w:type="gramEnd"/>
      <w:r>
        <w:rPr>
          <w:rFonts w:ascii="Times New Roman" w:eastAsia="Times New Roman" w:hAnsi="Times New Roman" w:cs="Times New Roman"/>
          <w:sz w:val="24"/>
          <w:szCs w:val="24"/>
        </w:rPr>
        <w:t xml:space="preserve"> of strategic alliances, investment and expansion finance.</w:t>
      </w:r>
    </w:p>
    <w:p w14:paraId="5CA69E93"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technology, the US is on the forefront in the world in terms of innovation in EVs, including battery, autonomous driving systems, digitization and smart mobility infrastructure. </w:t>
      </w:r>
      <w:r>
        <w:rPr>
          <w:rFonts w:ascii="Times New Roman" w:eastAsia="Times New Roman" w:hAnsi="Times New Roman" w:cs="Times New Roman"/>
          <w:sz w:val="24"/>
          <w:szCs w:val="24"/>
        </w:rPr>
        <w:lastRenderedPageBreak/>
        <w:t xml:space="preserve">Close cooperation among automotive industries, technologies, and research centers improves the </w:t>
      </w:r>
      <w:proofErr w:type="gramStart"/>
      <w:r>
        <w:rPr>
          <w:rFonts w:ascii="Times New Roman" w:eastAsia="Times New Roman" w:hAnsi="Times New Roman" w:cs="Times New Roman"/>
          <w:sz w:val="24"/>
          <w:szCs w:val="24"/>
        </w:rPr>
        <w:t>innovation</w:t>
      </w:r>
      <w:proofErr w:type="gramEnd"/>
      <w:r>
        <w:rPr>
          <w:rFonts w:ascii="Times New Roman" w:eastAsia="Times New Roman" w:hAnsi="Times New Roman" w:cs="Times New Roman"/>
          <w:sz w:val="24"/>
          <w:szCs w:val="24"/>
        </w:rPr>
        <w:t xml:space="preserve"> environment. Investment into the automotive technologies facilitated by venture capital also increases the strategic appeal of the US market (Hurry et al., 2022). Furthermore, the development of off-door EVs and autonomous robotic platforms also </w:t>
      </w:r>
      <w:proofErr w:type="gramStart"/>
      <w:r>
        <w:rPr>
          <w:rFonts w:ascii="Times New Roman" w:eastAsia="Times New Roman" w:hAnsi="Times New Roman" w:cs="Times New Roman"/>
          <w:sz w:val="24"/>
          <w:szCs w:val="24"/>
        </w:rPr>
        <w:t>present</w:t>
      </w:r>
      <w:proofErr w:type="gramEnd"/>
      <w:r>
        <w:rPr>
          <w:rFonts w:ascii="Times New Roman" w:eastAsia="Times New Roman" w:hAnsi="Times New Roman" w:cs="Times New Roman"/>
          <w:sz w:val="24"/>
          <w:szCs w:val="24"/>
        </w:rPr>
        <w:t xml:space="preserve"> an opportunity in the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vehicle segment, and Mahindra has product alignment potentials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w:t>
      </w:r>
    </w:p>
    <w:p w14:paraId="7F1E4B95" w14:textId="77777777" w:rsidR="006E2C30" w:rsidRDefault="00000000">
      <w:pPr>
        <w:pStyle w:val="Heading2"/>
        <w:spacing w:before="240" w:after="240"/>
      </w:pPr>
      <w:bookmarkStart w:id="7" w:name="_heading=h.m8xkyrly85ij" w:colFirst="0" w:colLast="0"/>
      <w:bookmarkEnd w:id="7"/>
      <w:r>
        <w:t>2.3 Strategic Justification of Market Selection.</w:t>
      </w:r>
    </w:p>
    <w:p w14:paraId="48469FB2"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combination of political, economic, technological and environment factors </w:t>
      </w:r>
      <w:proofErr w:type="gramStart"/>
      <w:r>
        <w:rPr>
          <w:rFonts w:ascii="Times New Roman" w:eastAsia="Times New Roman" w:hAnsi="Times New Roman" w:cs="Times New Roman"/>
          <w:sz w:val="24"/>
          <w:szCs w:val="24"/>
        </w:rPr>
        <w:t>forms</w:t>
      </w:r>
      <w:proofErr w:type="gramEnd"/>
      <w:r>
        <w:rPr>
          <w:rFonts w:ascii="Times New Roman" w:eastAsia="Times New Roman" w:hAnsi="Times New Roman" w:cs="Times New Roman"/>
          <w:sz w:val="24"/>
          <w:szCs w:val="24"/>
        </w:rPr>
        <w:t xml:space="preserve"> the strategic reason of why the United States has been chosen as the expansion market of Mahindra and Mahindra. Trade and political-wise, despite the periodic protectionist actions of the US and the trade policy that relies on tariffs, multinational companies still readjust their worldwide strategies to reduce the effects of tariffs by </w:t>
      </w:r>
      <w:proofErr w:type="spellStart"/>
      <w:r>
        <w:rPr>
          <w:rFonts w:ascii="Times New Roman" w:eastAsia="Times New Roman" w:hAnsi="Times New Roman" w:cs="Times New Roman"/>
          <w:sz w:val="24"/>
          <w:szCs w:val="24"/>
        </w:rPr>
        <w:t>localising</w:t>
      </w:r>
      <w:proofErr w:type="spellEnd"/>
      <w:r>
        <w:rPr>
          <w:rFonts w:ascii="Times New Roman" w:eastAsia="Times New Roman" w:hAnsi="Times New Roman" w:cs="Times New Roman"/>
          <w:sz w:val="24"/>
          <w:szCs w:val="24"/>
        </w:rPr>
        <w:t>, forming alliances and restructuring their supply chains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Contractor, 2025). These adaptation measures enable companies like Mahindra to deal with tariff exposure as well as achieve a long-term presence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market.</w:t>
      </w:r>
    </w:p>
    <w:p w14:paraId="58694036"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on the environment is a powerful strategic force. EV industry has a high correlation with the goal of climate mitigation and the compulsory need to substitute internal combustion engines (Chu et al., 2022; Karner, 2021). The sustainability core of EV at Mahindra can be supportive of the US climate adaptation targets and clean mobility frameworks.</w:t>
      </w:r>
    </w:p>
    <w:p w14:paraId="58D13B92"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redesigning of global supply chains following COVID-19 has promoted diversification, nearshoring and supply chain resilience, and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manufacturing in the US and strategic alliances are becoming more appealing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 Mahindra has been successful in producing at a low cost and has a flexible supply chain that has placed it in a good position to adjust to these new global manufacturing realities (MAHINDRA &amp; MAHINDRA LTD, 2023).</w:t>
      </w:r>
    </w:p>
    <w:p w14:paraId="6DE735B7"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Together, America provides Mahindra and Mahindra with the best mix of market size, technological expertise, regulatory encouragement and financial breadth. The choice of Mahindra and Mahindra as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interest and the United States as the target foreign market to expand its EVs in this strategic management analysis justifies these strategic conditions.</w:t>
      </w:r>
    </w:p>
    <w:p w14:paraId="5A0499FA" w14:textId="77777777" w:rsidR="006E2C30" w:rsidRDefault="00000000">
      <w:pPr>
        <w:pStyle w:val="Heading1"/>
        <w:spacing w:before="240" w:after="240"/>
      </w:pPr>
      <w:bookmarkStart w:id="8" w:name="_heading=h.fwnk2c1v8qg2" w:colFirst="0" w:colLast="0"/>
      <w:bookmarkEnd w:id="8"/>
      <w:r>
        <w:lastRenderedPageBreak/>
        <w:t>3. General Strategic Analysis.</w:t>
      </w:r>
    </w:p>
    <w:p w14:paraId="7D93E641" w14:textId="77777777" w:rsidR="006E2C30" w:rsidRDefault="00000000">
      <w:pPr>
        <w:pStyle w:val="Heading2"/>
        <w:spacing w:before="240" w:after="240"/>
      </w:pPr>
      <w:bookmarkStart w:id="9" w:name="_heading=h.aaws75chrelu" w:colFirst="0" w:colLast="0"/>
      <w:bookmarkEnd w:id="9"/>
      <w:r>
        <w:t xml:space="preserve">3.1 PESTLE Analysis of the United States Electric Vehicle (EV) Market </w:t>
      </w:r>
    </w:p>
    <w:p w14:paraId="2DF55509"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 government has </w:t>
      </w:r>
      <w:proofErr w:type="gramStart"/>
      <w:r>
        <w:rPr>
          <w:rFonts w:ascii="Times New Roman" w:eastAsia="Times New Roman" w:hAnsi="Times New Roman" w:cs="Times New Roman"/>
          <w:sz w:val="24"/>
          <w:szCs w:val="24"/>
        </w:rPr>
        <w:t>taken</w:t>
      </w:r>
      <w:proofErr w:type="gramEnd"/>
      <w:r>
        <w:rPr>
          <w:rFonts w:ascii="Times New Roman" w:eastAsia="Times New Roman" w:hAnsi="Times New Roman" w:cs="Times New Roman"/>
          <w:sz w:val="24"/>
          <w:szCs w:val="24"/>
        </w:rPr>
        <w:t xml:space="preserve"> a two-pronged strategy of protectionism and industrial promotion. Although the cost of entry in foreign markets increases with </w:t>
      </w:r>
      <w:proofErr w:type="gramStart"/>
      <w:r>
        <w:rPr>
          <w:rFonts w:ascii="Times New Roman" w:eastAsia="Times New Roman" w:hAnsi="Times New Roman" w:cs="Times New Roman"/>
          <w:sz w:val="24"/>
          <w:szCs w:val="24"/>
        </w:rPr>
        <w:t>tariff based</w:t>
      </w:r>
      <w:proofErr w:type="gramEnd"/>
      <w:r>
        <w:rPr>
          <w:rFonts w:ascii="Times New Roman" w:eastAsia="Times New Roman" w:hAnsi="Times New Roman" w:cs="Times New Roman"/>
          <w:sz w:val="24"/>
          <w:szCs w:val="24"/>
        </w:rPr>
        <w:t xml:space="preserve"> trade policies, there is a rising trend of multinational companies adapting to the effects of tariffs using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and restructuring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2021; Contractor, 2025). Meanwhile, there are powerful federal and state-funded incentives, subsidies and tax credits that encourage the manufacturing of domestic EVs and clean energy transitions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This </w:t>
      </w:r>
      <w:proofErr w:type="gramStart"/>
      <w:r>
        <w:rPr>
          <w:rFonts w:ascii="Times New Roman" w:eastAsia="Times New Roman" w:hAnsi="Times New Roman" w:cs="Times New Roman"/>
          <w:sz w:val="24"/>
          <w:szCs w:val="24"/>
        </w:rPr>
        <w:t>opens up</w:t>
      </w:r>
      <w:proofErr w:type="gramEnd"/>
      <w:r>
        <w:rPr>
          <w:rFonts w:ascii="Times New Roman" w:eastAsia="Times New Roman" w:hAnsi="Times New Roman" w:cs="Times New Roman"/>
          <w:sz w:val="24"/>
          <w:szCs w:val="24"/>
        </w:rPr>
        <w:t xml:space="preserve"> possibilities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foreign firms that are ready to invest locally.</w:t>
      </w:r>
    </w:p>
    <w:p w14:paraId="37CBF2D7"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F99D9BF" wp14:editId="0C43411E">
            <wp:extent cx="5943600" cy="2247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247900"/>
                    </a:xfrm>
                    <a:prstGeom prst="rect">
                      <a:avLst/>
                    </a:prstGeom>
                    <a:ln/>
                  </pic:spPr>
                </pic:pic>
              </a:graphicData>
            </a:graphic>
          </wp:inline>
        </w:drawing>
      </w:r>
    </w:p>
    <w:p w14:paraId="26300144" w14:textId="77777777" w:rsidR="006E2C30" w:rsidRDefault="0000000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Causality between Technological Innovation and Economic Growth</w:t>
      </w:r>
    </w:p>
    <w:p w14:paraId="1AAD5B68" w14:textId="77777777" w:rsidR="006E2C30"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Source: (Free and </w:t>
      </w:r>
      <w:proofErr w:type="spellStart"/>
      <w:r>
        <w:rPr>
          <w:rFonts w:ascii="Times New Roman" w:eastAsia="Times New Roman" w:hAnsi="Times New Roman" w:cs="Times New Roman"/>
          <w:b/>
          <w:bCs/>
          <w:sz w:val="24"/>
          <w:szCs w:val="24"/>
        </w:rPr>
        <w:t>Hecimovic</w:t>
      </w:r>
      <w:proofErr w:type="spellEnd"/>
      <w:r>
        <w:rPr>
          <w:rFonts w:ascii="Times New Roman" w:eastAsia="Times New Roman" w:hAnsi="Times New Roman" w:cs="Times New Roman"/>
          <w:b/>
          <w:bCs/>
          <w:sz w:val="24"/>
          <w:szCs w:val="24"/>
        </w:rPr>
        <w:t xml:space="preserve">, 2021) </w:t>
      </w:r>
    </w:p>
    <w:p w14:paraId="0798661F"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 has economic conditions that are highly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technology-driven sectors. The current rise of the US stock market demonstrates the high confidence of investors in the future of the industry in the field of innovation, including clean energy, EVs and high-tech production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 But the pressures of inflation, fluctuations in interest rates and the post covid supply chain </w:t>
      </w:r>
      <w:proofErr w:type="gramStart"/>
      <w:r>
        <w:rPr>
          <w:rFonts w:ascii="Times New Roman" w:eastAsia="Times New Roman" w:hAnsi="Times New Roman" w:cs="Times New Roman"/>
          <w:sz w:val="24"/>
          <w:szCs w:val="24"/>
        </w:rPr>
        <w:t>remains</w:t>
      </w:r>
      <w:proofErr w:type="gramEnd"/>
      <w:r>
        <w:rPr>
          <w:rFonts w:ascii="Times New Roman" w:eastAsia="Times New Roman" w:hAnsi="Times New Roman" w:cs="Times New Roman"/>
          <w:sz w:val="24"/>
          <w:szCs w:val="24"/>
        </w:rPr>
        <w:t xml:space="preserve">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xml:space="preserve">, 2021) affect the cost of production and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
    <w:p w14:paraId="7C9275B8"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Research shows that there is a growing confidence among people towards EV and autonomous technologies, especially among city consumers (Alqahtani, 2025). The changing consumption habits of consumers and sustainable lifestyles, which are environmentally aware, enhance clean mobility demand (Chu et al., 2022). Nonetheless, high </w:t>
      </w:r>
      <w:proofErr w:type="gramStart"/>
      <w:r>
        <w:rPr>
          <w:rFonts w:ascii="Times New Roman" w:eastAsia="Times New Roman" w:hAnsi="Times New Roman" w:cs="Times New Roman"/>
          <w:sz w:val="24"/>
          <w:szCs w:val="24"/>
        </w:rPr>
        <w:t>expectation</w:t>
      </w:r>
      <w:proofErr w:type="gramEnd"/>
      <w:r>
        <w:rPr>
          <w:rFonts w:ascii="Times New Roman" w:eastAsia="Times New Roman" w:hAnsi="Times New Roman" w:cs="Times New Roman"/>
          <w:sz w:val="24"/>
          <w:szCs w:val="24"/>
        </w:rPr>
        <w:t xml:space="preserve"> as </w:t>
      </w:r>
      <w:proofErr w:type="gramStart"/>
      <w:r>
        <w:rPr>
          <w:rFonts w:ascii="Times New Roman" w:eastAsia="Times New Roman" w:hAnsi="Times New Roman" w:cs="Times New Roman"/>
          <w:sz w:val="24"/>
          <w:szCs w:val="24"/>
        </w:rPr>
        <w:t>regards to</w:t>
      </w:r>
      <w:proofErr w:type="gramEnd"/>
      <w:r>
        <w:rPr>
          <w:rFonts w:ascii="Times New Roman" w:eastAsia="Times New Roman" w:hAnsi="Times New Roman" w:cs="Times New Roman"/>
          <w:sz w:val="24"/>
          <w:szCs w:val="24"/>
        </w:rPr>
        <w:t xml:space="preserve"> safety, performance and technology are pertinent purchase drivers.</w:t>
      </w:r>
    </w:p>
    <w:p w14:paraId="19BB1878"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 is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 forefront of EV innovation around the world with robust R&amp;D ecosystems, venture capital investment and inter-industry partnership (Hurry et al., 2022). Also, the off-road EVs and autonomous agricultural </w:t>
      </w:r>
      <w:proofErr w:type="gramStart"/>
      <w:r>
        <w:rPr>
          <w:rFonts w:ascii="Times New Roman" w:eastAsia="Times New Roman" w:hAnsi="Times New Roman" w:cs="Times New Roman"/>
          <w:sz w:val="24"/>
          <w:szCs w:val="24"/>
        </w:rPr>
        <w:t>robots</w:t>
      </w:r>
      <w:proofErr w:type="gramEnd"/>
      <w:r>
        <w:rPr>
          <w:rFonts w:ascii="Times New Roman" w:eastAsia="Times New Roman" w:hAnsi="Times New Roman" w:cs="Times New Roman"/>
          <w:sz w:val="24"/>
          <w:szCs w:val="24"/>
        </w:rPr>
        <w:t xml:space="preserve"> innovation opens new segments with the utility vehicle capabilities of Mahindra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w:t>
      </w:r>
    </w:p>
    <w:p w14:paraId="39A67A8D"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 emission regulations, vehicle safety standards, and environmental regulations are considerably more expensive to enter but at the same time they facilitate the adoption of cleaner vehicles (Hsu, 2023; Karner, 2021). Import costs and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strategies are also affected by trade regulations and the changing industrial policy (Contractor, 2025).</w:t>
      </w:r>
    </w:p>
    <w:p w14:paraId="42B84D96"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shift in internal combustion engines to electric mobility is picking up due to climate change mitigation, carbon neutrality goals and </w:t>
      </w:r>
      <w:proofErr w:type="spellStart"/>
      <w:r>
        <w:rPr>
          <w:rFonts w:ascii="Times New Roman" w:eastAsia="Times New Roman" w:hAnsi="Times New Roman" w:cs="Times New Roman"/>
          <w:sz w:val="24"/>
          <w:szCs w:val="24"/>
        </w:rPr>
        <w:t>decarbonisation</w:t>
      </w:r>
      <w:proofErr w:type="spellEnd"/>
      <w:r>
        <w:rPr>
          <w:rFonts w:ascii="Times New Roman" w:eastAsia="Times New Roman" w:hAnsi="Times New Roman" w:cs="Times New Roman"/>
          <w:sz w:val="24"/>
          <w:szCs w:val="24"/>
        </w:rPr>
        <w:t xml:space="preserve"> pledges (Chu et al., 2022; Karner, 2021).</w:t>
      </w:r>
    </w:p>
    <w:p w14:paraId="33854F95" w14:textId="77777777" w:rsidR="006E2C30" w:rsidRDefault="00000000">
      <w:pPr>
        <w:pStyle w:val="Heading2"/>
        <w:spacing w:before="240" w:after="240"/>
      </w:pPr>
      <w:bookmarkStart w:id="10" w:name="_heading=h.fjfjz9w92puf" w:colFirst="0" w:colLast="0"/>
      <w:bookmarkEnd w:id="10"/>
      <w:r>
        <w:t>3.2: Porter’s Five Forces – US Electric Vehicle (EV) Industry</w:t>
      </w:r>
    </w:p>
    <w:tbl>
      <w:tblPr>
        <w:tblStyle w:val="ad"/>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26"/>
        <w:gridCol w:w="4693"/>
        <w:gridCol w:w="2841"/>
      </w:tblGrid>
      <w:tr w:rsidR="006E2C30" w14:paraId="663EE14F" w14:textId="77777777">
        <w:trPr>
          <w:trHeight w:val="785"/>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AC3A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Force</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16E54"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Industry Condition</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28C5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Implication for Mahindra &amp; Mahindra</w:t>
            </w:r>
          </w:p>
        </w:tc>
      </w:tr>
      <w:tr w:rsidR="006E2C30" w14:paraId="63D1BB8D" w14:textId="77777777">
        <w:trPr>
          <w:trHeight w:val="1610"/>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68FA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Rivalry</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0FDF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Very high due to strong players such as Tesla, Ford, GM, Rivian and continuous technological innovation and price competition (Fedotov, 2022; Pangarkar and </w:t>
            </w:r>
            <w:proofErr w:type="spellStart"/>
            <w:r>
              <w:rPr>
                <w:rFonts w:ascii="Times New Roman" w:eastAsia="Times New Roman" w:hAnsi="Times New Roman" w:cs="Times New Roman"/>
                <w:sz w:val="24"/>
                <w:szCs w:val="24"/>
              </w:rPr>
              <w:t>Prabhudesai</w:t>
            </w:r>
            <w:proofErr w:type="spellEnd"/>
            <w:r>
              <w:rPr>
                <w:rFonts w:ascii="Times New Roman" w:eastAsia="Times New Roman" w:hAnsi="Times New Roman" w:cs="Times New Roman"/>
                <w:sz w:val="24"/>
                <w:szCs w:val="24"/>
              </w:rPr>
              <w:t>, 2024).</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BA47A"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M&amp;M must adopt strong differentiation or cost leadership to survive intense rivalry.</w:t>
            </w:r>
          </w:p>
        </w:tc>
      </w:tr>
      <w:tr w:rsidR="006E2C30" w14:paraId="0DB12561" w14:textId="77777777">
        <w:trPr>
          <w:trHeight w:val="1610"/>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50B4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Threat of New Entrants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5DA03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due to high capital requirements, strict regulations and technological complexity, but partially reduced by venture capital funding and start-ups (Hurry et al., 2022; Hsu, 2023).</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7610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Entry requires strong financial backing, partnerships and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strategies.</w:t>
            </w:r>
          </w:p>
        </w:tc>
      </w:tr>
      <w:tr w:rsidR="006E2C30" w14:paraId="025BAAD0" w14:textId="77777777">
        <w:trPr>
          <w:trHeight w:val="1325"/>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F3AEB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Suppliers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1757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due to dependency on lithium, semiconductors and battery materials with global supply risks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46D2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supplier contracts and vertical integration are necessary.</w:t>
            </w:r>
          </w:p>
        </w:tc>
      </w:tr>
      <w:tr w:rsidR="006E2C30" w14:paraId="694726B6" w14:textId="77777777">
        <w:trPr>
          <w:trHeight w:val="1325"/>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4B1E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Bargaining Power of Buyers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9913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as consumers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price-sensitive and have many EV brand choices (Fedotov, 2022).</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4882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pricing, strong after-sales service and brand trust are essential.</w:t>
            </w:r>
          </w:p>
        </w:tc>
      </w:tr>
      <w:tr w:rsidR="006E2C30" w14:paraId="75DCB146" w14:textId="77777777">
        <w:trPr>
          <w:trHeight w:val="1325"/>
        </w:trPr>
        <w:tc>
          <w:tcPr>
            <w:tcW w:w="1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5145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95F7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due to hybrid vehicles, hydrogen fuel vehicles and efficient ICE vehicles (Fedotov, 2022).</w:t>
            </w:r>
          </w:p>
        </w:tc>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00B4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innovation and sustainability positioning are needed to maintain demand.</w:t>
            </w:r>
          </w:p>
        </w:tc>
      </w:tr>
    </w:tbl>
    <w:p w14:paraId="2E89C397" w14:textId="77777777" w:rsidR="006E2C30" w:rsidRDefault="006E2C30">
      <w:pPr>
        <w:spacing w:line="360" w:lineRule="auto"/>
        <w:jc w:val="both"/>
        <w:rPr>
          <w:rFonts w:ascii="Times New Roman" w:eastAsia="Times New Roman" w:hAnsi="Times New Roman" w:cs="Times New Roman"/>
          <w:sz w:val="24"/>
          <w:szCs w:val="24"/>
        </w:rPr>
      </w:pPr>
    </w:p>
    <w:p w14:paraId="762146C1" w14:textId="77777777" w:rsidR="006E2C30" w:rsidRDefault="00000000">
      <w:pPr>
        <w:pStyle w:val="Heading2"/>
        <w:keepNext w:val="0"/>
        <w:keepLines w:val="0"/>
        <w:spacing w:after="80"/>
      </w:pPr>
      <w:bookmarkStart w:id="11" w:name="_heading=h.a8giaqajdph" w:colFirst="0" w:colLast="0"/>
      <w:bookmarkEnd w:id="11"/>
      <w:r>
        <w:t>3.3: VRIO Analysis of Mahindra &amp; Mahindra</w:t>
      </w:r>
    </w:p>
    <w:tbl>
      <w:tblPr>
        <w:tblStyle w:val="ae"/>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99"/>
        <w:gridCol w:w="1068"/>
        <w:gridCol w:w="685"/>
        <w:gridCol w:w="1224"/>
        <w:gridCol w:w="1465"/>
        <w:gridCol w:w="1919"/>
      </w:tblGrid>
      <w:tr w:rsidR="006E2C30" w14:paraId="4221BB41" w14:textId="77777777">
        <w:trPr>
          <w:trHeight w:val="78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43E3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 / Capability</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3B79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7268B"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EAB0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3907F" w14:textId="77777777" w:rsidR="006E2C30"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Organised</w:t>
            </w:r>
            <w:proofErr w:type="spellEnd"/>
            <w:r>
              <w:rPr>
                <w:rFonts w:ascii="Times New Roman" w:eastAsia="Times New Roman" w:hAnsi="Times New Roman" w:cs="Times New Roman"/>
                <w:b/>
                <w:bCs/>
                <w:sz w:val="24"/>
                <w:szCs w:val="24"/>
              </w:rPr>
              <w:t xml:space="preserve"> to Exploit</w:t>
            </w:r>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B1C1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Implication</w:t>
            </w:r>
          </w:p>
        </w:tc>
      </w:tr>
      <w:tr w:rsidR="006E2C30" w14:paraId="219405B0" w14:textId="77777777">
        <w:trPr>
          <w:trHeight w:val="105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9941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Frugal Engineering &amp; Cost-Efficient Manufacturing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2025)</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30A47" w14:textId="77777777" w:rsidR="006E2C30" w:rsidRDefault="00000000">
            <w:pPr>
              <w:spacing w:line="360" w:lineRule="auto"/>
              <w:jc w:val="both"/>
              <w:rPr>
                <w:rFonts w:ascii="Times New Roman" w:eastAsia="Times New Roman" w:hAnsi="Times New Roman" w:cs="Times New Roman"/>
                <w:sz w:val="24"/>
                <w:szCs w:val="24"/>
              </w:rPr>
            </w:pPr>
            <w:sdt>
              <w:sdtPr>
                <w:tag w:val="goog_rdk_0"/>
                <w:id w:val="-1831696749"/>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BE0A0E" w14:textId="77777777" w:rsidR="006E2C30" w:rsidRDefault="00000000">
            <w:pPr>
              <w:spacing w:line="360" w:lineRule="auto"/>
              <w:jc w:val="both"/>
              <w:rPr>
                <w:rFonts w:ascii="Times New Roman" w:eastAsia="Times New Roman" w:hAnsi="Times New Roman" w:cs="Times New Roman"/>
                <w:sz w:val="24"/>
                <w:szCs w:val="24"/>
              </w:rPr>
            </w:pPr>
            <w:sdt>
              <w:sdtPr>
                <w:tag w:val="goog_rdk_1"/>
                <w:id w:val="585300816"/>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480C6" w14:textId="77777777" w:rsidR="006E2C30" w:rsidRDefault="00000000">
            <w:pPr>
              <w:spacing w:line="360" w:lineRule="auto"/>
              <w:jc w:val="both"/>
              <w:rPr>
                <w:rFonts w:ascii="Times New Roman" w:eastAsia="Times New Roman" w:hAnsi="Times New Roman" w:cs="Times New Roman"/>
                <w:sz w:val="24"/>
                <w:szCs w:val="24"/>
              </w:rPr>
            </w:pPr>
            <w:sdt>
              <w:sdtPr>
                <w:tag w:val="goog_rdk_2"/>
                <w:id w:val="1562532275"/>
              </w:sdtPr>
              <w:sdtContent>
                <w:r>
                  <w:rPr>
                    <w:rFonts w:ascii="Arial Unicode MS" w:eastAsia="Arial Unicode MS" w:hAnsi="Arial Unicode MS" w:cs="Arial Unicode MS"/>
                    <w:sz w:val="24"/>
                    <w:szCs w:val="24"/>
                  </w:rPr>
                  <w:t>❌</w:t>
                </w:r>
              </w:sdtContent>
            </w:sdt>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CDC8F" w14:textId="77777777" w:rsidR="006E2C30" w:rsidRDefault="00000000">
            <w:pPr>
              <w:spacing w:line="360" w:lineRule="auto"/>
              <w:jc w:val="both"/>
              <w:rPr>
                <w:rFonts w:ascii="Times New Roman" w:eastAsia="Times New Roman" w:hAnsi="Times New Roman" w:cs="Times New Roman"/>
                <w:sz w:val="24"/>
                <w:szCs w:val="24"/>
              </w:rPr>
            </w:pPr>
            <w:sdt>
              <w:sdtPr>
                <w:tag w:val="goog_rdk_3"/>
                <w:id w:val="279045712"/>
              </w:sdtPr>
              <w:sdtContent>
                <w:r>
                  <w:rPr>
                    <w:rFonts w:ascii="Arial Unicode MS" w:eastAsia="Arial Unicode MS" w:hAnsi="Arial Unicode MS" w:cs="Arial Unicode MS"/>
                    <w:sz w:val="24"/>
                    <w:szCs w:val="24"/>
                  </w:rPr>
                  <w:t>✅</w:t>
                </w:r>
              </w:sdtContent>
            </w:sdt>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62F5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6E2C30" w14:paraId="59B4D064" w14:textId="77777777">
        <w:trPr>
          <w:trHeight w:val="105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AF0E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 R&amp;D Capability and Battery Technology (Hsu, 2023)</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99296" w14:textId="77777777" w:rsidR="006E2C30" w:rsidRDefault="00000000">
            <w:pPr>
              <w:spacing w:line="360" w:lineRule="auto"/>
              <w:jc w:val="both"/>
              <w:rPr>
                <w:rFonts w:ascii="Times New Roman" w:eastAsia="Times New Roman" w:hAnsi="Times New Roman" w:cs="Times New Roman"/>
                <w:sz w:val="24"/>
                <w:szCs w:val="24"/>
              </w:rPr>
            </w:pPr>
            <w:sdt>
              <w:sdtPr>
                <w:tag w:val="goog_rdk_4"/>
                <w:id w:val="1183246189"/>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939D7" w14:textId="77777777" w:rsidR="006E2C30" w:rsidRDefault="00000000">
            <w:pPr>
              <w:spacing w:line="360" w:lineRule="auto"/>
              <w:jc w:val="both"/>
              <w:rPr>
                <w:rFonts w:ascii="Times New Roman" w:eastAsia="Times New Roman" w:hAnsi="Times New Roman" w:cs="Times New Roman"/>
                <w:sz w:val="24"/>
                <w:szCs w:val="24"/>
              </w:rPr>
            </w:pPr>
            <w:sdt>
              <w:sdtPr>
                <w:tag w:val="goog_rdk_5"/>
                <w:id w:val="512069284"/>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1CD389" w14:textId="77777777" w:rsidR="006E2C30" w:rsidRDefault="00000000">
            <w:pPr>
              <w:spacing w:line="360" w:lineRule="auto"/>
              <w:jc w:val="both"/>
              <w:rPr>
                <w:rFonts w:ascii="Times New Roman" w:eastAsia="Times New Roman" w:hAnsi="Times New Roman" w:cs="Times New Roman"/>
                <w:sz w:val="24"/>
                <w:szCs w:val="24"/>
              </w:rPr>
            </w:pPr>
            <w:sdt>
              <w:sdtPr>
                <w:tag w:val="goog_rdk_6"/>
                <w:id w:val="-465516683"/>
              </w:sdtPr>
              <w:sdtContent>
                <w:r>
                  <w:rPr>
                    <w:rFonts w:ascii="Arial Unicode MS" w:eastAsia="Arial Unicode MS" w:hAnsi="Arial Unicode MS" w:cs="Arial Unicode MS"/>
                    <w:sz w:val="24"/>
                    <w:szCs w:val="24"/>
                  </w:rPr>
                  <w:t>❌</w:t>
                </w:r>
              </w:sdtContent>
            </w:sdt>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BEDDD" w14:textId="77777777" w:rsidR="006E2C30" w:rsidRDefault="00000000">
            <w:pPr>
              <w:spacing w:line="360" w:lineRule="auto"/>
              <w:jc w:val="both"/>
              <w:rPr>
                <w:rFonts w:ascii="Times New Roman" w:eastAsia="Times New Roman" w:hAnsi="Times New Roman" w:cs="Times New Roman"/>
                <w:sz w:val="24"/>
                <w:szCs w:val="24"/>
              </w:rPr>
            </w:pPr>
            <w:sdt>
              <w:sdtPr>
                <w:tag w:val="goog_rdk_7"/>
                <w:id w:val="934053553"/>
              </w:sdtPr>
              <w:sdtContent>
                <w:r>
                  <w:rPr>
                    <w:rFonts w:ascii="Arial Unicode MS" w:eastAsia="Arial Unicode MS" w:hAnsi="Arial Unicode MS" w:cs="Arial Unicode MS"/>
                    <w:sz w:val="24"/>
                    <w:szCs w:val="24"/>
                  </w:rPr>
                  <w:t>✅</w:t>
                </w:r>
              </w:sdtContent>
            </w:sdt>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0E884"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Parity</w:t>
            </w:r>
          </w:p>
        </w:tc>
      </w:tr>
      <w:tr w:rsidR="006E2C30" w14:paraId="0CAB0321" w14:textId="77777777">
        <w:trPr>
          <w:trHeight w:val="105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AB6E4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Brand Strength in Utility &amp; Off-road Vehicles (Sikder, 2021)</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1C354" w14:textId="77777777" w:rsidR="006E2C30" w:rsidRDefault="00000000">
            <w:pPr>
              <w:spacing w:line="360" w:lineRule="auto"/>
              <w:jc w:val="both"/>
              <w:rPr>
                <w:rFonts w:ascii="Times New Roman" w:eastAsia="Times New Roman" w:hAnsi="Times New Roman" w:cs="Times New Roman"/>
                <w:sz w:val="24"/>
                <w:szCs w:val="24"/>
              </w:rPr>
            </w:pPr>
            <w:sdt>
              <w:sdtPr>
                <w:tag w:val="goog_rdk_8"/>
                <w:id w:val="-1375264710"/>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9F2FD4" w14:textId="77777777" w:rsidR="006E2C30" w:rsidRDefault="00000000">
            <w:pPr>
              <w:spacing w:line="360" w:lineRule="auto"/>
              <w:jc w:val="both"/>
              <w:rPr>
                <w:rFonts w:ascii="Times New Roman" w:eastAsia="Times New Roman" w:hAnsi="Times New Roman" w:cs="Times New Roman"/>
                <w:sz w:val="24"/>
                <w:szCs w:val="24"/>
              </w:rPr>
            </w:pPr>
            <w:sdt>
              <w:sdtPr>
                <w:tag w:val="goog_rdk_9"/>
                <w:id w:val="21241830"/>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AA858" w14:textId="77777777" w:rsidR="006E2C30" w:rsidRDefault="00000000">
            <w:pPr>
              <w:spacing w:line="360" w:lineRule="auto"/>
              <w:jc w:val="both"/>
              <w:rPr>
                <w:rFonts w:ascii="Times New Roman" w:eastAsia="Times New Roman" w:hAnsi="Times New Roman" w:cs="Times New Roman"/>
                <w:sz w:val="24"/>
                <w:szCs w:val="24"/>
              </w:rPr>
            </w:pPr>
            <w:sdt>
              <w:sdtPr>
                <w:tag w:val="goog_rdk_10"/>
                <w:id w:val="-2069533444"/>
              </w:sdtPr>
              <w:sdtContent>
                <w:r>
                  <w:rPr>
                    <w:rFonts w:ascii="Arial Unicode MS" w:eastAsia="Arial Unicode MS" w:hAnsi="Arial Unicode MS" w:cs="Arial Unicode MS"/>
                    <w:sz w:val="24"/>
                    <w:szCs w:val="24"/>
                  </w:rPr>
                  <w:t>❌</w:t>
                </w:r>
              </w:sdtContent>
            </w:sdt>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8E0A7" w14:textId="77777777" w:rsidR="006E2C30" w:rsidRDefault="00000000">
            <w:pPr>
              <w:spacing w:line="360" w:lineRule="auto"/>
              <w:jc w:val="both"/>
              <w:rPr>
                <w:rFonts w:ascii="Times New Roman" w:eastAsia="Times New Roman" w:hAnsi="Times New Roman" w:cs="Times New Roman"/>
                <w:sz w:val="24"/>
                <w:szCs w:val="24"/>
              </w:rPr>
            </w:pPr>
            <w:sdt>
              <w:sdtPr>
                <w:tag w:val="goog_rdk_11"/>
                <w:id w:val="-1065780163"/>
              </w:sdtPr>
              <w:sdtContent>
                <w:r>
                  <w:rPr>
                    <w:rFonts w:ascii="Arial Unicode MS" w:eastAsia="Arial Unicode MS" w:hAnsi="Arial Unicode MS" w:cs="Arial Unicode MS"/>
                    <w:sz w:val="24"/>
                    <w:szCs w:val="24"/>
                  </w:rPr>
                  <w:t>✅</w:t>
                </w:r>
              </w:sdtContent>
            </w:sdt>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F58B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6E2C30" w14:paraId="4CED4027" w14:textId="77777777">
        <w:trPr>
          <w:trHeight w:val="78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3C7A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Sustainability-Oriented EV Strategy (Karner, 2021)</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E3FA3" w14:textId="77777777" w:rsidR="006E2C30" w:rsidRDefault="00000000">
            <w:pPr>
              <w:spacing w:line="360" w:lineRule="auto"/>
              <w:jc w:val="both"/>
              <w:rPr>
                <w:rFonts w:ascii="Times New Roman" w:eastAsia="Times New Roman" w:hAnsi="Times New Roman" w:cs="Times New Roman"/>
                <w:sz w:val="24"/>
                <w:szCs w:val="24"/>
              </w:rPr>
            </w:pPr>
            <w:sdt>
              <w:sdtPr>
                <w:tag w:val="goog_rdk_12"/>
                <w:id w:val="773144150"/>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4C0304" w14:textId="77777777" w:rsidR="006E2C30" w:rsidRDefault="00000000">
            <w:pPr>
              <w:spacing w:line="360" w:lineRule="auto"/>
              <w:jc w:val="both"/>
              <w:rPr>
                <w:rFonts w:ascii="Times New Roman" w:eastAsia="Times New Roman" w:hAnsi="Times New Roman" w:cs="Times New Roman"/>
                <w:sz w:val="24"/>
                <w:szCs w:val="24"/>
              </w:rPr>
            </w:pPr>
            <w:sdt>
              <w:sdtPr>
                <w:tag w:val="goog_rdk_13"/>
                <w:id w:val="-1609906856"/>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C9024" w14:textId="77777777" w:rsidR="006E2C30" w:rsidRDefault="00000000">
            <w:pPr>
              <w:spacing w:line="360" w:lineRule="auto"/>
              <w:jc w:val="both"/>
              <w:rPr>
                <w:rFonts w:ascii="Times New Roman" w:eastAsia="Times New Roman" w:hAnsi="Times New Roman" w:cs="Times New Roman"/>
                <w:sz w:val="24"/>
                <w:szCs w:val="24"/>
              </w:rPr>
            </w:pPr>
            <w:sdt>
              <w:sdtPr>
                <w:tag w:val="goog_rdk_14"/>
                <w:id w:val="-474916835"/>
              </w:sdtPr>
              <w:sdtContent>
                <w:r>
                  <w:rPr>
                    <w:rFonts w:ascii="Arial Unicode MS" w:eastAsia="Arial Unicode MS" w:hAnsi="Arial Unicode MS" w:cs="Arial Unicode MS"/>
                    <w:sz w:val="24"/>
                    <w:szCs w:val="24"/>
                  </w:rPr>
                  <w:t>❌</w:t>
                </w:r>
              </w:sdtContent>
            </w:sdt>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2724C" w14:textId="77777777" w:rsidR="006E2C30" w:rsidRDefault="00000000">
            <w:pPr>
              <w:spacing w:line="360" w:lineRule="auto"/>
              <w:jc w:val="both"/>
              <w:rPr>
                <w:rFonts w:ascii="Times New Roman" w:eastAsia="Times New Roman" w:hAnsi="Times New Roman" w:cs="Times New Roman"/>
                <w:sz w:val="24"/>
                <w:szCs w:val="24"/>
              </w:rPr>
            </w:pPr>
            <w:sdt>
              <w:sdtPr>
                <w:tag w:val="goog_rdk_15"/>
                <w:id w:val="-1209103367"/>
              </w:sdtPr>
              <w:sdtContent>
                <w:r>
                  <w:rPr>
                    <w:rFonts w:ascii="Arial Unicode MS" w:eastAsia="Arial Unicode MS" w:hAnsi="Arial Unicode MS" w:cs="Arial Unicode MS"/>
                    <w:sz w:val="24"/>
                    <w:szCs w:val="24"/>
                  </w:rPr>
                  <w:t>✅</w:t>
                </w:r>
              </w:sdtContent>
            </w:sdt>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7907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Parity</w:t>
            </w:r>
          </w:p>
        </w:tc>
      </w:tr>
      <w:tr w:rsidR="006E2C30" w14:paraId="693C47F8" w14:textId="77777777">
        <w:trPr>
          <w:trHeight w:val="1055"/>
        </w:trPr>
        <w:tc>
          <w:tcPr>
            <w:tcW w:w="2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C2F0C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Managerial Coordination &amp; Strategic Alignment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2025)</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D0A79" w14:textId="77777777" w:rsidR="006E2C30" w:rsidRDefault="00000000">
            <w:pPr>
              <w:spacing w:line="360" w:lineRule="auto"/>
              <w:jc w:val="both"/>
              <w:rPr>
                <w:rFonts w:ascii="Times New Roman" w:eastAsia="Times New Roman" w:hAnsi="Times New Roman" w:cs="Times New Roman"/>
                <w:sz w:val="24"/>
                <w:szCs w:val="24"/>
              </w:rPr>
            </w:pPr>
            <w:sdt>
              <w:sdtPr>
                <w:tag w:val="goog_rdk_16"/>
                <w:id w:val="1896993363"/>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76C31" w14:textId="77777777" w:rsidR="006E2C30" w:rsidRDefault="00000000">
            <w:pPr>
              <w:spacing w:line="360" w:lineRule="auto"/>
              <w:jc w:val="both"/>
              <w:rPr>
                <w:rFonts w:ascii="Times New Roman" w:eastAsia="Times New Roman" w:hAnsi="Times New Roman" w:cs="Times New Roman"/>
                <w:sz w:val="24"/>
                <w:szCs w:val="24"/>
              </w:rPr>
            </w:pPr>
            <w:sdt>
              <w:sdtPr>
                <w:tag w:val="goog_rdk_17"/>
                <w:id w:val="-597454169"/>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E8265" w14:textId="77777777" w:rsidR="006E2C30" w:rsidRDefault="00000000">
            <w:pPr>
              <w:spacing w:line="360" w:lineRule="auto"/>
              <w:jc w:val="both"/>
              <w:rPr>
                <w:rFonts w:ascii="Times New Roman" w:eastAsia="Times New Roman" w:hAnsi="Times New Roman" w:cs="Times New Roman"/>
                <w:sz w:val="24"/>
                <w:szCs w:val="24"/>
              </w:rPr>
            </w:pPr>
            <w:sdt>
              <w:sdtPr>
                <w:tag w:val="goog_rdk_18"/>
                <w:id w:val="-923328465"/>
              </w:sdtPr>
              <w:sdtContent>
                <w:r>
                  <w:rPr>
                    <w:rFonts w:ascii="Arial Unicode MS" w:eastAsia="Arial Unicode MS" w:hAnsi="Arial Unicode MS" w:cs="Arial Unicode MS"/>
                    <w:sz w:val="24"/>
                    <w:szCs w:val="24"/>
                  </w:rPr>
                  <w:t>✅</w:t>
                </w:r>
              </w:sdtContent>
            </w:sdt>
          </w:p>
        </w:tc>
        <w:tc>
          <w:tcPr>
            <w:tcW w:w="1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D3A6D" w14:textId="77777777" w:rsidR="006E2C30" w:rsidRDefault="00000000">
            <w:pPr>
              <w:spacing w:line="360" w:lineRule="auto"/>
              <w:jc w:val="both"/>
              <w:rPr>
                <w:rFonts w:ascii="Times New Roman" w:eastAsia="Times New Roman" w:hAnsi="Times New Roman" w:cs="Times New Roman"/>
                <w:sz w:val="24"/>
                <w:szCs w:val="24"/>
              </w:rPr>
            </w:pPr>
            <w:sdt>
              <w:sdtPr>
                <w:tag w:val="goog_rdk_19"/>
                <w:id w:val="-971273884"/>
              </w:sdtPr>
              <w:sdtContent>
                <w:r>
                  <w:rPr>
                    <w:rFonts w:ascii="Arial Unicode MS" w:eastAsia="Arial Unicode MS" w:hAnsi="Arial Unicode MS" w:cs="Arial Unicode MS"/>
                    <w:sz w:val="24"/>
                    <w:szCs w:val="24"/>
                  </w:rPr>
                  <w:t>✅</w:t>
                </w:r>
              </w:sdtContent>
            </w:sdt>
          </w:p>
        </w:tc>
        <w:tc>
          <w:tcPr>
            <w:tcW w:w="1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874A5B"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Potential Sustained Advantage</w:t>
            </w:r>
          </w:p>
        </w:tc>
      </w:tr>
    </w:tbl>
    <w:p w14:paraId="48A1D6CD" w14:textId="77777777" w:rsidR="006E2C30" w:rsidRDefault="006E2C30">
      <w:pPr>
        <w:spacing w:line="360" w:lineRule="auto"/>
        <w:jc w:val="both"/>
        <w:rPr>
          <w:rFonts w:ascii="Times New Roman" w:eastAsia="Times New Roman" w:hAnsi="Times New Roman" w:cs="Times New Roman"/>
          <w:sz w:val="24"/>
          <w:szCs w:val="24"/>
        </w:rPr>
      </w:pPr>
    </w:p>
    <w:p w14:paraId="03BA4AEC" w14:textId="77777777" w:rsidR="006E2C30" w:rsidRDefault="00000000">
      <w:pPr>
        <w:pStyle w:val="Heading2"/>
        <w:keepNext w:val="0"/>
        <w:keepLines w:val="0"/>
        <w:spacing w:after="80"/>
        <w:jc w:val="center"/>
      </w:pPr>
      <w:bookmarkStart w:id="12" w:name="_heading=h.6eguh40fkl4" w:colFirst="0" w:colLast="0"/>
      <w:bookmarkEnd w:id="12"/>
      <w:r>
        <w:t>Table 3.4: Porter’s Diamond Model – US EV Market Conditions</w:t>
      </w:r>
    </w:p>
    <w:p w14:paraId="1CD8E80C" w14:textId="77777777" w:rsidR="006E2C30" w:rsidRDefault="006E2C30">
      <w:pPr>
        <w:pStyle w:val="Heading2"/>
        <w:keepNext w:val="0"/>
        <w:keepLines w:val="0"/>
        <w:spacing w:after="80"/>
      </w:pPr>
      <w:bookmarkStart w:id="13" w:name="_heading=h.f76fcaowbt7x" w:colFirst="0" w:colLast="0"/>
      <w:bookmarkEnd w:id="13"/>
    </w:p>
    <w:tbl>
      <w:tblPr>
        <w:tblStyle w:val="af"/>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24"/>
        <w:gridCol w:w="4146"/>
        <w:gridCol w:w="3189"/>
      </w:tblGrid>
      <w:tr w:rsidR="006E2C30" w14:paraId="2D703DE1" w14:textId="77777777">
        <w:trPr>
          <w:trHeight w:val="785"/>
        </w:trPr>
        <w:tc>
          <w:tcPr>
            <w:tcW w:w="2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4AE38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Diamond Factor</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8BE8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US Market Condition</w:t>
            </w:r>
          </w:p>
        </w:tc>
        <w:tc>
          <w:tcPr>
            <w:tcW w:w="3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37D7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Implication for Mahindra &amp; Mahindra</w:t>
            </w:r>
          </w:p>
        </w:tc>
      </w:tr>
      <w:tr w:rsidR="006E2C30" w14:paraId="1352B129" w14:textId="77777777">
        <w:trPr>
          <w:trHeight w:val="1055"/>
        </w:trPr>
        <w:tc>
          <w:tcPr>
            <w:tcW w:w="2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2B4E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Factor Conditions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21B4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infrastructure, skilled workforce and deep capital markets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w:t>
            </w:r>
          </w:p>
        </w:tc>
        <w:tc>
          <w:tcPr>
            <w:tcW w:w="3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CDF6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foundation for high-quality EV manufacturing and R&amp;D partnerships.</w:t>
            </w:r>
          </w:p>
        </w:tc>
      </w:tr>
      <w:tr w:rsidR="006E2C30" w14:paraId="2BB6A8C3" w14:textId="77777777">
        <w:trPr>
          <w:trHeight w:val="1055"/>
        </w:trPr>
        <w:tc>
          <w:tcPr>
            <w:tcW w:w="2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31D5A"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Demand Conditions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9ED0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consumer demand for sustainable, high-tech, low-emission vehicles (Alqahtani, 2025).</w:t>
            </w:r>
          </w:p>
        </w:tc>
        <w:tc>
          <w:tcPr>
            <w:tcW w:w="3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6C52A"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premium and mid-range EV market entry.</w:t>
            </w:r>
          </w:p>
        </w:tc>
      </w:tr>
      <w:tr w:rsidR="006E2C30" w14:paraId="5F8D486D" w14:textId="77777777">
        <w:trPr>
          <w:trHeight w:val="1325"/>
        </w:trPr>
        <w:tc>
          <w:tcPr>
            <w:tcW w:w="2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505C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Related &amp; Supporting Industries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B5AF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ecosystems in batteries, AI, charging infrastructure and robotics (Hurry et al., 2022;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w:t>
            </w:r>
          </w:p>
        </w:tc>
        <w:tc>
          <w:tcPr>
            <w:tcW w:w="3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D8DF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Enables </w:t>
            </w:r>
            <w:proofErr w:type="gramStart"/>
            <w:r>
              <w:rPr>
                <w:rFonts w:ascii="Times New Roman" w:eastAsia="Times New Roman" w:hAnsi="Times New Roman" w:cs="Times New Roman"/>
                <w:sz w:val="24"/>
                <w:szCs w:val="24"/>
              </w:rPr>
              <w:t>innovation</w:t>
            </w:r>
            <w:proofErr w:type="gramEnd"/>
            <w:r>
              <w:rPr>
                <w:rFonts w:ascii="Times New Roman" w:eastAsia="Times New Roman" w:hAnsi="Times New Roman" w:cs="Times New Roman"/>
                <w:sz w:val="24"/>
                <w:szCs w:val="24"/>
              </w:rPr>
              <w:t xml:space="preserve"> collaboration and supply chain efficiency.</w:t>
            </w:r>
          </w:p>
        </w:tc>
      </w:tr>
      <w:tr w:rsidR="006E2C30" w14:paraId="7AB19A21" w14:textId="77777777">
        <w:trPr>
          <w:trHeight w:val="1325"/>
        </w:trPr>
        <w:tc>
          <w:tcPr>
            <w:tcW w:w="2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060C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Firm Strategy, Structure &amp; Rivalry</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E853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Intense competition with rapid technological shifts and aggressive price </w:t>
            </w:r>
            <w:r>
              <w:rPr>
                <w:rFonts w:ascii="Times New Roman" w:eastAsia="Times New Roman" w:hAnsi="Times New Roman" w:cs="Times New Roman"/>
                <w:sz w:val="24"/>
                <w:szCs w:val="24"/>
              </w:rPr>
              <w:lastRenderedPageBreak/>
              <w:t xml:space="preserve">rivalry (Pangarkar and </w:t>
            </w:r>
            <w:proofErr w:type="spellStart"/>
            <w:r>
              <w:rPr>
                <w:rFonts w:ascii="Times New Roman" w:eastAsia="Times New Roman" w:hAnsi="Times New Roman" w:cs="Times New Roman"/>
                <w:sz w:val="24"/>
                <w:szCs w:val="24"/>
              </w:rPr>
              <w:t>Prabhudesai</w:t>
            </w:r>
            <w:proofErr w:type="spellEnd"/>
            <w:r>
              <w:rPr>
                <w:rFonts w:ascii="Times New Roman" w:eastAsia="Times New Roman" w:hAnsi="Times New Roman" w:cs="Times New Roman"/>
                <w:sz w:val="24"/>
                <w:szCs w:val="24"/>
              </w:rPr>
              <w:t>, 2024).</w:t>
            </w:r>
          </w:p>
        </w:tc>
        <w:tc>
          <w:tcPr>
            <w:tcW w:w="3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8982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Requires strong strategic agility and continuous innovation.</w:t>
            </w:r>
          </w:p>
        </w:tc>
      </w:tr>
    </w:tbl>
    <w:p w14:paraId="0A72EA43" w14:textId="77777777" w:rsidR="006E2C30" w:rsidRDefault="006E2C30">
      <w:pPr>
        <w:spacing w:line="360" w:lineRule="auto"/>
        <w:jc w:val="both"/>
        <w:rPr>
          <w:rFonts w:ascii="Times New Roman" w:eastAsia="Times New Roman" w:hAnsi="Times New Roman" w:cs="Times New Roman"/>
          <w:sz w:val="24"/>
          <w:szCs w:val="24"/>
        </w:rPr>
      </w:pPr>
    </w:p>
    <w:p w14:paraId="7591D2FF" w14:textId="77777777" w:rsidR="006E2C30" w:rsidRDefault="00000000">
      <w:pPr>
        <w:pStyle w:val="Heading2"/>
      </w:pPr>
      <w:bookmarkStart w:id="14" w:name="_heading=h.9j2cyfcvwvqb" w:colFirst="0" w:colLast="0"/>
      <w:bookmarkEnd w:id="14"/>
      <w:r>
        <w:t xml:space="preserve">3.5 Critical Analysis of Strategic Tools </w:t>
      </w:r>
    </w:p>
    <w:p w14:paraId="7658657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PESTEL analysis is useful in determining macro-environmental forces (such as trade policy, EV incentives, sustainability regulation and climate policy) that significantly influence the development of the US EV industry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Karner, 2021). Its greatest weakness is however its fixed nature. It records the environmental conditions at a given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but it fails to consider the rapid change in policy, disruptive technology</w:t>
      </w:r>
      <w:proofErr w:type="gramStart"/>
      <w:r>
        <w:rPr>
          <w:rFonts w:ascii="Times New Roman" w:eastAsia="Times New Roman" w:hAnsi="Times New Roman" w:cs="Times New Roman"/>
          <w:sz w:val="24"/>
          <w:szCs w:val="24"/>
        </w:rPr>
        <w:t>, unexpected</w:t>
      </w:r>
      <w:proofErr w:type="gramEnd"/>
      <w:r>
        <w:rPr>
          <w:rFonts w:ascii="Times New Roman" w:eastAsia="Times New Roman" w:hAnsi="Times New Roman" w:cs="Times New Roman"/>
          <w:sz w:val="24"/>
          <w:szCs w:val="24"/>
        </w:rPr>
        <w:t xml:space="preserve"> geopolitical issues, which are prevalent in the international EV markets (Contractor, 2025). This limits its forecasting capability in dynamic international situations.</w:t>
      </w:r>
    </w:p>
    <w:p w14:paraId="383A592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Five Forces can provide powerful information about the competitiveness in the industry, and it is noteworthy that the competition is brutal, suppliers have power, and buyers are price-sensitive in the US EV industry (Fedotov, 2022; Pangarkar and </w:t>
      </w:r>
      <w:proofErr w:type="spellStart"/>
      <w:r>
        <w:rPr>
          <w:rFonts w:ascii="Times New Roman" w:eastAsia="Times New Roman" w:hAnsi="Times New Roman" w:cs="Times New Roman"/>
          <w:sz w:val="24"/>
          <w:szCs w:val="24"/>
        </w:rPr>
        <w:t>Prabhudesai</w:t>
      </w:r>
      <w:proofErr w:type="spellEnd"/>
      <w:r>
        <w:rPr>
          <w:rFonts w:ascii="Times New Roman" w:eastAsia="Times New Roman" w:hAnsi="Times New Roman" w:cs="Times New Roman"/>
          <w:sz w:val="24"/>
          <w:szCs w:val="24"/>
        </w:rPr>
        <w:t xml:space="preserve">, 2024). However, the model presupposes </w:t>
      </w:r>
      <w:proofErr w:type="gramStart"/>
      <w:r>
        <w:rPr>
          <w:rFonts w:ascii="Times New Roman" w:eastAsia="Times New Roman" w:hAnsi="Times New Roman" w:cs="Times New Roman"/>
          <w:sz w:val="24"/>
          <w:szCs w:val="24"/>
        </w:rPr>
        <w:t>fairly constant</w:t>
      </w:r>
      <w:proofErr w:type="gramEnd"/>
      <w:r>
        <w:rPr>
          <w:rFonts w:ascii="Times New Roman" w:eastAsia="Times New Roman" w:hAnsi="Times New Roman" w:cs="Times New Roman"/>
          <w:sz w:val="24"/>
          <w:szCs w:val="24"/>
        </w:rPr>
        <w:t xml:space="preserve"> industry boundaries and underestimates the impact of digital platforms, acceleration of innovation, and competition through ecosystems, which is becoming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xml:space="preserve"> central in the world of EV and autonomous mobility (Hurry et al., 2022).</w:t>
      </w:r>
    </w:p>
    <w:p w14:paraId="317A366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VRIO model is very useful in assessing the internal capabilities of M &amp; M, especially its low-cost production and lean engineering capabilities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Nevertheless, dynamic capability construction or learning </w:t>
      </w:r>
      <w:proofErr w:type="gramStart"/>
      <w:r>
        <w:rPr>
          <w:rFonts w:ascii="Times New Roman" w:eastAsia="Times New Roman" w:hAnsi="Times New Roman" w:cs="Times New Roman"/>
          <w:sz w:val="24"/>
          <w:szCs w:val="24"/>
        </w:rPr>
        <w:t>rate</w:t>
      </w:r>
      <w:proofErr w:type="gramEnd"/>
      <w:r>
        <w:rPr>
          <w:rFonts w:ascii="Times New Roman" w:eastAsia="Times New Roman" w:hAnsi="Times New Roman" w:cs="Times New Roman"/>
          <w:sz w:val="24"/>
          <w:szCs w:val="24"/>
        </w:rPr>
        <w:t xml:space="preserve"> are not sufficiently reflected in VRIO, yet in technologically intensive industries like EVs, competitive advantage is usually not lasting but fleeting (Hsu, 2023).</w:t>
      </w:r>
    </w:p>
    <w:p w14:paraId="3886117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Diamond Model by Porter is applicable to examining the national competitiveness through the demand conditions, clusters of innovation and supporting industry in the US market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However, it is less useful in the explanation of the strategic placement of the foreign multinational firms that exist in a variety of institutional settings.</w:t>
      </w:r>
    </w:p>
    <w:p w14:paraId="0A57F7D7" w14:textId="77777777" w:rsidR="006E2C30" w:rsidRDefault="00000000">
      <w:pPr>
        <w:pStyle w:val="Heading1"/>
      </w:pPr>
      <w:bookmarkStart w:id="15" w:name="_heading=h.ob6s4hq94l8h" w:colFirst="0" w:colLast="0"/>
      <w:bookmarkEnd w:id="15"/>
      <w:r>
        <w:lastRenderedPageBreak/>
        <w:t>4. Strategy Development and Formulation.</w:t>
      </w:r>
    </w:p>
    <w:p w14:paraId="6BCBBA2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develops an international expansion strategy of Mahindra and Mahindra (M&amp;M) countries EV in the United States through four fundamental strategic tools: the Matrix of Ansoff, the Generic Strategies of Porter, the Market Entry Strategy and the BCG Matrix. These models combined guarantee consistency between growth direction, competitive positioning, entry mode and portfolio balance.</w:t>
      </w:r>
    </w:p>
    <w:p w14:paraId="01B0B20D" w14:textId="77777777" w:rsidR="006E2C30" w:rsidRDefault="00000000">
      <w:pPr>
        <w:pStyle w:val="Heading2"/>
      </w:pPr>
      <w:bookmarkStart w:id="16" w:name="_heading=h.579w6yh76ixp" w:colFirst="0" w:colLast="0"/>
      <w:bookmarkEnd w:id="16"/>
      <w:r>
        <w:t>4.1 Matrix of the Ansoff Growth Direction in expanding to the US.</w:t>
      </w:r>
    </w:p>
    <w:p w14:paraId="72AB4E6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Mahindra already has developed EV platforms, low-cost engineering and production competencies worked out in India, and in some global markets. Entering the US will give the company a chance to utilize these current strengths and an opportunity to enter a high growth, innovation-driven consumer base. Nevertheless, the external risks associated with market development are especially connected with regulatory compliance, safety requirements, charging infrastructure and customer demands in the US (Hsu, 2023; Karner, 2021). Moreover, the entry risk is affected by world trade volatility, tariffs restructuring and post-COVID disruption of supply chains too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Contractor, 2025;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xml:space="preserve">, 2021). Such risks explain the necessity of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and strategic partnerships.</w:t>
      </w:r>
    </w:p>
    <w:p w14:paraId="30EB894E" w14:textId="77777777" w:rsidR="006E2C30" w:rsidRDefault="00000000">
      <w:pPr>
        <w:pStyle w:val="Heading3"/>
        <w:keepNext w:val="0"/>
        <w:keepLines w:val="0"/>
        <w:spacing w:before="280"/>
        <w:jc w:val="center"/>
        <w:rPr>
          <w:color w:val="000000"/>
        </w:rPr>
      </w:pPr>
      <w:bookmarkStart w:id="17" w:name="_heading=h.g090zmqykmqi" w:colFirst="0" w:colLast="0"/>
      <w:bookmarkEnd w:id="17"/>
      <w:r>
        <w:rPr>
          <w:color w:val="000000"/>
        </w:rPr>
        <w:t>Table 4.1: Ansoff’s Matrix Application for Mahindra’s EV Strategy</w:t>
      </w:r>
    </w:p>
    <w:tbl>
      <w:tblPr>
        <w:tblStyle w:val="af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22"/>
        <w:gridCol w:w="3534"/>
        <w:gridCol w:w="3504"/>
      </w:tblGrid>
      <w:tr w:rsidR="006E2C30" w14:paraId="78BEE0EA" w14:textId="77777777">
        <w:trPr>
          <w:trHeight w:val="500"/>
        </w:trPr>
        <w:tc>
          <w:tcPr>
            <w:tcW w:w="23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F559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Strategy Option</w:t>
            </w:r>
          </w:p>
        </w:tc>
        <w:tc>
          <w:tcPr>
            <w:tcW w:w="3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477E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Definition</w:t>
            </w:r>
          </w:p>
        </w:tc>
        <w:tc>
          <w:tcPr>
            <w:tcW w:w="3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882C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Relevance to Mahindra EV</w:t>
            </w:r>
          </w:p>
        </w:tc>
      </w:tr>
      <w:tr w:rsidR="006E2C30" w14:paraId="375B1060" w14:textId="77777777">
        <w:trPr>
          <w:trHeight w:val="785"/>
        </w:trPr>
        <w:tc>
          <w:tcPr>
            <w:tcW w:w="23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7672B"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Penetration</w:t>
            </w:r>
          </w:p>
        </w:tc>
        <w:tc>
          <w:tcPr>
            <w:tcW w:w="3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DC7B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Existing products in existing markets</w:t>
            </w:r>
          </w:p>
        </w:tc>
        <w:tc>
          <w:tcPr>
            <w:tcW w:w="3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2C0CB"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Already pursued in India</w:t>
            </w:r>
          </w:p>
        </w:tc>
      </w:tr>
      <w:tr w:rsidR="006E2C30" w14:paraId="3C68AD7F" w14:textId="77777777">
        <w:trPr>
          <w:trHeight w:val="500"/>
        </w:trPr>
        <w:tc>
          <w:tcPr>
            <w:tcW w:w="23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00A9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Development</w:t>
            </w:r>
          </w:p>
        </w:tc>
        <w:tc>
          <w:tcPr>
            <w:tcW w:w="3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41DC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products in existing markets</w:t>
            </w:r>
          </w:p>
        </w:tc>
        <w:tc>
          <w:tcPr>
            <w:tcW w:w="3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70E9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EV R&amp;D</w:t>
            </w:r>
          </w:p>
        </w:tc>
      </w:tr>
      <w:tr w:rsidR="006E2C30" w14:paraId="2576C7A6" w14:textId="77777777">
        <w:trPr>
          <w:trHeight w:val="785"/>
        </w:trPr>
        <w:tc>
          <w:tcPr>
            <w:tcW w:w="23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4C2C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Development</w:t>
            </w:r>
          </w:p>
        </w:tc>
        <w:tc>
          <w:tcPr>
            <w:tcW w:w="3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0CD0A"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Existing products in new markets</w:t>
            </w:r>
          </w:p>
        </w:tc>
        <w:tc>
          <w:tcPr>
            <w:tcW w:w="3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6F1C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Selected strategy for US expansion</w:t>
            </w:r>
          </w:p>
        </w:tc>
      </w:tr>
      <w:tr w:rsidR="006E2C30" w14:paraId="51250963" w14:textId="77777777">
        <w:trPr>
          <w:trHeight w:val="500"/>
        </w:trPr>
        <w:tc>
          <w:tcPr>
            <w:tcW w:w="23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5E90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w:t>
            </w:r>
          </w:p>
        </w:tc>
        <w:tc>
          <w:tcPr>
            <w:tcW w:w="3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A4C4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products in new markets</w:t>
            </w:r>
          </w:p>
        </w:tc>
        <w:tc>
          <w:tcPr>
            <w:tcW w:w="35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BF364"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risk, not suitable currently</w:t>
            </w:r>
          </w:p>
        </w:tc>
      </w:tr>
    </w:tbl>
    <w:p w14:paraId="14E5EE70" w14:textId="77777777" w:rsidR="006E2C30" w:rsidRDefault="006E2C30">
      <w:pPr>
        <w:spacing w:line="360" w:lineRule="auto"/>
        <w:jc w:val="both"/>
        <w:rPr>
          <w:rFonts w:ascii="Times New Roman" w:eastAsia="Times New Roman" w:hAnsi="Times New Roman" w:cs="Times New Roman"/>
          <w:sz w:val="24"/>
          <w:szCs w:val="24"/>
        </w:rPr>
      </w:pPr>
    </w:p>
    <w:p w14:paraId="53F8FF80" w14:textId="77777777" w:rsidR="006E2C30" w:rsidRDefault="00000000">
      <w:pPr>
        <w:pStyle w:val="Heading2"/>
        <w:spacing w:before="240" w:after="240"/>
      </w:pPr>
      <w:bookmarkStart w:id="18" w:name="_heading=h.9dpekxom7fhl" w:colFirst="0" w:colLast="0"/>
      <w:bookmarkEnd w:id="18"/>
      <w:r>
        <w:lastRenderedPageBreak/>
        <w:t>4.2 Generic Competitive Strategy of Porter.</w:t>
      </w:r>
    </w:p>
    <w:p w14:paraId="126EAFEA"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Porters Generic Strategies model, the three fundamental positioning strategies are </w:t>
      </w:r>
      <w:proofErr w:type="gramStart"/>
      <w:r>
        <w:rPr>
          <w:rFonts w:ascii="Times New Roman" w:eastAsia="Times New Roman" w:hAnsi="Times New Roman" w:cs="Times New Roman"/>
          <w:sz w:val="24"/>
          <w:szCs w:val="24"/>
        </w:rPr>
        <w:t>the cost</w:t>
      </w:r>
      <w:proofErr w:type="gramEnd"/>
      <w:r>
        <w:rPr>
          <w:rFonts w:ascii="Times New Roman" w:eastAsia="Times New Roman" w:hAnsi="Times New Roman" w:cs="Times New Roman"/>
          <w:sz w:val="24"/>
          <w:szCs w:val="24"/>
        </w:rPr>
        <w:t xml:space="preserve"> leadership, differentiation and focus. According to the internal capabilities of Mahindra and the competitive landscape of the US EV market, hybrid cost leadership/focused differentiation strategy is the most appropriate.</w:t>
      </w:r>
    </w:p>
    <w:p w14:paraId="3B5F5264"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Mahindra has always been strong in terms of cost-efficient production and economical engineering and </w:t>
      </w:r>
      <w:proofErr w:type="gramStart"/>
      <w:r>
        <w:rPr>
          <w:rFonts w:ascii="Times New Roman" w:eastAsia="Times New Roman" w:hAnsi="Times New Roman" w:cs="Times New Roman"/>
          <w:sz w:val="24"/>
          <w:szCs w:val="24"/>
        </w:rPr>
        <w:t>has the ability to</w:t>
      </w:r>
      <w:proofErr w:type="gramEnd"/>
      <w:r>
        <w:rPr>
          <w:rFonts w:ascii="Times New Roman" w:eastAsia="Times New Roman" w:hAnsi="Times New Roman" w:cs="Times New Roman"/>
          <w:sz w:val="24"/>
          <w:szCs w:val="24"/>
        </w:rPr>
        <w:t xml:space="preserve"> produce powerful cars at reasonable prices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2025). This leaves the company at a strong point of leading in cost in utility EV, off-road EV, and light commercial EV, in which Tesla and premium EV brands do not pose direct competition.</w:t>
      </w:r>
    </w:p>
    <w:p w14:paraId="52E88A83"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high battery performance, battery life, and intelligent functionality are the minimum safety standards, as well as digital compatibility, which the US consumers expect (Hurry et al., 2022;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Thus, moderate differentiation in terms of better battery management solutions, connected vehicle technologies and driver-assistance features should also be implemented by Mahindra.</w:t>
      </w:r>
    </w:p>
    <w:p w14:paraId="3E16A8AB"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Pure cost approach would put Mahindra in the price wars whereas pure differentiation approach would place it in </w:t>
      </w:r>
      <w:proofErr w:type="gramStart"/>
      <w:r>
        <w:rPr>
          <w:rFonts w:ascii="Times New Roman" w:eastAsia="Times New Roman" w:hAnsi="Times New Roman" w:cs="Times New Roman"/>
          <w:sz w:val="24"/>
          <w:szCs w:val="24"/>
        </w:rPr>
        <w:t>a direct</w:t>
      </w:r>
      <w:proofErr w:type="gramEnd"/>
      <w:r>
        <w:rPr>
          <w:rFonts w:ascii="Times New Roman" w:eastAsia="Times New Roman" w:hAnsi="Times New Roman" w:cs="Times New Roman"/>
          <w:sz w:val="24"/>
          <w:szCs w:val="24"/>
        </w:rPr>
        <w:t xml:space="preserve"> competition with mainstream premium EV brands. The hybrid strategy will enable Mahindra to be affordable and at the same time have technological legitimacy</w:t>
      </w:r>
    </w:p>
    <w:p w14:paraId="0651833D" w14:textId="77777777" w:rsidR="006E2C30" w:rsidRDefault="00000000">
      <w:pPr>
        <w:pStyle w:val="Heading3"/>
        <w:keepNext w:val="0"/>
        <w:keepLines w:val="0"/>
        <w:spacing w:before="280"/>
        <w:jc w:val="center"/>
        <w:rPr>
          <w:color w:val="000000"/>
        </w:rPr>
      </w:pPr>
      <w:bookmarkStart w:id="19" w:name="_heading=h.ms64u8mwbruf" w:colFirst="0" w:colLast="0"/>
      <w:bookmarkEnd w:id="19"/>
      <w:r>
        <w:rPr>
          <w:color w:val="000000"/>
        </w:rPr>
        <w:t>Table 4.2: Porter’s Generic Strategy for Mahindra EVs</w:t>
      </w:r>
    </w:p>
    <w:tbl>
      <w:tblPr>
        <w:tblStyle w:val="af1"/>
        <w:tblW w:w="94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4500"/>
        <w:gridCol w:w="3115"/>
      </w:tblGrid>
      <w:tr w:rsidR="006E2C30" w14:paraId="4E97BE2C" w14:textId="77777777">
        <w:trPr>
          <w:trHeight w:val="500"/>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2469D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Strategy Type</w:t>
            </w:r>
          </w:p>
        </w:tc>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FD3D2B"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Applicability</w:t>
            </w:r>
          </w:p>
        </w:tc>
        <w:tc>
          <w:tcPr>
            <w:tcW w:w="3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048D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Outcome</w:t>
            </w:r>
          </w:p>
        </w:tc>
      </w:tr>
      <w:tr w:rsidR="006E2C30" w14:paraId="7E468772" w14:textId="77777777">
        <w:trPr>
          <w:trHeight w:val="78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78E5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Leadership</w:t>
            </w:r>
          </w:p>
        </w:tc>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D37E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manufacturing efficiency (Sikder, 2021)</w:t>
            </w:r>
          </w:p>
        </w:tc>
        <w:tc>
          <w:tcPr>
            <w:tcW w:w="3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6D35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pricing</w:t>
            </w:r>
          </w:p>
        </w:tc>
      </w:tr>
      <w:tr w:rsidR="006E2C30" w14:paraId="244D40AA" w14:textId="77777777">
        <w:trPr>
          <w:trHeight w:val="78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70E4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w:t>
            </w:r>
          </w:p>
        </w:tc>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ADEE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Required for safety and digital features (Hurry et al., 2022)</w:t>
            </w:r>
          </w:p>
        </w:tc>
        <w:tc>
          <w:tcPr>
            <w:tcW w:w="3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6378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credibility</w:t>
            </w:r>
          </w:p>
        </w:tc>
      </w:tr>
      <w:tr w:rsidR="006E2C30" w14:paraId="3CE5E17F" w14:textId="77777777">
        <w:trPr>
          <w:trHeight w:val="78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66E9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Hybrid Strategy</w:t>
            </w:r>
          </w:p>
        </w:tc>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D262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Adopted approach</w:t>
            </w:r>
          </w:p>
        </w:tc>
        <w:tc>
          <w:tcPr>
            <w:tcW w:w="3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D0F04"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Cost-efficient but tech-enabled EVs</w:t>
            </w:r>
          </w:p>
        </w:tc>
      </w:tr>
    </w:tbl>
    <w:p w14:paraId="5A08A532" w14:textId="77777777" w:rsidR="006E2C30" w:rsidRDefault="00000000">
      <w:pPr>
        <w:pStyle w:val="Heading2"/>
        <w:keepNext w:val="0"/>
        <w:keepLines w:val="0"/>
        <w:spacing w:after="80"/>
      </w:pPr>
      <w:bookmarkStart w:id="20" w:name="_heading=h.eftvgvxjp5ck" w:colFirst="0" w:colLast="0"/>
      <w:bookmarkEnd w:id="20"/>
      <w:r>
        <w:lastRenderedPageBreak/>
        <w:t>4.3 Market Entry Strategy</w:t>
      </w:r>
    </w:p>
    <w:p w14:paraId="18B643C3" w14:textId="77777777" w:rsidR="006E2C30" w:rsidRDefault="006E2C30">
      <w:pPr>
        <w:spacing w:line="360" w:lineRule="auto"/>
        <w:jc w:val="both"/>
        <w:rPr>
          <w:rFonts w:ascii="Times New Roman" w:eastAsia="Times New Roman" w:hAnsi="Times New Roman" w:cs="Times New Roman"/>
          <w:sz w:val="24"/>
          <w:szCs w:val="24"/>
        </w:rPr>
      </w:pPr>
    </w:p>
    <w:p w14:paraId="2352461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of market entry mode is a risky strategic choice dependent on trade policy, capital requirements and complexity of regulatory procedures. The </w:t>
      </w:r>
      <w:proofErr w:type="gramStart"/>
      <w:r>
        <w:rPr>
          <w:rFonts w:ascii="Times New Roman" w:eastAsia="Times New Roman" w:hAnsi="Times New Roman" w:cs="Times New Roman"/>
          <w:sz w:val="24"/>
          <w:szCs w:val="24"/>
        </w:rPr>
        <w:t>most commonly used</w:t>
      </w:r>
      <w:proofErr w:type="gramEnd"/>
      <w:r>
        <w:rPr>
          <w:rFonts w:ascii="Times New Roman" w:eastAsia="Times New Roman" w:hAnsi="Times New Roman" w:cs="Times New Roman"/>
          <w:sz w:val="24"/>
          <w:szCs w:val="24"/>
        </w:rPr>
        <w:t xml:space="preserve"> modes of entry into the Indian market by Mahindra are exporting, licensing, joint venture, strategic alliances and wholly owned subsidiary.</w:t>
      </w:r>
    </w:p>
    <w:p w14:paraId="2657A75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Export entry cannot be used because it has high logistics prices, </w:t>
      </w:r>
      <w:proofErr w:type="gramStart"/>
      <w:r>
        <w:rPr>
          <w:rFonts w:ascii="Times New Roman" w:eastAsia="Times New Roman" w:hAnsi="Times New Roman" w:cs="Times New Roman"/>
          <w:sz w:val="24"/>
          <w:szCs w:val="24"/>
        </w:rPr>
        <w:t>tariff</w:t>
      </w:r>
      <w:proofErr w:type="gramEnd"/>
      <w:r>
        <w:rPr>
          <w:rFonts w:ascii="Times New Roman" w:eastAsia="Times New Roman" w:hAnsi="Times New Roman" w:cs="Times New Roman"/>
          <w:sz w:val="24"/>
          <w:szCs w:val="24"/>
        </w:rPr>
        <w:t xml:space="preserve"> and rigid US safety policies (Contractor, 2025). Wholesomely owned greenfield investment despite the ability to exert complete control, is highly capital and regulatory risky in an advanced and competitive market.</w:t>
      </w:r>
    </w:p>
    <w:p w14:paraId="0BBA826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entry mode is a strategic alliance with the US based manufacturing and technology companies. </w:t>
      </w:r>
    </w:p>
    <w:p w14:paraId="0D2A6BB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allows Mahindra to:</w:t>
      </w:r>
    </w:p>
    <w:p w14:paraId="2F71FB7B" w14:textId="77777777" w:rsidR="006E2C3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production tax incentives and subsidies on access to EVs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w:t>
      </w:r>
    </w:p>
    <w:p w14:paraId="42C96E88" w14:textId="77777777" w:rsidR="006E2C3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Co-operate on battery systems, software and AV technologies (Hurry et al., 2022)</w:t>
      </w:r>
    </w:p>
    <w:p w14:paraId="44A230DF" w14:textId="77777777" w:rsidR="006E2C3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tariff and trade exposure by sourcing locally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2021; Contractor, 2025)</w:t>
      </w:r>
    </w:p>
    <w:p w14:paraId="1D39B035" w14:textId="77777777" w:rsidR="006E2C3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Break the cultural barriers of brand recognition.</w:t>
      </w:r>
    </w:p>
    <w:p w14:paraId="4929A8E3" w14:textId="77777777" w:rsidR="006E2C30" w:rsidRDefault="00000000">
      <w:pPr>
        <w:pStyle w:val="Heading3"/>
        <w:keepNext w:val="0"/>
        <w:keepLines w:val="0"/>
        <w:spacing w:before="280"/>
        <w:jc w:val="center"/>
        <w:rPr>
          <w:color w:val="000000"/>
        </w:rPr>
      </w:pPr>
      <w:bookmarkStart w:id="21" w:name="_heading=h.6ce85dz49kao" w:colFirst="0" w:colLast="0"/>
      <w:bookmarkEnd w:id="21"/>
      <w:r>
        <w:rPr>
          <w:color w:val="000000"/>
        </w:rPr>
        <w:t>Table 4.3: Evaluation of Market Entry Modes</w:t>
      </w:r>
    </w:p>
    <w:tbl>
      <w:tblPr>
        <w:tblStyle w:val="af2"/>
        <w:tblW w:w="96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0"/>
        <w:gridCol w:w="1305"/>
        <w:gridCol w:w="5535"/>
      </w:tblGrid>
      <w:tr w:rsidR="006E2C30" w14:paraId="0A0046B4" w14:textId="77777777">
        <w:trPr>
          <w:trHeight w:val="500"/>
        </w:trPr>
        <w:tc>
          <w:tcPr>
            <w:tcW w:w="2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0D8D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Entry Mode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AA74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Risk Level</w:t>
            </w:r>
          </w:p>
        </w:tc>
        <w:tc>
          <w:tcPr>
            <w:tcW w:w="5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081C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Suitability for Mahindra</w:t>
            </w:r>
          </w:p>
        </w:tc>
      </w:tr>
      <w:tr w:rsidR="006E2C30" w14:paraId="00F06505" w14:textId="77777777">
        <w:trPr>
          <w:trHeight w:val="500"/>
        </w:trPr>
        <w:tc>
          <w:tcPr>
            <w:tcW w:w="2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527D4"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Exporting</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5D1F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5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41A4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 tariff and compliance risk</w:t>
            </w:r>
          </w:p>
        </w:tc>
      </w:tr>
      <w:tr w:rsidR="006E2C30" w14:paraId="6616FB7F" w14:textId="77777777">
        <w:trPr>
          <w:trHeight w:val="500"/>
        </w:trPr>
        <w:tc>
          <w:tcPr>
            <w:tcW w:w="2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01AC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Licensing</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01357"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5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2EE2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control over brand &amp; quality</w:t>
            </w:r>
          </w:p>
        </w:tc>
      </w:tr>
      <w:tr w:rsidR="006E2C30" w14:paraId="1A610D26" w14:textId="77777777">
        <w:trPr>
          <w:trHeight w:val="500"/>
        </w:trPr>
        <w:tc>
          <w:tcPr>
            <w:tcW w:w="2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B333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Wholly Owned Subsidiary</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8BD65"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5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67B3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intensive</w:t>
            </w:r>
          </w:p>
        </w:tc>
      </w:tr>
      <w:tr w:rsidR="006E2C30" w14:paraId="4B8169C6" w14:textId="77777777">
        <w:trPr>
          <w:trHeight w:val="500"/>
        </w:trPr>
        <w:tc>
          <w:tcPr>
            <w:tcW w:w="2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42386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Alliance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BB4B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Moderate</w:t>
            </w:r>
          </w:p>
        </w:tc>
        <w:tc>
          <w:tcPr>
            <w:tcW w:w="55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FD74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Most suitable entry option</w:t>
            </w:r>
          </w:p>
        </w:tc>
      </w:tr>
    </w:tbl>
    <w:p w14:paraId="3EC39B42" w14:textId="77777777" w:rsidR="006E2C30" w:rsidRDefault="00000000">
      <w:pPr>
        <w:spacing w:line="360" w:lineRule="auto"/>
        <w:jc w:val="both"/>
        <w:rPr>
          <w:rFonts w:ascii="Times New Roman" w:eastAsia="Times New Roman" w:hAnsi="Times New Roman" w:cs="Times New Roman"/>
          <w:sz w:val="24"/>
          <w:szCs w:val="24"/>
        </w:rPr>
      </w:pPr>
      <w:r>
        <w:pict w14:anchorId="0B25CF61">
          <v:rect id="_x0000_i1025" style="width:0;height:1.5pt" o:hralign="center" o:hrstd="t" o:hr="t" fillcolor="#a0a0a0" stroked="f"/>
        </w:pict>
      </w:r>
    </w:p>
    <w:p w14:paraId="71281402" w14:textId="77777777" w:rsidR="006E2C30" w:rsidRDefault="00000000">
      <w:pPr>
        <w:pStyle w:val="Heading2"/>
        <w:keepNext w:val="0"/>
        <w:keepLines w:val="0"/>
        <w:spacing w:after="80"/>
      </w:pPr>
      <w:bookmarkStart w:id="22" w:name="_heading=h.x5zns1mamadt" w:colFirst="0" w:colLast="0"/>
      <w:bookmarkEnd w:id="22"/>
      <w:r>
        <w:t>4.4 BCG Matrix – Strategic Positioning of Mahindra’s EV Portfolio</w:t>
      </w:r>
    </w:p>
    <w:p w14:paraId="2994732F"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BCG Matrix rates the business units in terms of market growth and market share. EV is a fast-developing sector in the world due to sustainability regulation and innovation (Chu et al., 2022; </w:t>
      </w:r>
      <w:r>
        <w:rPr>
          <w:rFonts w:ascii="Times New Roman" w:eastAsia="Times New Roman" w:hAnsi="Times New Roman" w:cs="Times New Roman"/>
          <w:sz w:val="24"/>
          <w:szCs w:val="24"/>
        </w:rPr>
        <w:lastRenderedPageBreak/>
        <w:t>Hsu, 2023). The level of market share held by Mahindra within the US market is, however, negligible.</w:t>
      </w:r>
    </w:p>
    <w:p w14:paraId="3F139FA0"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the EV business of Mahindra in the US falls under the category of a Question Mark- high growth in the market but low market share. </w:t>
      </w:r>
    </w:p>
    <w:p w14:paraId="6EDF96E3"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become a future Star, Mahindra needs to:</w:t>
      </w:r>
    </w:p>
    <w:p w14:paraId="12AC7389" w14:textId="77777777" w:rsidR="006E2C30" w:rsidRDefault="0000000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brand positioning</w:t>
      </w:r>
    </w:p>
    <w:p w14:paraId="7CD905FD" w14:textId="77777777" w:rsidR="006E2C3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Scale local production</w:t>
      </w:r>
    </w:p>
    <w:p w14:paraId="2CC7B618" w14:textId="77777777" w:rsidR="006E2C30"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battery and software.</w:t>
      </w:r>
    </w:p>
    <w:p w14:paraId="04A181E0" w14:textId="77777777" w:rsidR="006E2C30"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charging and service networks.</w:t>
      </w:r>
    </w:p>
    <w:p w14:paraId="430028F8" w14:textId="77777777" w:rsidR="006E2C3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off-road EVs, agricultural EVs and utility vehicles are niche segments that are less competitive and have high product-market fit thanks to the strengths of Mahindra in the past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Sikder, 2021).</w:t>
      </w:r>
    </w:p>
    <w:p w14:paraId="78308D94" w14:textId="77777777" w:rsidR="006E2C30" w:rsidRDefault="00000000">
      <w:pPr>
        <w:pStyle w:val="Heading3"/>
        <w:keepNext w:val="0"/>
        <w:keepLines w:val="0"/>
        <w:spacing w:before="280"/>
        <w:jc w:val="center"/>
        <w:rPr>
          <w:color w:val="000000"/>
        </w:rPr>
      </w:pPr>
      <w:bookmarkStart w:id="23" w:name="_heading=h.cwe9fockqm0a" w:colFirst="0" w:colLast="0"/>
      <w:bookmarkEnd w:id="23"/>
      <w:r>
        <w:rPr>
          <w:color w:val="000000"/>
        </w:rPr>
        <w:t>Table 4.4: BCG Matrix Classification of Mahindra’s EV Business</w:t>
      </w:r>
    </w:p>
    <w:tbl>
      <w:tblPr>
        <w:tblStyle w:val="af3"/>
        <w:tblW w:w="97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90"/>
        <w:gridCol w:w="1860"/>
        <w:gridCol w:w="2175"/>
        <w:gridCol w:w="3855"/>
      </w:tblGrid>
      <w:tr w:rsidR="006E2C30" w14:paraId="3B932F40" w14:textId="77777777">
        <w:trPr>
          <w:trHeight w:val="50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45EA6"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BCG Category</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FF820"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Growth</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E93CD"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Share (US)</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7917C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Mahindra EV Position</w:t>
            </w:r>
          </w:p>
        </w:tc>
      </w:tr>
      <w:tr w:rsidR="006E2C30" w14:paraId="668E65CF" w14:textId="77777777">
        <w:trPr>
          <w:trHeight w:val="50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875E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Stars</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0F07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6109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791B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 currently</w:t>
            </w:r>
          </w:p>
        </w:tc>
      </w:tr>
      <w:tr w:rsidR="006E2C30" w14:paraId="46BF827F" w14:textId="77777777">
        <w:trPr>
          <w:trHeight w:val="50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49CEC"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Question Marks</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50B11"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High</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62C1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Low</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57E6A"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Mahindra US EV Entry</w:t>
            </w:r>
          </w:p>
        </w:tc>
      </w:tr>
      <w:tr w:rsidR="006E2C30" w14:paraId="42AB834A" w14:textId="77777777">
        <w:trPr>
          <w:trHeight w:val="50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E21BF"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Cows</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16D89"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3EFB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013718"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ICE vehicles</w:t>
            </w:r>
          </w:p>
        </w:tc>
      </w:tr>
      <w:tr w:rsidR="006E2C30" w14:paraId="448F3142" w14:textId="77777777">
        <w:trPr>
          <w:trHeight w:val="500"/>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8731E"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Dogs</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C5197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DF232"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F14273" w14:textId="77777777" w:rsidR="006E2C3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Obsolete EV models</w:t>
            </w:r>
          </w:p>
        </w:tc>
      </w:tr>
    </w:tbl>
    <w:p w14:paraId="44619801" w14:textId="77777777" w:rsidR="006E2C30" w:rsidRDefault="006E2C30">
      <w:pPr>
        <w:spacing w:line="360" w:lineRule="auto"/>
        <w:jc w:val="both"/>
        <w:rPr>
          <w:rFonts w:ascii="Times New Roman" w:eastAsia="Times New Roman" w:hAnsi="Times New Roman" w:cs="Times New Roman"/>
          <w:sz w:val="24"/>
          <w:szCs w:val="24"/>
        </w:rPr>
      </w:pPr>
    </w:p>
    <w:p w14:paraId="6F112ED5" w14:textId="77777777" w:rsidR="006E2C30" w:rsidRDefault="00000000">
      <w:pPr>
        <w:pStyle w:val="Heading2"/>
        <w:widowControl w:val="0"/>
      </w:pPr>
      <w:bookmarkStart w:id="24" w:name="_heading=h.8bf2uxrocpoq" w:colFirst="0" w:colLast="0"/>
      <w:bookmarkEnd w:id="24"/>
      <w:r>
        <w:t xml:space="preserve">4.5 CSR and Sustainability Strategy </w:t>
      </w:r>
    </w:p>
    <w:p w14:paraId="013EA4BB"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long-term expansion strategy of Mahindra and Mahindra (M&amp;M) in the United States in terms of EV expansion revolves around Corporate Social Responsibility (CSR) and sustainability because of emerging strains on the environment and other stakeholders. One of the pillars of this </w:t>
      </w:r>
      <w:r>
        <w:rPr>
          <w:rFonts w:ascii="Times New Roman" w:eastAsia="Times New Roman" w:hAnsi="Times New Roman" w:cs="Times New Roman"/>
          <w:sz w:val="24"/>
          <w:szCs w:val="24"/>
        </w:rPr>
        <w:lastRenderedPageBreak/>
        <w:t>strategy is green manufacturing, which entails cutting carbon emission by utilization of renewable energy, adopting energy efficient production systems, and cleaner logistics networks. The manufacturing regulatory climate of the US auto sector heavily supports manufactured low-emission vehicles, which adds to the importance of strategic need to have green production systems (Karner, 2021; Hsu, 2023).</w:t>
      </w:r>
    </w:p>
    <w:p w14:paraId="5B425D7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important to embrace a circular economy model. This involves battery recycling, </w:t>
      </w:r>
      <w:proofErr w:type="gramStart"/>
      <w:r>
        <w:rPr>
          <w:rFonts w:ascii="Times New Roman" w:eastAsia="Times New Roman" w:hAnsi="Times New Roman" w:cs="Times New Roman"/>
          <w:sz w:val="24"/>
          <w:szCs w:val="24"/>
        </w:rPr>
        <w:t>retrieving of</w:t>
      </w:r>
      <w:proofErr w:type="gramEnd"/>
      <w:r>
        <w:rPr>
          <w:rFonts w:ascii="Times New Roman" w:eastAsia="Times New Roman" w:hAnsi="Times New Roman" w:cs="Times New Roman"/>
          <w:sz w:val="24"/>
          <w:szCs w:val="24"/>
        </w:rPr>
        <w:t xml:space="preserve"> rare metals and lifecycle product design to reduce waste and environmental effects. The policy of urban development and sustainability that are climate-oriented demand manufacturers to go beyond the linear model of production (Chu et al., 2022). Circular practices also lower regulatory exposure and long-term costs of raw materials.</w:t>
      </w:r>
    </w:p>
    <w:p w14:paraId="1C07AB25"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CSR priority is ethical sourcing of batteries. There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environmental degradation and human rights issues related to lithium, cobalt and nickel sourcing. Therefore, to keep in line with the global expectations of ESG, Mahindra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implement responsible supplier codes, transparent sourcing audit and supplier diversification (Karner, 2021). Ethical sourcing is also commendable in boosting brand legitimacy among US consumers who have sustainability concerns.</w:t>
      </w:r>
    </w:p>
    <w:p w14:paraId="6D3D696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the adaptive measures related to climate change should be integrated in the operation planning of Mahindra. Climate change poses risks in terms of extreme weather, disruption of supply chain and energy volatility. The key elements of the future stability in operations are therefore sustainable infrastructure development, responsive logistics and climate-resistant production planning (Chu et al., 2022). All these CSR initiatives enhance regulatory compliance, brand trust and long-term environmental performance.</w:t>
      </w:r>
    </w:p>
    <w:p w14:paraId="68009E41" w14:textId="77777777" w:rsidR="006E2C30" w:rsidRDefault="00000000">
      <w:pPr>
        <w:pStyle w:val="Heading2"/>
        <w:widowControl w:val="0"/>
      </w:pPr>
      <w:bookmarkStart w:id="25" w:name="_heading=h.j5desl60n7q" w:colFirst="0" w:colLast="0"/>
      <w:bookmarkEnd w:id="25"/>
      <w:r>
        <w:t>4.6 Risk Analysis</w:t>
      </w:r>
    </w:p>
    <w:p w14:paraId="7AC412BB"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Mahindra &amp; Mahindra EV venture in the US is vulnerable to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strategic and operational risks that it should actively address. Though companies strive to overcome the pressure of tariffs by implementing the strategies of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the cost structures and pricing competitiveness can be affected by the presence of import duties and regulatory tariffs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Contractor, 2025). Strategic alliances and local production thus become </w:t>
      </w:r>
      <w:proofErr w:type="gramStart"/>
      <w:r>
        <w:rPr>
          <w:rFonts w:ascii="Times New Roman" w:eastAsia="Times New Roman" w:hAnsi="Times New Roman" w:cs="Times New Roman"/>
          <w:sz w:val="24"/>
          <w:szCs w:val="24"/>
        </w:rPr>
        <w:t>the risk</w:t>
      </w:r>
      <w:proofErr w:type="gramEnd"/>
      <w:r>
        <w:rPr>
          <w:rFonts w:ascii="Times New Roman" w:eastAsia="Times New Roman" w:hAnsi="Times New Roman" w:cs="Times New Roman"/>
          <w:sz w:val="24"/>
          <w:szCs w:val="24"/>
        </w:rPr>
        <w:t>-reduction measures.</w:t>
      </w:r>
    </w:p>
    <w:p w14:paraId="4F0F7815"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International supply chains have been vulnerable due to global semiconductor shortages, battery materials and logistics bottlenecks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 Mahindra should implement the use of multiple suppliers, nearshoring and inventory cushions to strengthen its supply resilience.</w:t>
      </w:r>
    </w:p>
    <w:p w14:paraId="1F7EAA0D"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consumer adoption is that the product is price sensitive, has range anxiety, is limited by charging infrastructure and brand recognition in the US market. Regardless of the growing acceptability of EVs and autonomous vehicles among the general population, the factors of trust, safety, and technological reliability are still in the purchase decision-making process (Alqahtani, 2025). In absence of </w:t>
      </w:r>
      <w:proofErr w:type="gramStart"/>
      <w:r>
        <w:rPr>
          <w:rFonts w:ascii="Times New Roman" w:eastAsia="Times New Roman" w:hAnsi="Times New Roman" w:cs="Times New Roman"/>
          <w:sz w:val="24"/>
          <w:szCs w:val="24"/>
        </w:rPr>
        <w:t>a good</w:t>
      </w:r>
      <w:proofErr w:type="gramEnd"/>
      <w:r>
        <w:rPr>
          <w:rFonts w:ascii="Times New Roman" w:eastAsia="Times New Roman" w:hAnsi="Times New Roman" w:cs="Times New Roman"/>
          <w:sz w:val="24"/>
          <w:szCs w:val="24"/>
        </w:rPr>
        <w:t xml:space="preserve"> brand positioning and service infrastructure, Mahindra can be experiencing slow customer uptake as part of early market entry.</w:t>
      </w:r>
    </w:p>
    <w:p w14:paraId="594E883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capital intensity is very high, and it poses a significant risk in terms of financial matters. EV production demands significant investment in research and development, battery technology, and charging system and governmental requirements (Hsu, 2023). </w:t>
      </w:r>
    </w:p>
    <w:p w14:paraId="34CBA6FA" w14:textId="77777777" w:rsidR="006E2C30" w:rsidRDefault="00000000">
      <w:pPr>
        <w:pStyle w:val="Heading1"/>
        <w:widowControl w:val="0"/>
      </w:pPr>
      <w:bookmarkStart w:id="26" w:name="_heading=h.82zi57kssjd3" w:colFirst="0" w:colLast="0"/>
      <w:bookmarkEnd w:id="26"/>
      <w:r>
        <w:t xml:space="preserve">5. Performance Evaluation Framework </w:t>
      </w:r>
    </w:p>
    <w:p w14:paraId="03D1A33C"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strategic successfulness, financial viability, and long-term competitiveness of Mahindra and Mahindra (M&amp;M) EV entering the United States, an efficient performance evaluation framework is highly needed. Considering the capital-intensive scale of the EV investments and the presence of the great amount of competitive and regulatory pressure, combined system of non-financial and financial performance measurement is needed. In this part, the Balanced Scorecard (BSC) framework has been applied, the Triple Bottom Line (TBL) strategy has been incorporated and the importance of KPI-based performance systems and financial reporting in the strategy have been analyzed.</w:t>
      </w:r>
    </w:p>
    <w:p w14:paraId="1C6FE32E" w14:textId="77777777" w:rsidR="006E2C30" w:rsidRDefault="00000000">
      <w:pPr>
        <w:pStyle w:val="Heading2"/>
        <w:widowControl w:val="0"/>
      </w:pPr>
      <w:bookmarkStart w:id="27" w:name="_heading=h.7pfkhdy3kx34" w:colFirst="0" w:colLast="0"/>
      <w:bookmarkEnd w:id="27"/>
      <w:r>
        <w:t>5.1 Balanced Scorecard Framework.</w:t>
      </w:r>
    </w:p>
    <w:p w14:paraId="0B6B1FE6"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Balanced Scorecard offers a multidimensional method of performance measurement since financial performance is merged with customer value and internal operation efficiency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w:t>
      </w:r>
      <w:proofErr w:type="spellStart"/>
      <w:r>
        <w:rPr>
          <w:rFonts w:ascii="Times New Roman" w:eastAsia="Times New Roman" w:hAnsi="Times New Roman" w:cs="Times New Roman"/>
          <w:sz w:val="24"/>
          <w:szCs w:val="24"/>
        </w:rPr>
        <w:t>Teichgraben</w:t>
      </w:r>
      <w:proofErr w:type="spellEnd"/>
      <w:r>
        <w:rPr>
          <w:rFonts w:ascii="Times New Roman" w:eastAsia="Times New Roman" w:hAnsi="Times New Roman" w:cs="Times New Roman"/>
          <w:sz w:val="24"/>
          <w:szCs w:val="24"/>
        </w:rPr>
        <w:t xml:space="preserve"> et al., 2021).</w:t>
      </w:r>
    </w:p>
    <w:p w14:paraId="27B37945" w14:textId="77777777" w:rsidR="006E2C30" w:rsidRDefault="00000000">
      <w:pPr>
        <w:pStyle w:val="Heading3"/>
        <w:widowControl w:val="0"/>
      </w:pPr>
      <w:bookmarkStart w:id="28" w:name="_heading=h.4lwmmwz07uw7" w:colFirst="0" w:colLast="0"/>
      <w:bookmarkEnd w:id="28"/>
      <w:r>
        <w:t>5.1.1 Financial Perspective</w:t>
      </w:r>
    </w:p>
    <w:p w14:paraId="2B40272E"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expensive initial price of the EV production and battery system, the ROI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w:t>
      </w:r>
      <w:r>
        <w:rPr>
          <w:rFonts w:ascii="Times New Roman" w:eastAsia="Times New Roman" w:hAnsi="Times New Roman" w:cs="Times New Roman"/>
          <w:sz w:val="24"/>
          <w:szCs w:val="24"/>
        </w:rPr>
        <w:lastRenderedPageBreak/>
        <w:t xml:space="preserve">monitored thoroughly to make sure that the returns on investment will be covering the financial risk (Hsu, 2023;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2025).</w:t>
      </w:r>
    </w:p>
    <w:p w14:paraId="572BE4C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revenue development will be used as a metric of the commercial success of the EV business in the US market, by measuring vehicle sales, service revenues and platform based digital services. Since the EVs market is still at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high growth stage, the consistent growth of </w:t>
      </w:r>
      <w:proofErr w:type="gramStart"/>
      <w:r>
        <w:rPr>
          <w:rFonts w:ascii="Times New Roman" w:eastAsia="Times New Roman" w:hAnsi="Times New Roman" w:cs="Times New Roman"/>
          <w:sz w:val="24"/>
          <w:szCs w:val="24"/>
        </w:rPr>
        <w:t>revenues</w:t>
      </w:r>
      <w:proofErr w:type="gramEnd"/>
      <w:r>
        <w:rPr>
          <w:rFonts w:ascii="Times New Roman" w:eastAsia="Times New Roman" w:hAnsi="Times New Roman" w:cs="Times New Roman"/>
          <w:sz w:val="24"/>
          <w:szCs w:val="24"/>
        </w:rPr>
        <w:t xml:space="preserve"> means that the brand is accepted and penetrates the market successfully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w:t>
      </w:r>
    </w:p>
    <w:p w14:paraId="49F3A02C"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efficiency indicates the capacity of M&amp;M to manage </w:t>
      </w:r>
      <w:proofErr w:type="gramStart"/>
      <w:r>
        <w:rPr>
          <w:rFonts w:ascii="Times New Roman" w:eastAsia="Times New Roman" w:hAnsi="Times New Roman" w:cs="Times New Roman"/>
          <w:sz w:val="24"/>
          <w:szCs w:val="24"/>
        </w:rPr>
        <w:t>the production</w:t>
      </w:r>
      <w:proofErr w:type="gramEnd"/>
      <w:r>
        <w:rPr>
          <w:rFonts w:ascii="Times New Roman" w:eastAsia="Times New Roman" w:hAnsi="Times New Roman" w:cs="Times New Roman"/>
          <w:sz w:val="24"/>
          <w:szCs w:val="24"/>
        </w:rPr>
        <w:t xml:space="preserve">, logistics, and procurement costs, and maintain high quality in terms of the strict standards of regulation. Controlling costs has been placed as a strategic agenda due to post-COVID supply chain disruption and inflation of raw materials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xml:space="preserve">, 2021). Frugality engineering and scale economies must thus be implemented to sustain competitive prices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established EV brands.</w:t>
      </w:r>
    </w:p>
    <w:p w14:paraId="22548C95" w14:textId="77777777" w:rsidR="006E2C30" w:rsidRDefault="00000000">
      <w:pPr>
        <w:pStyle w:val="Heading3"/>
        <w:widowControl w:val="0"/>
      </w:pPr>
      <w:bookmarkStart w:id="29" w:name="_heading=h.bf4paq42xzxr" w:colFirst="0" w:colLast="0"/>
      <w:bookmarkEnd w:id="29"/>
      <w:r>
        <w:t>5.1.2 Customer Perspective</w:t>
      </w:r>
    </w:p>
    <w:p w14:paraId="20A1E66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perspective is </w:t>
      </w:r>
      <w:proofErr w:type="gramStart"/>
      <w:r>
        <w:rPr>
          <w:rFonts w:ascii="Times New Roman" w:eastAsia="Times New Roman" w:hAnsi="Times New Roman" w:cs="Times New Roman"/>
          <w:sz w:val="24"/>
          <w:szCs w:val="24"/>
        </w:rPr>
        <w:t>the market</w:t>
      </w:r>
      <w:proofErr w:type="gramEnd"/>
      <w:r>
        <w:rPr>
          <w:rFonts w:ascii="Times New Roman" w:eastAsia="Times New Roman" w:hAnsi="Times New Roman" w:cs="Times New Roman"/>
          <w:sz w:val="24"/>
          <w:szCs w:val="24"/>
        </w:rPr>
        <w:t xml:space="preserve"> acceptance, brand strength, and value creation based on the consumer perspective.</w:t>
      </w:r>
    </w:p>
    <w:p w14:paraId="7E0FDE3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 adoption rate is used to determine the percentage of customers who opt to buy Mahindra EVs against other brands. This KPI assesses the efficiency with which products are positioned, the pricing and incentive use to cause a rise in sales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w:t>
      </w:r>
    </w:p>
    <w:p w14:paraId="41CBFE87"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sales services, charges, product and software performance are captured in customer satisfaction. Trust and reliability of technology are still the determining factors in the purchase of EVs, particularly among first-time users of EVs (Alqahtani, 2025). The level of satisfaction leads to repeat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good brand image.</w:t>
      </w:r>
    </w:p>
    <w:p w14:paraId="49F05D48" w14:textId="77777777" w:rsidR="006E2C30" w:rsidRDefault="00000000">
      <w:pPr>
        <w:pStyle w:val="Heading3"/>
        <w:widowControl w:val="0"/>
      </w:pPr>
      <w:bookmarkStart w:id="30" w:name="_heading=h.xhs3hd3mnw6t" w:colFirst="0" w:colLast="0"/>
      <w:bookmarkEnd w:id="30"/>
      <w:r>
        <w:t>5.1.3 Internal Business Processes Perspective.</w:t>
      </w:r>
    </w:p>
    <w:p w14:paraId="25375DA3"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factors that are measured under production efficiency include output/unit of input, reduction of downtime and defect rates. To ensure </w:t>
      </w:r>
      <w:proofErr w:type="gramStart"/>
      <w:r>
        <w:rPr>
          <w:rFonts w:ascii="Times New Roman" w:eastAsia="Times New Roman" w:hAnsi="Times New Roman" w:cs="Times New Roman"/>
          <w:sz w:val="24"/>
          <w:szCs w:val="24"/>
        </w:rPr>
        <w:t>the competitive</w:t>
      </w:r>
      <w:proofErr w:type="gramEnd"/>
      <w:r>
        <w:rPr>
          <w:rFonts w:ascii="Times New Roman" w:eastAsia="Times New Roman" w:hAnsi="Times New Roman" w:cs="Times New Roman"/>
          <w:sz w:val="24"/>
          <w:szCs w:val="24"/>
        </w:rPr>
        <w:t xml:space="preserve"> prices and meet the US safety and environmental standards, effective production is necessary (Karner, 2021; Hsu, 2023).</w:t>
      </w:r>
    </w:p>
    <w:p w14:paraId="580FFED2"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Supply chains are still vulnerable to disruption after the pandemic, geopolitics and bottlenecks in logistics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xml:space="preserve">, 2021). </w:t>
      </w:r>
      <w:proofErr w:type="gramStart"/>
      <w:r>
        <w:rPr>
          <w:rFonts w:ascii="Times New Roman" w:eastAsia="Times New Roman" w:hAnsi="Times New Roman" w:cs="Times New Roman"/>
          <w:sz w:val="24"/>
          <w:szCs w:val="24"/>
        </w:rPr>
        <w:t>The reliability</w:t>
      </w:r>
      <w:proofErr w:type="gramEnd"/>
      <w:r>
        <w:rPr>
          <w:rFonts w:ascii="Times New Roman" w:eastAsia="Times New Roman" w:hAnsi="Times New Roman" w:cs="Times New Roman"/>
          <w:sz w:val="24"/>
          <w:szCs w:val="24"/>
        </w:rPr>
        <w:t xml:space="preserve"> is enhanced through long-term supplier </w:t>
      </w:r>
      <w:r>
        <w:rPr>
          <w:rFonts w:ascii="Times New Roman" w:eastAsia="Times New Roman" w:hAnsi="Times New Roman" w:cs="Times New Roman"/>
          <w:sz w:val="24"/>
          <w:szCs w:val="24"/>
        </w:rPr>
        <w:lastRenderedPageBreak/>
        <w:t>relationships and diversified sourcing.</w:t>
      </w:r>
    </w:p>
    <w:p w14:paraId="78AF9880" w14:textId="77777777" w:rsidR="006E2C30" w:rsidRDefault="00000000">
      <w:pPr>
        <w:pStyle w:val="Heading3"/>
        <w:widowControl w:val="0"/>
      </w:pPr>
      <w:bookmarkStart w:id="31" w:name="_heading=h.m3rwfcheo0x5" w:colFirst="0" w:colLast="0"/>
      <w:bookmarkEnd w:id="31"/>
      <w:r>
        <w:t>5.1.4 Learning and Growth Perspective.</w:t>
      </w:r>
    </w:p>
    <w:p w14:paraId="037A5B04"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Unrelenting investment in battery performance, digitalization and autonomous technology, improves product differentiation and technological superiority (Hurry et al., 2022;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Battery engineering, power electronics, software systems and mechatronics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are used to facilitate productivity, safety and innovation. </w:t>
      </w:r>
    </w:p>
    <w:p w14:paraId="08026D51" w14:textId="77777777" w:rsidR="006E2C30" w:rsidRDefault="00000000">
      <w:pPr>
        <w:pStyle w:val="Heading2"/>
        <w:widowControl w:val="0"/>
      </w:pPr>
      <w:bookmarkStart w:id="32" w:name="_heading=h.7gsrdkdcvb6z" w:colFirst="0" w:colLast="0"/>
      <w:bookmarkEnd w:id="32"/>
      <w:r>
        <w:t>5.2 Triple Bottom Line (TBL) Integration.</w:t>
      </w:r>
    </w:p>
    <w:p w14:paraId="60286D2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strategic implementation is gauged in the Balanced Scorecard, the Triple Bottom Line (TBL) framework is used to make sure that performance is gauged at the economic, social and environmental levels to attain sustainable growth.</w:t>
      </w:r>
    </w:p>
    <w:p w14:paraId="09EF6761" w14:textId="77777777" w:rsidR="006E2C30" w:rsidRDefault="00000000">
      <w:pPr>
        <w:widowControl w:val="0"/>
        <w:spacing w:after="200" w:line="360" w:lineRule="auto"/>
        <w:ind w:left="2160" w:firstLine="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91678C" wp14:editId="193E3F40">
            <wp:extent cx="2852738" cy="285273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52738" cy="2852738"/>
                    </a:xfrm>
                    <a:prstGeom prst="rect">
                      <a:avLst/>
                    </a:prstGeom>
                    <a:ln/>
                  </pic:spPr>
                </pic:pic>
              </a:graphicData>
            </a:graphic>
          </wp:inline>
        </w:drawing>
      </w:r>
    </w:p>
    <w:p w14:paraId="405DA64A" w14:textId="77777777" w:rsidR="006E2C30" w:rsidRDefault="00000000">
      <w:pPr>
        <w:widowControl w:val="0"/>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Triple Bottom Line (TBL)</w:t>
      </w:r>
    </w:p>
    <w:p w14:paraId="63C14B9C" w14:textId="77777777" w:rsidR="006E2C30" w:rsidRDefault="00000000">
      <w:pPr>
        <w:widowControl w:val="0"/>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(Chu et al., 2022) </w:t>
      </w:r>
    </w:p>
    <w:p w14:paraId="097E7AA3"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(Social Performance)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concerned with the creation of employment, diversity of work forces and occupational safety. The entry of US companies gives Mahindra an opportunity to create new jobs locally and follow the high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standards and safety requirements. High-voltage EV system training is also beneficial to the welfare of employees and to the prevention of </w:t>
      </w:r>
      <w:r>
        <w:rPr>
          <w:rFonts w:ascii="Times New Roman" w:eastAsia="Times New Roman" w:hAnsi="Times New Roman" w:cs="Times New Roman"/>
          <w:sz w:val="24"/>
          <w:szCs w:val="24"/>
        </w:rPr>
        <w:lastRenderedPageBreak/>
        <w:t>accidents.</w:t>
      </w:r>
    </w:p>
    <w:p w14:paraId="54338652"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Planet (Environmental Performance) deals with reduction of </w:t>
      </w:r>
      <w:proofErr w:type="gramStart"/>
      <w:r>
        <w:rPr>
          <w:rFonts w:ascii="Times New Roman" w:eastAsia="Times New Roman" w:hAnsi="Times New Roman" w:cs="Times New Roman"/>
          <w:sz w:val="24"/>
          <w:szCs w:val="24"/>
        </w:rPr>
        <w:t>emission</w:t>
      </w:r>
      <w:proofErr w:type="gramEnd"/>
      <w:r>
        <w:rPr>
          <w:rFonts w:ascii="Times New Roman" w:eastAsia="Times New Roman" w:hAnsi="Times New Roman" w:cs="Times New Roman"/>
          <w:sz w:val="24"/>
          <w:szCs w:val="24"/>
        </w:rPr>
        <w:t xml:space="preserve">, uptake of renewable energy and clean production. The policies of </w:t>
      </w:r>
      <w:proofErr w:type="spellStart"/>
      <w:r>
        <w:rPr>
          <w:rFonts w:ascii="Times New Roman" w:eastAsia="Times New Roman" w:hAnsi="Times New Roman" w:cs="Times New Roman"/>
          <w:sz w:val="24"/>
          <w:szCs w:val="24"/>
        </w:rPr>
        <w:t>decarbonisation</w:t>
      </w:r>
      <w:proofErr w:type="spellEnd"/>
      <w:r>
        <w:rPr>
          <w:rFonts w:ascii="Times New Roman" w:eastAsia="Times New Roman" w:hAnsi="Times New Roman" w:cs="Times New Roman"/>
          <w:sz w:val="24"/>
          <w:szCs w:val="24"/>
        </w:rPr>
        <w:t xml:space="preserve"> and climate that are developed by the US are biased in favor of EV manufacturers with low-carbon production and clean energy supply sources (Chu et al., 2022; Karner, 2021).</w:t>
      </w:r>
    </w:p>
    <w:p w14:paraId="57B4E017"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(Economic Sustainability) makes the EV strategy of Mahindra profitable in the long-term. Sustainable profitability describes the combination of cost efficiency, increase in revenues and creation of shareholder values (Bontempi, 2024). The Profit aspect also has a direct relationship with investor confidence and availability of long-term capital.</w:t>
      </w:r>
    </w:p>
    <w:p w14:paraId="5105A633" w14:textId="77777777" w:rsidR="006E2C30" w:rsidRDefault="00000000">
      <w:pPr>
        <w:pStyle w:val="Heading2"/>
        <w:widowControl w:val="0"/>
      </w:pPr>
      <w:bookmarkStart w:id="33" w:name="_heading=h.n9tmrpq6stty" w:colFirst="0" w:colLast="0"/>
      <w:bookmarkEnd w:id="33"/>
      <w:r>
        <w:t>5.3 KPI Measurement and Financial Reporting.</w:t>
      </w:r>
    </w:p>
    <w:p w14:paraId="60C5D62E"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KPIs of ROI, gross margin, operating cash flow and return on capital employed allow the management to monitor the profitability and efficiency of capital (Bontempi, 2024; </w:t>
      </w:r>
      <w:proofErr w:type="spellStart"/>
      <w:r>
        <w:rPr>
          <w:rFonts w:ascii="Times New Roman" w:eastAsia="Times New Roman" w:hAnsi="Times New Roman" w:cs="Times New Roman"/>
          <w:sz w:val="24"/>
          <w:szCs w:val="24"/>
        </w:rPr>
        <w:t>Rahiminezhad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Galankashi</w:t>
      </w:r>
      <w:proofErr w:type="spellEnd"/>
      <w:r>
        <w:rPr>
          <w:rFonts w:ascii="Times New Roman" w:eastAsia="Times New Roman" w:hAnsi="Times New Roman" w:cs="Times New Roman"/>
          <w:sz w:val="24"/>
          <w:szCs w:val="24"/>
        </w:rPr>
        <w:t xml:space="preserve"> and Mokhatab Rafiei, 2022).</w:t>
      </w:r>
    </w:p>
    <w:p w14:paraId="20B692E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Mahindra can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working capital and identify operational inefficiencies using supply chain financial performance measures like inventory turnover, supplier payment cycles and logistics cost ratios. Financial metrics in the supply chain are especially relevant to EVs manufacturing because the prices of battery parts and semiconductors are currently high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w:t>
      </w:r>
    </w:p>
    <w:p w14:paraId="172D985C"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EVs are a capital-intensive and innovative industry, so it is particularly important that </w:t>
      </w:r>
      <w:proofErr w:type="gramStart"/>
      <w:r>
        <w:rPr>
          <w:rFonts w:ascii="Times New Roman" w:eastAsia="Times New Roman" w:hAnsi="Times New Roman" w:cs="Times New Roman"/>
          <w:sz w:val="24"/>
          <w:szCs w:val="24"/>
        </w:rPr>
        <w:t>investor reporting</w:t>
      </w:r>
      <w:proofErr w:type="gramEnd"/>
      <w:r>
        <w:rPr>
          <w:rFonts w:ascii="Times New Roman" w:eastAsia="Times New Roman" w:hAnsi="Times New Roman" w:cs="Times New Roman"/>
          <w:sz w:val="24"/>
          <w:szCs w:val="24"/>
        </w:rPr>
        <w:t xml:space="preserve"> relevance. Clear KPI-driven financial reporting enhances the confidence of investors, aids valuation of </w:t>
      </w:r>
      <w:proofErr w:type="gramStart"/>
      <w:r>
        <w:rPr>
          <w:rFonts w:ascii="Times New Roman" w:eastAsia="Times New Roman" w:hAnsi="Times New Roman" w:cs="Times New Roman"/>
          <w:sz w:val="24"/>
          <w:szCs w:val="24"/>
        </w:rPr>
        <w:t>the equity</w:t>
      </w:r>
      <w:proofErr w:type="gramEnd"/>
      <w:r>
        <w:rPr>
          <w:rFonts w:ascii="Times New Roman" w:eastAsia="Times New Roman" w:hAnsi="Times New Roman" w:cs="Times New Roman"/>
          <w:sz w:val="24"/>
          <w:szCs w:val="24"/>
        </w:rPr>
        <w:t xml:space="preserve"> and opens long-term capital markets (Bontempi, 2024). Regular performance reporting is also good to increase </w:t>
      </w:r>
      <w:proofErr w:type="gramStart"/>
      <w:r>
        <w:rPr>
          <w:rFonts w:ascii="Times New Roman" w:eastAsia="Times New Roman" w:hAnsi="Times New Roman" w:cs="Times New Roman"/>
          <w:sz w:val="24"/>
          <w:szCs w:val="24"/>
        </w:rPr>
        <w:t>the regulatory</w:t>
      </w:r>
      <w:proofErr w:type="gramEnd"/>
      <w:r>
        <w:rPr>
          <w:rFonts w:ascii="Times New Roman" w:eastAsia="Times New Roman" w:hAnsi="Times New Roman" w:cs="Times New Roman"/>
          <w:sz w:val="24"/>
          <w:szCs w:val="24"/>
        </w:rPr>
        <w:t xml:space="preserve"> compliance and corporate governance standards.</w:t>
      </w:r>
    </w:p>
    <w:p w14:paraId="4B3AB400" w14:textId="77777777" w:rsidR="006E2C30" w:rsidRDefault="00000000">
      <w:pPr>
        <w:pStyle w:val="Heading1"/>
        <w:widowControl w:val="0"/>
      </w:pPr>
      <w:bookmarkStart w:id="34" w:name="_heading=h.sa7mkeg0f97r" w:colFirst="0" w:colLast="0"/>
      <w:bookmarkEnd w:id="34"/>
      <w:r>
        <w:t xml:space="preserve">6. Discussion and Strategic Integration </w:t>
      </w:r>
    </w:p>
    <w:p w14:paraId="26182EC8"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and Porters Five Forces analyses reveal that the US EV market is both rich in opportunities and competitive as it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good regulatory support, fast technological development, and intense competition on the market (Fedotov, 2022;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These reasons determine the use of a market development strategy with the help of a hybrid cost </w:t>
      </w:r>
      <w:r>
        <w:rPr>
          <w:rFonts w:ascii="Times New Roman" w:eastAsia="Times New Roman" w:hAnsi="Times New Roman" w:cs="Times New Roman"/>
          <w:sz w:val="24"/>
          <w:szCs w:val="24"/>
        </w:rPr>
        <w:lastRenderedPageBreak/>
        <w:t>leadership and differentiation strategy.</w:t>
      </w:r>
    </w:p>
    <w:p w14:paraId="08C76CC7"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entry strategy of Mahindra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the volatility of tariffs, industrial incentives and restructuring of supply chains following the COVID-19 (</w:t>
      </w: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2021; Contractor, 2025; Free and </w:t>
      </w:r>
      <w:proofErr w:type="spellStart"/>
      <w:r>
        <w:rPr>
          <w:rFonts w:ascii="Times New Roman" w:eastAsia="Times New Roman" w:hAnsi="Times New Roman" w:cs="Times New Roman"/>
          <w:sz w:val="24"/>
          <w:szCs w:val="24"/>
        </w:rPr>
        <w:t>Hecimovic</w:t>
      </w:r>
      <w:proofErr w:type="spellEnd"/>
      <w:r>
        <w:rPr>
          <w:rFonts w:ascii="Times New Roman" w:eastAsia="Times New Roman" w:hAnsi="Times New Roman" w:cs="Times New Roman"/>
          <w:sz w:val="24"/>
          <w:szCs w:val="24"/>
        </w:rPr>
        <w:t>, 2021). Meanwhile, the increase in consumer tolerance to EVs and autonomous technologies empowers the demand-side to believe in the viability of the market in the long run (Alqahtani, 2025).</w:t>
      </w:r>
    </w:p>
    <w:p w14:paraId="65A4B1A8"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the internal analysis, the VRIO analysis verifies the fact that vehicles expertise makes a good basis of competitive positioning, especially in off-road and light commercial EV segments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These internal assets work well with the niche opportunities in Porters Diamond Model namely in technologically facilitated mobility ecosystems anchored by developed infrastructure and clusters of innovations (Hurry et al., 2022; </w:t>
      </w: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et al., 2022).</w:t>
      </w:r>
    </w:p>
    <w:p w14:paraId="7A40700A"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combination of the Balanced Scorecard and Triple Bottom Line models make sure that the strategic performance is measured not only based on financial results but also based on the customer value creation, operational efficiency, employee capability development and sustainability performance (</w:t>
      </w:r>
      <w:proofErr w:type="spellStart"/>
      <w:r>
        <w:rPr>
          <w:rFonts w:ascii="Times New Roman" w:eastAsia="Times New Roman" w:hAnsi="Times New Roman" w:cs="Times New Roman"/>
          <w:sz w:val="24"/>
          <w:szCs w:val="24"/>
        </w:rPr>
        <w:t>Teichgräber</w:t>
      </w:r>
      <w:proofErr w:type="spellEnd"/>
      <w:r>
        <w:rPr>
          <w:rFonts w:ascii="Times New Roman" w:eastAsia="Times New Roman" w:hAnsi="Times New Roman" w:cs="Times New Roman"/>
          <w:sz w:val="24"/>
          <w:szCs w:val="24"/>
        </w:rPr>
        <w:t xml:space="preserve"> et al., 2021; Chu et al., 2022; Bontempi, 2024). Such a holistic fusion enhances strategic consistency and value creation in the long term.</w:t>
      </w:r>
    </w:p>
    <w:p w14:paraId="1517330F" w14:textId="77777777" w:rsidR="006E2C30" w:rsidRDefault="00000000">
      <w:pPr>
        <w:pStyle w:val="Heading1"/>
        <w:widowControl w:val="0"/>
      </w:pPr>
      <w:bookmarkStart w:id="35" w:name="_heading=h.g7aqoxjem93s" w:colFirst="0" w:colLast="0"/>
      <w:bookmarkEnd w:id="35"/>
      <w:r>
        <w:t xml:space="preserve">7. Conclusion </w:t>
      </w:r>
    </w:p>
    <w:p w14:paraId="360E9101"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critically discussed the strategic feasibility of the Mahindra and Mahindra (M&amp;M) extension of its business to the United States market of Electric Vehicle (EV). Using the major strategic management frameworks, the analysis reveals that the US EV market is characterized by significant growth prospects due to the high level of environmental regulation, governmental incentives, technological advancement and growing adoption of clean mobility by consumers (</w:t>
      </w: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and Holt, 2025; Alqahtani, 2025; Chu et al., 2022). It is also, however, known by aggressive rivalry, significant accumulation of capital and a complicated system of regulations (Fedotov, 2022; Hsu, 2023).</w:t>
      </w:r>
    </w:p>
    <w:p w14:paraId="67DDA2EF" w14:textId="77777777" w:rsidR="006E2C30"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internal analysis proves that Mahindra has a good base on which to develop in the international market, especially in niche utility and off-road EV segments due to their cost-efficient production, </w:t>
      </w:r>
      <w:r>
        <w:rPr>
          <w:rFonts w:ascii="Times New Roman" w:eastAsia="Times New Roman" w:hAnsi="Times New Roman" w:cs="Times New Roman"/>
          <w:sz w:val="24"/>
          <w:szCs w:val="24"/>
        </w:rPr>
        <w:lastRenderedPageBreak/>
        <w:t xml:space="preserve">economical engineering and expanding expertise in EVs (Sikder, 2021; </w:t>
      </w: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et al., 2022). The market development strategy proposed, which relied on a hybrid cost leadership-differentiation strategy and strategic alliances, will guarantee the consistency between the internal strengths and demands of the external market.</w:t>
      </w:r>
    </w:p>
    <w:p w14:paraId="3CC0A748" w14:textId="77777777" w:rsidR="006E2C30" w:rsidRDefault="006E2C30">
      <w:pPr>
        <w:widowControl w:val="0"/>
        <w:spacing w:after="200" w:line="360" w:lineRule="auto"/>
        <w:jc w:val="both"/>
        <w:rPr>
          <w:rFonts w:ascii="Times New Roman" w:eastAsia="Times New Roman" w:hAnsi="Times New Roman" w:cs="Times New Roman"/>
          <w:sz w:val="24"/>
          <w:szCs w:val="24"/>
        </w:rPr>
      </w:pPr>
    </w:p>
    <w:p w14:paraId="45DE43AE" w14:textId="77777777" w:rsidR="006E2C30" w:rsidRDefault="00000000">
      <w:pPr>
        <w:widowControl w:val="0"/>
        <w:spacing w:after="200" w:line="360" w:lineRule="auto"/>
        <w:jc w:val="both"/>
        <w:rPr>
          <w:rFonts w:ascii="Times New Roman" w:eastAsia="Times New Roman" w:hAnsi="Times New Roman" w:cs="Times New Roman"/>
          <w:b/>
          <w:bCs/>
          <w:sz w:val="24"/>
          <w:szCs w:val="24"/>
        </w:rPr>
      </w:pPr>
      <w:r>
        <w:br w:type="page"/>
      </w:r>
    </w:p>
    <w:p w14:paraId="7AD751D5" w14:textId="77777777" w:rsidR="006E2C30" w:rsidRDefault="00000000">
      <w:pPr>
        <w:widowControl w:val="0"/>
        <w:spacing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References</w:t>
      </w:r>
    </w:p>
    <w:p w14:paraId="316B609A"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Ramachandran, N.V. and Saravanan, S., 2021. A Study on Business Prospects for Builders at Mahindra World City, Chengelpet. Quing: International Journal of Commerce and Management, 1(1), pp.07-13. </w:t>
      </w:r>
      <w:hyperlink r:id="rId10">
        <w:r w:rsidR="006E2C30">
          <w:rPr>
            <w:rFonts w:ascii="Times New Roman" w:eastAsia="Times New Roman" w:hAnsi="Times New Roman" w:cs="Times New Roman"/>
            <w:color w:val="1155CC"/>
            <w:sz w:val="24"/>
            <w:szCs w:val="24"/>
            <w:u w:val="single"/>
          </w:rPr>
          <w:t>https://scholar.archive.org/work/djkimqp6yncarma4xezrxsh6yu/access/wayback/https://quingpublications.com/qijcm/2021/1/1/cm201111006.pdf</w:t>
        </w:r>
      </w:hyperlink>
    </w:p>
    <w:p w14:paraId="7F65B01C"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Chu, E., Brown, A., Michael, K., Du, J. and Mahendra, A., 2022. “Unlocking the Potential for Transformative Climate Adaptation in Cities”: from the Global Commission on Adaptation (2021). In The Sustainable Urban Development Reader (</w:t>
      </w:r>
      <w:proofErr w:type="gramStart"/>
      <w:r>
        <w:rPr>
          <w:rFonts w:ascii="Times New Roman" w:eastAsia="Times New Roman" w:hAnsi="Times New Roman" w:cs="Times New Roman"/>
          <w:sz w:val="24"/>
          <w:szCs w:val="24"/>
        </w:rPr>
        <w:t>pp</w:t>
      </w:r>
      <w:proofErr w:type="gramEnd"/>
      <w:r>
        <w:rPr>
          <w:rFonts w:ascii="Times New Roman" w:eastAsia="Times New Roman" w:hAnsi="Times New Roman" w:cs="Times New Roman"/>
          <w:sz w:val="24"/>
          <w:szCs w:val="24"/>
        </w:rPr>
        <w:t xml:space="preserve">. 86-90). Routledge. </w:t>
      </w:r>
      <w:hyperlink r:id="rId11">
        <w:r w:rsidR="006E2C30">
          <w:rPr>
            <w:rFonts w:ascii="Times New Roman" w:eastAsia="Times New Roman" w:hAnsi="Times New Roman" w:cs="Times New Roman"/>
            <w:color w:val="1155CC"/>
            <w:sz w:val="24"/>
            <w:szCs w:val="24"/>
            <w:u w:val="single"/>
          </w:rPr>
          <w:t>https://pure.eur.nl/files/120662306/Unlocking_the_potentia.pdf</w:t>
        </w:r>
      </w:hyperlink>
    </w:p>
    <w:p w14:paraId="7B221CE7"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Jahan, T., 2022. Challenges and prospects of assessment development center. </w:t>
      </w:r>
      <w:hyperlink r:id="rId12">
        <w:r w:rsidR="006E2C30">
          <w:rPr>
            <w:rFonts w:ascii="Times New Roman" w:eastAsia="Times New Roman" w:hAnsi="Times New Roman" w:cs="Times New Roman"/>
            <w:color w:val="1155CC"/>
            <w:sz w:val="24"/>
            <w:szCs w:val="24"/>
            <w:u w:val="single"/>
          </w:rPr>
          <w:t>https://dspace.bracu.ac.bd:8443/xmlui/bitstream/handle/10361/17962/18304028_BBA.pdf?sequence=1&amp;isAllowed=y</w:t>
        </w:r>
      </w:hyperlink>
    </w:p>
    <w:p w14:paraId="66BBB823"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I., </w:t>
      </w:r>
      <w:proofErr w:type="gramStart"/>
      <w:r>
        <w:rPr>
          <w:rFonts w:ascii="Times New Roman" w:eastAsia="Times New Roman" w:hAnsi="Times New Roman" w:cs="Times New Roman"/>
          <w:sz w:val="24"/>
          <w:szCs w:val="24"/>
        </w:rPr>
        <w:t>Chorna</w:t>
      </w:r>
      <w:proofErr w:type="gramEnd"/>
      <w:r>
        <w:rPr>
          <w:rFonts w:ascii="Times New Roman" w:eastAsia="Times New Roman" w:hAnsi="Times New Roman" w:cs="Times New Roman"/>
          <w:sz w:val="24"/>
          <w:szCs w:val="24"/>
        </w:rPr>
        <w:t xml:space="preserve">, O., Oleksandr, O., Martynov, A., Ovcharenko, I., </w:t>
      </w:r>
      <w:proofErr w:type="spellStart"/>
      <w:r>
        <w:rPr>
          <w:rFonts w:ascii="Times New Roman" w:eastAsia="Times New Roman" w:hAnsi="Times New Roman" w:cs="Times New Roman"/>
          <w:sz w:val="24"/>
          <w:szCs w:val="24"/>
        </w:rPr>
        <w:t>Khandii</w:t>
      </w:r>
      <w:proofErr w:type="spellEnd"/>
      <w:r>
        <w:rPr>
          <w:rFonts w:ascii="Times New Roman" w:eastAsia="Times New Roman" w:hAnsi="Times New Roman" w:cs="Times New Roman"/>
          <w:sz w:val="24"/>
          <w:szCs w:val="24"/>
        </w:rPr>
        <w:t xml:space="preserve">, O. and Ivchenko, Y., 2022. </w:t>
      </w:r>
      <w:proofErr w:type="gramStart"/>
      <w:r>
        <w:rPr>
          <w:rFonts w:ascii="Times New Roman" w:eastAsia="Times New Roman" w:hAnsi="Times New Roman" w:cs="Times New Roman"/>
          <w:sz w:val="24"/>
          <w:szCs w:val="24"/>
        </w:rPr>
        <w:t>The Reasons</w:t>
      </w:r>
      <w:proofErr w:type="gramEnd"/>
      <w:r>
        <w:rPr>
          <w:rFonts w:ascii="Times New Roman" w:eastAsia="Times New Roman" w:hAnsi="Times New Roman" w:cs="Times New Roman"/>
          <w:sz w:val="24"/>
          <w:szCs w:val="24"/>
        </w:rPr>
        <w:t xml:space="preserve"> for the Growth of the US Stock Market. European Journal of Sustainable Development, 11(1), pp.124-124. </w:t>
      </w:r>
      <w:hyperlink r:id="rId13">
        <w:r w:rsidR="006E2C30">
          <w:rPr>
            <w:rFonts w:ascii="Times New Roman" w:eastAsia="Times New Roman" w:hAnsi="Times New Roman" w:cs="Times New Roman"/>
            <w:color w:val="1155CC"/>
            <w:sz w:val="24"/>
            <w:szCs w:val="24"/>
            <w:u w:val="single"/>
          </w:rPr>
          <w:t>http://ojs.ecsdev.org/index.php/ejsd/article/download/1295/1276</w:t>
        </w:r>
      </w:hyperlink>
    </w:p>
    <w:p w14:paraId="4A93F80C"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Hurry, D., Miller, A.T. and Bowman, E.H., 2022. Calls on </w:t>
      </w:r>
      <w:proofErr w:type="gramStart"/>
      <w:r>
        <w:rPr>
          <w:rFonts w:ascii="Times New Roman" w:eastAsia="Times New Roman" w:hAnsi="Times New Roman" w:cs="Times New Roman"/>
          <w:sz w:val="24"/>
          <w:szCs w:val="24"/>
        </w:rPr>
        <w:t>high-technology</w:t>
      </w:r>
      <w:proofErr w:type="gramEnd"/>
      <w:r>
        <w:rPr>
          <w:rFonts w:ascii="Times New Roman" w:eastAsia="Times New Roman" w:hAnsi="Times New Roman" w:cs="Times New Roman"/>
          <w:sz w:val="24"/>
          <w:szCs w:val="24"/>
        </w:rPr>
        <w:t xml:space="preserve">: Japanese exploration of venture capital investments in the United States. In Venture Capital (pp. 83-99). Routledge. </w:t>
      </w:r>
      <w:hyperlink r:id="rId14">
        <w:r w:rsidR="006E2C30">
          <w:rPr>
            <w:rFonts w:ascii="Times New Roman" w:eastAsia="Times New Roman" w:hAnsi="Times New Roman" w:cs="Times New Roman"/>
            <w:color w:val="1155CC"/>
            <w:sz w:val="24"/>
            <w:szCs w:val="24"/>
            <w:u w:val="single"/>
          </w:rPr>
          <w:t>https://www.academia.edu/download/49581555/smj.425013020220161013-6667-1jgw9r9.pdf</w:t>
        </w:r>
      </w:hyperlink>
    </w:p>
    <w:p w14:paraId="299FBC54"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A., Monsalve, G., Cardenas, A. and Mousazadeh, H., 2022. </w:t>
      </w:r>
      <w:proofErr w:type="gramStart"/>
      <w:r>
        <w:rPr>
          <w:rFonts w:ascii="Times New Roman" w:eastAsia="Times New Roman" w:hAnsi="Times New Roman" w:cs="Times New Roman"/>
          <w:sz w:val="24"/>
          <w:szCs w:val="24"/>
        </w:rPr>
        <w:t>Off-</w:t>
      </w:r>
      <w:proofErr w:type="gramEnd"/>
      <w:r>
        <w:rPr>
          <w:rFonts w:ascii="Times New Roman" w:eastAsia="Times New Roman" w:hAnsi="Times New Roman" w:cs="Times New Roman"/>
          <w:sz w:val="24"/>
          <w:szCs w:val="24"/>
        </w:rPr>
        <w:t>road electric vehicles and autonomous robots in agricultural sector: trends, challenges, and opportunities. Vehicles, 4(3), pp.843-864.</w:t>
      </w:r>
      <w:hyperlink r:id="rId15">
        <w:r w:rsidR="006E2C30">
          <w:rPr>
            <w:rFonts w:ascii="Times New Roman" w:eastAsia="Times New Roman" w:hAnsi="Times New Roman" w:cs="Times New Roman"/>
            <w:color w:val="1155CC"/>
            <w:sz w:val="24"/>
            <w:szCs w:val="24"/>
            <w:u w:val="single"/>
          </w:rPr>
          <w:t>https://www.mdpi.com/2624-8921/4/3/47</w:t>
        </w:r>
      </w:hyperlink>
    </w:p>
    <w:p w14:paraId="70089F6E"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VanGrasstek</w:t>
      </w:r>
      <w:proofErr w:type="spellEnd"/>
      <w:r>
        <w:rPr>
          <w:rFonts w:ascii="Times New Roman" w:eastAsia="Times New Roman" w:hAnsi="Times New Roman" w:cs="Times New Roman"/>
          <w:sz w:val="24"/>
          <w:szCs w:val="24"/>
        </w:rPr>
        <w:t xml:space="preserve">, C., 2021. The trade policy of the United States under the Trump administration. Trade Policy in the 21st Century: Back to the Past. </w:t>
      </w:r>
      <w:hyperlink r:id="rId16">
        <w:r w:rsidR="006E2C30">
          <w:rPr>
            <w:rFonts w:ascii="Times New Roman" w:eastAsia="Times New Roman" w:hAnsi="Times New Roman" w:cs="Times New Roman"/>
            <w:color w:val="1155CC"/>
            <w:sz w:val="24"/>
            <w:szCs w:val="24"/>
            <w:u w:val="single"/>
          </w:rPr>
          <w:t>https://papers.ssrn.com/sol3/Delivery.cfm?abstractid=3330577</w:t>
        </w:r>
      </w:hyperlink>
    </w:p>
    <w:p w14:paraId="15D932A7"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Contractor, F.J., 2025. Assessing the economic impact of tariffs: adaptations by multinationals and traders to mitigate tariffs. Review of international business and strategy, 35(2/3), pp.190-213. </w:t>
      </w:r>
      <w:hyperlink r:id="rId17">
        <w:r w:rsidR="006E2C30">
          <w:rPr>
            <w:rFonts w:ascii="Times New Roman" w:eastAsia="Times New Roman" w:hAnsi="Times New Roman" w:cs="Times New Roman"/>
            <w:color w:val="1155CC"/>
            <w:sz w:val="24"/>
            <w:szCs w:val="24"/>
            <w:u w:val="single"/>
          </w:rPr>
          <w:t>https://dspace.uii.ac.id/bitstream/handle/123456789/45208/Undergraduate%20Thesis_18323052_revisi.pdf?sequence=1</w:t>
        </w:r>
      </w:hyperlink>
    </w:p>
    <w:p w14:paraId="4878F587"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Bown, C.P., 2024. Trade policy, industrial policy, and the economic security of the European Union. Peterson Institute for International Economics Working Paper, pp.24-2. </w:t>
      </w:r>
      <w:hyperlink r:id="rId18">
        <w:r w:rsidR="006E2C30">
          <w:rPr>
            <w:rFonts w:ascii="Times New Roman" w:eastAsia="Times New Roman" w:hAnsi="Times New Roman" w:cs="Times New Roman"/>
            <w:color w:val="1155CC"/>
            <w:sz w:val="24"/>
            <w:szCs w:val="24"/>
            <w:u w:val="single"/>
          </w:rPr>
          <w:t>https://papers.ssrn.com/sol3/Delivery.cfm?abstractid=4834530</w:t>
        </w:r>
      </w:hyperlink>
    </w:p>
    <w:p w14:paraId="6370131C"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Ajeigbe</w:t>
      </w:r>
      <w:proofErr w:type="spellEnd"/>
      <w:r>
        <w:rPr>
          <w:rFonts w:ascii="Times New Roman" w:eastAsia="Times New Roman" w:hAnsi="Times New Roman" w:cs="Times New Roman"/>
          <w:sz w:val="24"/>
          <w:szCs w:val="24"/>
        </w:rPr>
        <w:t xml:space="preserve">, K. and Holt, W., 2025. Government Policies and Incentives for EV Manufacturing. </w:t>
      </w:r>
      <w:hyperlink r:id="rId19">
        <w:r w:rsidR="006E2C30">
          <w:rPr>
            <w:rFonts w:ascii="Times New Roman" w:eastAsia="Times New Roman" w:hAnsi="Times New Roman" w:cs="Times New Roman"/>
            <w:color w:val="1155CC"/>
            <w:sz w:val="24"/>
            <w:szCs w:val="24"/>
            <w:u w:val="single"/>
          </w:rPr>
          <w:t>https://www.researchgate.net/profile/Kolade-Ajeigbe-2/publication/390329268_Government_Policies_and_Incentives_for_EV_Manufacturing/links/67ea6d919b1c6c487768ab10/Government-Policies-and-Incentives-for-EV-Manufacturing.pdf</w:t>
        </w:r>
      </w:hyperlink>
    </w:p>
    <w:p w14:paraId="5D99F58F"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Hsu, S.L., 2023. On Electric Vehicles and Environmental Policies for Innovation. UC Law Science and Technology Journal, 14(2), p.231. </w:t>
      </w:r>
      <w:hyperlink r:id="rId20">
        <w:r w:rsidR="006E2C30">
          <w:rPr>
            <w:rFonts w:ascii="Times New Roman" w:eastAsia="Times New Roman" w:hAnsi="Times New Roman" w:cs="Times New Roman"/>
            <w:color w:val="1155CC"/>
            <w:sz w:val="24"/>
            <w:szCs w:val="24"/>
            <w:u w:val="single"/>
          </w:rPr>
          <w:t>https://repository.uclawsf.edu/cgi/viewcontent.cgi?article=1126&amp;context=hastings_science_technology_law_journal</w:t>
        </w:r>
      </w:hyperlink>
    </w:p>
    <w:p w14:paraId="766E475D"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Alqahtani, T., 2025. Recent Trends in the Public Acceptance of Autonomous Vehicles: A Review. Vehicles, 7(2), p.45. </w:t>
      </w:r>
      <w:hyperlink r:id="rId21">
        <w:r w:rsidR="006E2C30">
          <w:rPr>
            <w:rFonts w:ascii="Times New Roman" w:eastAsia="Times New Roman" w:hAnsi="Times New Roman" w:cs="Times New Roman"/>
            <w:color w:val="1155CC"/>
            <w:sz w:val="24"/>
            <w:szCs w:val="24"/>
            <w:u w:val="single"/>
          </w:rPr>
          <w:t>https://www.mdpi.com/2624-8921/7/2/45</w:t>
        </w:r>
      </w:hyperlink>
    </w:p>
    <w:p w14:paraId="7FB4A182"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Karner, A., 2021. THE ENVIRONMENTAL ISSUE FACED BY THE AUTOMOTIVE INDUSTRY: FROM A REGULATORY-PULL PERSPECTIVE TO A BUSINESS-PUSH IMPLEMENTATION. </w:t>
      </w:r>
      <w:hyperlink r:id="rId22">
        <w:r w:rsidR="006E2C30">
          <w:rPr>
            <w:rFonts w:ascii="Times New Roman" w:eastAsia="Times New Roman" w:hAnsi="Times New Roman" w:cs="Times New Roman"/>
            <w:color w:val="1155CC"/>
            <w:sz w:val="24"/>
            <w:szCs w:val="24"/>
            <w:u w:val="single"/>
          </w:rPr>
          <w:t>https://unitesi.unive.it/bitstream/20.500.14247/7097/1/847678-1242108.pdf</w:t>
        </w:r>
      </w:hyperlink>
    </w:p>
    <w:p w14:paraId="4FA4F9A1"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Pangarkar, N. and </w:t>
      </w:r>
      <w:proofErr w:type="spellStart"/>
      <w:r>
        <w:rPr>
          <w:rFonts w:ascii="Times New Roman" w:eastAsia="Times New Roman" w:hAnsi="Times New Roman" w:cs="Times New Roman"/>
          <w:sz w:val="24"/>
          <w:szCs w:val="24"/>
        </w:rPr>
        <w:t>Prabhudesai</w:t>
      </w:r>
      <w:proofErr w:type="spellEnd"/>
      <w:r>
        <w:rPr>
          <w:rFonts w:ascii="Times New Roman" w:eastAsia="Times New Roman" w:hAnsi="Times New Roman" w:cs="Times New Roman"/>
          <w:sz w:val="24"/>
          <w:szCs w:val="24"/>
        </w:rPr>
        <w:t xml:space="preserve">, R., 2024. Using Porter's Five Forces analysis to drive strategy. Global Business and Organizational Excellence, 43(5), pp.24-34. </w:t>
      </w:r>
      <w:hyperlink r:id="rId23">
        <w:r w:rsidR="006E2C30">
          <w:rPr>
            <w:rFonts w:ascii="Times New Roman" w:eastAsia="Times New Roman" w:hAnsi="Times New Roman" w:cs="Times New Roman"/>
            <w:color w:val="1155CC"/>
            <w:sz w:val="24"/>
            <w:szCs w:val="24"/>
            <w:u w:val="single"/>
          </w:rPr>
          <w:t>https://onlinelibrary.wiley.com/doi/pdf/10.1002/joe.22250</w:t>
        </w:r>
      </w:hyperlink>
    </w:p>
    <w:p w14:paraId="070963A4"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Fedotov, P., 2022. Critical Analysis of the Electric Vehicle Industry: Five forces and strategic action fields. Exchanges: The Interdisciplinary Research Journal, 10(1), pp.43-</w:t>
      </w:r>
      <w:r>
        <w:rPr>
          <w:rFonts w:ascii="Times New Roman" w:eastAsia="Times New Roman" w:hAnsi="Times New Roman" w:cs="Times New Roman"/>
          <w:sz w:val="24"/>
          <w:szCs w:val="24"/>
        </w:rPr>
        <w:lastRenderedPageBreak/>
        <w:t xml:space="preserve">56. </w:t>
      </w:r>
      <w:hyperlink r:id="rId24">
        <w:r w:rsidR="006E2C30">
          <w:rPr>
            <w:rFonts w:ascii="Times New Roman" w:eastAsia="Times New Roman" w:hAnsi="Times New Roman" w:cs="Times New Roman"/>
            <w:color w:val="1155CC"/>
            <w:sz w:val="24"/>
            <w:szCs w:val="24"/>
            <w:u w:val="single"/>
          </w:rPr>
          <w:t>https://exchanges.warwick.ac.uk/index.php/exchanges/article/download/362/954</w:t>
        </w:r>
      </w:hyperlink>
    </w:p>
    <w:p w14:paraId="0E404F5E"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Ghobadpour</w:t>
      </w:r>
      <w:proofErr w:type="spellEnd"/>
      <w:r>
        <w:rPr>
          <w:rFonts w:ascii="Times New Roman" w:eastAsia="Times New Roman" w:hAnsi="Times New Roman" w:cs="Times New Roman"/>
          <w:sz w:val="24"/>
          <w:szCs w:val="24"/>
        </w:rPr>
        <w:t xml:space="preserve">, A., Monsalve, G., Cardenas, A. and Mousazadeh, H., 2022. </w:t>
      </w:r>
      <w:proofErr w:type="gramStart"/>
      <w:r>
        <w:rPr>
          <w:rFonts w:ascii="Times New Roman" w:eastAsia="Times New Roman" w:hAnsi="Times New Roman" w:cs="Times New Roman"/>
          <w:sz w:val="24"/>
          <w:szCs w:val="24"/>
        </w:rPr>
        <w:t>Off-</w:t>
      </w:r>
      <w:proofErr w:type="gramEnd"/>
      <w:r>
        <w:rPr>
          <w:rFonts w:ascii="Times New Roman" w:eastAsia="Times New Roman" w:hAnsi="Times New Roman" w:cs="Times New Roman"/>
          <w:sz w:val="24"/>
          <w:szCs w:val="24"/>
        </w:rPr>
        <w:t xml:space="preserve">road electric vehicles and autonomous robots in agricultural sector: trends, challenges, and opportunities. Vehicles, 4(3), pp.843-864. </w:t>
      </w:r>
      <w:hyperlink r:id="rId25">
        <w:r w:rsidR="006E2C30">
          <w:rPr>
            <w:rFonts w:ascii="Times New Roman" w:eastAsia="Times New Roman" w:hAnsi="Times New Roman" w:cs="Times New Roman"/>
            <w:color w:val="1155CC"/>
            <w:sz w:val="24"/>
            <w:szCs w:val="24"/>
            <w:u w:val="single"/>
          </w:rPr>
          <w:t>https://www.mdpi.com/2624-8921/4/3/47</w:t>
        </w:r>
      </w:hyperlink>
    </w:p>
    <w:p w14:paraId="543172E2"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 C. and Hecimovic, A., 2021. Global supply chains after COVID-19: the end of the road for neoliberal </w:t>
      </w:r>
      <w:proofErr w:type="spellStart"/>
      <w:proofErr w:type="gram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Accounting, Auditing &amp; Accountability Journal, 34(1), pp.58-84. </w:t>
      </w:r>
      <w:hyperlink r:id="rId26">
        <w:r w:rsidR="006E2C30">
          <w:rPr>
            <w:rFonts w:ascii="Times New Roman" w:eastAsia="Times New Roman" w:hAnsi="Times New Roman" w:cs="Times New Roman"/>
            <w:color w:val="1155CC"/>
            <w:sz w:val="24"/>
            <w:szCs w:val="24"/>
            <w:u w:val="single"/>
          </w:rPr>
          <w:t>https://www.researchgate.net/profile/Clinton-Free/publication/344733657_Global_supply_chains_after_COVID-19_the_end_of_the_road_for_neoliberal_globalisation/links/5f94ea2fa6fdccfd7b7d6155/Global-supply-chains-after-COVID-19-the-end-of-the-road-for-neoliberal-globalisation.pdf</w:t>
        </w:r>
      </w:hyperlink>
    </w:p>
    <w:p w14:paraId="0811289D"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Teichgräber</w:t>
      </w:r>
      <w:proofErr w:type="spellEnd"/>
      <w:r>
        <w:rPr>
          <w:rFonts w:ascii="Times New Roman" w:eastAsia="Times New Roman" w:hAnsi="Times New Roman" w:cs="Times New Roman"/>
          <w:sz w:val="24"/>
          <w:szCs w:val="24"/>
        </w:rPr>
        <w:t xml:space="preserve">, U., </w:t>
      </w:r>
      <w:proofErr w:type="spellStart"/>
      <w:r>
        <w:rPr>
          <w:rFonts w:ascii="Times New Roman" w:eastAsia="Times New Roman" w:hAnsi="Times New Roman" w:cs="Times New Roman"/>
          <w:sz w:val="24"/>
          <w:szCs w:val="24"/>
        </w:rPr>
        <w:t>Sibbel</w:t>
      </w:r>
      <w:proofErr w:type="spellEnd"/>
      <w:r>
        <w:rPr>
          <w:rFonts w:ascii="Times New Roman" w:eastAsia="Times New Roman" w:hAnsi="Times New Roman" w:cs="Times New Roman"/>
          <w:sz w:val="24"/>
          <w:szCs w:val="24"/>
        </w:rPr>
        <w:t xml:space="preserve">, R., Heinrich, A. and </w:t>
      </w:r>
      <w:proofErr w:type="spellStart"/>
      <w:r>
        <w:rPr>
          <w:rFonts w:ascii="Times New Roman" w:eastAsia="Times New Roman" w:hAnsi="Times New Roman" w:cs="Times New Roman"/>
          <w:sz w:val="24"/>
          <w:szCs w:val="24"/>
        </w:rPr>
        <w:t>Güttler</w:t>
      </w:r>
      <w:proofErr w:type="spellEnd"/>
      <w:r>
        <w:rPr>
          <w:rFonts w:ascii="Times New Roman" w:eastAsia="Times New Roman" w:hAnsi="Times New Roman" w:cs="Times New Roman"/>
          <w:sz w:val="24"/>
          <w:szCs w:val="24"/>
        </w:rPr>
        <w:t xml:space="preserve">, F., 2021. Development of a balanced scorecard as a strategic performance measurement system for clinical radiology as a cost center. Insights into Imaging, 12(1), p.69. </w:t>
      </w:r>
      <w:hyperlink r:id="rId27">
        <w:r w:rsidR="006E2C30">
          <w:rPr>
            <w:rFonts w:ascii="Times New Roman" w:eastAsia="Times New Roman" w:hAnsi="Times New Roman" w:cs="Times New Roman"/>
            <w:color w:val="1155CC"/>
            <w:sz w:val="24"/>
            <w:szCs w:val="24"/>
            <w:u w:val="single"/>
          </w:rPr>
          <w:t>https://link.springer.com/content/pdf/10.1186/s13244-021-01009-2.pdf</w:t>
        </w:r>
      </w:hyperlink>
    </w:p>
    <w:p w14:paraId="154FC0B7"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BONTEMPI, F., 2024. FINANCIAL REPORTING AS A DECISION-MAKING TOOL: AN ANALYTICAL STUDY ON KPI-DRIVEN VALUE ASSESSMENT IN CORPORATE STRATEGY. </w:t>
      </w:r>
      <w:hyperlink r:id="rId28">
        <w:r w:rsidR="006E2C30">
          <w:rPr>
            <w:rFonts w:ascii="Times New Roman" w:eastAsia="Times New Roman" w:hAnsi="Times New Roman" w:cs="Times New Roman"/>
            <w:color w:val="1155CC"/>
            <w:sz w:val="24"/>
            <w:szCs w:val="24"/>
            <w:u w:val="single"/>
          </w:rPr>
          <w:t>https://tesi.univpm.it/bitstream/20.500.12075/22366/1/TESI%20BONTEMPI%20-%20Completa%20%28Rev%20GP%29.pdf</w:t>
        </w:r>
      </w:hyperlink>
    </w:p>
    <w:p w14:paraId="2FA0F05E"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Rahiminezhad</w:t>
      </w:r>
      <w:proofErr w:type="spellEnd"/>
      <w:r>
        <w:rPr>
          <w:rFonts w:ascii="Times New Roman" w:eastAsia="Times New Roman" w:hAnsi="Times New Roman" w:cs="Times New Roman"/>
          <w:sz w:val="24"/>
          <w:szCs w:val="24"/>
        </w:rPr>
        <w:t xml:space="preserve"> Galankashi, M. and Mokhatab Rafiei, F., 2022. Financial performance measurement of supply chains: </w:t>
      </w:r>
      <w:proofErr w:type="gramStart"/>
      <w:r>
        <w:rPr>
          <w:rFonts w:ascii="Times New Roman" w:eastAsia="Times New Roman" w:hAnsi="Times New Roman" w:cs="Times New Roman"/>
          <w:sz w:val="24"/>
          <w:szCs w:val="24"/>
        </w:rPr>
        <w:t>a review</w:t>
      </w:r>
      <w:proofErr w:type="gramEnd"/>
      <w:r>
        <w:rPr>
          <w:rFonts w:ascii="Times New Roman" w:eastAsia="Times New Roman" w:hAnsi="Times New Roman" w:cs="Times New Roman"/>
          <w:sz w:val="24"/>
          <w:szCs w:val="24"/>
        </w:rPr>
        <w:t xml:space="preserve">. International journal of productivity and performance management, 71(5), pp.1674-1707. </w:t>
      </w:r>
      <w:hyperlink r:id="rId29">
        <w:r w:rsidR="006E2C30">
          <w:rPr>
            <w:rFonts w:ascii="Times New Roman" w:eastAsia="Times New Roman" w:hAnsi="Times New Roman" w:cs="Times New Roman"/>
            <w:color w:val="1155CC"/>
            <w:sz w:val="24"/>
            <w:szCs w:val="24"/>
            <w:u w:val="single"/>
          </w:rPr>
          <w:t>https://www.academia.edu/download/65737768/10_1108_IJPPM_11_2019_0533.pdf</w:t>
        </w:r>
      </w:hyperlink>
    </w:p>
    <w:p w14:paraId="4C320F5A"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Jahan, T., 2022. Challenges and prospects of assessment development center. </w:t>
      </w:r>
      <w:hyperlink r:id="rId30">
        <w:r w:rsidR="006E2C30">
          <w:rPr>
            <w:rFonts w:ascii="Times New Roman" w:eastAsia="Times New Roman" w:hAnsi="Times New Roman" w:cs="Times New Roman"/>
            <w:color w:val="1155CC"/>
            <w:sz w:val="24"/>
            <w:szCs w:val="24"/>
            <w:u w:val="single"/>
          </w:rPr>
          <w:t>https://dspace.bracu.ac.bd:8443/xmlui/bitstream/handle/10361/17962/18304028_BBA.pdf?sequence=1&amp;isAllowed=y</w:t>
        </w:r>
      </w:hyperlink>
    </w:p>
    <w:p w14:paraId="3783DB4B"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Potharla</w:t>
      </w:r>
      <w:proofErr w:type="spellEnd"/>
      <w:r>
        <w:rPr>
          <w:rFonts w:ascii="Times New Roman" w:eastAsia="Times New Roman" w:hAnsi="Times New Roman" w:cs="Times New Roman"/>
          <w:sz w:val="24"/>
          <w:szCs w:val="24"/>
        </w:rPr>
        <w:t xml:space="preserve">, S., 2025. Financial and Strategic Analysis of Tata Motors: Insights from </w:t>
      </w:r>
      <w:r>
        <w:rPr>
          <w:rFonts w:ascii="Times New Roman" w:eastAsia="Times New Roman" w:hAnsi="Times New Roman" w:cs="Times New Roman"/>
          <w:sz w:val="24"/>
          <w:szCs w:val="24"/>
        </w:rPr>
        <w:lastRenderedPageBreak/>
        <w:t xml:space="preserve">Corporate Finance Perspectives. Available at SSRN 5294575. </w:t>
      </w:r>
      <w:hyperlink r:id="rId31">
        <w:r w:rsidR="006E2C30">
          <w:rPr>
            <w:rFonts w:ascii="Times New Roman" w:eastAsia="Times New Roman" w:hAnsi="Times New Roman" w:cs="Times New Roman"/>
            <w:color w:val="1155CC"/>
            <w:sz w:val="24"/>
            <w:szCs w:val="24"/>
            <w:u w:val="single"/>
          </w:rPr>
          <w:t>https://papers.ssrn.com/sol3/Delivery.cfm?abstractid=5294575</w:t>
        </w:r>
      </w:hyperlink>
    </w:p>
    <w:p w14:paraId="58809FCA"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SIKDER, S., 2021. A COMPARATIVE STUDY ON FINANCIAL PERFORMANCE OF MAHINDRA &amp; MAHINDRA LIMITED AND MARUTI SUZUKI INDIA LIMITED. </w:t>
      </w:r>
      <w:hyperlink r:id="rId32">
        <w:r w:rsidR="006E2C30">
          <w:rPr>
            <w:rFonts w:ascii="Times New Roman" w:eastAsia="Times New Roman" w:hAnsi="Times New Roman" w:cs="Times New Roman"/>
            <w:color w:val="1155CC"/>
            <w:sz w:val="24"/>
            <w:szCs w:val="24"/>
            <w:u w:val="single"/>
          </w:rPr>
          <w:t>https://bsssbhopal.edu.in/uploads/naac/criteria_1/students_projects/274%20Sneha%20Sikder.pdf</w:t>
        </w:r>
      </w:hyperlink>
    </w:p>
    <w:p w14:paraId="597EF687"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N., 2021. Digital marketing strategies for firms in </w:t>
      </w:r>
      <w:proofErr w:type="gramStart"/>
      <w:r>
        <w:rPr>
          <w:rFonts w:ascii="Times New Roman" w:eastAsia="Times New Roman" w:hAnsi="Times New Roman" w:cs="Times New Roman"/>
          <w:sz w:val="24"/>
          <w:szCs w:val="24"/>
        </w:rPr>
        <w:t xml:space="preserve">post </w:t>
      </w:r>
      <w:proofErr w:type="gramEnd"/>
      <w:r>
        <w:rPr>
          <w:rFonts w:ascii="Times New Roman" w:eastAsia="Times New Roman" w:hAnsi="Times New Roman" w:cs="Times New Roman"/>
          <w:sz w:val="24"/>
          <w:szCs w:val="24"/>
        </w:rPr>
        <w:t xml:space="preserve">covid-19 era: insights and future directions. The new normal challenges of managerial business, social and ecological systems in the post covid-19 era. </w:t>
      </w:r>
      <w:hyperlink r:id="rId33">
        <w:r w:rsidR="006E2C30">
          <w:rPr>
            <w:rFonts w:ascii="Times New Roman" w:eastAsia="Times New Roman" w:hAnsi="Times New Roman" w:cs="Times New Roman"/>
            <w:color w:val="1155CC"/>
            <w:sz w:val="24"/>
            <w:szCs w:val="24"/>
            <w:u w:val="single"/>
          </w:rPr>
          <w:t>https://www.researchgate.net/profile/Neeraj-Pandey-2/publication/348417568_Digital_Marketing_Strategies_for_Firms_in_Post_COVID-19_Era_Insights_and_Future_Directions/links/602559aa299bf1cc26bcb34e/Digital-Marketing-Strategies-for-Firms-in-Post-COVID-19-Era-Insights-and-Future-Directions.pdf</w:t>
        </w:r>
      </w:hyperlink>
    </w:p>
    <w:p w14:paraId="76C47354"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Morhachov</w:t>
      </w:r>
      <w:proofErr w:type="spellEnd"/>
      <w:r>
        <w:rPr>
          <w:rFonts w:ascii="Times New Roman" w:eastAsia="Times New Roman" w:hAnsi="Times New Roman" w:cs="Times New Roman"/>
          <w:sz w:val="24"/>
          <w:szCs w:val="24"/>
        </w:rPr>
        <w:t xml:space="preserve">, I., </w:t>
      </w:r>
      <w:proofErr w:type="gramStart"/>
      <w:r>
        <w:rPr>
          <w:rFonts w:ascii="Times New Roman" w:eastAsia="Times New Roman" w:hAnsi="Times New Roman" w:cs="Times New Roman"/>
          <w:sz w:val="24"/>
          <w:szCs w:val="24"/>
        </w:rPr>
        <w:t>Chorna</w:t>
      </w:r>
      <w:proofErr w:type="gramEnd"/>
      <w:r>
        <w:rPr>
          <w:rFonts w:ascii="Times New Roman" w:eastAsia="Times New Roman" w:hAnsi="Times New Roman" w:cs="Times New Roman"/>
          <w:sz w:val="24"/>
          <w:szCs w:val="24"/>
        </w:rPr>
        <w:t xml:space="preserve">, O., Oleksandr, O., Martynov, A., Ovcharenko, I., </w:t>
      </w:r>
      <w:proofErr w:type="spellStart"/>
      <w:r>
        <w:rPr>
          <w:rFonts w:ascii="Times New Roman" w:eastAsia="Times New Roman" w:hAnsi="Times New Roman" w:cs="Times New Roman"/>
          <w:sz w:val="24"/>
          <w:szCs w:val="24"/>
        </w:rPr>
        <w:t>Khandii</w:t>
      </w:r>
      <w:proofErr w:type="spellEnd"/>
      <w:r>
        <w:rPr>
          <w:rFonts w:ascii="Times New Roman" w:eastAsia="Times New Roman" w:hAnsi="Times New Roman" w:cs="Times New Roman"/>
          <w:sz w:val="24"/>
          <w:szCs w:val="24"/>
        </w:rPr>
        <w:t xml:space="preserve">, O. and Ivchenko, Y., 2022. </w:t>
      </w:r>
      <w:proofErr w:type="gramStart"/>
      <w:r>
        <w:rPr>
          <w:rFonts w:ascii="Times New Roman" w:eastAsia="Times New Roman" w:hAnsi="Times New Roman" w:cs="Times New Roman"/>
          <w:sz w:val="24"/>
          <w:szCs w:val="24"/>
        </w:rPr>
        <w:t>The Reasons</w:t>
      </w:r>
      <w:proofErr w:type="gramEnd"/>
      <w:r>
        <w:rPr>
          <w:rFonts w:ascii="Times New Roman" w:eastAsia="Times New Roman" w:hAnsi="Times New Roman" w:cs="Times New Roman"/>
          <w:sz w:val="24"/>
          <w:szCs w:val="24"/>
        </w:rPr>
        <w:t xml:space="preserve"> for the Growth of the US Stock Market. European Journal of Sustainable Development, 11(1), pp.124-124. </w:t>
      </w:r>
      <w:hyperlink r:id="rId34">
        <w:r w:rsidR="006E2C30">
          <w:rPr>
            <w:rFonts w:ascii="Times New Roman" w:eastAsia="Times New Roman" w:hAnsi="Times New Roman" w:cs="Times New Roman"/>
            <w:color w:val="1155CC"/>
            <w:sz w:val="24"/>
            <w:szCs w:val="24"/>
            <w:u w:val="single"/>
          </w:rPr>
          <w:t>http://ojs.ecsdev.org/index.php/ejsd/article/download/1295/1276</w:t>
        </w:r>
      </w:hyperlink>
    </w:p>
    <w:p w14:paraId="698958FF" w14:textId="77777777" w:rsidR="006E2C30" w:rsidRDefault="00000000">
      <w:pPr>
        <w:widowControl w:val="0"/>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C3E50"/>
          <w:sz w:val="24"/>
          <w:szCs w:val="24"/>
        </w:rPr>
        <w:t xml:space="preserve">Mahindra &amp; Mahindra Ltd., 2024. </w:t>
      </w:r>
      <w:r>
        <w:rPr>
          <w:rFonts w:ascii="Times New Roman" w:eastAsia="Times New Roman" w:hAnsi="Times New Roman" w:cs="Times New Roman"/>
          <w:i/>
          <w:iCs/>
          <w:color w:val="2C3E50"/>
          <w:sz w:val="24"/>
          <w:szCs w:val="24"/>
        </w:rPr>
        <w:t>Mahindra &amp; Mahindra Ltd. | Integrated Annual Report 2024-25</w:t>
      </w:r>
      <w:r>
        <w:rPr>
          <w:rFonts w:ascii="Times New Roman" w:eastAsia="Times New Roman" w:hAnsi="Times New Roman" w:cs="Times New Roman"/>
          <w:color w:val="2C3E50"/>
          <w:sz w:val="24"/>
          <w:szCs w:val="24"/>
        </w:rPr>
        <w:t xml:space="preserve">. [online] Mahindra.com. Available at: </w:t>
      </w:r>
      <w:hyperlink r:id="rId35" w:anchor="zoom=true">
        <w:r w:rsidR="006E2C30">
          <w:rPr>
            <w:rFonts w:ascii="Times New Roman" w:eastAsia="Times New Roman" w:hAnsi="Times New Roman" w:cs="Times New Roman"/>
            <w:color w:val="1155CC"/>
            <w:sz w:val="24"/>
            <w:szCs w:val="24"/>
            <w:u w:val="single"/>
          </w:rPr>
          <w:t>https://www.mahindra.com/annual-report-FY2025/10/index.html#zoom=true</w:t>
        </w:r>
      </w:hyperlink>
      <w:r>
        <w:rPr>
          <w:rFonts w:ascii="Times New Roman" w:eastAsia="Times New Roman" w:hAnsi="Times New Roman" w:cs="Times New Roman"/>
          <w:color w:val="2C3E50"/>
          <w:sz w:val="24"/>
          <w:szCs w:val="24"/>
        </w:rPr>
        <w:t xml:space="preserve">  [Accessed 2 Dec. 2025]. </w:t>
      </w:r>
    </w:p>
    <w:p w14:paraId="552815AA" w14:textId="77777777" w:rsidR="006E2C30" w:rsidRDefault="00000000">
      <w:pPr>
        <w:widowControl w:val="0"/>
        <w:numPr>
          <w:ilvl w:val="0"/>
          <w:numId w:val="3"/>
        </w:numPr>
        <w:spacing w:after="200" w:line="360" w:lineRule="auto"/>
        <w:jc w:val="both"/>
        <w:rPr>
          <w:rFonts w:ascii="Times New Roman" w:eastAsia="Times New Roman" w:hAnsi="Times New Roman" w:cs="Times New Roman"/>
          <w:color w:val="2C3E50"/>
          <w:sz w:val="24"/>
          <w:szCs w:val="24"/>
        </w:rPr>
      </w:pPr>
      <w:r>
        <w:rPr>
          <w:rFonts w:ascii="Times New Roman" w:eastAsia="Times New Roman" w:hAnsi="Times New Roman" w:cs="Times New Roman"/>
          <w:color w:val="2C3E50"/>
          <w:sz w:val="24"/>
          <w:szCs w:val="24"/>
        </w:rPr>
        <w:t xml:space="preserve">MAHINDRA &amp; MAHINDRA LTD., 2023. </w:t>
      </w:r>
      <w:r>
        <w:rPr>
          <w:rFonts w:ascii="Times New Roman" w:eastAsia="Times New Roman" w:hAnsi="Times New Roman" w:cs="Times New Roman"/>
          <w:i/>
          <w:iCs/>
          <w:color w:val="2C3E50"/>
          <w:sz w:val="24"/>
          <w:szCs w:val="24"/>
        </w:rPr>
        <w:t>MAHINDRA &amp; MAHINDRA LTD. | Integrated Annual Report 2023-24</w:t>
      </w:r>
      <w:r>
        <w:rPr>
          <w:rFonts w:ascii="Times New Roman" w:eastAsia="Times New Roman" w:hAnsi="Times New Roman" w:cs="Times New Roman"/>
          <w:color w:val="2C3E50"/>
          <w:sz w:val="24"/>
          <w:szCs w:val="24"/>
        </w:rPr>
        <w:t xml:space="preserve">. [online] Mahindra.com. Available at: </w:t>
      </w:r>
      <w:hyperlink r:id="rId36">
        <w:r w:rsidR="006E2C30">
          <w:rPr>
            <w:rFonts w:ascii="Times New Roman" w:eastAsia="Times New Roman" w:hAnsi="Times New Roman" w:cs="Times New Roman"/>
            <w:color w:val="1155CC"/>
            <w:sz w:val="24"/>
            <w:szCs w:val="24"/>
            <w:u w:val="single"/>
          </w:rPr>
          <w:t>https://www.mahindra.com/annual-report-FY2024/6/index.html</w:t>
        </w:r>
      </w:hyperlink>
      <w:r>
        <w:rPr>
          <w:rFonts w:ascii="Times New Roman" w:eastAsia="Times New Roman" w:hAnsi="Times New Roman" w:cs="Times New Roman"/>
          <w:color w:val="2C3E50"/>
          <w:sz w:val="24"/>
          <w:szCs w:val="24"/>
        </w:rPr>
        <w:t xml:space="preserve">. [Accessed 2 Dec. 2025]. </w:t>
      </w:r>
    </w:p>
    <w:sectPr w:rsidR="006E2C3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E116B29-9969-4CF8-AE0C-2BC1E0F3F5CE}"/>
    <w:embedBold r:id="rId2" w:fontKey="{0FE1C7C6-720B-4E9B-9A42-D97E3598610A}"/>
  </w:font>
  <w:font w:name="Arial Unicode MS">
    <w:panose1 w:val="020B0604020202020204"/>
    <w:charset w:val="80"/>
    <w:family w:val="swiss"/>
    <w:pitch w:val="variable"/>
    <w:sig w:usb0="F7FFAFFF" w:usb1="E9DFFFFF" w:usb2="0000003F" w:usb3="00000000" w:csb0="003F01FF" w:csb1="00000000"/>
    <w:embedRegular r:id="rId3" w:subsetted="1" w:fontKey="{37FE3A23-3FFE-4915-B7CA-E7777B7F1573}"/>
  </w:font>
  <w:font w:name="Cambria">
    <w:panose1 w:val="02040503050406030204"/>
    <w:charset w:val="00"/>
    <w:family w:val="roman"/>
    <w:pitch w:val="variable"/>
    <w:sig w:usb0="E00006FF" w:usb1="420024FF" w:usb2="02000000" w:usb3="00000000" w:csb0="0000019F" w:csb1="00000000"/>
    <w:embedRegular r:id="rId4" w:fontKey="{EA5C77A7-16CA-40C4-B77C-57E6571C7B0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4653E"/>
    <w:multiLevelType w:val="multilevel"/>
    <w:tmpl w:val="0A06D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7E489B"/>
    <w:multiLevelType w:val="multilevel"/>
    <w:tmpl w:val="34D2D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1716ED"/>
    <w:multiLevelType w:val="multilevel"/>
    <w:tmpl w:val="8FAC59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64910283">
    <w:abstractNumId w:val="0"/>
  </w:num>
  <w:num w:numId="2" w16cid:durableId="1948347701">
    <w:abstractNumId w:val="1"/>
  </w:num>
  <w:num w:numId="3" w16cid:durableId="110324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C30"/>
    <w:rsid w:val="004206B5"/>
    <w:rsid w:val="00434521"/>
    <w:rsid w:val="004B18E9"/>
    <w:rsid w:val="006E2C30"/>
    <w:rsid w:val="00766E9D"/>
    <w:rsid w:val="008A5B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2489F"/>
  <w15:docId w15:val="{07954DF3-9487-4ECA-8250-9FA7C6D66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tblPr>
      <w:tblStyleRowBandSize w:val="1"/>
      <w:tblStyleColBandSize w:val="1"/>
    </w:tblPr>
  </w:style>
  <w:style w:type="table" w:customStyle="1" w:styleId="a3">
    <w:basedOn w:val="TableNormal2"/>
    <w:tblPr>
      <w:tblStyleRowBandSize w:val="1"/>
      <w:tblStyleColBandSize w:val="1"/>
    </w:tblPr>
  </w:style>
  <w:style w:type="table" w:customStyle="1" w:styleId="a4">
    <w:basedOn w:val="TableNormal2"/>
    <w:tblPr>
      <w:tblStyleRowBandSize w:val="1"/>
      <w:tblStyleColBandSize w:val="1"/>
    </w:tblPr>
  </w:style>
  <w:style w:type="table" w:customStyle="1" w:styleId="a5">
    <w:basedOn w:val="TableNormal2"/>
    <w:tblPr>
      <w:tblStyleRowBandSize w:val="1"/>
      <w:tblStyleColBandSize w:val="1"/>
    </w:tblPr>
  </w:style>
  <w:style w:type="table" w:customStyle="1" w:styleId="a6">
    <w:basedOn w:val="TableNormal2"/>
    <w:tblPr>
      <w:tblStyleRowBandSize w:val="1"/>
      <w:tblStyleColBandSize w:val="1"/>
    </w:tblPr>
  </w:style>
  <w:style w:type="table" w:customStyle="1" w:styleId="a7">
    <w:basedOn w:val="TableNormal2"/>
    <w:tblPr>
      <w:tblStyleRowBandSize w:val="1"/>
      <w:tblStyleColBandSize w:val="1"/>
    </w:tblPr>
  </w:style>
  <w:style w:type="table" w:customStyle="1" w:styleId="a8">
    <w:basedOn w:val="TableNormal2"/>
    <w:tblPr>
      <w:tblStyleRowBandSize w:val="1"/>
      <w:tblStyleColBandSize w:val="1"/>
    </w:tblPr>
  </w:style>
  <w:style w:type="table" w:customStyle="1" w:styleId="a9">
    <w:basedOn w:val="TableNormal2"/>
    <w:tblPr>
      <w:tblStyleRowBandSize w:val="1"/>
      <w:tblStyleColBandSize w:val="1"/>
    </w:tblPr>
  </w:style>
  <w:style w:type="table" w:customStyle="1" w:styleId="aa">
    <w:basedOn w:val="TableNormal2"/>
    <w:tblPr>
      <w:tblStyleRowBandSize w:val="1"/>
      <w:tblStyleColBandSize w:val="1"/>
    </w:tblPr>
  </w:style>
  <w:style w:type="table" w:customStyle="1" w:styleId="ab">
    <w:basedOn w:val="TableNormal2"/>
    <w:tblPr>
      <w:tblStyleRowBandSize w:val="1"/>
      <w:tblStyleColBandSize w:val="1"/>
    </w:tblPr>
  </w:style>
  <w:style w:type="table" w:customStyle="1" w:styleId="ac">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d">
    <w:basedOn w:val="TableNormal2"/>
    <w:tblPr>
      <w:tblStyleRowBandSize w:val="1"/>
      <w:tblStyleColBandSize w:val="1"/>
    </w:tblPr>
  </w:style>
  <w:style w:type="table" w:customStyle="1" w:styleId="ae">
    <w:basedOn w:val="TableNormal2"/>
    <w:tblPr>
      <w:tblStyleRowBandSize w:val="1"/>
      <w:tblStyleColBandSize w:val="1"/>
    </w:tblPr>
  </w:style>
  <w:style w:type="table" w:customStyle="1" w:styleId="af">
    <w:basedOn w:val="TableNormal2"/>
    <w:tblPr>
      <w:tblStyleRowBandSize w:val="1"/>
      <w:tblStyleColBandSize w:val="1"/>
    </w:tblPr>
  </w:style>
  <w:style w:type="table" w:customStyle="1" w:styleId="af0">
    <w:basedOn w:val="TableNormal2"/>
    <w:tblPr>
      <w:tblStyleRowBandSize w:val="1"/>
      <w:tblStyleColBandSize w:val="1"/>
    </w:tblPr>
  </w:style>
  <w:style w:type="table" w:customStyle="1" w:styleId="af1">
    <w:basedOn w:val="TableNormal2"/>
    <w:tblPr>
      <w:tblStyleRowBandSize w:val="1"/>
      <w:tblStyleColBandSize w:val="1"/>
    </w:tblPr>
  </w:style>
  <w:style w:type="table" w:customStyle="1" w:styleId="af2">
    <w:basedOn w:val="TableNormal2"/>
    <w:tblPr>
      <w:tblStyleRowBandSize w:val="1"/>
      <w:tblStyleColBandSize w:val="1"/>
    </w:tblPr>
  </w:style>
  <w:style w:type="table" w:customStyle="1" w:styleId="af3">
    <w:basedOn w:val="TableNormal2"/>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ojs.ecsdev.org/index.php/ejsd/article/download/1295/1276" TargetMode="External"/><Relationship Id="rId18" Type="http://schemas.openxmlformats.org/officeDocument/2006/relationships/hyperlink" Target="https://papers.ssrn.com/sol3/Delivery.cfm?abstractid=4834530" TargetMode="External"/><Relationship Id="rId26" Type="http://schemas.openxmlformats.org/officeDocument/2006/relationships/hyperlink" Target="https://www.researchgate.net/profile/Clinton-Free/publication/344733657_Global_supply_chains_after_COVID-19_the_end_of_the_road_for_neoliberal_globalisation/links/5f94ea2fa6fdccfd7b7d6155/Global-supply-chains-after-COVID-19-the-end-of-the-road-for-neoliberal-globalisation.pdf" TargetMode="External"/><Relationship Id="rId21" Type="http://schemas.openxmlformats.org/officeDocument/2006/relationships/hyperlink" Target="https://www.mdpi.com/2624-8921/7/2/45" TargetMode="External"/><Relationship Id="rId34" Type="http://schemas.openxmlformats.org/officeDocument/2006/relationships/hyperlink" Target="http://ojs.ecsdev.org/index.php/ejsd/article/download/1295/1276" TargetMode="External"/><Relationship Id="rId7" Type="http://schemas.openxmlformats.org/officeDocument/2006/relationships/image" Target="media/image2.png"/><Relationship Id="rId12" Type="http://schemas.openxmlformats.org/officeDocument/2006/relationships/hyperlink" Target="https://dspace.bracu.ac.bd:8443/xmlui/bitstream/handle/10361/17962/18304028_BBA.pdf?sequence=1&amp;isAllowed=y" TargetMode="External"/><Relationship Id="rId17" Type="http://schemas.openxmlformats.org/officeDocument/2006/relationships/hyperlink" Target="https://dspace.uii.ac.id/bitstream/handle/123456789/45208/Undergraduate%20Thesis_18323052_revisi.pdf?sequence=1" TargetMode="External"/><Relationship Id="rId25" Type="http://schemas.openxmlformats.org/officeDocument/2006/relationships/hyperlink" Target="https://www.mdpi.com/2624-8921/4/3/47" TargetMode="External"/><Relationship Id="rId33" Type="http://schemas.openxmlformats.org/officeDocument/2006/relationships/hyperlink" Target="https://www.researchgate.net/profile/Neeraj-Pandey-2/publication/348417568_Digital_Marketing_Strategies_for_Firms_in_Post_COVID-19_Era_Insights_and_Future_Directions/links/602559aa299bf1cc26bcb34e/Digital-Marketing-Strategies-for-Firms-in-Post-COVID-19-Era-Insights-and-Future-Directions.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apers.ssrn.com/sol3/Delivery.cfm?abstractid=3330577" TargetMode="External"/><Relationship Id="rId20" Type="http://schemas.openxmlformats.org/officeDocument/2006/relationships/hyperlink" Target="https://repository.uclawsf.edu/cgi/viewcontent.cgi?article=1126&amp;context=hastings_science_technology_law_journal" TargetMode="External"/><Relationship Id="rId29" Type="http://schemas.openxmlformats.org/officeDocument/2006/relationships/hyperlink" Target="https://www.academia.edu/download/65737768/10_1108_IJPPM_11_2019_0533.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ure.eur.nl/files/120662306/Unlocking_the_potentia.pdf" TargetMode="External"/><Relationship Id="rId24" Type="http://schemas.openxmlformats.org/officeDocument/2006/relationships/hyperlink" Target="https://exchanges.warwick.ac.uk/index.php/exchanges/article/download/362/954" TargetMode="External"/><Relationship Id="rId32" Type="http://schemas.openxmlformats.org/officeDocument/2006/relationships/hyperlink" Target="https://bsssbhopal.edu.in/uploads/naac/criteria_1/students_projects/274%20Sneha%20Sikder.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dpi.com/2624-8921/4/3/47" TargetMode="External"/><Relationship Id="rId23" Type="http://schemas.openxmlformats.org/officeDocument/2006/relationships/hyperlink" Target="https://onlinelibrary.wiley.com/doi/pdf/10.1002/joe.22250" TargetMode="External"/><Relationship Id="rId28" Type="http://schemas.openxmlformats.org/officeDocument/2006/relationships/hyperlink" Target="https://tesi.univpm.it/bitstream/20.500.12075/22366/1/TESI%20BONTEMPI%20-%20Completa%20%28Rev%20GP%29.pdf" TargetMode="External"/><Relationship Id="rId36" Type="http://schemas.openxmlformats.org/officeDocument/2006/relationships/hyperlink" Target="https://www.mahindra.com/annual-report-FY2024/6/index.html" TargetMode="External"/><Relationship Id="rId10" Type="http://schemas.openxmlformats.org/officeDocument/2006/relationships/hyperlink" Target="https://scholar.archive.org/work/djkimqp6yncarma4xezrxsh6yu/access/wayback/https://quingpublications.com/qijcm/2021/1/1/cm201111006.pdf" TargetMode="External"/><Relationship Id="rId19" Type="http://schemas.openxmlformats.org/officeDocument/2006/relationships/hyperlink" Target="https://www.researchgate.net/profile/Kolade-Ajeigbe-2/publication/390329268_Government_Policies_and_Incentives_for_EV_Manufacturing/links/67ea6d919b1c6c487768ab10/Government-Policies-and-Incentives-for-EV-Manufacturing.pdf" TargetMode="External"/><Relationship Id="rId31" Type="http://schemas.openxmlformats.org/officeDocument/2006/relationships/hyperlink" Target="https://papers.ssrn.com/sol3/Delivery.cfm?abstractid=529457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cademia.edu/download/49581555/smj.425013020220161013-6667-1jgw9r9.pdf" TargetMode="External"/><Relationship Id="rId22" Type="http://schemas.openxmlformats.org/officeDocument/2006/relationships/hyperlink" Target="https://unitesi.unive.it/bitstream/20.500.14247/7097/1/847678-1242108.pdf" TargetMode="External"/><Relationship Id="rId27" Type="http://schemas.openxmlformats.org/officeDocument/2006/relationships/hyperlink" Target="https://link.springer.com/content/pdf/10.1186/s13244-021-01009-2.pdf" TargetMode="External"/><Relationship Id="rId30" Type="http://schemas.openxmlformats.org/officeDocument/2006/relationships/hyperlink" Target="https://dspace.bracu.ac.bd:8443/xmlui/bitstream/handle/10361/17962/18304028_BBA.pdf?sequence=1&amp;isAllowed=y" TargetMode="External"/><Relationship Id="rId35" Type="http://schemas.openxmlformats.org/officeDocument/2006/relationships/hyperlink" Target="https://www.mahindra.com/annual-report-FY2025/10/index.html" TargetMode="External"/><Relationship Id="rId8" Type="http://schemas.openxmlformats.org/officeDocument/2006/relationships/image" Target="media/image3.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LJktWG68SlsfAr/olrxTK4lfGw==">CgMxLjAaLgoBMBIpCicIB0IjCg9UaW1lcyBOZXcgUm9tYW4SEEFyaWFsIFVuaWNvZGUgTVMaLgoBMRIpCicIB0IjCg9UaW1lcyBOZXcgUm9tYW4SEEFyaWFsIFVuaWNvZGUgTVMaLgoBMhIpCicIB0IjCg9UaW1lcyBOZXcgUm9tYW4SEEFyaWFsIFVuaWNvZGUgTVMaLgoBMxIpCicIB0IjCg9UaW1lcyBOZXcgUm9tYW4SEEFyaWFsIFVuaWNvZGUgTVMaLgoBNBIpCicIB0IjCg9UaW1lcyBOZXcgUm9tYW4SEEFyaWFsIFVuaWNvZGUgTVMaLgoBNRIpCicIB0IjCg9UaW1lcyBOZXcgUm9tYW4SEEFyaWFsIFVuaWNvZGUgTVMaLgoBNhIpCicIB0IjCg9UaW1lcyBOZXcgUm9tYW4SEEFyaWFsIFVuaWNvZGUgTVMaLgoBNxIpCicIB0IjCg9UaW1lcyBOZXcgUm9tYW4SEEFyaWFsIFVuaWNvZGUgTVMaLgoBOBIpCicIB0IjCg9UaW1lcyBOZXcgUm9tYW4SEEFyaWFsIFVuaWNvZGUgTVMaLgoBORIpCicIB0IjCg9UaW1lcyBOZXcgUm9tYW4SEEFyaWFsIFVuaWNvZGUgTVMaLwoCMTASKQonCAdCIwoPVGltZXMgTmV3IFJvbWFuEhBBcmlhbCBVbmljb2RlIE1TGi8KAjExEikKJwgHQiMKD1RpbWVzIE5ldyBSb21hbhIQQXJpYWwgVW5pY29kZSBNUxovCgIxMhIpCicIB0IjCg9UaW1lcyBOZXcgUm9tYW4SEEFyaWFsIFVuaWNvZGUgTVMaLwoCMTMSKQonCAdCIwoPVGltZXMgTmV3IFJvbWFuEhBBcmlhbCBVbmljb2RlIE1TGi8KAjE0EikKJwgHQiMKD1RpbWVzIE5ldyBSb21hbhIQQXJpYWwgVW5pY29kZSBNUxovCgIxNRIpCicIB0IjCg9UaW1lcyBOZXcgUm9tYW4SEEFyaWFsIFVuaWNvZGUgTVMaLwoCMTYSKQonCAdCIwoPVGltZXMgTmV3IFJvbWFuEhBBcmlhbCBVbmljb2RlIE1TGi8KAjE3EikKJwgHQiMKD1RpbWVzIE5ldyBSb21hbhIQQXJpYWwgVW5pY29kZSBNUxovCgIxOBIpCicIB0IjCg9UaW1lcyBOZXcgUm9tYW4SEEFyaWFsIFVuaWNvZGUgTVMaLwoCMTkSKQonCAdCIwoPVGltZXMgTmV3IFJvbWFuEhBBcmlhbCBVbmljb2RlIE1TMg5oLmhxN3B0aDE5Y3BkajIOaC5xMHJ4ZDR2cWY1bGgyDmguaTd0M2pybmU0bDB0Mg5oLnRqMjk1YWJkbzl5eTIOaC5tYmQxZHlxbjNqN2syDmgucG5kYTBxeGJmZWNyMg1oLjV2bm41NTdrY2hoMg5oLm04eGt5cmx5ODVpajIOaC5md25rMmMxdjhxZzIyDmguYWF3czc1Y2hyZWx1Mg5oLmZqZmp6OXc5MnB1ZjINaC5hOGdpYXFhamRwaDINaC42ZWd1aDQwZmtsNDIOaC5mNzZmY2Fvd2J0N3gyDmguOWoyY3lmY3Z3dnFiMg5oLm9iNnM0aHE5NGw4aDIOaC41Nzl3NnloNzZpeHAyDmguZzA5MHptcXlrbXFpMg5oLjlkcGVreG9tN2ZobDIOaC5tczY0dThtd2JydWYyDmguZWZ0dmd2eGpwNWNrMg5oLjZjZTg1ZHo0OWthbzIOaC54NXpuczFtYW1hZHQyDmguY3dlOWZvY2txbTBhMg5oLjhiZjJ1eHJvY3BvcTINaC5qNWRlc2w2MG43cTIOaC44MnppNTdrc3NqZDMyDmguN3Bma2hkeTNreDM0Mg5oLjRsd21td3owN3V3NzIOaC5iZjRwYXE0Mnh6eHIyDmgueGhzM2hkM21udzZ0Mg5oLm0zcndmY2hlbzB4NTIOaC43Z3NyZGtkY3ZiNnoyDmgubjl0bXJwcTZzdHR5Mg5oLnNhN21rZWcwZjk3cjIOaC5nN2Fxb3hqZW05M3M4AHIhMUI2c01aSEkxV0VHakdnMkJwa2xBMExXRE52UTFYT21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7506</Words>
  <Characters>42785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Sachin Ashokbhai Japi (2430819)</dc:creator>
  <cp:lastModifiedBy>Sachin Ashokbhai Japi (2430819)</cp:lastModifiedBy>
  <cp:revision>4</cp:revision>
  <dcterms:created xsi:type="dcterms:W3CDTF">2025-12-04T14:48:00Z</dcterms:created>
  <dcterms:modified xsi:type="dcterms:W3CDTF">2025-12-04T14:59:00Z</dcterms:modified>
</cp:coreProperties>
</file>