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D1AB5" w14:textId="77777777" w:rsidR="00B74A1A" w:rsidRDefault="00B74A1A">
      <w:r>
        <w:br w:type="page"/>
      </w:r>
    </w:p>
    <w:p w14:paraId="3E2D81A8" w14:textId="523E0299" w:rsidR="00B74A1A" w:rsidRDefault="00B74A1A" w:rsidP="00B74A1A">
      <w:pPr>
        <w:rPr>
          <w:b/>
          <w:bCs/>
        </w:rPr>
      </w:pPr>
      <w:r w:rsidRPr="00B74A1A">
        <w:rPr>
          <w:b/>
          <w:bCs/>
        </w:rPr>
        <w:lastRenderedPageBreak/>
        <w:t>Are perceptions of the cosmos culturally conditioned?</w:t>
      </w:r>
    </w:p>
    <w:p w14:paraId="2FF67AC1" w14:textId="54B55FEA" w:rsidR="00650533" w:rsidRPr="00B74A1A" w:rsidRDefault="00650533" w:rsidP="00B74A1A">
      <w:pPr>
        <w:rPr>
          <w:b/>
          <w:bCs/>
        </w:rPr>
      </w:pPr>
      <w:r>
        <w:rPr>
          <w:b/>
          <w:bCs/>
        </w:rPr>
        <w:t>Introduction</w:t>
      </w:r>
    </w:p>
    <w:p w14:paraId="57024026" w14:textId="145EEF87" w:rsidR="00A611D3" w:rsidRDefault="00B74A1A" w:rsidP="00A16599">
      <w:r>
        <w:t>This essay seeks to examine the question of whether perceptions of the cosmos are culturally conditioned. This will be achieved by examining theories of culture, how these theories apply to cosmology and an analysis of Mayan culture and cosmology</w:t>
      </w:r>
      <w:r w:rsidR="00A611D3">
        <w:t xml:space="preserve"> </w:t>
      </w:r>
      <w:r>
        <w:t>in the pre</w:t>
      </w:r>
      <w:r w:rsidR="00A611D3">
        <w:t>-Hispanic</w:t>
      </w:r>
      <w:r>
        <w:t xml:space="preserve"> time period. </w:t>
      </w:r>
      <w:r w:rsidR="00750A9E">
        <w:t xml:space="preserve">This essay will also examine where Mayan cosmological ideas emerged from, and whether there was an essential reality present within it. </w:t>
      </w:r>
    </w:p>
    <w:p w14:paraId="403077F5" w14:textId="5AB081D7" w:rsidR="00EC5591" w:rsidRDefault="00B74A1A" w:rsidP="00960B8B">
      <w:r>
        <w:t xml:space="preserve">I will be using </w:t>
      </w:r>
      <w:r w:rsidR="00EC47EA">
        <w:t xml:space="preserve">two primary sources; the </w:t>
      </w:r>
      <w:proofErr w:type="spellStart"/>
      <w:r w:rsidR="00EC47EA">
        <w:t>Pop</w:t>
      </w:r>
      <w:r w:rsidR="00BC481E">
        <w:t>o</w:t>
      </w:r>
      <w:r w:rsidR="00EC47EA">
        <w:t>l</w:t>
      </w:r>
      <w:proofErr w:type="spellEnd"/>
      <w:r w:rsidR="00EC47EA">
        <w:t xml:space="preserve"> Vuh </w:t>
      </w:r>
      <w:r w:rsidR="001F1BD7">
        <w:t xml:space="preserve">and the </w:t>
      </w:r>
      <w:r w:rsidR="00B25256">
        <w:t xml:space="preserve">creation myth in the </w:t>
      </w:r>
      <w:r w:rsidR="001F1BD7" w:rsidRPr="001F1BD7">
        <w:t xml:space="preserve">Book of </w:t>
      </w:r>
      <w:proofErr w:type="spellStart"/>
      <w:r w:rsidR="001F1BD7" w:rsidRPr="001F1BD7">
        <w:t>Chilam</w:t>
      </w:r>
      <w:proofErr w:type="spellEnd"/>
      <w:r w:rsidR="001F1BD7" w:rsidRPr="001F1BD7">
        <w:t xml:space="preserve"> Balam of Chumayel</w:t>
      </w:r>
      <w:r w:rsidR="00A16599">
        <w:t xml:space="preserve">, henceforth referred to as the Book of </w:t>
      </w:r>
      <w:r w:rsidR="00FA0187">
        <w:t>Balam</w:t>
      </w:r>
      <w:r w:rsidR="00A16599">
        <w:t xml:space="preserve">. </w:t>
      </w:r>
      <w:r w:rsidR="00AC3B62">
        <w:t xml:space="preserve">These primary sources document </w:t>
      </w:r>
      <w:r w:rsidR="00274651">
        <w:t>Maya</w:t>
      </w:r>
      <w:r w:rsidR="00AC3B62">
        <w:t xml:space="preserve"> creation myths</w:t>
      </w:r>
      <w:r w:rsidR="00AC3B62">
        <w:rPr>
          <w:rStyle w:val="FootnoteReference"/>
        </w:rPr>
        <w:footnoteReference w:id="1"/>
      </w:r>
      <w:r w:rsidR="00FA0187">
        <w:t xml:space="preserve">(the </w:t>
      </w:r>
      <w:proofErr w:type="spellStart"/>
      <w:r w:rsidR="00FA0187">
        <w:t>Popol</w:t>
      </w:r>
      <w:proofErr w:type="spellEnd"/>
      <w:r w:rsidR="00FA0187">
        <w:t xml:space="preserve"> Vuh of the K’iche Maya, and the Book of Balam of the </w:t>
      </w:r>
      <w:proofErr w:type="spellStart"/>
      <w:r w:rsidR="00FA0187">
        <w:t>Yucetan</w:t>
      </w:r>
      <w:proofErr w:type="spellEnd"/>
      <w:r w:rsidR="00FA0187">
        <w:t xml:space="preserve"> Maya)</w:t>
      </w:r>
      <w:r w:rsidR="00274651">
        <w:t xml:space="preserve">, and I will </w:t>
      </w:r>
      <w:r w:rsidR="00FA0187">
        <w:t xml:space="preserve">use them to </w:t>
      </w:r>
      <w:r w:rsidR="00A7659A">
        <w:t>examine whether perceptions of the cosmos were indeed culturally conditioned</w:t>
      </w:r>
      <w:r w:rsidR="00274651">
        <w:t xml:space="preserve">. </w:t>
      </w:r>
      <w:r w:rsidR="00425C84">
        <w:t>Due to the Mayan civilisation spanning a period from approximately 1500BCE to the colonisation of the 16</w:t>
      </w:r>
      <w:r w:rsidR="00425C84" w:rsidRPr="000933D3">
        <w:rPr>
          <w:vertAlign w:val="superscript"/>
        </w:rPr>
        <w:t>th</w:t>
      </w:r>
      <w:r w:rsidR="00425C84">
        <w:t xml:space="preserve"> century</w:t>
      </w:r>
      <w:r w:rsidR="00425C84">
        <w:rPr>
          <w:rStyle w:val="FootnoteReference"/>
        </w:rPr>
        <w:footnoteReference w:id="2"/>
      </w:r>
      <w:r w:rsidR="00425C84">
        <w:t>, it is impossible to cover the culture and cosmological beliefs of the entire civilisation.</w:t>
      </w:r>
      <w:r w:rsidR="001133BB">
        <w:t xml:space="preserve"> Althoug</w:t>
      </w:r>
      <w:r w:rsidR="001E5C97">
        <w:t xml:space="preserve">h the analysis will be limited to these two texts, </w:t>
      </w:r>
      <w:r w:rsidR="00960B8B">
        <w:t>‘much within these Classical Yucatecan Maya texts has its roots in ancient Maya civilization’</w:t>
      </w:r>
      <w:r w:rsidR="00960B8B">
        <w:rPr>
          <w:rStyle w:val="FootnoteReference"/>
        </w:rPr>
        <w:footnoteReference w:id="3"/>
      </w:r>
      <w:r w:rsidR="00841E47">
        <w:t xml:space="preserve"> and will thus provide an insight to long spanning cosmological beliefs. </w:t>
      </w:r>
      <w:r w:rsidR="005E568F">
        <w:t>Finally, the essay will apply cosmological beliefs to analyse diffusion of power through Maya civilisations in the form of architecture</w:t>
      </w:r>
      <w:r w:rsidR="00D9420D">
        <w:t xml:space="preserve"> such as temples and cities. </w:t>
      </w:r>
    </w:p>
    <w:p w14:paraId="09B69AEA" w14:textId="16AAAEF1" w:rsidR="006F42CC" w:rsidRDefault="004C72A8" w:rsidP="00A16599">
      <w:r>
        <w:t xml:space="preserve">First, I will briefly cover definitions of culture, using authors Raymond Williams, Terry Eagleton and </w:t>
      </w:r>
      <w:r w:rsidR="0049225B">
        <w:t>Edward Burnett Tylor</w:t>
      </w:r>
      <w:r w:rsidR="0075314F">
        <w:t xml:space="preserve">. </w:t>
      </w:r>
      <w:r w:rsidR="00216A31">
        <w:t xml:space="preserve">Writing in different time periods, analysis of these authors’ approaches will allow for a clearer </w:t>
      </w:r>
      <w:r w:rsidR="00070FE5">
        <w:t>development</w:t>
      </w:r>
      <w:r w:rsidR="00216A31">
        <w:t xml:space="preserve"> of the word </w:t>
      </w:r>
      <w:r w:rsidR="00070FE5">
        <w:t>‘</w:t>
      </w:r>
      <w:r w:rsidR="00216A31">
        <w:t>culture</w:t>
      </w:r>
      <w:r w:rsidR="00070FE5">
        <w:t>’</w:t>
      </w:r>
      <w:r w:rsidR="00216A31">
        <w:t xml:space="preserve"> and how it applies to the question. Then, cosmology will b</w:t>
      </w:r>
      <w:r w:rsidR="004C3E71">
        <w:t xml:space="preserve">e defined, with a brief examination of the overlap between scientific definitions and discoveries, and how it </w:t>
      </w:r>
      <w:r w:rsidR="00A72774">
        <w:t>will be applied in the context of this essay</w:t>
      </w:r>
      <w:r w:rsidR="004C3E71">
        <w:t xml:space="preserve">. </w:t>
      </w:r>
      <w:r w:rsidR="00CA502E">
        <w:t xml:space="preserve">Together, these analyses will seek to show whether Mayan perceptions of the cosmos had an essential reality, were purely cultural </w:t>
      </w:r>
      <w:r w:rsidR="006F42CC">
        <w:t xml:space="preserve">or a mix of both. </w:t>
      </w:r>
    </w:p>
    <w:p w14:paraId="2A2BA6FA" w14:textId="1D412FEA" w:rsidR="000C1969" w:rsidRDefault="00D609A8" w:rsidP="00A16599">
      <w:pPr>
        <w:rPr>
          <w:b/>
          <w:bCs/>
        </w:rPr>
      </w:pPr>
      <w:r>
        <w:rPr>
          <w:b/>
          <w:bCs/>
        </w:rPr>
        <w:t xml:space="preserve">Defining </w:t>
      </w:r>
      <w:r w:rsidR="005477AA">
        <w:rPr>
          <w:b/>
          <w:bCs/>
        </w:rPr>
        <w:t>C</w:t>
      </w:r>
      <w:r>
        <w:rPr>
          <w:b/>
          <w:bCs/>
        </w:rPr>
        <w:t>ultur</w:t>
      </w:r>
      <w:r w:rsidR="000C1969">
        <w:rPr>
          <w:b/>
          <w:bCs/>
        </w:rPr>
        <w:t>e</w:t>
      </w:r>
    </w:p>
    <w:p w14:paraId="7BA34763" w14:textId="59C3F8C0" w:rsidR="000C1969" w:rsidRPr="000C1969" w:rsidRDefault="000C1969" w:rsidP="00A16599">
      <w:r>
        <w:t xml:space="preserve">Writing in 1871, Edward Burnett Tylor </w:t>
      </w:r>
      <w:r w:rsidR="00F900BC">
        <w:t xml:space="preserve">constructs a </w:t>
      </w:r>
      <w:r w:rsidR="00D97BFA">
        <w:t>cause-and-effect</w:t>
      </w:r>
      <w:r w:rsidR="00F900BC">
        <w:t xml:space="preserve"> argument for culture</w:t>
      </w:r>
      <w:r w:rsidR="004476E6">
        <w:rPr>
          <w:rStyle w:val="FootnoteReference"/>
        </w:rPr>
        <w:footnoteReference w:id="4"/>
      </w:r>
      <w:r w:rsidR="00F900BC">
        <w:t xml:space="preserve">. </w:t>
      </w:r>
      <w:r w:rsidR="00711F7C">
        <w:t>For Tylor, Culture is a distinct study in itself</w:t>
      </w:r>
      <w:r w:rsidR="00B4365A">
        <w:t xml:space="preserve"> ‘</w:t>
      </w:r>
      <w:r w:rsidR="00B4365A" w:rsidRPr="00B4365A">
        <w:t>of the condition of knowledge, religion, art, custom, and the like</w:t>
      </w:r>
      <w:r w:rsidR="00B4365A">
        <w:t>’</w:t>
      </w:r>
      <w:r w:rsidR="00B4365A">
        <w:rPr>
          <w:rStyle w:val="FootnoteReference"/>
        </w:rPr>
        <w:footnoteReference w:id="5"/>
      </w:r>
      <w:r w:rsidR="002A45EC">
        <w:t>. Culture is evolutionary, and what comes after is necessarily better than what was before</w:t>
      </w:r>
      <w:r w:rsidR="002A45EC">
        <w:rPr>
          <w:rStyle w:val="FootnoteReference"/>
        </w:rPr>
        <w:footnoteReference w:id="6"/>
      </w:r>
      <w:r w:rsidR="001A1BC5">
        <w:t xml:space="preserve">. </w:t>
      </w:r>
      <w:r w:rsidR="004D7154">
        <w:t>Speaking on what Tylor terms</w:t>
      </w:r>
      <w:r w:rsidR="00BF6413">
        <w:t xml:space="preserve"> the</w:t>
      </w:r>
      <w:r w:rsidR="004D7154">
        <w:t xml:space="preserve"> ‘</w:t>
      </w:r>
      <w:r w:rsidR="00050692">
        <w:t>culture of lower races’</w:t>
      </w:r>
      <w:r w:rsidR="003A2808">
        <w:rPr>
          <w:rStyle w:val="FootnoteReference"/>
        </w:rPr>
        <w:footnoteReference w:id="7"/>
      </w:r>
      <w:r w:rsidR="00050692">
        <w:t xml:space="preserve">, he explained that </w:t>
      </w:r>
      <w:r w:rsidR="005D6BDD">
        <w:t>despite not knowing the language of artifacts or relying on missionary testimonies</w:t>
      </w:r>
      <w:r w:rsidR="00FA2138">
        <w:t xml:space="preserve">, it is still possible to construct </w:t>
      </w:r>
      <w:r w:rsidR="006219E5">
        <w:t>‘</w:t>
      </w:r>
      <w:r w:rsidR="00BE1E36">
        <w:t>the general life of a whole community.’</w:t>
      </w:r>
      <w:r w:rsidR="00BE1E36">
        <w:rPr>
          <w:rStyle w:val="FootnoteReference"/>
        </w:rPr>
        <w:footnoteReference w:id="8"/>
      </w:r>
      <w:r w:rsidR="006E36D2">
        <w:t xml:space="preserve"> </w:t>
      </w:r>
      <w:r w:rsidR="00FF2441">
        <w:t xml:space="preserve">This </w:t>
      </w:r>
      <w:r w:rsidR="00925AB3">
        <w:t xml:space="preserve">homogenous </w:t>
      </w:r>
      <w:r w:rsidR="00D70B61">
        <w:t>approach to culture, however, was argued by Johann Gottfried Herder in the 18</w:t>
      </w:r>
      <w:r w:rsidR="00D70B61" w:rsidRPr="00D70B61">
        <w:rPr>
          <w:vertAlign w:val="superscript"/>
        </w:rPr>
        <w:t>th</w:t>
      </w:r>
      <w:r w:rsidR="00D70B61">
        <w:t xml:space="preserve"> century to be </w:t>
      </w:r>
      <w:r w:rsidR="007801A0">
        <w:t xml:space="preserve">‘deceptive’ and argued for the </w:t>
      </w:r>
      <w:r w:rsidR="0067555E">
        <w:t>‘</w:t>
      </w:r>
      <w:r w:rsidR="0067555E" w:rsidRPr="0067555E">
        <w:t xml:space="preserve">to speak of ‘cultures’ in the plural: the specific and variable cultures of different nations and periods, but also the specific and </w:t>
      </w:r>
      <w:r w:rsidR="0067555E" w:rsidRPr="0067555E">
        <w:lastRenderedPageBreak/>
        <w:t>variable cultures of social and economic groups within a nation</w:t>
      </w:r>
      <w:r w:rsidR="0067555E">
        <w:t>’</w:t>
      </w:r>
      <w:r w:rsidR="0067555E">
        <w:rPr>
          <w:rStyle w:val="FootnoteReference"/>
        </w:rPr>
        <w:footnoteReference w:id="9"/>
      </w:r>
      <w:r w:rsidR="00AA6FFD">
        <w:t xml:space="preserve">, demonstrating </w:t>
      </w:r>
      <w:r w:rsidR="003D2680">
        <w:t xml:space="preserve">the </w:t>
      </w:r>
      <w:r w:rsidR="00AA6FFD">
        <w:t>debates around the application of ‘culture’</w:t>
      </w:r>
      <w:r w:rsidR="00DE0390">
        <w:t xml:space="preserve"> </w:t>
      </w:r>
      <w:r w:rsidR="003D2680">
        <w:t>through time.</w:t>
      </w:r>
    </w:p>
    <w:p w14:paraId="4FBEB9A1" w14:textId="1C8AC376" w:rsidR="00AD2FDC" w:rsidRDefault="00B6693E" w:rsidP="00A16599">
      <w:r>
        <w:t>Raymond Williams</w:t>
      </w:r>
      <w:r w:rsidR="0016058A">
        <w:t>, writing in 1976,</w:t>
      </w:r>
      <w:r>
        <w:t xml:space="preserve"> highlights to need to clarify the meaning</w:t>
      </w:r>
      <w:r w:rsidR="0028036F">
        <w:t xml:space="preserve"> and use </w:t>
      </w:r>
      <w:r>
        <w:t>of</w:t>
      </w:r>
      <w:r w:rsidR="0028036F">
        <w:t xml:space="preserve"> the word</w:t>
      </w:r>
      <w:r>
        <w:t xml:space="preserve"> </w:t>
      </w:r>
      <w:r w:rsidR="0028036F">
        <w:t>‘</w:t>
      </w:r>
      <w:r>
        <w:t>culture</w:t>
      </w:r>
      <w:r w:rsidR="0028036F">
        <w:t>’</w:t>
      </w:r>
      <w:r>
        <w:t xml:space="preserve"> depending on the subject</w:t>
      </w:r>
      <w:r w:rsidR="0028036F">
        <w:rPr>
          <w:rStyle w:val="FootnoteReference"/>
        </w:rPr>
        <w:footnoteReference w:id="10"/>
      </w:r>
      <w:r w:rsidR="00005983">
        <w:t>, stating that ‘</w:t>
      </w:r>
      <w:r w:rsidR="00005983" w:rsidRPr="00005983">
        <w:t>in archaeology and in cultural anthropology the reference to culture or a culture is primarily to material production, while in history and cultural studies the reference is primarily to signifying or symbolic systems</w:t>
      </w:r>
      <w:r w:rsidR="00005983">
        <w:t>.’</w:t>
      </w:r>
      <w:r w:rsidR="00005983">
        <w:rPr>
          <w:rStyle w:val="FootnoteReference"/>
        </w:rPr>
        <w:footnoteReference w:id="11"/>
      </w:r>
      <w:r w:rsidR="00005983">
        <w:t xml:space="preserve"> </w:t>
      </w:r>
      <w:r w:rsidR="006E36D2">
        <w:t>Williams identified three distinct uses of ‘culture’ ‘(</w:t>
      </w:r>
      <w:proofErr w:type="spellStart"/>
      <w:r w:rsidR="006E36D2">
        <w:t>i</w:t>
      </w:r>
      <w:proofErr w:type="spellEnd"/>
      <w:r w:rsidR="006E36D2">
        <w:t xml:space="preserve">) </w:t>
      </w:r>
      <w:r w:rsidR="006E36D2" w:rsidRPr="00C1769A">
        <w:t>the independent and abstract noun which describes a general process of intellectual, spiritual and aesthetic development, from C18; (ii) the independent noun</w:t>
      </w:r>
      <w:r w:rsidR="006E36D2">
        <w:t xml:space="preserve"> …</w:t>
      </w:r>
      <w:r w:rsidR="006E36D2" w:rsidRPr="00C1769A">
        <w:t xml:space="preserve"> which indicates a particular way of life</w:t>
      </w:r>
      <w:r w:rsidR="006E36D2">
        <w:t xml:space="preserve"> …</w:t>
      </w:r>
      <w:r w:rsidR="006E36D2" w:rsidRPr="00C1769A">
        <w:t xml:space="preserve"> from Herder and Klemm. But we have also to recognize (iii) the independent and abstract noun which describes the works and practices of intellectual and especially artistic activity.</w:t>
      </w:r>
      <w:r w:rsidR="006E36D2">
        <w:t>’</w:t>
      </w:r>
      <w:r w:rsidR="006E36D2">
        <w:rPr>
          <w:rStyle w:val="FootnoteReference"/>
        </w:rPr>
        <w:footnoteReference w:id="12"/>
      </w:r>
    </w:p>
    <w:p w14:paraId="1002B08C" w14:textId="0E35888A" w:rsidR="006F42CC" w:rsidRDefault="002D32B7" w:rsidP="00A16599">
      <w:r>
        <w:t>On the origin of the word ‘culture’, Terry Eagleton</w:t>
      </w:r>
      <w:r w:rsidR="00E73C0D">
        <w:t>, writing in 2000, note</w:t>
      </w:r>
      <w:r w:rsidR="005477A6">
        <w:t>d</w:t>
      </w:r>
      <w:r>
        <w:t xml:space="preserve"> ‘</w:t>
      </w:r>
      <w:r w:rsidR="00E73202" w:rsidRPr="00E73202">
        <w:t xml:space="preserve">The </w:t>
      </w:r>
      <w:proofErr w:type="spellStart"/>
      <w:r w:rsidR="00E73202" w:rsidRPr="00E73202">
        <w:t>latin</w:t>
      </w:r>
      <w:proofErr w:type="spellEnd"/>
      <w:r w:rsidR="00E73202" w:rsidRPr="00E73202">
        <w:t xml:space="preserve"> root of the word ‘culture’ is </w:t>
      </w:r>
      <w:proofErr w:type="spellStart"/>
      <w:r w:rsidR="00E73202" w:rsidRPr="00E73202">
        <w:t>colere</w:t>
      </w:r>
      <w:proofErr w:type="spellEnd"/>
      <w:r w:rsidR="00E73202" w:rsidRPr="00E73202">
        <w:t>, which can mean anything from cultivating and inhabiting to worshipping and protecting.</w:t>
      </w:r>
      <w:r w:rsidR="00E73202">
        <w:t>’</w:t>
      </w:r>
      <w:r w:rsidR="00E73202">
        <w:rPr>
          <w:rStyle w:val="FootnoteReference"/>
        </w:rPr>
        <w:footnoteReference w:id="13"/>
      </w:r>
      <w:r w:rsidR="002712B3">
        <w:t xml:space="preserve"> </w:t>
      </w:r>
      <w:r w:rsidR="00425D12">
        <w:t>Williams also wr</w:t>
      </w:r>
      <w:r w:rsidR="005477A6">
        <w:t>ote</w:t>
      </w:r>
      <w:r w:rsidR="00425D12">
        <w:t xml:space="preserve"> that ‘</w:t>
      </w:r>
      <w:r w:rsidR="003C474A" w:rsidRPr="003C474A">
        <w:t>Culture in all its early uses was a noun of process: the tending of something, basically crops or animals.</w:t>
      </w:r>
      <w:r w:rsidR="003C474A">
        <w:t>’</w:t>
      </w:r>
      <w:r w:rsidR="003C474A">
        <w:rPr>
          <w:rStyle w:val="FootnoteReference"/>
        </w:rPr>
        <w:footnoteReference w:id="14"/>
      </w:r>
      <w:r w:rsidR="000F0D27">
        <w:t xml:space="preserve"> </w:t>
      </w:r>
      <w:r w:rsidR="00E7497A">
        <w:t>Eagleton further</w:t>
      </w:r>
      <w:r w:rsidR="00090E7E">
        <w:t>ed</w:t>
      </w:r>
      <w:r w:rsidR="00E7497A">
        <w:t xml:space="preserve"> this notion of culture as process, extending it to understandings of nature</w:t>
      </w:r>
      <w:r w:rsidR="00C96C25">
        <w:t>; ‘</w:t>
      </w:r>
      <w:r w:rsidR="00C96C25" w:rsidRPr="00C96C25">
        <w:t>If culture means the active tending of natural growth … what we do to the world and what the world does to us.</w:t>
      </w:r>
      <w:r w:rsidR="00C96C25">
        <w:t>’</w:t>
      </w:r>
      <w:r w:rsidR="00C96C25">
        <w:rPr>
          <w:rStyle w:val="FootnoteReference"/>
        </w:rPr>
        <w:footnoteReference w:id="15"/>
      </w:r>
      <w:r w:rsidR="00DB57AD">
        <w:t xml:space="preserve"> </w:t>
      </w:r>
      <w:r w:rsidR="00C860DA">
        <w:t xml:space="preserve">Eagleton </w:t>
      </w:r>
      <w:r w:rsidR="00090E7E">
        <w:t>identified the role of the state in culture</w:t>
      </w:r>
      <w:r w:rsidR="00F97001">
        <w:t>; ‘</w:t>
      </w:r>
      <w:r w:rsidR="00F97001" w:rsidRPr="00F97001">
        <w:t>the state must already have been at work in civil society, soothing its rancour and refining its sensibilities; and this process is what we know as culture.</w:t>
      </w:r>
      <w:r w:rsidR="00F97001">
        <w:t>’</w:t>
      </w:r>
      <w:r w:rsidR="00F97001">
        <w:rPr>
          <w:rStyle w:val="FootnoteReference"/>
        </w:rPr>
        <w:footnoteReference w:id="16"/>
      </w:r>
      <w:r w:rsidR="007419C6">
        <w:t xml:space="preserve"> </w:t>
      </w:r>
      <w:r w:rsidR="00BB4107">
        <w:t xml:space="preserve">This provides an overview of the word culture beyond what happens outside of people, instead integrating it to a symbiotic process of giving, taking and becoming. </w:t>
      </w:r>
      <w:r w:rsidR="007419C6">
        <w:t>Finally, Eagleton offer</w:t>
      </w:r>
      <w:r w:rsidR="00DD4A2C">
        <w:t>ed</w:t>
      </w:r>
      <w:r w:rsidR="007419C6">
        <w:t xml:space="preserve"> a definition of culture as ‘the </w:t>
      </w:r>
      <w:r w:rsidR="007419C6" w:rsidRPr="007419C6">
        <w:t>unconscious verso of the recto of civilized life, taken-for-granted beliefs and predilections which must be dimly present for us to be able to act at all. It is what comes naturally, bred in the bone, rather than conceived by the brain.</w:t>
      </w:r>
      <w:r w:rsidR="007419C6">
        <w:t>’</w:t>
      </w:r>
      <w:r w:rsidR="007419C6">
        <w:rPr>
          <w:rStyle w:val="FootnoteReference"/>
        </w:rPr>
        <w:footnoteReference w:id="17"/>
      </w:r>
    </w:p>
    <w:p w14:paraId="7EF304FB" w14:textId="33115491" w:rsidR="005B12C0" w:rsidRDefault="005B12C0" w:rsidP="00A16599">
      <w:r>
        <w:t xml:space="preserve">Thus, the definition of culture is complex and requires clarity on the context of its use, and what it seeks to explain. To identify whether perceptions of the cosmos are culturally conditioned, Eagleton’s definition of culture </w:t>
      </w:r>
      <w:r w:rsidR="00211A7C">
        <w:t xml:space="preserve">is most appropriate – culture is built from </w:t>
      </w:r>
      <w:r w:rsidR="000A0565">
        <w:t>something</w:t>
      </w:r>
      <w:r w:rsidR="009C6522">
        <w:t xml:space="preserve"> inherent</w:t>
      </w:r>
      <w:r w:rsidR="000A0565">
        <w:t xml:space="preserve"> but</w:t>
      </w:r>
      <w:r w:rsidR="00211A7C">
        <w:t xml:space="preserve"> is not necessarily </w:t>
      </w:r>
      <w:r w:rsidR="003B1F21">
        <w:t>evolutionary</w:t>
      </w:r>
      <w:r w:rsidR="000A0565">
        <w:t xml:space="preserve"> nor is one culture better than another</w:t>
      </w:r>
      <w:r w:rsidR="000A0565">
        <w:rPr>
          <w:rStyle w:val="FootnoteReference"/>
        </w:rPr>
        <w:footnoteReference w:id="18"/>
      </w:r>
      <w:r w:rsidR="000A0565">
        <w:t xml:space="preserve">. Tylor’s implication that there are ‘lower races’ whose cultures need to further evolve to a European standard, do not serve the purposes of this essay as it diminishes </w:t>
      </w:r>
      <w:r w:rsidR="00A45E9B">
        <w:t>Mayan cosmology and culture</w:t>
      </w:r>
      <w:r w:rsidR="005A7AFE">
        <w:t xml:space="preserve"> by applying standards that do not necessarily make sense within Mayan cosmology and culture. </w:t>
      </w:r>
    </w:p>
    <w:p w14:paraId="301588E4" w14:textId="77777777" w:rsidR="00273B04" w:rsidRDefault="00273B04" w:rsidP="00A16599">
      <w:pPr>
        <w:rPr>
          <w:b/>
          <w:bCs/>
        </w:rPr>
      </w:pPr>
    </w:p>
    <w:p w14:paraId="0FE9DE6C" w14:textId="77777777" w:rsidR="00273B04" w:rsidRDefault="00273B04" w:rsidP="00A16599">
      <w:pPr>
        <w:rPr>
          <w:b/>
          <w:bCs/>
        </w:rPr>
      </w:pPr>
    </w:p>
    <w:p w14:paraId="09E526B4" w14:textId="77777777" w:rsidR="00273B04" w:rsidRDefault="00273B04" w:rsidP="00A16599">
      <w:pPr>
        <w:rPr>
          <w:b/>
          <w:bCs/>
        </w:rPr>
      </w:pPr>
    </w:p>
    <w:p w14:paraId="06DFB11D" w14:textId="1A069740" w:rsidR="002C2925" w:rsidRDefault="00771CF9" w:rsidP="00A16599">
      <w:pPr>
        <w:rPr>
          <w:b/>
          <w:bCs/>
        </w:rPr>
      </w:pPr>
      <w:r>
        <w:rPr>
          <w:b/>
          <w:bCs/>
        </w:rPr>
        <w:lastRenderedPageBreak/>
        <w:t>Defining Cosmology</w:t>
      </w:r>
    </w:p>
    <w:p w14:paraId="4D63DC2D" w14:textId="5191A148" w:rsidR="00771CF9" w:rsidRDefault="00771CF9" w:rsidP="00A16599">
      <w:r>
        <w:t>Nicholas Campion wr</w:t>
      </w:r>
      <w:r w:rsidR="00DA6DC4">
        <w:t xml:space="preserve">ote that cosmology </w:t>
      </w:r>
      <w:r w:rsidR="007A333D">
        <w:t xml:space="preserve">can be separated into two definitions: the scientific and the </w:t>
      </w:r>
      <w:r w:rsidR="00305A14">
        <w:t>anthropological</w:t>
      </w:r>
      <w:r w:rsidR="00305A14">
        <w:rPr>
          <w:rStyle w:val="FootnoteReference"/>
        </w:rPr>
        <w:footnoteReference w:id="19"/>
      </w:r>
      <w:r w:rsidR="00262950">
        <w:t xml:space="preserve">, and that anthropological cosmology </w:t>
      </w:r>
      <w:r w:rsidR="000D20DE">
        <w:t xml:space="preserve">argues that </w:t>
      </w:r>
      <w:r w:rsidR="00262950">
        <w:t>‘</w:t>
      </w:r>
      <w:r w:rsidR="00262950" w:rsidRPr="00262950">
        <w:t>ideas about the cosmos are integral part of human cultural and social systems</w:t>
      </w:r>
      <w:r w:rsidR="00262950">
        <w:t>’</w:t>
      </w:r>
      <w:r w:rsidR="00262950">
        <w:rPr>
          <w:rStyle w:val="FootnoteReference"/>
        </w:rPr>
        <w:footnoteReference w:id="20"/>
      </w:r>
      <w:r w:rsidR="00EF5E24">
        <w:t xml:space="preserve">. </w:t>
      </w:r>
      <w:r w:rsidR="00B04A33">
        <w:t xml:space="preserve">For the purposes of this essay, anthropological cosmology will be applied as the essay will look at Mayan culture and society in relation to cosmological beliefs. </w:t>
      </w:r>
    </w:p>
    <w:p w14:paraId="745BACD2" w14:textId="686385BD" w:rsidR="002E0AF1" w:rsidRDefault="002E0AF1" w:rsidP="00843AD5">
      <w:r>
        <w:t xml:space="preserve">Tracing the </w:t>
      </w:r>
      <w:r w:rsidR="00621C25">
        <w:t>uses of the word ‘cosmos’, Campion wrote that ‘Cosmology is therefore a matter not just of exploring the far reaches of the universe but of recognizing that we are an integral part of it and that our environments, our houses, feelings, families, communities, towns, and cities are part of the cosmos as much as are the sky and stars</w:t>
      </w:r>
      <w:r w:rsidR="00E852DE">
        <w:t>.’</w:t>
      </w:r>
      <w:r w:rsidR="00E852DE">
        <w:rPr>
          <w:rStyle w:val="FootnoteReference"/>
        </w:rPr>
        <w:footnoteReference w:id="21"/>
      </w:r>
      <w:r w:rsidR="001E6070">
        <w:t xml:space="preserve"> This definition is built upon various histories and relationships to the cosmos, including </w:t>
      </w:r>
      <w:r w:rsidR="00F4165A">
        <w:t>a Greek translation of cosmos as ‘beautiful order’</w:t>
      </w:r>
      <w:r w:rsidR="00F4165A">
        <w:rPr>
          <w:rStyle w:val="FootnoteReference"/>
        </w:rPr>
        <w:footnoteReference w:id="22"/>
      </w:r>
      <w:r w:rsidR="00E721DF">
        <w:t>, a</w:t>
      </w:r>
      <w:r w:rsidR="00B6617C">
        <w:t>s an</w:t>
      </w:r>
      <w:r w:rsidR="00E721DF">
        <w:t xml:space="preserve"> ‘object of veneration’</w:t>
      </w:r>
      <w:r w:rsidR="00E721DF">
        <w:rPr>
          <w:rStyle w:val="FootnoteReference"/>
        </w:rPr>
        <w:footnoteReference w:id="23"/>
      </w:r>
      <w:r w:rsidR="00E721DF">
        <w:t xml:space="preserve"> or </w:t>
      </w:r>
      <w:r w:rsidR="00387A27">
        <w:t>‘a stage on which celestial dramas are played out.’</w:t>
      </w:r>
      <w:r w:rsidR="00387A27">
        <w:rPr>
          <w:rStyle w:val="FootnoteReference"/>
        </w:rPr>
        <w:footnoteReference w:id="24"/>
      </w:r>
      <w:r w:rsidR="00173C29">
        <w:t xml:space="preserve"> </w:t>
      </w:r>
      <w:r w:rsidR="00D847F8">
        <w:t xml:space="preserve">With such varying cosmologies, </w:t>
      </w:r>
      <w:r w:rsidR="00965D76">
        <w:t xml:space="preserve">locating Mayan cosmology can be difficult. Campion wrote </w:t>
      </w:r>
      <w:r w:rsidR="00CE540C">
        <w:t>on the</w:t>
      </w:r>
      <w:r w:rsidR="00D7156A">
        <w:t>se</w:t>
      </w:r>
      <w:r w:rsidR="00CE540C">
        <w:t xml:space="preserve"> difficulties </w:t>
      </w:r>
      <w:r w:rsidR="00591A63">
        <w:t>‘One of the great issues in comparative cosmology is universalism … [which] argues that people in geographically diverse cultures share certain fundamental, universally valid conceptions of the cosmos’</w:t>
      </w:r>
      <w:r w:rsidR="00CB4BFF">
        <w:t xml:space="preserve"> as per anthropologist Claude Levi-</w:t>
      </w:r>
      <w:r w:rsidR="00CA3AD5">
        <w:t>Strauss</w:t>
      </w:r>
      <w:r w:rsidR="00D7156A">
        <w:rPr>
          <w:rStyle w:val="FootnoteReference"/>
        </w:rPr>
        <w:footnoteReference w:id="25"/>
      </w:r>
      <w:r w:rsidR="00653B93">
        <w:t xml:space="preserve"> or an ‘essential reality</w:t>
      </w:r>
      <w:r w:rsidR="00CB4BFF">
        <w:t xml:space="preserve"> … </w:t>
      </w:r>
      <w:r w:rsidR="00CB4BFF" w:rsidRPr="00CB4BFF">
        <w:t>innate ideas that inhabit the universal collective unconscious</w:t>
      </w:r>
      <w:r w:rsidR="00CB4BFF">
        <w:t>’</w:t>
      </w:r>
      <w:r w:rsidR="00D7156A">
        <w:t xml:space="preserve"> </w:t>
      </w:r>
      <w:r w:rsidR="00CB4BFF">
        <w:t>as per psychologist C.G. Jung</w:t>
      </w:r>
      <w:r w:rsidR="00CB4BFF">
        <w:rPr>
          <w:rStyle w:val="FootnoteReference"/>
        </w:rPr>
        <w:footnoteReference w:id="26"/>
      </w:r>
      <w:r w:rsidR="00CB4BFF">
        <w:t xml:space="preserve">. </w:t>
      </w:r>
      <w:r w:rsidR="006D67C4">
        <w:t xml:space="preserve">However, Professor Wayne </w:t>
      </w:r>
      <w:proofErr w:type="spellStart"/>
      <w:r w:rsidR="006D67C4">
        <w:t>Elzey</w:t>
      </w:r>
      <w:proofErr w:type="spellEnd"/>
      <w:r w:rsidR="006D67C4">
        <w:t xml:space="preserve"> refuted </w:t>
      </w:r>
      <w:r w:rsidR="00D539F3">
        <w:t>this approach in his analysis of the Nahua Myth of the Suns, an Aztec creation myth</w:t>
      </w:r>
      <w:r w:rsidR="00A005DC">
        <w:t xml:space="preserve">, arguing that the myth ‘is uniquely “Mexican”, </w:t>
      </w:r>
      <w:r w:rsidR="005C04E6">
        <w:t>and as such differs morphologically from other systems which appear to be similar on the surface.’</w:t>
      </w:r>
      <w:r w:rsidR="005C04E6">
        <w:rPr>
          <w:rStyle w:val="FootnoteReference"/>
        </w:rPr>
        <w:footnoteReference w:id="27"/>
      </w:r>
      <w:r w:rsidR="006D67C4">
        <w:t xml:space="preserve"> </w:t>
      </w:r>
      <w:r w:rsidR="00843AD5">
        <w:t>Furthermore, ‘</w:t>
      </w:r>
      <w:r w:rsidR="00843AD5">
        <w:t>In “The Study of Cultural Astronomy,” Ruggles and Saunders</w:t>
      </w:r>
      <w:r w:rsidR="00843AD5">
        <w:t xml:space="preserve"> </w:t>
      </w:r>
      <w:r w:rsidR="00843AD5">
        <w:t>(1993, 4) conclude that although “observation is universal, perception and use</w:t>
      </w:r>
      <w:r w:rsidR="00843AD5">
        <w:t xml:space="preserve"> </w:t>
      </w:r>
      <w:r w:rsidR="00843AD5">
        <w:t>are cultural.”</w:t>
      </w:r>
      <w:r w:rsidR="00843AD5">
        <w:rPr>
          <w:rStyle w:val="FootnoteReference"/>
        </w:rPr>
        <w:footnoteReference w:id="28"/>
      </w:r>
      <w:r w:rsidR="00843AD5">
        <w:t xml:space="preserve"> </w:t>
      </w:r>
      <w:r w:rsidR="006A22ED">
        <w:t xml:space="preserve"> </w:t>
      </w:r>
      <w:r w:rsidR="002F64E6">
        <w:t xml:space="preserve">Whilst everyone is capable of seeing the </w:t>
      </w:r>
      <w:r w:rsidR="00421D4A">
        <w:t xml:space="preserve">same sky, the application in the form of cosmology is inherently affected by culture. </w:t>
      </w:r>
    </w:p>
    <w:p w14:paraId="05B2319C" w14:textId="6D6E0FC0" w:rsidR="00143716" w:rsidRDefault="0015138D" w:rsidP="00A16599">
      <w:pPr>
        <w:rPr>
          <w:b/>
          <w:bCs/>
        </w:rPr>
      </w:pPr>
      <w:r>
        <w:rPr>
          <w:b/>
          <w:bCs/>
        </w:rPr>
        <w:t>Creation, Cosmology and Culture</w:t>
      </w:r>
    </w:p>
    <w:p w14:paraId="493E2632" w14:textId="09132832" w:rsidR="005B7E37" w:rsidRDefault="00315EB4" w:rsidP="005B7E37">
      <w:r>
        <w:t xml:space="preserve">Immediately, the </w:t>
      </w:r>
      <w:proofErr w:type="spellStart"/>
      <w:r>
        <w:t>Pop</w:t>
      </w:r>
      <w:r w:rsidR="00BC481E">
        <w:t>o</w:t>
      </w:r>
      <w:r>
        <w:t>l</w:t>
      </w:r>
      <w:proofErr w:type="spellEnd"/>
      <w:r>
        <w:t xml:space="preserve"> Vuh </w:t>
      </w:r>
      <w:r w:rsidR="00BE5BE0">
        <w:t xml:space="preserve">demonstrates both ideas of cosmology and </w:t>
      </w:r>
      <w:r w:rsidR="005B7E37">
        <w:t>culture.</w:t>
      </w:r>
      <w:r w:rsidR="00BE5BE0">
        <w:t xml:space="preserve"> </w:t>
      </w:r>
    </w:p>
    <w:p w14:paraId="57C2B076" w14:textId="71CDD510" w:rsidR="005B7E37" w:rsidRDefault="005B7E37" w:rsidP="005B7E37">
      <w:r>
        <w:t xml:space="preserve">‘You </w:t>
      </w:r>
      <w:proofErr w:type="gramStart"/>
      <w:r>
        <w:t>grains</w:t>
      </w:r>
      <w:proofErr w:type="gramEnd"/>
      <w:r>
        <w:t xml:space="preserve"> of maize, </w:t>
      </w:r>
    </w:p>
    <w:p w14:paraId="62F87303" w14:textId="65F92D92" w:rsidR="005B7E37" w:rsidRDefault="005B7E37" w:rsidP="005B7E37">
      <w:r>
        <w:t xml:space="preserve">You tz'ite, </w:t>
      </w:r>
    </w:p>
    <w:p w14:paraId="70611340" w14:textId="3B0B7078" w:rsidR="005B7E37" w:rsidRDefault="005B7E37" w:rsidP="005B7E37">
      <w:r>
        <w:t xml:space="preserve">You days, </w:t>
      </w:r>
    </w:p>
    <w:p w14:paraId="572C844C" w14:textId="40E67087" w:rsidR="005B7E37" w:rsidRDefault="005B7E37" w:rsidP="005B7E37">
      <w:r>
        <w:lastRenderedPageBreak/>
        <w:t xml:space="preserve">You </w:t>
      </w:r>
      <w:proofErr w:type="gramStart"/>
      <w:r>
        <w:t>shaping</w:t>
      </w:r>
      <w:proofErr w:type="gramEnd"/>
      <w:r>
        <w:t xml:space="preserve">. </w:t>
      </w:r>
    </w:p>
    <w:p w14:paraId="61DC2FCC" w14:textId="6377C913" w:rsidR="005B7E37" w:rsidRDefault="005B7E37" w:rsidP="005B7E37">
      <w:r>
        <w:t xml:space="preserve">You are called, </w:t>
      </w:r>
    </w:p>
    <w:p w14:paraId="769CC9D7" w14:textId="02392E6C" w:rsidR="00425C84" w:rsidRDefault="005B7E37" w:rsidP="005B7E37">
      <w:r>
        <w:t>You are summoned,”’</w:t>
      </w:r>
      <w:r>
        <w:rPr>
          <w:rStyle w:val="FootnoteReference"/>
        </w:rPr>
        <w:footnoteReference w:id="29"/>
      </w:r>
    </w:p>
    <w:p w14:paraId="66B6A452" w14:textId="6D85D979" w:rsidR="00D217C4" w:rsidRDefault="007F7D9E" w:rsidP="00EB08C4">
      <w:r>
        <w:t>The gods created people</w:t>
      </w:r>
      <w:r w:rsidR="003711BD">
        <w:t xml:space="preserve"> from</w:t>
      </w:r>
      <w:r w:rsidR="00AF3CD5">
        <w:t xml:space="preserve"> maize</w:t>
      </w:r>
      <w:r w:rsidR="00FF687C">
        <w:t xml:space="preserve"> which itself was a major part of Maya food.</w:t>
      </w:r>
      <w:r w:rsidR="00EB08C4">
        <w:t xml:space="preserve"> ‘This material is daily pounded </w:t>
      </w:r>
      <w:r w:rsidR="001335CC">
        <w:t xml:space="preserve">… </w:t>
      </w:r>
      <w:r w:rsidR="00EB08C4">
        <w:t xml:space="preserve">reshaped into the articulated tortillas which form the staple of </w:t>
      </w:r>
      <w:r w:rsidR="001335CC">
        <w:t>a</w:t>
      </w:r>
      <w:r w:rsidR="00EB08C4">
        <w:t xml:space="preserve"> Maya me</w:t>
      </w:r>
      <w:r w:rsidR="001335CC">
        <w:t>al.’</w:t>
      </w:r>
      <w:r w:rsidR="001335CC">
        <w:rPr>
          <w:rStyle w:val="FootnoteReference"/>
        </w:rPr>
        <w:footnoteReference w:id="30"/>
      </w:r>
      <w:r w:rsidR="00B25CC4">
        <w:t xml:space="preserve"> Here, Eagleton’s analysis of culture can be applied. Eagleton wrote on </w:t>
      </w:r>
      <w:r w:rsidR="000D5CFC">
        <w:t>culture ‘</w:t>
      </w:r>
      <w:r w:rsidR="000D5CFC" w:rsidRPr="000D5CFC">
        <w:t>It is an epistemologically ‘realist’ notion since it implies there is a nature or raw material beyond ourselves; but it also has a constructivist dimension, since this raw material must be worked up into a humanly significant shape.</w:t>
      </w:r>
      <w:r w:rsidR="000D5CFC">
        <w:t>’</w:t>
      </w:r>
      <w:r w:rsidR="000D5CFC">
        <w:rPr>
          <w:rStyle w:val="FootnoteReference"/>
        </w:rPr>
        <w:footnoteReference w:id="31"/>
      </w:r>
      <w:r w:rsidR="00A53A17">
        <w:t xml:space="preserve"> </w:t>
      </w:r>
      <w:r w:rsidR="005327D2">
        <w:t xml:space="preserve">Putting this into the context of cosmology, </w:t>
      </w:r>
      <w:r w:rsidR="00C86402">
        <w:t>Campion wrote on food and culture ‘</w:t>
      </w:r>
      <w:r w:rsidR="00C86402" w:rsidRPr="00C86402">
        <w:t>the overwhelming goal is clearly submission to a greater order in order to ensure a single priority: survival</w:t>
      </w:r>
      <w:r w:rsidR="00C84ED3">
        <w:t>’</w:t>
      </w:r>
      <w:r w:rsidR="00C84ED3">
        <w:rPr>
          <w:rStyle w:val="FootnoteReference"/>
        </w:rPr>
        <w:footnoteReference w:id="32"/>
      </w:r>
      <w:r w:rsidR="00250AB4" w:rsidRPr="00250AB4">
        <w:t xml:space="preserve"> </w:t>
      </w:r>
      <w:r w:rsidR="00250AB4">
        <w:t xml:space="preserve">The Maya man is both made of maize, </w:t>
      </w:r>
      <w:r w:rsidR="009041A2">
        <w:t>which had to be fashioned into a suitably human form</w:t>
      </w:r>
      <w:r w:rsidR="009041A2">
        <w:rPr>
          <w:rStyle w:val="FootnoteReference"/>
        </w:rPr>
        <w:footnoteReference w:id="33"/>
      </w:r>
      <w:r w:rsidR="009041A2">
        <w:t>,</w:t>
      </w:r>
      <w:r w:rsidR="00115590">
        <w:t xml:space="preserve"> </w:t>
      </w:r>
      <w:r w:rsidR="00250AB4">
        <w:t>and consume</w:t>
      </w:r>
      <w:r w:rsidR="00CA5181">
        <w:t>d</w:t>
      </w:r>
      <w:r w:rsidR="00250AB4">
        <w:t xml:space="preserve"> it to ensure his survival. </w:t>
      </w:r>
    </w:p>
    <w:p w14:paraId="15D28FC6" w14:textId="1C125D0C" w:rsidR="00DA52B3" w:rsidRDefault="00FF2922" w:rsidP="00EB08C4">
      <w:r>
        <w:t xml:space="preserve">If </w:t>
      </w:r>
      <w:r w:rsidR="00701206">
        <w:t xml:space="preserve">cosmology is a way to understand </w:t>
      </w:r>
      <w:r w:rsidR="00441D0B">
        <w:t xml:space="preserve">culture, and how a peoples </w:t>
      </w:r>
      <w:r w:rsidR="000C1D4E">
        <w:t xml:space="preserve">understand their </w:t>
      </w:r>
      <w:r w:rsidR="00701206">
        <w:t>place in the universe</w:t>
      </w:r>
      <w:r w:rsidR="00701206">
        <w:rPr>
          <w:rStyle w:val="FootnoteReference"/>
        </w:rPr>
        <w:footnoteReference w:id="34"/>
      </w:r>
      <w:r w:rsidR="000C1D4E">
        <w:t xml:space="preserve">, it is necessary to examine the process of </w:t>
      </w:r>
      <w:r w:rsidR="00A7132A">
        <w:t xml:space="preserve">creation and </w:t>
      </w:r>
      <w:r w:rsidR="000C1D4E">
        <w:t xml:space="preserve">becoming for the </w:t>
      </w:r>
      <w:r w:rsidR="007F7D9E">
        <w:t>K’ich</w:t>
      </w:r>
      <w:r w:rsidR="00C27926">
        <w:t>e-Maya</w:t>
      </w:r>
      <w:r w:rsidR="000C1D4E">
        <w:t xml:space="preserve">. </w:t>
      </w:r>
      <w:r w:rsidR="004A0AE4">
        <w:t xml:space="preserve">In the </w:t>
      </w:r>
      <w:proofErr w:type="spellStart"/>
      <w:r w:rsidR="004A0AE4">
        <w:t>Pop</w:t>
      </w:r>
      <w:r w:rsidR="00C27926">
        <w:t>o</w:t>
      </w:r>
      <w:r w:rsidR="004A0AE4">
        <w:t>l</w:t>
      </w:r>
      <w:proofErr w:type="spellEnd"/>
      <w:r w:rsidR="004A0AE4">
        <w:t xml:space="preserve"> Vuh, the process of creation is through spoken </w:t>
      </w:r>
      <w:proofErr w:type="gramStart"/>
      <w:r w:rsidR="004A0AE4">
        <w:t>word</w:t>
      </w:r>
      <w:r w:rsidR="007304DF">
        <w:t>;</w:t>
      </w:r>
      <w:proofErr w:type="gramEnd"/>
    </w:p>
    <w:p w14:paraId="590163CF" w14:textId="4E40477D" w:rsidR="004A1F65" w:rsidRDefault="007304DF" w:rsidP="004A1F65">
      <w:r>
        <w:t>‘</w:t>
      </w:r>
      <w:r w:rsidR="004A1F65">
        <w:t>THEN came therefore his word here</w:t>
      </w:r>
    </w:p>
    <w:p w14:paraId="255EE6F9" w14:textId="1D6F0D97" w:rsidR="004A1F65" w:rsidRDefault="004A1F65" w:rsidP="004A1F65">
      <w:r>
        <w:t xml:space="preserve">He arrived with them </w:t>
      </w:r>
    </w:p>
    <w:p w14:paraId="6EEF7803" w14:textId="486909F6" w:rsidR="004A1F65" w:rsidRDefault="004A1F65" w:rsidP="004A1F65">
      <w:r>
        <w:t>The Sovereign</w:t>
      </w:r>
    </w:p>
    <w:p w14:paraId="73DC079E" w14:textId="00AFED60" w:rsidR="004A1F65" w:rsidRDefault="004A1F65" w:rsidP="004A1F65">
      <w:r>
        <w:t>Quetzal Serpent</w:t>
      </w:r>
    </w:p>
    <w:p w14:paraId="5B1D3467" w14:textId="78322887" w:rsidR="004A1F65" w:rsidRDefault="004A1F65" w:rsidP="004A1F65">
      <w:r>
        <w:t>Here in darkness</w:t>
      </w:r>
    </w:p>
    <w:p w14:paraId="0A7044F0" w14:textId="3749CD23" w:rsidR="004A1F65" w:rsidRDefault="004A1F65" w:rsidP="004A1F65">
      <w:r>
        <w:t>In night</w:t>
      </w:r>
    </w:p>
    <w:p w14:paraId="101165C9" w14:textId="208347A7" w:rsidR="004A1F65" w:rsidRDefault="004A1F65" w:rsidP="004A1F65">
      <w:r>
        <w:t xml:space="preserve">He spoke with </w:t>
      </w:r>
    </w:p>
    <w:p w14:paraId="067A8526" w14:textId="254F941A" w:rsidR="004A1F65" w:rsidRDefault="004A1F65" w:rsidP="004A1F65">
      <w:r>
        <w:t xml:space="preserve">The Sovereign, </w:t>
      </w:r>
    </w:p>
    <w:p w14:paraId="2552ADF7" w14:textId="78F181DC" w:rsidR="004A1F65" w:rsidRDefault="004A1F65" w:rsidP="004A1F65">
      <w:r>
        <w:t xml:space="preserve">Quetzal Serpent, </w:t>
      </w:r>
    </w:p>
    <w:p w14:paraId="6FE8A82E" w14:textId="640FBBA6" w:rsidR="004A1F65" w:rsidRDefault="004A1F65" w:rsidP="004A1F65">
      <w:r>
        <w:t xml:space="preserve">They talked therefore, </w:t>
      </w:r>
    </w:p>
    <w:p w14:paraId="4B88E98B" w14:textId="4A9EAA58" w:rsidR="004A1F65" w:rsidRDefault="004A1F65" w:rsidP="004A1F65">
      <w:r>
        <w:t xml:space="preserve">Then they thought, </w:t>
      </w:r>
    </w:p>
    <w:p w14:paraId="32F04080" w14:textId="583B6826" w:rsidR="004A0AE4" w:rsidRDefault="004A1F65" w:rsidP="004A1F65">
      <w:r>
        <w:t>Then they pondered</w:t>
      </w:r>
      <w:r w:rsidR="007304DF">
        <w:t>’</w:t>
      </w:r>
      <w:r>
        <w:rPr>
          <w:rStyle w:val="FootnoteReference"/>
        </w:rPr>
        <w:footnoteReference w:id="35"/>
      </w:r>
      <w:r w:rsidR="007304DF">
        <w:t>.</w:t>
      </w:r>
    </w:p>
    <w:p w14:paraId="32FE20F1" w14:textId="412281AA" w:rsidR="007304DF" w:rsidRDefault="00FC0B3C" w:rsidP="004A1F65">
      <w:r>
        <w:t xml:space="preserve">Before speech, there was only darkness and stillness, not even thought. The ability to talk is the ability to create. </w:t>
      </w:r>
    </w:p>
    <w:p w14:paraId="6D14A855" w14:textId="224ED462" w:rsidR="004D4D6B" w:rsidRDefault="004D4D6B" w:rsidP="004D4D6B">
      <w:r>
        <w:t xml:space="preserve">‘Then they gave birth, </w:t>
      </w:r>
    </w:p>
    <w:p w14:paraId="4C8AC72E" w14:textId="54EE9D61" w:rsidR="004D4D6B" w:rsidRDefault="004D4D6B" w:rsidP="004D4D6B">
      <w:r>
        <w:lastRenderedPageBreak/>
        <w:t xml:space="preserve">Then they heartened themselves. </w:t>
      </w:r>
    </w:p>
    <w:p w14:paraId="030804C2" w14:textId="61187691" w:rsidR="004D4D6B" w:rsidRDefault="004D4D6B" w:rsidP="004D4D6B">
      <w:r>
        <w:t>Beneath light then</w:t>
      </w:r>
    </w:p>
    <w:p w14:paraId="63D5231C" w14:textId="1E8F76F4" w:rsidR="004D4D6B" w:rsidRDefault="004D4D6B" w:rsidP="004D4D6B">
      <w:r>
        <w:t>They gave birth to also people</w:t>
      </w:r>
      <w:r>
        <w:rPr>
          <w:rStyle w:val="FootnoteReference"/>
        </w:rPr>
        <w:footnoteReference w:id="36"/>
      </w:r>
      <w:r>
        <w:t>.’</w:t>
      </w:r>
    </w:p>
    <w:p w14:paraId="447D6FBD" w14:textId="5EB9E26A" w:rsidR="006F18DA" w:rsidRDefault="00FE26A9" w:rsidP="004D4D6B">
      <w:r>
        <w:t xml:space="preserve">Now </w:t>
      </w:r>
      <w:r w:rsidR="00C27926">
        <w:t>exists</w:t>
      </w:r>
      <w:r>
        <w:t xml:space="preserve"> thought, speech and light underneath which people were born. </w:t>
      </w:r>
      <w:r w:rsidR="0009052F">
        <w:t xml:space="preserve">However, the </w:t>
      </w:r>
      <w:proofErr w:type="spellStart"/>
      <w:r w:rsidR="0009052F">
        <w:t>Pop</w:t>
      </w:r>
      <w:r w:rsidR="00BC481E">
        <w:t>o</w:t>
      </w:r>
      <w:r w:rsidR="0009052F">
        <w:t>l</w:t>
      </w:r>
      <w:proofErr w:type="spellEnd"/>
      <w:r w:rsidR="0009052F">
        <w:t xml:space="preserve"> Vuh documents successive creations and destructions, </w:t>
      </w:r>
      <w:r w:rsidR="00222FF8">
        <w:t xml:space="preserve">as the gods wanted to be worshipped through speech, of which animals nor men </w:t>
      </w:r>
      <w:r w:rsidR="00554926">
        <w:t>made from</w:t>
      </w:r>
      <w:r w:rsidR="00222FF8">
        <w:t xml:space="preserve"> </w:t>
      </w:r>
      <w:r w:rsidR="00703655">
        <w:t>mud who could not hold their form enough to speak</w:t>
      </w:r>
      <w:r w:rsidR="00703655">
        <w:rPr>
          <w:rStyle w:val="FootnoteReference"/>
        </w:rPr>
        <w:footnoteReference w:id="37"/>
      </w:r>
      <w:r w:rsidR="00703655">
        <w:t>.</w:t>
      </w:r>
      <w:r w:rsidR="00772E64">
        <w:t xml:space="preserve"> In his book The Sacred and the Profane, Mircea Eliade wr</w:t>
      </w:r>
      <w:r w:rsidR="00DF70D5">
        <w:t>ote</w:t>
      </w:r>
      <w:r w:rsidR="00772E64">
        <w:t xml:space="preserve"> </w:t>
      </w:r>
      <w:r w:rsidR="00A9791B">
        <w:t>‘it is the break effected in space that allows the wor</w:t>
      </w:r>
      <w:r w:rsidR="0080586A">
        <w:t>l</w:t>
      </w:r>
      <w:r w:rsidR="00A9791B">
        <w:t>d to be constituted, because it reveals the fixed point, the central axis for all future orientation</w:t>
      </w:r>
      <w:r w:rsidR="002B7E5C">
        <w:t>.’</w:t>
      </w:r>
      <w:r w:rsidR="002B7E5C">
        <w:rPr>
          <w:rStyle w:val="FootnoteReference"/>
        </w:rPr>
        <w:footnoteReference w:id="38"/>
      </w:r>
      <w:r w:rsidR="003248E4">
        <w:t xml:space="preserve"> The word was the break in space that allowed creation. </w:t>
      </w:r>
      <w:r w:rsidR="00CE6587">
        <w:t xml:space="preserve">The importance of word continues in the </w:t>
      </w:r>
      <w:r w:rsidR="007E1A50">
        <w:t>Popul Vuh and</w:t>
      </w:r>
      <w:r w:rsidR="00CE6587">
        <w:t xml:space="preserve"> is the reason for the de</w:t>
      </w:r>
      <w:r w:rsidR="007E1A50">
        <w:t xml:space="preserve">struction or lessening of status of previous creations. The animals were unable to speak, thus unable to </w:t>
      </w:r>
      <w:r w:rsidR="00600FF3">
        <w:t>worship.</w:t>
      </w:r>
    </w:p>
    <w:p w14:paraId="65361B08" w14:textId="67986147" w:rsidR="007E1A50" w:rsidRDefault="00600FF3" w:rsidP="007E1A50">
      <w:r>
        <w:t>‘</w:t>
      </w:r>
      <w:r w:rsidR="007E1A50">
        <w:t>Merely you are replaced,</w:t>
      </w:r>
    </w:p>
    <w:p w14:paraId="67B7EA21" w14:textId="0F76D6DE" w:rsidR="007E1A50" w:rsidRDefault="007E1A50" w:rsidP="007E1A50">
      <w:r>
        <w:t>Because not succeeded,</w:t>
      </w:r>
    </w:p>
    <w:p w14:paraId="7BC912BD" w14:textId="772DFCA1" w:rsidR="007E1A50" w:rsidRDefault="007E1A50" w:rsidP="007E1A50">
      <w:r>
        <w:t>Not you spoke.</w:t>
      </w:r>
    </w:p>
    <w:p w14:paraId="3A41A32D" w14:textId="2BA75E5A" w:rsidR="00E43337" w:rsidRDefault="00E43337" w:rsidP="007E1A50">
      <w:r>
        <w:t>…</w:t>
      </w:r>
    </w:p>
    <w:p w14:paraId="44C5D001" w14:textId="13DF4CE6" w:rsidR="00E43337" w:rsidRDefault="00E43337" w:rsidP="00E43337">
      <w:r>
        <w:t xml:space="preserve">Merely your flesh will be chewed. </w:t>
      </w:r>
    </w:p>
    <w:p w14:paraId="4EDB5C04" w14:textId="185D0E47" w:rsidR="00E43337" w:rsidRDefault="00E43337" w:rsidP="00E43337">
      <w:r>
        <w:t>Then be it so.’</w:t>
      </w:r>
      <w:r>
        <w:rPr>
          <w:rStyle w:val="FootnoteReference"/>
        </w:rPr>
        <w:footnoteReference w:id="39"/>
      </w:r>
    </w:p>
    <w:p w14:paraId="419672B5" w14:textId="3AD376FC" w:rsidR="000964D3" w:rsidRDefault="008646A1" w:rsidP="004D4D6B">
      <w:r>
        <w:t>The animals were demoted and became food</w:t>
      </w:r>
      <w:r w:rsidR="00002E71">
        <w:t xml:space="preserve">. </w:t>
      </w:r>
      <w:r w:rsidR="00860AFD">
        <w:t>Two more attempts at creating people who could speak were made</w:t>
      </w:r>
      <w:r w:rsidR="001E77B6">
        <w:t xml:space="preserve">. Lines 519 to </w:t>
      </w:r>
      <w:r w:rsidR="00770ADD">
        <w:t>836</w:t>
      </w:r>
      <w:r w:rsidR="00860AFD">
        <w:rPr>
          <w:rStyle w:val="FootnoteReference"/>
        </w:rPr>
        <w:footnoteReference w:id="40"/>
      </w:r>
      <w:r w:rsidR="00770ADD">
        <w:t xml:space="preserve"> document this, </w:t>
      </w:r>
      <w:r w:rsidR="0063582A">
        <w:t xml:space="preserve">the destruction of these unspeaking people occurred through objects turning on </w:t>
      </w:r>
      <w:proofErr w:type="gramStart"/>
      <w:r w:rsidR="0063582A">
        <w:t>them</w:t>
      </w:r>
      <w:r w:rsidR="00780E81">
        <w:t>;</w:t>
      </w:r>
      <w:proofErr w:type="gramEnd"/>
    </w:p>
    <w:p w14:paraId="2F04E544" w14:textId="47DF51D3" w:rsidR="00797B38" w:rsidRDefault="00797B38" w:rsidP="00797B38">
      <w:r>
        <w:t xml:space="preserve">‘This now therefore </w:t>
      </w:r>
      <w:proofErr w:type="gramStart"/>
      <w:r>
        <w:t>the their</w:t>
      </w:r>
      <w:proofErr w:type="gramEnd"/>
      <w:r>
        <w:t xml:space="preserve"> griddles, </w:t>
      </w:r>
    </w:p>
    <w:p w14:paraId="69DC2C54" w14:textId="397C9ED3" w:rsidR="00797B38" w:rsidRDefault="00797B38" w:rsidP="00797B38">
      <w:r>
        <w:t>Their pots, spoke again to them</w:t>
      </w:r>
    </w:p>
    <w:p w14:paraId="0D9AC648" w14:textId="77777777" w:rsidR="00797B38" w:rsidRDefault="00797B38" w:rsidP="00797B38">
      <w:r>
        <w:t xml:space="preserve">… </w:t>
      </w:r>
    </w:p>
    <w:p w14:paraId="0272D592" w14:textId="4108E735" w:rsidR="00797B38" w:rsidRDefault="00797B38" w:rsidP="00797B38">
      <w:r>
        <w:t xml:space="preserve">Not pain we felt, you shall try </w:t>
      </w:r>
      <w:proofErr w:type="gramStart"/>
      <w:r>
        <w:t>it</w:t>
      </w:r>
      <w:proofErr w:type="gramEnd"/>
      <w:r>
        <w:t xml:space="preserve"> therefore. </w:t>
      </w:r>
    </w:p>
    <w:p w14:paraId="273A981D" w14:textId="5E234343" w:rsidR="00187823" w:rsidRDefault="00797B38" w:rsidP="00797B38">
      <w:r>
        <w:t xml:space="preserve">We shall burn you,” said </w:t>
      </w:r>
      <w:proofErr w:type="gramStart"/>
      <w:r>
        <w:t>the their</w:t>
      </w:r>
      <w:proofErr w:type="gramEnd"/>
      <w:r>
        <w:t xml:space="preserve"> pots.’</w:t>
      </w:r>
      <w:r>
        <w:rPr>
          <w:rStyle w:val="FootnoteReference"/>
        </w:rPr>
        <w:footnoteReference w:id="41"/>
      </w:r>
    </w:p>
    <w:p w14:paraId="09D857E1" w14:textId="5C54294D" w:rsidR="0027765C" w:rsidRDefault="0027765C" w:rsidP="00797B38">
      <w:r>
        <w:t xml:space="preserve">Only the perfect human, who is capable of speech, thought, remembrance and therefore reverence and worship of the gods can exist. </w:t>
      </w:r>
      <w:r w:rsidR="00411E54">
        <w:t xml:space="preserve">The </w:t>
      </w:r>
      <w:r w:rsidR="008A4274">
        <w:t>purpose of the creations of the gods is also made clear:</w:t>
      </w:r>
    </w:p>
    <w:p w14:paraId="1509AE1F" w14:textId="18D1F08C" w:rsidR="00291036" w:rsidRDefault="00291036" w:rsidP="00291036">
      <w:r>
        <w:t>‘</w:t>
      </w:r>
      <w:proofErr w:type="spellStart"/>
      <w:r>
        <w:t>Its</w:t>
      </w:r>
      <w:proofErr w:type="spellEnd"/>
      <w:r>
        <w:t xml:space="preserve"> making </w:t>
      </w:r>
    </w:p>
    <w:p w14:paraId="2F6988BF" w14:textId="16AF675B" w:rsidR="00291036" w:rsidRDefault="00291036" w:rsidP="00291036">
      <w:proofErr w:type="spellStart"/>
      <w:r>
        <w:t>Honorer</w:t>
      </w:r>
      <w:proofErr w:type="spellEnd"/>
      <w:r>
        <w:t xml:space="preserve">, </w:t>
      </w:r>
    </w:p>
    <w:p w14:paraId="7EAFC4AD" w14:textId="621CCC8C" w:rsidR="00291036" w:rsidRDefault="00291036" w:rsidP="00291036">
      <w:r>
        <w:t xml:space="preserve">Respecter, </w:t>
      </w:r>
    </w:p>
    <w:p w14:paraId="38191104" w14:textId="05E0036F" w:rsidR="00291036" w:rsidRDefault="00291036" w:rsidP="00291036">
      <w:r>
        <w:lastRenderedPageBreak/>
        <w:t xml:space="preserve">Provider, </w:t>
      </w:r>
    </w:p>
    <w:p w14:paraId="23C15C12" w14:textId="135E6AA3" w:rsidR="008A4274" w:rsidRDefault="00291036" w:rsidP="00291036">
      <w:proofErr w:type="spellStart"/>
      <w:r>
        <w:t>Sustainer</w:t>
      </w:r>
      <w:proofErr w:type="spellEnd"/>
      <w:r>
        <w:t>’</w:t>
      </w:r>
      <w:r>
        <w:rPr>
          <w:rStyle w:val="FootnoteReference"/>
        </w:rPr>
        <w:footnoteReference w:id="42"/>
      </w:r>
      <w:r w:rsidR="00E25DC9">
        <w:t>.</w:t>
      </w:r>
    </w:p>
    <w:p w14:paraId="282DAEAE" w14:textId="04AF5E9A" w:rsidR="00E25DC9" w:rsidRDefault="00E25DC9" w:rsidP="00291036">
      <w:r>
        <w:t xml:space="preserve">If </w:t>
      </w:r>
      <w:r w:rsidR="00D94584">
        <w:t xml:space="preserve">perceptions of the cosmos are indeed culturally conditioned, </w:t>
      </w:r>
      <w:r w:rsidR="005F22BB">
        <w:t xml:space="preserve">K’iche Maya culture should reflect perfection, and make clear use of people’s ability to remember the gods and verbally worship them. </w:t>
      </w:r>
      <w:r w:rsidR="00E448ED">
        <w:t>As Eagleton wrote ‘</w:t>
      </w:r>
      <w:r w:rsidR="00E448ED" w:rsidRPr="00E448ED">
        <w:t>The very need for culture suggests that there is something lacking in nature</w:t>
      </w:r>
      <w:r w:rsidR="00E448ED">
        <w:t>’</w:t>
      </w:r>
      <w:r w:rsidR="00E448ED">
        <w:rPr>
          <w:rStyle w:val="FootnoteReference"/>
        </w:rPr>
        <w:footnoteReference w:id="43"/>
      </w:r>
      <w:r w:rsidR="00912634">
        <w:t>, and if cosmology gives people the ability to situate themselves within the universe</w:t>
      </w:r>
      <w:r w:rsidR="00B733E9">
        <w:t xml:space="preserve">, </w:t>
      </w:r>
      <w:r w:rsidR="00500443">
        <w:t xml:space="preserve">a culture needs an explanation of how and why to survive </w:t>
      </w:r>
      <w:r w:rsidR="00977D70">
        <w:t>to</w:t>
      </w:r>
      <w:r w:rsidR="00500443">
        <w:t xml:space="preserve"> exist</w:t>
      </w:r>
      <w:r w:rsidR="00D5044A">
        <w:t xml:space="preserve">. The order in the Popul Vuh, of the perfect man above non-speaking animal, and the destruction </w:t>
      </w:r>
      <w:r w:rsidR="007B0B62">
        <w:t xml:space="preserve">of the imperfectly speaking man </w:t>
      </w:r>
      <w:r w:rsidR="00087717">
        <w:t>shows</w:t>
      </w:r>
      <w:r w:rsidR="00C01537">
        <w:t xml:space="preserve"> that a ‘</w:t>
      </w:r>
      <w:r w:rsidR="00C01537" w:rsidRPr="00C01537">
        <w:t>gradual emergence of order, of something from nothing</w:t>
      </w:r>
      <w:r w:rsidR="00C01537">
        <w:t>’</w:t>
      </w:r>
      <w:r w:rsidR="00C01537">
        <w:rPr>
          <w:rStyle w:val="FootnoteReference"/>
        </w:rPr>
        <w:footnoteReference w:id="44"/>
      </w:r>
      <w:r w:rsidR="00C01537">
        <w:t xml:space="preserve"> </w:t>
      </w:r>
      <w:r w:rsidR="00154CBC">
        <w:t>must</w:t>
      </w:r>
      <w:r w:rsidR="00C01537">
        <w:t xml:space="preserve"> be maintained, lest it be destroyed. </w:t>
      </w:r>
      <w:r w:rsidR="00EA327B">
        <w:t>Allen J. Christenson noted that ‘</w:t>
      </w:r>
      <w:r w:rsidR="00956313">
        <w:t>This speech was not in the nature of praise, but rather regenerative acts that would sustain the world and the very gods that created it.’</w:t>
      </w:r>
      <w:r w:rsidR="00956313">
        <w:rPr>
          <w:rStyle w:val="FootnoteReference"/>
        </w:rPr>
        <w:footnoteReference w:id="45"/>
      </w:r>
      <w:r w:rsidR="006228A7">
        <w:t xml:space="preserve"> </w:t>
      </w:r>
    </w:p>
    <w:p w14:paraId="730DC77B" w14:textId="5147249C" w:rsidR="004807FA" w:rsidRDefault="00365635" w:rsidP="007F0FEF">
      <w:r>
        <w:t xml:space="preserve">A similar occurrence and reference to maize appears in the ‘Creation of the World’ in the Book of Balam. </w:t>
      </w:r>
      <w:r w:rsidR="00946A81">
        <w:t>It recounted:</w:t>
      </w:r>
      <w:r w:rsidR="00A72EDF">
        <w:t xml:space="preserve"> </w:t>
      </w:r>
      <w:r w:rsidR="00946A81">
        <w:t xml:space="preserve">‘It was &lt;Katun&gt; 11 Ahau when the Ah </w:t>
      </w:r>
      <w:proofErr w:type="spellStart"/>
      <w:r w:rsidR="00946A81">
        <w:t>Mecencab</w:t>
      </w:r>
      <w:proofErr w:type="spellEnd"/>
      <w:r w:rsidR="00946A81">
        <w:t xml:space="preserve"> came forth to blindfold the faces of the </w:t>
      </w:r>
      <w:proofErr w:type="spellStart"/>
      <w:r w:rsidR="00946A81">
        <w:t>Oxlahum-ti-ku</w:t>
      </w:r>
      <w:proofErr w:type="spellEnd"/>
      <w:r w:rsidR="00946A81">
        <w:t xml:space="preserve"> … </w:t>
      </w:r>
      <w:r w:rsidR="00360442">
        <w:t>he was despoiled of his insignia and his smut</w:t>
      </w:r>
      <w:r w:rsidR="00D52C3A">
        <w:t xml:space="preserve">… Then a mass of maize-dough with the tops of corn-cobs remained here on earth. Then its heart departed because of </w:t>
      </w:r>
      <w:proofErr w:type="spellStart"/>
      <w:r w:rsidR="00D52C3A">
        <w:t>Oxlahun-ti-ku</w:t>
      </w:r>
      <w:proofErr w:type="spellEnd"/>
      <w:r w:rsidR="00D52C3A">
        <w:t xml:space="preserve">, </w:t>
      </w:r>
      <w:r w:rsidR="004E7C46">
        <w:t>… After that the fatherless ones, the miserable ones, and those without husbands were all pierced through; they were alive though they had no hearts.’</w:t>
      </w:r>
      <w:r w:rsidR="004E7C46">
        <w:rPr>
          <w:rStyle w:val="FootnoteReference"/>
        </w:rPr>
        <w:footnoteReference w:id="46"/>
      </w:r>
      <w:r w:rsidR="00A72EDF">
        <w:t xml:space="preserve"> </w:t>
      </w:r>
      <w:r w:rsidR="004807FA">
        <w:t xml:space="preserve">Ah </w:t>
      </w:r>
      <w:proofErr w:type="spellStart"/>
      <w:r w:rsidR="004807FA">
        <w:t>Mecencab</w:t>
      </w:r>
      <w:proofErr w:type="spellEnd"/>
      <w:r w:rsidR="004807FA">
        <w:t xml:space="preserve">, the </w:t>
      </w:r>
      <w:r w:rsidR="00A21352">
        <w:t>bee deity</w:t>
      </w:r>
      <w:r w:rsidR="00A21352">
        <w:rPr>
          <w:rStyle w:val="FootnoteReference"/>
        </w:rPr>
        <w:footnoteReference w:id="47"/>
      </w:r>
      <w:r w:rsidR="00A21352">
        <w:t xml:space="preserve">, </w:t>
      </w:r>
      <w:r w:rsidR="001545DB">
        <w:t>whilst destroying the world, also ensures</w:t>
      </w:r>
      <w:r w:rsidR="00C80160">
        <w:t xml:space="preserve"> creation</w:t>
      </w:r>
      <w:r w:rsidR="001545DB">
        <w:t xml:space="preserve"> will follow. Timothy Knowlton wrote </w:t>
      </w:r>
      <w:r w:rsidR="00D922FF">
        <w:t xml:space="preserve">‘By </w:t>
      </w:r>
      <w:r w:rsidR="00AA798A">
        <w:t>invoking</w:t>
      </w:r>
      <w:r w:rsidR="00D922FF">
        <w:t xml:space="preserve"> the emergence of Ah </w:t>
      </w:r>
      <w:proofErr w:type="spellStart"/>
      <w:r w:rsidR="00D922FF">
        <w:t>Musen</w:t>
      </w:r>
      <w:proofErr w:type="spellEnd"/>
      <w:r w:rsidR="00D922FF">
        <w:t xml:space="preserve"> Cab, the myth-teller anticipates the pollination of the world … that will succeed the devastation about to be related.’</w:t>
      </w:r>
      <w:r w:rsidR="00D922FF">
        <w:rPr>
          <w:rStyle w:val="FootnoteReference"/>
        </w:rPr>
        <w:footnoteReference w:id="48"/>
      </w:r>
      <w:r w:rsidR="00627C58">
        <w:t xml:space="preserve"> </w:t>
      </w:r>
      <w:r w:rsidR="007F0FEF">
        <w:t>Once again, the people without hearts are destroyed; ‘The absence of “hearts” in these first peoples is coupled in the text with the lack of recognition of class divisions and marriage partners, an “unnatural” state resulting in their extermination by “natural” catastrophe.’</w:t>
      </w:r>
      <w:r w:rsidR="007F0FEF">
        <w:rPr>
          <w:rStyle w:val="FootnoteReference"/>
        </w:rPr>
        <w:footnoteReference w:id="49"/>
      </w:r>
      <w:r w:rsidR="00A72EDF">
        <w:t xml:space="preserve"> </w:t>
      </w:r>
      <w:r w:rsidR="00622E36">
        <w:t>Order</w:t>
      </w:r>
      <w:r w:rsidR="00C13335">
        <w:t xml:space="preserve"> has been disrupted</w:t>
      </w:r>
      <w:r w:rsidR="00622E36">
        <w:t>.</w:t>
      </w:r>
      <w:r w:rsidR="00C13335">
        <w:t xml:space="preserve"> </w:t>
      </w:r>
      <w:r w:rsidR="00A2237B">
        <w:t>This idea of the natural and unnatural is reflected in Eagleton’s analysis of culture</w:t>
      </w:r>
      <w:r w:rsidR="00622E36">
        <w:t>;</w:t>
      </w:r>
      <w:r w:rsidR="00A2237B">
        <w:t xml:space="preserve"> </w:t>
      </w:r>
      <w:r w:rsidR="00C80160">
        <w:t>‘</w:t>
      </w:r>
      <w:r w:rsidR="006F7BBF" w:rsidRPr="006F7BBF">
        <w:t>If culture transfigures nature, it is a project to which nature sets rigorous limits.</w:t>
      </w:r>
      <w:r w:rsidR="00622E36">
        <w:t>’</w:t>
      </w:r>
      <w:r w:rsidR="00622E36">
        <w:rPr>
          <w:rStyle w:val="FootnoteReference"/>
        </w:rPr>
        <w:footnoteReference w:id="50"/>
      </w:r>
      <w:r w:rsidR="0040589C">
        <w:t xml:space="preserve"> The limit in </w:t>
      </w:r>
      <w:r w:rsidR="00DB6064">
        <w:t xml:space="preserve">both myths is the heart, as man can no longer fulfil his purpose of veneration and sustaining the </w:t>
      </w:r>
      <w:r w:rsidR="00C2293E">
        <w:t>gods and</w:t>
      </w:r>
      <w:r w:rsidR="00DB6064">
        <w:t xml:space="preserve"> is thus destroyed. </w:t>
      </w:r>
      <w:r w:rsidR="0040589C">
        <w:t xml:space="preserve"> </w:t>
      </w:r>
    </w:p>
    <w:p w14:paraId="20B5672D" w14:textId="2C2148D5" w:rsidR="00B46C82" w:rsidRDefault="00B46C82" w:rsidP="00291036">
      <w:pPr>
        <w:rPr>
          <w:b/>
          <w:bCs/>
        </w:rPr>
      </w:pPr>
      <w:r>
        <w:rPr>
          <w:b/>
          <w:bCs/>
        </w:rPr>
        <w:t>Culture, Cosmology and Architecture</w:t>
      </w:r>
    </w:p>
    <w:p w14:paraId="44CF6530" w14:textId="19C54FEA" w:rsidR="00F728E3" w:rsidRDefault="006D79B2" w:rsidP="00291036">
      <w:r>
        <w:t xml:space="preserve">Both the </w:t>
      </w:r>
      <w:proofErr w:type="spellStart"/>
      <w:r>
        <w:t>Pop</w:t>
      </w:r>
      <w:r w:rsidR="00F728E3">
        <w:t>o</w:t>
      </w:r>
      <w:r>
        <w:t>l</w:t>
      </w:r>
      <w:proofErr w:type="spellEnd"/>
      <w:r>
        <w:t xml:space="preserve"> Vuh and </w:t>
      </w:r>
      <w:r w:rsidR="00AA2D21">
        <w:t xml:space="preserve">the Creation of the World in the Book of </w:t>
      </w:r>
      <w:r w:rsidR="00CF7453">
        <w:t>Balam</w:t>
      </w:r>
      <w:r w:rsidR="00AA2D21">
        <w:t xml:space="preserve"> emphasise the ‘</w:t>
      </w:r>
      <w:proofErr w:type="spellStart"/>
      <w:r w:rsidR="00AA2D21">
        <w:t>fourness</w:t>
      </w:r>
      <w:proofErr w:type="spellEnd"/>
      <w:r w:rsidR="00AA2D21">
        <w:t xml:space="preserve">’ of the world. </w:t>
      </w:r>
      <w:r w:rsidR="00F728E3">
        <w:t xml:space="preserve">In the </w:t>
      </w:r>
      <w:proofErr w:type="spellStart"/>
      <w:r w:rsidR="00F728E3">
        <w:t>Popol</w:t>
      </w:r>
      <w:proofErr w:type="spellEnd"/>
      <w:r w:rsidR="00F728E3">
        <w:t xml:space="preserve"> Vuh</w:t>
      </w:r>
    </w:p>
    <w:p w14:paraId="1C0CACAE" w14:textId="784F8E44" w:rsidR="002E25A4" w:rsidRDefault="00F728E3" w:rsidP="002E25A4">
      <w:r>
        <w:t>‘</w:t>
      </w:r>
      <w:r w:rsidR="002E25A4">
        <w:t xml:space="preserve">Four corners, </w:t>
      </w:r>
    </w:p>
    <w:p w14:paraId="2D495D10" w14:textId="5E239224" w:rsidR="002E25A4" w:rsidRDefault="002E25A4" w:rsidP="002E25A4">
      <w:r>
        <w:t xml:space="preserve">Four sides, as it is said, </w:t>
      </w:r>
    </w:p>
    <w:p w14:paraId="7283FE15" w14:textId="70B59224" w:rsidR="002E25A4" w:rsidRDefault="002E25A4" w:rsidP="002E25A4">
      <w:r>
        <w:t xml:space="preserve">By the Framer, </w:t>
      </w:r>
    </w:p>
    <w:p w14:paraId="2E092B57" w14:textId="26540761" w:rsidR="002E25A4" w:rsidRPr="006D79B2" w:rsidRDefault="002E25A4" w:rsidP="002E25A4">
      <w:r>
        <w:lastRenderedPageBreak/>
        <w:t>Shaper’</w:t>
      </w:r>
      <w:r>
        <w:rPr>
          <w:rStyle w:val="FootnoteReference"/>
        </w:rPr>
        <w:footnoteReference w:id="51"/>
      </w:r>
    </w:p>
    <w:p w14:paraId="2D54D9CA" w14:textId="00EC3687" w:rsidR="0028000A" w:rsidRDefault="00F5583C" w:rsidP="00291036">
      <w:r>
        <w:t xml:space="preserve">In </w:t>
      </w:r>
      <w:r w:rsidR="00F5552C">
        <w:t>The</w:t>
      </w:r>
      <w:r w:rsidR="004266AE">
        <w:t xml:space="preserve"> Book of </w:t>
      </w:r>
      <w:proofErr w:type="spellStart"/>
      <w:r w:rsidR="004266AE">
        <w:t>Chilam</w:t>
      </w:r>
      <w:proofErr w:type="spellEnd"/>
      <w:r w:rsidR="004266AE">
        <w:t>, the Creation of the World</w:t>
      </w:r>
      <w:r w:rsidR="00F5552C">
        <w:t xml:space="preserve"> it was</w:t>
      </w:r>
      <w:r w:rsidR="004266AE">
        <w:t xml:space="preserve"> stated:</w:t>
      </w:r>
    </w:p>
    <w:p w14:paraId="4578828B" w14:textId="45FC5CEF" w:rsidR="004266AE" w:rsidRPr="004266AE" w:rsidRDefault="00FF0BB8" w:rsidP="00291036">
      <w:r>
        <w:t>‘Then, after the destruction of the world was completed, they placed &lt;a tree&gt; to set up in its order the yellow cock Oriole. Then the white tree of abundance was set up… that was the white tree of abundance in the north… the black tree … &lt;in the west&gt; … Then the yellow tree &lt;in the south</w:t>
      </w:r>
      <w:r w:rsidR="008956A3">
        <w:t>&gt;, as a symbol for the destruction of the world… Then the green tree of abundance was set up in the centre &lt;of the world&gt; as a record of the destruction of the world.’</w:t>
      </w:r>
      <w:r w:rsidR="008956A3">
        <w:rPr>
          <w:rStyle w:val="FootnoteReference"/>
        </w:rPr>
        <w:footnoteReference w:id="52"/>
      </w:r>
    </w:p>
    <w:p w14:paraId="53F9F050" w14:textId="1BED71DF" w:rsidR="00464B69" w:rsidRDefault="00583AE2" w:rsidP="00681F27">
      <w:r>
        <w:t>Mircea Eliade wrote ‘The sacred reveals absolute reality and at the same time makes orientation possible; hence it founds the world in the sense that it fixes the limits and establishes the order of the world.’</w:t>
      </w:r>
      <w:r>
        <w:rPr>
          <w:rStyle w:val="FootnoteReference"/>
        </w:rPr>
        <w:footnoteReference w:id="53"/>
      </w:r>
      <w:r w:rsidR="00406020">
        <w:t xml:space="preserve"> If perceptions of the cosmos are indeed </w:t>
      </w:r>
      <w:r w:rsidR="003E7AFC">
        <w:t xml:space="preserve">formed culturally, perfection and </w:t>
      </w:r>
      <w:proofErr w:type="spellStart"/>
      <w:r w:rsidR="003E7AFC">
        <w:t>fourness</w:t>
      </w:r>
      <w:proofErr w:type="spellEnd"/>
      <w:r w:rsidR="003E7AFC">
        <w:t xml:space="preserve"> must be seen in Maya civilisation as a mode of </w:t>
      </w:r>
      <w:r w:rsidR="00F63032">
        <w:t>creating order</w:t>
      </w:r>
      <w:r w:rsidR="001F7A34">
        <w:t>. Eagleton noted that ‘</w:t>
      </w:r>
      <w:r w:rsidR="001F7A34" w:rsidRPr="001F7A34">
        <w:t>cultures are built out of that ceaseless traffic with nature which we call labour. Cities are raised out of san</w:t>
      </w:r>
      <w:r w:rsidR="001F7A34">
        <w:t xml:space="preserve">d </w:t>
      </w:r>
      <w:r w:rsidR="001F7A34" w:rsidRPr="001F7A34">
        <w:t>… quite as natural as rural idylls are cultural – one cannot exist without the other, dependant on the constant refashioning of nature to propel forward.</w:t>
      </w:r>
      <w:r w:rsidR="001F7A34">
        <w:t>’</w:t>
      </w:r>
      <w:r w:rsidR="001F7A34">
        <w:rPr>
          <w:rStyle w:val="FootnoteReference"/>
        </w:rPr>
        <w:footnoteReference w:id="54"/>
      </w:r>
      <w:r w:rsidR="0012140F">
        <w:t xml:space="preserve"> </w:t>
      </w:r>
      <w:proofErr w:type="spellStart"/>
      <w:r w:rsidR="00226C5A">
        <w:t>Fourness</w:t>
      </w:r>
      <w:proofErr w:type="spellEnd"/>
      <w:r w:rsidR="00226C5A">
        <w:t>, for the Maya, was ‘written into the fabric of existence’</w:t>
      </w:r>
      <w:r w:rsidR="00226C5A">
        <w:rPr>
          <w:rStyle w:val="FootnoteReference"/>
        </w:rPr>
        <w:footnoteReference w:id="55"/>
      </w:r>
      <w:r w:rsidR="003801B8">
        <w:t xml:space="preserve"> and to ‘</w:t>
      </w:r>
      <w:r w:rsidR="00304F8E">
        <w:t xml:space="preserve">organize a space </w:t>
      </w:r>
      <w:r w:rsidR="003801B8" w:rsidRPr="003801B8">
        <w:t>is to repeat the paradigmatic work of the gods</w:t>
      </w:r>
      <w:r w:rsidR="003801B8">
        <w:t>’</w:t>
      </w:r>
      <w:r w:rsidR="00304F8E">
        <w:rPr>
          <w:rStyle w:val="FootnoteReference"/>
        </w:rPr>
        <w:footnoteReference w:id="56"/>
      </w:r>
      <w:r w:rsidR="00520AE9">
        <w:t xml:space="preserve">, inhabiting a space </w:t>
      </w:r>
      <w:r w:rsidR="00AE2016">
        <w:t xml:space="preserve">then became inherently cultural </w:t>
      </w:r>
      <w:r w:rsidR="00AE2016">
        <w:rPr>
          <w:i/>
          <w:iCs/>
        </w:rPr>
        <w:t xml:space="preserve">and </w:t>
      </w:r>
      <w:r w:rsidR="00AE2016">
        <w:t xml:space="preserve">cosmological. </w:t>
      </w:r>
      <w:r w:rsidR="00616CB6">
        <w:t xml:space="preserve">To divorce </w:t>
      </w:r>
      <w:r w:rsidR="00A10642">
        <w:t xml:space="preserve">conceptions of cosmology from culture would do a disservice to understanding the multifaceted role of architecture and city planning in ancient Maya civilisations. </w:t>
      </w:r>
      <w:r w:rsidR="000D21B5">
        <w:t xml:space="preserve">Ivan </w:t>
      </w:r>
      <w:proofErr w:type="spellStart"/>
      <w:r w:rsidR="000D21B5">
        <w:t>Sprajc</w:t>
      </w:r>
      <w:proofErr w:type="spellEnd"/>
      <w:r w:rsidR="000D21B5">
        <w:t xml:space="preserve"> wrote that ‘</w:t>
      </w:r>
      <w:r w:rsidR="00453896" w:rsidRPr="00453896">
        <w:t>astronomical knowledge was intermingled with a wide range of concepts pertaining to religion and world view</w:t>
      </w:r>
      <w:r w:rsidR="00453896">
        <w:t>’</w:t>
      </w:r>
      <w:r w:rsidR="00453896">
        <w:rPr>
          <w:rStyle w:val="FootnoteReference"/>
        </w:rPr>
        <w:footnoteReference w:id="57"/>
      </w:r>
      <w:r w:rsidR="00CB60E3">
        <w:t>.</w:t>
      </w:r>
      <w:r w:rsidR="00881A71">
        <w:t xml:space="preserve"> The</w:t>
      </w:r>
      <w:r w:rsidR="00CB60E3">
        <w:t xml:space="preserve"> </w:t>
      </w:r>
      <w:r w:rsidR="00892430">
        <w:t>Maya</w:t>
      </w:r>
      <w:r w:rsidR="00881A71">
        <w:t xml:space="preserve"> people</w:t>
      </w:r>
      <w:r w:rsidR="00892430">
        <w:t xml:space="preserve"> saw the cosmos as a </w:t>
      </w:r>
      <w:r w:rsidR="00EB18B7">
        <w:t>‘cosmic ticking clock’</w:t>
      </w:r>
      <w:r w:rsidR="00EB18B7">
        <w:rPr>
          <w:rStyle w:val="FootnoteReference"/>
        </w:rPr>
        <w:footnoteReference w:id="58"/>
      </w:r>
      <w:r w:rsidR="00881A71">
        <w:t xml:space="preserve">, </w:t>
      </w:r>
      <w:r w:rsidR="00442C74">
        <w:t xml:space="preserve"> thus ‘proper timekeeping was essential not only to tracking astronomical and seasonal phenomena but to the very success of all those human activities, episodic or quotidian, necessary for subsistence, material production, and social reproduction.’</w:t>
      </w:r>
      <w:r w:rsidR="00442C74">
        <w:rPr>
          <w:rStyle w:val="FootnoteReference"/>
        </w:rPr>
        <w:footnoteReference w:id="59"/>
      </w:r>
      <w:r w:rsidR="00D3105B">
        <w:t xml:space="preserve"> </w:t>
      </w:r>
      <w:r w:rsidR="008619CE">
        <w:t xml:space="preserve">Furthermore, </w:t>
      </w:r>
      <w:r w:rsidR="00B45E6B">
        <w:t>‘</w:t>
      </w:r>
      <w:r w:rsidR="003218AE" w:rsidRPr="003218AE">
        <w:t>the apparently immutable and perfect order observed in the sky</w:t>
      </w:r>
      <w:r w:rsidR="00B45E6B">
        <w:t>…</w:t>
      </w:r>
      <w:r w:rsidR="003218AE" w:rsidRPr="003218AE">
        <w:t xml:space="preserve"> whose cyclic </w:t>
      </w:r>
      <w:r w:rsidR="008619CE" w:rsidRPr="003218AE">
        <w:t>behaviour</w:t>
      </w:r>
      <w:r w:rsidR="003218AE" w:rsidRPr="003218AE">
        <w:t xml:space="preserve"> thus was not viewed as being simply correlated with seasonal transformations in natural environment but rather as provoking them.</w:t>
      </w:r>
      <w:r w:rsidR="00B45E6B">
        <w:t>’</w:t>
      </w:r>
      <w:r w:rsidR="00B45E6B">
        <w:rPr>
          <w:rStyle w:val="FootnoteReference"/>
        </w:rPr>
        <w:footnoteReference w:id="60"/>
      </w:r>
      <w:r w:rsidR="008619CE">
        <w:t xml:space="preserve"> </w:t>
      </w:r>
      <w:r w:rsidR="00EB1F6D">
        <w:t>If culture originally meant tending to something, then cosmology must, for</w:t>
      </w:r>
      <w:r w:rsidR="00BC3A76">
        <w:t xml:space="preserve"> a civilisation based around specific agriculture such as the Maya around maize, be cultural. </w:t>
      </w:r>
      <w:r w:rsidR="009C7871">
        <w:t xml:space="preserve">Observing a perfect cosmos and replicating it on earth through agriculture and architecture fulfilled part of the Mayan’s </w:t>
      </w:r>
      <w:r w:rsidR="00227A74">
        <w:t xml:space="preserve">obligation to the gods, therefore ensuring the survival of their culture. </w:t>
      </w:r>
      <w:r w:rsidR="00C44203">
        <w:t>Furthermore, Kristin Landau wrote that ‘</w:t>
      </w:r>
      <w:r w:rsidR="00681F27">
        <w:t>Because</w:t>
      </w:r>
      <w:r w:rsidR="00681F27">
        <w:t xml:space="preserve"> </w:t>
      </w:r>
      <w:r w:rsidR="00681F27">
        <w:t>we shape and are shaped by landscapes, consideration of spatial relationships should help</w:t>
      </w:r>
      <w:r w:rsidR="00681F27">
        <w:t xml:space="preserve"> </w:t>
      </w:r>
      <w:r w:rsidR="00681F27">
        <w:t>us evaluate and refine our conceptions of social relations.</w:t>
      </w:r>
      <w:r w:rsidR="00681F27">
        <w:t>’</w:t>
      </w:r>
      <w:r w:rsidR="00681F27">
        <w:rPr>
          <w:rStyle w:val="FootnoteReference"/>
        </w:rPr>
        <w:footnoteReference w:id="61"/>
      </w:r>
      <w:r w:rsidR="00A06C33">
        <w:t xml:space="preserve"> Culture, then, is a process of interaction much in the way the </w:t>
      </w:r>
      <w:r w:rsidR="001D63C5">
        <w:t>man</w:t>
      </w:r>
      <w:r w:rsidR="00A06C33">
        <w:t xml:space="preserve"> in the </w:t>
      </w:r>
      <w:proofErr w:type="spellStart"/>
      <w:r w:rsidR="00A06C33">
        <w:t>Popol</w:t>
      </w:r>
      <w:proofErr w:type="spellEnd"/>
      <w:r w:rsidR="00A06C33">
        <w:t xml:space="preserve"> Vuh </w:t>
      </w:r>
      <w:r w:rsidR="001D63C5">
        <w:t xml:space="preserve">was fashioned and refashioned until he was suitable for interaction with the </w:t>
      </w:r>
      <w:r w:rsidR="001D63C5">
        <w:lastRenderedPageBreak/>
        <w:t xml:space="preserve">gods. </w:t>
      </w:r>
      <w:r w:rsidR="003936DC">
        <w:t xml:space="preserve">Before continuing it must be noted that </w:t>
      </w:r>
      <w:r w:rsidR="005D17AC">
        <w:t>cosmology cannot account for all of Maya architecture, but it will be argued that cosmology is significant.</w:t>
      </w:r>
      <w:r w:rsidR="005D17AC">
        <w:rPr>
          <w:rStyle w:val="FootnoteReference"/>
        </w:rPr>
        <w:footnoteReference w:id="62"/>
      </w:r>
    </w:p>
    <w:p w14:paraId="0319C919" w14:textId="1607885E" w:rsidR="0036613C" w:rsidRDefault="0036613C" w:rsidP="00FB4480">
      <w:r>
        <w:t xml:space="preserve">Clemence Coggins </w:t>
      </w:r>
      <w:r w:rsidR="00331DD7">
        <w:t xml:space="preserve">emphasised that </w:t>
      </w:r>
      <w:r w:rsidR="00282CEC">
        <w:t>prior to settling, the North celestial pole star could have been of primary importance to travellers</w:t>
      </w:r>
      <w:r w:rsidR="00706460">
        <w:t xml:space="preserve"> but</w:t>
      </w:r>
      <w:r>
        <w:t xml:space="preserve"> </w:t>
      </w:r>
      <w:r w:rsidR="008603AD">
        <w:t>‘</w:t>
      </w:r>
      <w:r w:rsidR="00D17229">
        <w:t>Once settled, one of the earliest and</w:t>
      </w:r>
      <w:r w:rsidR="00D17229">
        <w:t xml:space="preserve"> </w:t>
      </w:r>
      <w:r w:rsidR="00D17229">
        <w:t>most consistent Mesoamerican traits was the quadripartition of the settlement</w:t>
      </w:r>
      <w:r w:rsidR="00D17229">
        <w:t xml:space="preserve"> </w:t>
      </w:r>
      <w:r w:rsidR="00D17229">
        <w:t>and its world</w:t>
      </w:r>
      <w:r w:rsidR="00D34CE1">
        <w:t xml:space="preserve">… </w:t>
      </w:r>
      <w:r w:rsidR="00D17229">
        <w:t>Up and down were the tip and the base of the central world pole or</w:t>
      </w:r>
      <w:r w:rsidR="00D17229">
        <w:t xml:space="preserve"> </w:t>
      </w:r>
      <w:r w:rsidR="00D17229">
        <w:t>axis, cross, or tree, so there were five directional points on the flat surface of the</w:t>
      </w:r>
      <w:r w:rsidR="00D17229">
        <w:t xml:space="preserve"> </w:t>
      </w:r>
      <w:r w:rsidR="00D17229">
        <w:t>earth.</w:t>
      </w:r>
      <w:r w:rsidR="00D17229">
        <w:t>’</w:t>
      </w:r>
      <w:r w:rsidR="00D17229">
        <w:rPr>
          <w:rStyle w:val="FootnoteReference"/>
        </w:rPr>
        <w:footnoteReference w:id="63"/>
      </w:r>
      <w:r w:rsidR="00181C0B">
        <w:t xml:space="preserve"> </w:t>
      </w:r>
      <w:r w:rsidR="00FF7019">
        <w:t xml:space="preserve">Coggins also noted fallacies in attempting to assign direction based on the European globe, </w:t>
      </w:r>
      <w:r w:rsidR="00B41FF1">
        <w:t xml:space="preserve">suggesting a different approach. </w:t>
      </w:r>
      <w:r w:rsidR="00467D0A">
        <w:t>East was the ‘honoured position, associated with the rising sun and birth’ and west ‘</w:t>
      </w:r>
      <w:r w:rsidR="00A12014">
        <w:t>of the setting sun and death’</w:t>
      </w:r>
      <w:r w:rsidR="00A12014">
        <w:rPr>
          <w:rStyle w:val="FootnoteReference"/>
        </w:rPr>
        <w:footnoteReference w:id="64"/>
      </w:r>
      <w:r w:rsidR="00A12014">
        <w:t>.</w:t>
      </w:r>
      <w:r w:rsidR="00697D1A">
        <w:t xml:space="preserve"> North and south </w:t>
      </w:r>
      <w:r w:rsidR="00EE0BFA">
        <w:t>were</w:t>
      </w:r>
      <w:r w:rsidR="002D1209">
        <w:t xml:space="preserve"> </w:t>
      </w:r>
      <w:proofErr w:type="gramStart"/>
      <w:r w:rsidR="002D1209">
        <w:t>‘ “</w:t>
      </w:r>
      <w:proofErr w:type="gramEnd"/>
      <w:r w:rsidR="002D1209">
        <w:t>moments between east and west</w:t>
      </w:r>
      <w:r w:rsidR="00FB0AEA">
        <w:t>” …</w:t>
      </w:r>
      <w:r w:rsidR="002359EF">
        <w:t xml:space="preserve"> need not always refer to above and below. They are simply</w:t>
      </w:r>
      <w:r w:rsidR="00FB0AEA">
        <w:t xml:space="preserve"> essential elements in a quadripartition</w:t>
      </w:r>
      <w:r w:rsidR="002359EF">
        <w:t>’</w:t>
      </w:r>
      <w:r w:rsidR="002359EF">
        <w:rPr>
          <w:rStyle w:val="FootnoteReference"/>
        </w:rPr>
        <w:footnoteReference w:id="65"/>
      </w:r>
      <w:r w:rsidR="002359EF">
        <w:t xml:space="preserve">. </w:t>
      </w:r>
      <w:r w:rsidR="00293F43">
        <w:t xml:space="preserve">The fundamental </w:t>
      </w:r>
      <w:proofErr w:type="spellStart"/>
      <w:r w:rsidR="00293F43">
        <w:t>fourness</w:t>
      </w:r>
      <w:proofErr w:type="spellEnd"/>
      <w:r w:rsidR="00293F43">
        <w:t xml:space="preserve"> does not change, however </w:t>
      </w:r>
      <w:r w:rsidR="00470D5E">
        <w:t xml:space="preserve">Wendy </w:t>
      </w:r>
      <w:r w:rsidR="00293F43">
        <w:t>Ashmore note</w:t>
      </w:r>
      <w:r w:rsidR="00470D5E">
        <w:t>d</w:t>
      </w:r>
      <w:r w:rsidR="00293F43">
        <w:t xml:space="preserve"> that </w:t>
      </w:r>
      <w:r w:rsidR="00FD214F">
        <w:t xml:space="preserve">orientation of Mayan civic architecture changed from ‘east-west in the </w:t>
      </w:r>
      <w:proofErr w:type="spellStart"/>
      <w:r w:rsidR="00FD214F">
        <w:t>Preclassic</w:t>
      </w:r>
      <w:proofErr w:type="spellEnd"/>
      <w:r w:rsidR="00FD214F">
        <w:t xml:space="preserve"> to north-south in Classic times… from orientation representing primary omnipotence of the sun … to one representing the increasing prominence of the king and dynasties’</w:t>
      </w:r>
      <w:r w:rsidR="00FD214F">
        <w:rPr>
          <w:rStyle w:val="FootnoteReference"/>
        </w:rPr>
        <w:footnoteReference w:id="66"/>
      </w:r>
      <w:r w:rsidR="00FD214F">
        <w:t>.</w:t>
      </w:r>
      <w:r w:rsidR="00ED58AF">
        <w:t xml:space="preserve"> As earthly power developed, a cultural development, so too did cosmological power develop. This suggests that cosmological perceptions are indeed cultural in some way, rather than holding in them an essential reality. </w:t>
      </w:r>
      <w:r w:rsidR="00572CAF">
        <w:t xml:space="preserve">In response to Ashmore’s work, Michael Smith argued that </w:t>
      </w:r>
      <w:r w:rsidR="00A77D7C">
        <w:t>‘</w:t>
      </w:r>
      <w:r w:rsidR="00A77D7C">
        <w:t>Mexica rulers drew on images and concepts of</w:t>
      </w:r>
      <w:r w:rsidR="00A77D7C">
        <w:t xml:space="preserve"> </w:t>
      </w:r>
      <w:r w:rsidR="00A77D7C">
        <w:t>the ancient Classic-period metropolis of Teotihuacan to reinforce their imperial legitimacy</w:t>
      </w:r>
      <w:r w:rsidR="0010627C">
        <w:t xml:space="preserve"> … irrespective to any cosmological notions of their own.</w:t>
      </w:r>
      <w:r w:rsidR="00A77D7C">
        <w:t>’</w:t>
      </w:r>
      <w:r w:rsidR="0010627C">
        <w:rPr>
          <w:rStyle w:val="FootnoteReference"/>
        </w:rPr>
        <w:footnoteReference w:id="67"/>
      </w:r>
      <w:r w:rsidR="009B5002">
        <w:t xml:space="preserve"> Smith posits that </w:t>
      </w:r>
      <w:r w:rsidR="00EC03E0">
        <w:t xml:space="preserve">the grid city of Teotihuacan could have been entirely </w:t>
      </w:r>
      <w:r w:rsidR="00F232D7">
        <w:t>random or</w:t>
      </w:r>
      <w:r w:rsidR="00EC03E0">
        <w:t xml:space="preserve"> considered ‘energetic efficiency’ above cosmology.</w:t>
      </w:r>
      <w:r w:rsidR="00EC03E0">
        <w:rPr>
          <w:rStyle w:val="FootnoteReference"/>
        </w:rPr>
        <w:footnoteReference w:id="68"/>
      </w:r>
      <w:r w:rsidR="00830854">
        <w:t xml:space="preserve"> R</w:t>
      </w:r>
      <w:r w:rsidR="002E2538">
        <w:t>elevan</w:t>
      </w:r>
      <w:r w:rsidR="00830854">
        <w:t xml:space="preserve">t </w:t>
      </w:r>
      <w:r w:rsidR="002E2538">
        <w:t xml:space="preserve">to this essay is whether cosmologic patterns in cities </w:t>
      </w:r>
      <w:r w:rsidR="00E125E9">
        <w:t>developed culturally or remained the same, suggesting some essential reality as opposed to cultural conditioning</w:t>
      </w:r>
      <w:r w:rsidR="00E9385C">
        <w:t>, and incorporating Smith whether cosmology was not cultural at all and had no bearing on cultural development</w:t>
      </w:r>
      <w:r w:rsidR="00AD7A13">
        <w:t xml:space="preserve"> such as that of cities and kingly power. </w:t>
      </w:r>
      <w:r w:rsidR="00152352">
        <w:t xml:space="preserve">Whether oriented to </w:t>
      </w:r>
      <w:r w:rsidR="004D6152">
        <w:t>emphasise the power of sun or king,</w:t>
      </w:r>
      <w:r w:rsidR="005C668C">
        <w:t xml:space="preserve"> orientation of architecture reflected and diffused </w:t>
      </w:r>
      <w:r w:rsidR="00A2577F">
        <w:t xml:space="preserve">order </w:t>
      </w:r>
      <w:r w:rsidR="005C668C">
        <w:t xml:space="preserve">in some manner. </w:t>
      </w:r>
      <w:r w:rsidR="007B5E3E">
        <w:t xml:space="preserve">The order of earthly life had to reflect that of the cosmos, </w:t>
      </w:r>
      <w:r w:rsidR="006416A9">
        <w:t>‘pr</w:t>
      </w:r>
      <w:r w:rsidR="006416A9">
        <w:t>oviding a medium for the harmonization of a potentially disordered society with the permanently ordered</w:t>
      </w:r>
      <w:r w:rsidR="006416A9">
        <w:t xml:space="preserve"> </w:t>
      </w:r>
      <w:r w:rsidR="006416A9">
        <w:t>patterns of the cosmos</w:t>
      </w:r>
      <w:r w:rsidR="00EA4EDD">
        <w:t>.</w:t>
      </w:r>
      <w:r w:rsidR="006416A9">
        <w:t>’</w:t>
      </w:r>
      <w:r w:rsidR="006416A9">
        <w:rPr>
          <w:rStyle w:val="FootnoteReference"/>
        </w:rPr>
        <w:footnoteReference w:id="69"/>
      </w:r>
      <w:r w:rsidR="00EA4EDD">
        <w:t xml:space="preserve"> Campion commented on Teotihuacan, </w:t>
      </w:r>
      <w:r w:rsidR="00A45288">
        <w:t>‘a powerful and sacred city’</w:t>
      </w:r>
      <w:r w:rsidR="00A45288">
        <w:rPr>
          <w:rStyle w:val="FootnoteReference"/>
        </w:rPr>
        <w:footnoteReference w:id="70"/>
      </w:r>
      <w:r w:rsidR="002C50C7">
        <w:t xml:space="preserve">, that contained within it the </w:t>
      </w:r>
      <w:r w:rsidR="00B8122A">
        <w:t>‘</w:t>
      </w:r>
      <w:r w:rsidR="00B8122A">
        <w:t xml:space="preserve">The Pyramid of the </w:t>
      </w:r>
      <w:r w:rsidR="00B8122A">
        <w:t xml:space="preserve"> </w:t>
      </w:r>
      <w:r w:rsidR="00B8122A">
        <w:t xml:space="preserve">Sun, for example, is aligned with sunrise on 11 February (start of agricultural season, clearing of the fields), sunset on 30 April (the onset of the rainy season </w:t>
      </w:r>
      <w:r w:rsidR="00B8122A">
        <w:t xml:space="preserve"> </w:t>
      </w:r>
      <w:r w:rsidR="00B8122A">
        <w:t>and the time for planting) and 13 August (the ripening of the first corn cobs), and sunrise on 29 October, the end of the rainy season.</w:t>
      </w:r>
      <w:r w:rsidR="00B8122A">
        <w:t>’</w:t>
      </w:r>
      <w:r w:rsidR="00B8122A">
        <w:rPr>
          <w:rStyle w:val="FootnoteReference"/>
        </w:rPr>
        <w:footnoteReference w:id="71"/>
      </w:r>
      <w:r w:rsidR="00B8122A">
        <w:t xml:space="preserve"> Culture of </w:t>
      </w:r>
      <w:r w:rsidR="00740B2E">
        <w:t xml:space="preserve">maize informed architecture to precisely track maize growth to </w:t>
      </w:r>
      <w:r w:rsidR="00740B2E">
        <w:lastRenderedPageBreak/>
        <w:t xml:space="preserve">ensure survival, </w:t>
      </w:r>
      <w:r w:rsidR="00434755">
        <w:t xml:space="preserve">the ‘formula of </w:t>
      </w:r>
      <w:r w:rsidR="00434755" w:rsidRPr="00434755">
        <w:t>star = god = rain = maize</w:t>
      </w:r>
      <w:r w:rsidR="00434755">
        <w:t>’</w:t>
      </w:r>
      <w:r w:rsidR="00434755">
        <w:rPr>
          <w:rStyle w:val="FootnoteReference"/>
        </w:rPr>
        <w:footnoteReference w:id="72"/>
      </w:r>
      <w:r w:rsidR="00FB4480">
        <w:t xml:space="preserve"> which was ‘</w:t>
      </w:r>
      <w:r w:rsidR="00FB4480">
        <w:t xml:space="preserve">designed to keep the </w:t>
      </w:r>
      <w:r w:rsidR="00FB4480" w:rsidRPr="00FB4480">
        <w:rPr>
          <w:i/>
          <w:iCs/>
        </w:rPr>
        <w:t>machina mundi</w:t>
      </w:r>
      <w:r w:rsidR="00FB4480">
        <w:t xml:space="preserve"> in operation</w:t>
      </w:r>
      <w:r w:rsidR="00FB4480">
        <w:t>.’</w:t>
      </w:r>
      <w:r w:rsidR="00FB4480">
        <w:rPr>
          <w:rStyle w:val="FootnoteReference"/>
        </w:rPr>
        <w:footnoteReference w:id="73"/>
      </w:r>
    </w:p>
    <w:p w14:paraId="6DEE4B53" w14:textId="18F636A6" w:rsidR="00A7659A" w:rsidRDefault="00FB4480" w:rsidP="00583AE2">
      <w:pPr>
        <w:rPr>
          <w:b/>
          <w:bCs/>
        </w:rPr>
      </w:pPr>
      <w:r>
        <w:rPr>
          <w:b/>
          <w:bCs/>
        </w:rPr>
        <w:t xml:space="preserve">Conclusions </w:t>
      </w:r>
    </w:p>
    <w:p w14:paraId="389B3BD2" w14:textId="52ED0F00" w:rsidR="00CF3150" w:rsidRPr="00CF3150" w:rsidRDefault="00CF3150" w:rsidP="00583AE2">
      <w:r>
        <w:t xml:space="preserve">To answer the question then, are perceptions of the cosmos culturally conditioned, </w:t>
      </w:r>
      <w:r w:rsidR="006B1947">
        <w:t xml:space="preserve">Maya cosmology and cultural life provides great insight into how perceptions of the cosmos </w:t>
      </w:r>
      <w:r w:rsidR="00426A81">
        <w:t>can be</w:t>
      </w:r>
      <w:r w:rsidR="006B1947">
        <w:t xml:space="preserve"> culturally conditioned. </w:t>
      </w:r>
      <w:r w:rsidR="00F034EF">
        <w:t xml:space="preserve">Cosmological creation myths of two Maya civilisations, the K’iche and the Yucatan Maya, demonstrates </w:t>
      </w:r>
      <w:r w:rsidR="00C44CB1">
        <w:t>the intellectual culture even during colonial times of the Maya people</w:t>
      </w:r>
      <w:r w:rsidR="00426A81">
        <w:t xml:space="preserve"> and the ability to </w:t>
      </w:r>
      <w:r w:rsidR="00C97594">
        <w:t>superimpose cosmological beliefs on a rapidly expanding colonial Christianit</w:t>
      </w:r>
      <w:r w:rsidR="00634A73">
        <w:t xml:space="preserve">y as seen in the </w:t>
      </w:r>
      <w:r w:rsidR="00634A73" w:rsidRPr="00634A73">
        <w:t>Popul Vuh lines 48-47</w:t>
      </w:r>
      <w:r w:rsidR="00D544AD">
        <w:t xml:space="preserve"> and the final paragraph of the Creation of The World in the Book of </w:t>
      </w:r>
      <w:proofErr w:type="spellStart"/>
      <w:r w:rsidR="00D544AD">
        <w:t>Bilam</w:t>
      </w:r>
      <w:proofErr w:type="spellEnd"/>
      <w:r w:rsidR="00C44CB1">
        <w:t xml:space="preserve">. </w:t>
      </w:r>
      <w:r w:rsidR="00B21CDA">
        <w:t xml:space="preserve">Arguably, the ‘bred in the bone’ nature of culture which Eagleton described, is survival and the cosmological functions of creation myth and architecture ensured this survival not only by appeasing the Mayan gods as is the purpose of man per the Popul Vuh, </w:t>
      </w:r>
      <w:r w:rsidR="00FC76DD">
        <w:t xml:space="preserve">but on a practical level </w:t>
      </w:r>
      <w:r w:rsidR="005C23EE">
        <w:t xml:space="preserve">survival was ensured through precise timekeeping, astronomy and stately diffusion of power through architecture. </w:t>
      </w:r>
      <w:r w:rsidR="000357C8">
        <w:t xml:space="preserve">To argue that perceptions of the cosmos are not culturally conditioned, would be to argue that an essential reality exists which ensures survival, rather than </w:t>
      </w:r>
      <w:r w:rsidR="003F50BD">
        <w:t xml:space="preserve">seeing the intellectual culture of the Maya </w:t>
      </w:r>
      <w:r w:rsidR="00F96CA7">
        <w:t xml:space="preserve">for a rigorous and extensive exercise that allowed Maya people and civilisations to understand their place in the universe, and move forward with that understanding. </w:t>
      </w:r>
      <w:r w:rsidR="00A35CC1">
        <w:t>To restate Ruggles, ‘</w:t>
      </w:r>
      <w:r w:rsidR="00A35CC1" w:rsidRPr="00A35CC1">
        <w:t>“observation is universal, perception and use are cultural”</w:t>
      </w:r>
      <w:r w:rsidR="00A35CC1">
        <w:t>’</w:t>
      </w:r>
      <w:r w:rsidR="00A35CC1">
        <w:rPr>
          <w:rStyle w:val="FootnoteReference"/>
        </w:rPr>
        <w:footnoteReference w:id="74"/>
      </w:r>
      <w:r w:rsidR="00A97C4A">
        <w:t xml:space="preserve">. </w:t>
      </w:r>
      <w:r w:rsidR="000F67E7">
        <w:t xml:space="preserve"> </w:t>
      </w:r>
    </w:p>
    <w:sectPr w:rsidR="00CF3150" w:rsidRPr="00CF315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B496F" w14:textId="77777777" w:rsidR="00CC6429" w:rsidRDefault="00CC6429" w:rsidP="00B74A1A">
      <w:pPr>
        <w:spacing w:after="0" w:line="240" w:lineRule="auto"/>
      </w:pPr>
      <w:r>
        <w:separator/>
      </w:r>
    </w:p>
  </w:endnote>
  <w:endnote w:type="continuationSeparator" w:id="0">
    <w:p w14:paraId="57A7F95B" w14:textId="77777777" w:rsidR="00CC6429" w:rsidRDefault="00CC6429" w:rsidP="00B74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219C9" w14:textId="77777777" w:rsidR="00CC6429" w:rsidRDefault="00CC6429" w:rsidP="00B74A1A">
      <w:pPr>
        <w:spacing w:after="0" w:line="240" w:lineRule="auto"/>
      </w:pPr>
      <w:r>
        <w:separator/>
      </w:r>
    </w:p>
  </w:footnote>
  <w:footnote w:type="continuationSeparator" w:id="0">
    <w:p w14:paraId="0C7052F3" w14:textId="77777777" w:rsidR="00CC6429" w:rsidRDefault="00CC6429" w:rsidP="00B74A1A">
      <w:pPr>
        <w:spacing w:after="0" w:line="240" w:lineRule="auto"/>
      </w:pPr>
      <w:r>
        <w:continuationSeparator/>
      </w:r>
    </w:p>
  </w:footnote>
  <w:footnote w:id="1">
    <w:p w14:paraId="1E647803" w14:textId="22ED581B" w:rsidR="00AC3B62" w:rsidRDefault="00AC3B62">
      <w:pPr>
        <w:pStyle w:val="FootnoteText"/>
      </w:pPr>
      <w:r>
        <w:rPr>
          <w:rStyle w:val="FootnoteReference"/>
        </w:rPr>
        <w:footnoteRef/>
      </w:r>
      <w:r>
        <w:t xml:space="preserve"> </w:t>
      </w:r>
      <w:r w:rsidR="00E93810" w:rsidRPr="001A3E89">
        <w:t>Timothy W Knowlton,</w:t>
      </w:r>
      <w:r w:rsidR="001A3E89" w:rsidRPr="00E93810">
        <w:rPr>
          <w:i/>
          <w:iCs/>
        </w:rPr>
        <w:t xml:space="preserve"> Maya Creation Myths Words </w:t>
      </w:r>
      <w:proofErr w:type="gramStart"/>
      <w:r w:rsidR="00E93810">
        <w:rPr>
          <w:i/>
          <w:iCs/>
        </w:rPr>
        <w:t>A</w:t>
      </w:r>
      <w:r w:rsidR="001A3E89" w:rsidRPr="00E93810">
        <w:rPr>
          <w:i/>
          <w:iCs/>
        </w:rPr>
        <w:t>nd</w:t>
      </w:r>
      <w:proofErr w:type="gramEnd"/>
      <w:r w:rsidR="001A3E89" w:rsidRPr="00E93810">
        <w:rPr>
          <w:i/>
          <w:iCs/>
        </w:rPr>
        <w:t xml:space="preserve"> Worlds </w:t>
      </w:r>
      <w:r w:rsidR="00E93810">
        <w:rPr>
          <w:i/>
          <w:iCs/>
        </w:rPr>
        <w:t>O</w:t>
      </w:r>
      <w:r w:rsidR="001A3E89" w:rsidRPr="00E93810">
        <w:rPr>
          <w:i/>
          <w:iCs/>
        </w:rPr>
        <w:t xml:space="preserve">f </w:t>
      </w:r>
      <w:r w:rsidR="00E93810">
        <w:rPr>
          <w:i/>
          <w:iCs/>
        </w:rPr>
        <w:t>T</w:t>
      </w:r>
      <w:r w:rsidR="001A3E89" w:rsidRPr="00E93810">
        <w:rPr>
          <w:i/>
          <w:iCs/>
        </w:rPr>
        <w:t>he Chilam Balam</w:t>
      </w:r>
      <w:r w:rsidR="001A3E89" w:rsidRPr="001A3E89">
        <w:t xml:space="preserve"> (Boulder, CO: University Press of Colorado, 2010)</w:t>
      </w:r>
      <w:r w:rsidR="001A3E89">
        <w:t xml:space="preserve">, p.1. </w:t>
      </w:r>
    </w:p>
  </w:footnote>
  <w:footnote w:id="2">
    <w:p w14:paraId="386DC607" w14:textId="77777777" w:rsidR="00425C84" w:rsidRPr="000933D3" w:rsidRDefault="00425C84" w:rsidP="00425C84">
      <w:pPr>
        <w:pStyle w:val="FootnoteText"/>
      </w:pPr>
      <w:r>
        <w:rPr>
          <w:rStyle w:val="FootnoteReference"/>
        </w:rPr>
        <w:footnoteRef/>
      </w:r>
      <w:r>
        <w:t xml:space="preserve"> Editors of Encyclopaedia Britannica, </w:t>
      </w:r>
      <w:r w:rsidRPr="000933D3">
        <w:rPr>
          <w:i/>
          <w:iCs/>
        </w:rPr>
        <w:t>Maya</w:t>
      </w:r>
      <w:r>
        <w:t>, 1988 &lt;</w:t>
      </w:r>
      <w:r w:rsidRPr="009C3314">
        <w:t xml:space="preserve"> </w:t>
      </w:r>
      <w:hyperlink r:id="rId1" w:history="1">
        <w:r w:rsidRPr="00E804DF">
          <w:rPr>
            <w:rStyle w:val="Hyperlink"/>
          </w:rPr>
          <w:t>https://www.britannica.com/topic/Maya-people</w:t>
        </w:r>
      </w:hyperlink>
      <w:r>
        <w:t>&gt; [accessed on 01/01/2022]</w:t>
      </w:r>
    </w:p>
  </w:footnote>
  <w:footnote w:id="3">
    <w:p w14:paraId="5A11EEBF" w14:textId="40E61397" w:rsidR="00960B8B" w:rsidRPr="00841E47" w:rsidRDefault="00960B8B">
      <w:pPr>
        <w:pStyle w:val="FootnoteText"/>
      </w:pPr>
      <w:r>
        <w:rPr>
          <w:rStyle w:val="FootnoteReference"/>
        </w:rPr>
        <w:footnoteRef/>
      </w:r>
      <w:r>
        <w:t xml:space="preserve"> Knowlton, </w:t>
      </w:r>
      <w:r w:rsidR="00841E47">
        <w:rPr>
          <w:i/>
          <w:iCs/>
        </w:rPr>
        <w:t>Maya Creation Myths</w:t>
      </w:r>
      <w:r w:rsidR="00841E47">
        <w:t>, p.2.</w:t>
      </w:r>
    </w:p>
  </w:footnote>
  <w:footnote w:id="4">
    <w:p w14:paraId="067CC537" w14:textId="2FEDFA3B" w:rsidR="004476E6" w:rsidRPr="005B63D3" w:rsidRDefault="004476E6">
      <w:pPr>
        <w:pStyle w:val="FootnoteText"/>
      </w:pPr>
      <w:r>
        <w:rPr>
          <w:rStyle w:val="FootnoteReference"/>
        </w:rPr>
        <w:footnoteRef/>
      </w:r>
      <w:r>
        <w:t xml:space="preserve"> Edward Burnett, Tylor, </w:t>
      </w:r>
      <w:r w:rsidR="005B63D3">
        <w:rPr>
          <w:i/>
          <w:iCs/>
        </w:rPr>
        <w:t xml:space="preserve">Primitive Culture, </w:t>
      </w:r>
      <w:r w:rsidR="00D97BFA">
        <w:t>2</w:t>
      </w:r>
      <w:r w:rsidR="00D97BFA" w:rsidRPr="00D97BFA">
        <w:rPr>
          <w:vertAlign w:val="superscript"/>
        </w:rPr>
        <w:t>nd</w:t>
      </w:r>
      <w:r w:rsidR="00D97BFA">
        <w:t xml:space="preserve"> Ed. </w:t>
      </w:r>
      <w:r w:rsidR="006645D7">
        <w:t>London</w:t>
      </w:r>
      <w:r w:rsidR="00D97BFA">
        <w:t>,</w:t>
      </w:r>
      <w:r w:rsidR="006645D7">
        <w:t xml:space="preserve"> (1920)</w:t>
      </w:r>
      <w:r w:rsidR="00D97BFA">
        <w:t xml:space="preserve">, </w:t>
      </w:r>
      <w:r w:rsidR="005B63D3">
        <w:t xml:space="preserve">p.3. </w:t>
      </w:r>
    </w:p>
  </w:footnote>
  <w:footnote w:id="5">
    <w:p w14:paraId="0F099051" w14:textId="01AC7D4D" w:rsidR="00B4365A" w:rsidRPr="00EB78A6" w:rsidRDefault="00B4365A">
      <w:pPr>
        <w:pStyle w:val="FootnoteText"/>
      </w:pPr>
      <w:r>
        <w:rPr>
          <w:rStyle w:val="FootnoteReference"/>
        </w:rPr>
        <w:footnoteRef/>
      </w:r>
      <w:r>
        <w:t xml:space="preserve"> Tylor, </w:t>
      </w:r>
      <w:r>
        <w:rPr>
          <w:i/>
          <w:iCs/>
        </w:rPr>
        <w:t xml:space="preserve">Primitive Culture, </w:t>
      </w:r>
      <w:r w:rsidR="00EB78A6">
        <w:t xml:space="preserve">p.5. </w:t>
      </w:r>
    </w:p>
  </w:footnote>
  <w:footnote w:id="6">
    <w:p w14:paraId="653B4CA6" w14:textId="2040A90D" w:rsidR="002A45EC" w:rsidRDefault="002A45EC">
      <w:pPr>
        <w:pStyle w:val="FootnoteText"/>
      </w:pPr>
      <w:r>
        <w:rPr>
          <w:rStyle w:val="FootnoteReference"/>
        </w:rPr>
        <w:footnoteRef/>
      </w:r>
      <w:r>
        <w:t xml:space="preserve"> Ibid. p.6. </w:t>
      </w:r>
    </w:p>
  </w:footnote>
  <w:footnote w:id="7">
    <w:p w14:paraId="463F5FFF" w14:textId="1E463EC1" w:rsidR="003A2808" w:rsidRDefault="003A2808">
      <w:pPr>
        <w:pStyle w:val="FootnoteText"/>
      </w:pPr>
      <w:r>
        <w:rPr>
          <w:rStyle w:val="FootnoteReference"/>
        </w:rPr>
        <w:footnoteRef/>
      </w:r>
      <w:r>
        <w:t xml:space="preserve"> Ibid. p.</w:t>
      </w:r>
      <w:r w:rsidR="00AD2FDC">
        <w:t>11.</w:t>
      </w:r>
    </w:p>
  </w:footnote>
  <w:footnote w:id="8">
    <w:p w14:paraId="691C9A22" w14:textId="7B198ADE" w:rsidR="00BE1E36" w:rsidRPr="002927F4" w:rsidRDefault="00BE1E36">
      <w:pPr>
        <w:pStyle w:val="FootnoteText"/>
      </w:pPr>
      <w:r>
        <w:rPr>
          <w:rStyle w:val="FootnoteReference"/>
        </w:rPr>
        <w:footnoteRef/>
      </w:r>
      <w:r>
        <w:t xml:space="preserve"> </w:t>
      </w:r>
      <w:r w:rsidR="00AD2FDC">
        <w:t>Ibid</w:t>
      </w:r>
      <w:r w:rsidR="00AD2FDC">
        <w:rPr>
          <w:i/>
          <w:iCs/>
        </w:rPr>
        <w:t>.</w:t>
      </w:r>
      <w:r>
        <w:rPr>
          <w:i/>
          <w:iCs/>
        </w:rPr>
        <w:t xml:space="preserve"> </w:t>
      </w:r>
      <w:r w:rsidR="002927F4">
        <w:t xml:space="preserve">p. </w:t>
      </w:r>
      <w:r w:rsidR="003A2808">
        <w:t>12.</w:t>
      </w:r>
    </w:p>
  </w:footnote>
  <w:footnote w:id="9">
    <w:p w14:paraId="6F430A60" w14:textId="2C8A1CED" w:rsidR="0067555E" w:rsidRDefault="0067555E">
      <w:pPr>
        <w:pStyle w:val="FootnoteText"/>
      </w:pPr>
      <w:r>
        <w:rPr>
          <w:rStyle w:val="FootnoteReference"/>
        </w:rPr>
        <w:footnoteRef/>
      </w:r>
      <w:r>
        <w:t xml:space="preserve"> </w:t>
      </w:r>
      <w:r w:rsidRPr="0067555E">
        <w:t xml:space="preserve">Raymond, Williams, Keywords: A Vocabulary </w:t>
      </w:r>
      <w:proofErr w:type="gramStart"/>
      <w:r w:rsidRPr="0067555E">
        <w:t>Of</w:t>
      </w:r>
      <w:proofErr w:type="gramEnd"/>
      <w:r w:rsidRPr="0067555E">
        <w:t xml:space="preserve"> Culture and Society, New edition, Second edition. (New York, NY: Oxford University Press, 2015), p.4</w:t>
      </w:r>
      <w:r w:rsidR="00AA6FFD">
        <w:t>6</w:t>
      </w:r>
    </w:p>
  </w:footnote>
  <w:footnote w:id="10">
    <w:p w14:paraId="1A64FE7D" w14:textId="57AD4057" w:rsidR="0028036F" w:rsidRDefault="0028036F">
      <w:pPr>
        <w:pStyle w:val="FootnoteText"/>
      </w:pPr>
      <w:r>
        <w:rPr>
          <w:rStyle w:val="FootnoteReference"/>
        </w:rPr>
        <w:footnoteRef/>
      </w:r>
      <w:r>
        <w:t xml:space="preserve"> </w:t>
      </w:r>
      <w:r w:rsidR="00AA6FFD">
        <w:t>Ibid.</w:t>
      </w:r>
      <w:r w:rsidR="00264DBB">
        <w:t xml:space="preserve"> </w:t>
      </w:r>
    </w:p>
  </w:footnote>
  <w:footnote w:id="11">
    <w:p w14:paraId="0D761A04" w14:textId="7DE7A78E" w:rsidR="00005983" w:rsidRDefault="00005983">
      <w:pPr>
        <w:pStyle w:val="FootnoteText"/>
      </w:pPr>
      <w:r>
        <w:rPr>
          <w:rStyle w:val="FootnoteReference"/>
        </w:rPr>
        <w:footnoteRef/>
      </w:r>
      <w:r>
        <w:t xml:space="preserve"> Ibid. </w:t>
      </w:r>
    </w:p>
  </w:footnote>
  <w:footnote w:id="12">
    <w:p w14:paraId="56C233FA" w14:textId="77777777" w:rsidR="006E36D2" w:rsidRPr="008A5EB9" w:rsidRDefault="006E36D2" w:rsidP="006E36D2">
      <w:pPr>
        <w:pStyle w:val="FootnoteText"/>
      </w:pPr>
      <w:r>
        <w:rPr>
          <w:rStyle w:val="FootnoteReference"/>
        </w:rPr>
        <w:footnoteRef/>
      </w:r>
      <w:r>
        <w:t xml:space="preserve"> Williams, </w:t>
      </w:r>
      <w:r>
        <w:rPr>
          <w:i/>
          <w:iCs/>
        </w:rPr>
        <w:t xml:space="preserve">Keywords, </w:t>
      </w:r>
      <w:r>
        <w:t xml:space="preserve">p.46. </w:t>
      </w:r>
    </w:p>
  </w:footnote>
  <w:footnote w:id="13">
    <w:p w14:paraId="39D1ECE0" w14:textId="1A4E3A98" w:rsidR="00E73202" w:rsidRPr="00563849" w:rsidRDefault="00F85044">
      <w:pPr>
        <w:pStyle w:val="FootnoteText"/>
      </w:pPr>
      <w:r>
        <w:rPr>
          <w:rStyle w:val="FootnoteReference"/>
        </w:rPr>
        <w:footnoteRef/>
      </w:r>
      <w:r w:rsidR="00E73202">
        <w:t xml:space="preserve">Terry, Eagleton, </w:t>
      </w:r>
      <w:r>
        <w:rPr>
          <w:i/>
          <w:iCs/>
        </w:rPr>
        <w:t xml:space="preserve">The Idea </w:t>
      </w:r>
      <w:proofErr w:type="gramStart"/>
      <w:r>
        <w:rPr>
          <w:i/>
          <w:iCs/>
        </w:rPr>
        <w:t>Of</w:t>
      </w:r>
      <w:proofErr w:type="gramEnd"/>
      <w:r>
        <w:rPr>
          <w:i/>
          <w:iCs/>
        </w:rPr>
        <w:t xml:space="preserve"> Culture</w:t>
      </w:r>
      <w:r w:rsidR="00563849">
        <w:rPr>
          <w:i/>
          <w:iCs/>
        </w:rPr>
        <w:t xml:space="preserve">, </w:t>
      </w:r>
      <w:r w:rsidR="00563849">
        <w:t xml:space="preserve">Oxford: Blackwell (2000), p.2. </w:t>
      </w:r>
    </w:p>
  </w:footnote>
  <w:footnote w:id="14">
    <w:p w14:paraId="5B0E232D" w14:textId="43F39EE6" w:rsidR="003C474A" w:rsidRPr="003C474A" w:rsidRDefault="003C474A">
      <w:pPr>
        <w:pStyle w:val="FootnoteText"/>
      </w:pPr>
      <w:r>
        <w:rPr>
          <w:rStyle w:val="FootnoteReference"/>
        </w:rPr>
        <w:footnoteRef/>
      </w:r>
      <w:r>
        <w:t xml:space="preserve"> Williams, </w:t>
      </w:r>
      <w:r>
        <w:rPr>
          <w:i/>
          <w:iCs/>
        </w:rPr>
        <w:t>Keywords</w:t>
      </w:r>
      <w:r>
        <w:t>, p.45.</w:t>
      </w:r>
    </w:p>
  </w:footnote>
  <w:footnote w:id="15">
    <w:p w14:paraId="061FE38B" w14:textId="7190E937" w:rsidR="00C96C25" w:rsidRPr="00C96C25" w:rsidRDefault="00C96C25">
      <w:pPr>
        <w:pStyle w:val="FootnoteText"/>
      </w:pPr>
      <w:r>
        <w:rPr>
          <w:rStyle w:val="FootnoteReference"/>
        </w:rPr>
        <w:footnoteRef/>
      </w:r>
      <w:r>
        <w:t xml:space="preserve"> Eagleton, </w:t>
      </w:r>
      <w:r>
        <w:rPr>
          <w:i/>
          <w:iCs/>
        </w:rPr>
        <w:t xml:space="preserve">The Idea of Culture, </w:t>
      </w:r>
      <w:r>
        <w:t>p.</w:t>
      </w:r>
      <w:r w:rsidR="00014430">
        <w:t xml:space="preserve">2. </w:t>
      </w:r>
    </w:p>
  </w:footnote>
  <w:footnote w:id="16">
    <w:p w14:paraId="5E72ECAD" w14:textId="567AB69E" w:rsidR="00F97001" w:rsidRDefault="00F97001">
      <w:pPr>
        <w:pStyle w:val="FootnoteText"/>
      </w:pPr>
      <w:r>
        <w:rPr>
          <w:rStyle w:val="FootnoteReference"/>
        </w:rPr>
        <w:footnoteRef/>
      </w:r>
      <w:r>
        <w:t xml:space="preserve"> Ibid. p.7. </w:t>
      </w:r>
    </w:p>
  </w:footnote>
  <w:footnote w:id="17">
    <w:p w14:paraId="3E5E1E85" w14:textId="263CD440" w:rsidR="007419C6" w:rsidRDefault="007419C6">
      <w:pPr>
        <w:pStyle w:val="FootnoteText"/>
      </w:pPr>
      <w:r>
        <w:rPr>
          <w:rStyle w:val="FootnoteReference"/>
        </w:rPr>
        <w:footnoteRef/>
      </w:r>
      <w:r>
        <w:t xml:space="preserve"> Ibid. p.28. </w:t>
      </w:r>
    </w:p>
  </w:footnote>
  <w:footnote w:id="18">
    <w:p w14:paraId="5D271AA0" w14:textId="59DFD20A" w:rsidR="000A0565" w:rsidRDefault="000A0565">
      <w:pPr>
        <w:pStyle w:val="FootnoteText"/>
      </w:pPr>
      <w:r>
        <w:rPr>
          <w:rStyle w:val="FootnoteReference"/>
        </w:rPr>
        <w:footnoteRef/>
      </w:r>
      <w:r>
        <w:t xml:space="preserve"> Ibid. p.14.</w:t>
      </w:r>
    </w:p>
  </w:footnote>
  <w:footnote w:id="19">
    <w:p w14:paraId="40BD8228" w14:textId="1C7816D1" w:rsidR="00305A14" w:rsidRDefault="00305A14">
      <w:pPr>
        <w:pStyle w:val="FootnoteText"/>
      </w:pPr>
      <w:r>
        <w:rPr>
          <w:rStyle w:val="FootnoteReference"/>
        </w:rPr>
        <w:footnoteRef/>
      </w:r>
      <w:r>
        <w:t xml:space="preserve"> Nicholas, Campion, </w:t>
      </w:r>
      <w:r w:rsidR="00AE01DC">
        <w:rPr>
          <w:i/>
          <w:iCs/>
        </w:rPr>
        <w:t xml:space="preserve">The Importance </w:t>
      </w:r>
      <w:proofErr w:type="gramStart"/>
      <w:r w:rsidR="00AE01DC">
        <w:rPr>
          <w:i/>
          <w:iCs/>
        </w:rPr>
        <w:t>Of</w:t>
      </w:r>
      <w:proofErr w:type="gramEnd"/>
      <w:r w:rsidR="00AE01DC">
        <w:rPr>
          <w:i/>
          <w:iCs/>
        </w:rPr>
        <w:t xml:space="preserve"> Cosmology In Culture: Context And Consequences, </w:t>
      </w:r>
      <w:r w:rsidR="00AE01DC">
        <w:t xml:space="preserve"> </w:t>
      </w:r>
      <w:hyperlink r:id="rId2" w:history="1">
        <w:r w:rsidR="00AE01DC" w:rsidRPr="00E804DF">
          <w:rPr>
            <w:rStyle w:val="Hyperlink"/>
          </w:rPr>
          <w:t>https://www.intechopen.com/chapters/54580</w:t>
        </w:r>
      </w:hyperlink>
      <w:r w:rsidR="00AE01DC">
        <w:t xml:space="preserve"> [accessed on </w:t>
      </w:r>
      <w:r w:rsidR="00013A74">
        <w:t>19/12/2022]</w:t>
      </w:r>
    </w:p>
  </w:footnote>
  <w:footnote w:id="20">
    <w:p w14:paraId="10BA3508" w14:textId="19D5EA24" w:rsidR="00262950" w:rsidRDefault="00262950">
      <w:pPr>
        <w:pStyle w:val="FootnoteText"/>
      </w:pPr>
      <w:r>
        <w:rPr>
          <w:rStyle w:val="FootnoteReference"/>
        </w:rPr>
        <w:footnoteRef/>
      </w:r>
      <w:r>
        <w:t xml:space="preserve"> Ibid. </w:t>
      </w:r>
    </w:p>
  </w:footnote>
  <w:footnote w:id="21">
    <w:p w14:paraId="10C103E6" w14:textId="0D469E51" w:rsidR="00E852DE" w:rsidRPr="00E852DE" w:rsidRDefault="00E852DE">
      <w:pPr>
        <w:pStyle w:val="FootnoteText"/>
        <w:rPr>
          <w:i/>
          <w:iCs/>
        </w:rPr>
      </w:pPr>
      <w:r>
        <w:rPr>
          <w:rStyle w:val="FootnoteReference"/>
        </w:rPr>
        <w:footnoteRef/>
      </w:r>
      <w:r>
        <w:t xml:space="preserve"> Nicholas, Campion, </w:t>
      </w:r>
      <w:r w:rsidR="00F86D10" w:rsidRPr="00F86D10">
        <w:rPr>
          <w:i/>
          <w:iCs/>
        </w:rPr>
        <w:t xml:space="preserve">Astrology </w:t>
      </w:r>
      <w:proofErr w:type="gramStart"/>
      <w:r w:rsidR="00F86D10" w:rsidRPr="00F86D10">
        <w:rPr>
          <w:i/>
          <w:iCs/>
        </w:rPr>
        <w:t>And</w:t>
      </w:r>
      <w:proofErr w:type="gramEnd"/>
      <w:r w:rsidR="00F86D10" w:rsidRPr="00F86D10">
        <w:rPr>
          <w:i/>
          <w:iCs/>
        </w:rPr>
        <w:t xml:space="preserve"> Cosmology In The Worlds Religion</w:t>
      </w:r>
      <w:r w:rsidR="00F86D10">
        <w:rPr>
          <w:i/>
          <w:iCs/>
        </w:rPr>
        <w:t>,</w:t>
      </w:r>
      <w:r w:rsidR="00F86D10" w:rsidRPr="00F86D10">
        <w:t xml:space="preserve"> NYU Press, </w:t>
      </w:r>
      <w:r w:rsidR="00F86D10">
        <w:t>(</w:t>
      </w:r>
      <w:r w:rsidR="00F86D10" w:rsidRPr="00F86D10">
        <w:t>2012</w:t>
      </w:r>
      <w:r w:rsidR="00F86D10">
        <w:t>)</w:t>
      </w:r>
      <w:r w:rsidR="00F86D10" w:rsidRPr="00F86D10">
        <w:t xml:space="preserve">. </w:t>
      </w:r>
      <w:hyperlink r:id="rId3" w:history="1">
        <w:r w:rsidR="00F86D10" w:rsidRPr="00E804DF">
          <w:rPr>
            <w:rStyle w:val="Hyperlink"/>
          </w:rPr>
          <w:t>http://www.jstor.org/stable/j.ctt9qg5q5</w:t>
        </w:r>
      </w:hyperlink>
      <w:r w:rsidR="00F86D10">
        <w:t xml:space="preserve"> p.6. </w:t>
      </w:r>
    </w:p>
  </w:footnote>
  <w:footnote w:id="22">
    <w:p w14:paraId="21C2DA92" w14:textId="03A34303" w:rsidR="00F4165A" w:rsidRDefault="00F4165A">
      <w:pPr>
        <w:pStyle w:val="FootnoteText"/>
      </w:pPr>
      <w:r>
        <w:rPr>
          <w:rStyle w:val="FootnoteReference"/>
        </w:rPr>
        <w:footnoteRef/>
      </w:r>
      <w:r>
        <w:t xml:space="preserve"> Ibid. p.4. </w:t>
      </w:r>
    </w:p>
  </w:footnote>
  <w:footnote w:id="23">
    <w:p w14:paraId="6B572187" w14:textId="7A4EBCF2" w:rsidR="00E721DF" w:rsidRDefault="00E721DF">
      <w:pPr>
        <w:pStyle w:val="FootnoteText"/>
      </w:pPr>
      <w:r>
        <w:rPr>
          <w:rStyle w:val="FootnoteReference"/>
        </w:rPr>
        <w:footnoteRef/>
      </w:r>
      <w:r>
        <w:t xml:space="preserve"> Ibid. </w:t>
      </w:r>
    </w:p>
  </w:footnote>
  <w:footnote w:id="24">
    <w:p w14:paraId="36CC8DC5" w14:textId="08408DE6" w:rsidR="00387A27" w:rsidRDefault="00387A27">
      <w:pPr>
        <w:pStyle w:val="FootnoteText"/>
      </w:pPr>
      <w:r>
        <w:rPr>
          <w:rStyle w:val="FootnoteReference"/>
        </w:rPr>
        <w:footnoteRef/>
      </w:r>
      <w:r>
        <w:t xml:space="preserve"> Ibid. </w:t>
      </w:r>
    </w:p>
  </w:footnote>
  <w:footnote w:id="25">
    <w:p w14:paraId="35FC8A75" w14:textId="47035160" w:rsidR="00D7156A" w:rsidRDefault="00D7156A">
      <w:pPr>
        <w:pStyle w:val="FootnoteText"/>
      </w:pPr>
      <w:r>
        <w:rPr>
          <w:rStyle w:val="FootnoteReference"/>
        </w:rPr>
        <w:footnoteRef/>
      </w:r>
      <w:r>
        <w:t xml:space="preserve"> Ibid. p.7.</w:t>
      </w:r>
    </w:p>
  </w:footnote>
  <w:footnote w:id="26">
    <w:p w14:paraId="5723A793" w14:textId="4C346DEA" w:rsidR="00CB4BFF" w:rsidRDefault="00CB4BFF">
      <w:pPr>
        <w:pStyle w:val="FootnoteText"/>
      </w:pPr>
      <w:r>
        <w:rPr>
          <w:rStyle w:val="FootnoteReference"/>
        </w:rPr>
        <w:footnoteRef/>
      </w:r>
      <w:r>
        <w:t xml:space="preserve"> Ibid.</w:t>
      </w:r>
    </w:p>
  </w:footnote>
  <w:footnote w:id="27">
    <w:p w14:paraId="04C683B5" w14:textId="5957253E" w:rsidR="005C04E6" w:rsidRPr="00C83C4F" w:rsidRDefault="005C04E6">
      <w:pPr>
        <w:pStyle w:val="FootnoteText"/>
      </w:pPr>
      <w:r>
        <w:rPr>
          <w:rStyle w:val="FootnoteReference"/>
        </w:rPr>
        <w:footnoteRef/>
      </w:r>
      <w:r>
        <w:t xml:space="preserve"> Wayne, </w:t>
      </w:r>
      <w:proofErr w:type="spellStart"/>
      <w:r>
        <w:t>Elzey</w:t>
      </w:r>
      <w:proofErr w:type="spellEnd"/>
      <w:r>
        <w:t>, ‘</w:t>
      </w:r>
      <w:r>
        <w:rPr>
          <w:i/>
          <w:iCs/>
        </w:rPr>
        <w:t xml:space="preserve">The Nahua Myth </w:t>
      </w:r>
      <w:proofErr w:type="gramStart"/>
      <w:r w:rsidR="00EB728E">
        <w:rPr>
          <w:i/>
          <w:iCs/>
        </w:rPr>
        <w:t>Of</w:t>
      </w:r>
      <w:proofErr w:type="gramEnd"/>
      <w:r w:rsidR="00EB728E">
        <w:rPr>
          <w:i/>
          <w:iCs/>
        </w:rPr>
        <w:t xml:space="preserve"> The Suns: History And Cosmology In Pre-Hispanic Mexican Religion’ </w:t>
      </w:r>
      <w:r w:rsidR="00C83C4F">
        <w:t>in Numen, 23:2 (1976) pp.114-135, p.</w:t>
      </w:r>
      <w:r w:rsidR="00E031C8">
        <w:t xml:space="preserve">116. </w:t>
      </w:r>
    </w:p>
  </w:footnote>
  <w:footnote w:id="28">
    <w:p w14:paraId="2B1AE728" w14:textId="200E22BB" w:rsidR="00843AD5" w:rsidRDefault="00843AD5">
      <w:pPr>
        <w:pStyle w:val="FootnoteText"/>
      </w:pPr>
      <w:r>
        <w:rPr>
          <w:rStyle w:val="FootnoteReference"/>
        </w:rPr>
        <w:footnoteRef/>
      </w:r>
      <w:r>
        <w:t xml:space="preserve"> </w:t>
      </w:r>
      <w:r w:rsidRPr="00843AD5">
        <w:t xml:space="preserve">Clemency, Coggins, and E. C. Krupp. “The North Celestial Pole in Ancient Mesoamerica.” Cosmology, Calendars, and Horizon-Based Astronomy in Ancient Mesoamerica, edited by Anne S. Dowd and Susan </w:t>
      </w:r>
      <w:proofErr w:type="spellStart"/>
      <w:r w:rsidRPr="00843AD5">
        <w:t>Milbrath</w:t>
      </w:r>
      <w:proofErr w:type="spellEnd"/>
      <w:r w:rsidRPr="00843AD5">
        <w:t>, University Press of Colorado, 2015, pp. 101–38. JSTOR, http://www.jstor.org/stable/j.ctt14bthst.12. Accessed 9 Jan. 2023, p. 10</w:t>
      </w:r>
      <w:r>
        <w:t>2.</w:t>
      </w:r>
    </w:p>
  </w:footnote>
  <w:footnote w:id="29">
    <w:p w14:paraId="2AE43EF3" w14:textId="4635DDD1" w:rsidR="005B7E37" w:rsidRPr="006F0F04" w:rsidRDefault="005B7E37">
      <w:pPr>
        <w:pStyle w:val="FootnoteText"/>
      </w:pPr>
      <w:r>
        <w:rPr>
          <w:rStyle w:val="FootnoteReference"/>
        </w:rPr>
        <w:footnoteRef/>
      </w:r>
      <w:r>
        <w:t xml:space="preserve"> </w:t>
      </w:r>
      <w:r w:rsidR="006F0F04" w:rsidRPr="006F0F04">
        <w:t>Allen J. Christenson</w:t>
      </w:r>
      <w:r w:rsidR="006F0F04">
        <w:t xml:space="preserve">, </w:t>
      </w:r>
      <w:r w:rsidR="006F0F04">
        <w:rPr>
          <w:i/>
          <w:iCs/>
        </w:rPr>
        <w:t xml:space="preserve">Popul Vuh: Literal Translation, </w:t>
      </w:r>
      <w:proofErr w:type="spellStart"/>
      <w:r w:rsidR="006F0F04">
        <w:t>Mes</w:t>
      </w:r>
      <w:r w:rsidR="001D0179">
        <w:t>ow</w:t>
      </w:r>
      <w:r w:rsidR="006F0F04">
        <w:t>eb</w:t>
      </w:r>
      <w:proofErr w:type="spellEnd"/>
      <w:r w:rsidR="006F0F04">
        <w:t xml:space="preserve"> Publications, </w:t>
      </w:r>
      <w:r w:rsidR="001D0179">
        <w:t>&lt;</w:t>
      </w:r>
      <w:hyperlink r:id="rId4" w:history="1">
        <w:r w:rsidR="00470E84" w:rsidRPr="00E804DF">
          <w:rPr>
            <w:rStyle w:val="Hyperlink"/>
          </w:rPr>
          <w:t>https://www.mesoweb.com/publications/Christenson/PV-Literal.pdf</w:t>
        </w:r>
      </w:hyperlink>
      <w:r w:rsidR="00470E84">
        <w:t>&gt; [accessed on 15/12/2022]</w:t>
      </w:r>
    </w:p>
  </w:footnote>
  <w:footnote w:id="30">
    <w:p w14:paraId="3143C07D" w14:textId="4B4584A3" w:rsidR="001335CC" w:rsidRPr="00A23937" w:rsidRDefault="001335CC">
      <w:pPr>
        <w:pStyle w:val="FootnoteText"/>
      </w:pPr>
      <w:r>
        <w:rPr>
          <w:rStyle w:val="FootnoteReference"/>
        </w:rPr>
        <w:footnoteRef/>
      </w:r>
      <w:r>
        <w:t xml:space="preserve"> </w:t>
      </w:r>
      <w:r w:rsidR="00A23937">
        <w:t xml:space="preserve">T.M Luhrmann, </w:t>
      </w:r>
      <w:r w:rsidR="00A23937">
        <w:rPr>
          <w:i/>
          <w:iCs/>
        </w:rPr>
        <w:t xml:space="preserve">Popul Vuh </w:t>
      </w:r>
      <w:proofErr w:type="gramStart"/>
      <w:r w:rsidR="00A23937">
        <w:rPr>
          <w:i/>
          <w:iCs/>
        </w:rPr>
        <w:t>And</w:t>
      </w:r>
      <w:proofErr w:type="gramEnd"/>
      <w:r w:rsidR="00A23937">
        <w:rPr>
          <w:i/>
          <w:iCs/>
        </w:rPr>
        <w:t xml:space="preserve"> Lacan, </w:t>
      </w:r>
      <w:r w:rsidR="00A23937">
        <w:t>Ethos, 12:4, (1984), pp. 335-362, p.</w:t>
      </w:r>
      <w:r w:rsidR="004C1BEC">
        <w:t xml:space="preserve">339. </w:t>
      </w:r>
    </w:p>
  </w:footnote>
  <w:footnote w:id="31">
    <w:p w14:paraId="3649F246" w14:textId="41A939FC" w:rsidR="000D5CFC" w:rsidRPr="000D5CFC" w:rsidRDefault="000D5CFC">
      <w:pPr>
        <w:pStyle w:val="FootnoteText"/>
      </w:pPr>
      <w:r>
        <w:rPr>
          <w:rStyle w:val="FootnoteReference"/>
        </w:rPr>
        <w:footnoteRef/>
      </w:r>
      <w:r>
        <w:t xml:space="preserve"> Eagleton, </w:t>
      </w:r>
      <w:r>
        <w:rPr>
          <w:i/>
          <w:iCs/>
        </w:rPr>
        <w:t xml:space="preserve">The Idea of Culture, </w:t>
      </w:r>
      <w:r>
        <w:t>p.</w:t>
      </w:r>
      <w:r w:rsidR="003740D6">
        <w:t>3.</w:t>
      </w:r>
    </w:p>
  </w:footnote>
  <w:footnote w:id="32">
    <w:p w14:paraId="788330B5" w14:textId="30E51739" w:rsidR="00C84ED3" w:rsidRPr="00E75B20" w:rsidRDefault="00C84ED3">
      <w:pPr>
        <w:pStyle w:val="FootnoteText"/>
      </w:pPr>
      <w:r>
        <w:rPr>
          <w:rStyle w:val="FootnoteReference"/>
        </w:rPr>
        <w:footnoteRef/>
      </w:r>
      <w:r>
        <w:t xml:space="preserve"> Campion, </w:t>
      </w:r>
      <w:r w:rsidR="00E75B20">
        <w:rPr>
          <w:i/>
          <w:iCs/>
        </w:rPr>
        <w:t xml:space="preserve">Astrology and Cosmology, </w:t>
      </w:r>
      <w:r w:rsidR="00E75B20">
        <w:t>p.</w:t>
      </w:r>
      <w:r w:rsidR="00250AB4">
        <w:t xml:space="preserve">68. </w:t>
      </w:r>
    </w:p>
  </w:footnote>
  <w:footnote w:id="33">
    <w:p w14:paraId="670BD200" w14:textId="78CD60F4" w:rsidR="009041A2" w:rsidRPr="009041A2" w:rsidRDefault="009041A2">
      <w:pPr>
        <w:pStyle w:val="FootnoteText"/>
      </w:pPr>
      <w:r>
        <w:rPr>
          <w:rStyle w:val="FootnoteReference"/>
        </w:rPr>
        <w:footnoteRef/>
      </w:r>
      <w:r>
        <w:t xml:space="preserve"> Christenson, </w:t>
      </w:r>
      <w:r>
        <w:rPr>
          <w:i/>
          <w:iCs/>
        </w:rPr>
        <w:t xml:space="preserve">Popul Vuh, </w:t>
      </w:r>
      <w:r>
        <w:t xml:space="preserve">lines </w:t>
      </w:r>
      <w:r w:rsidR="00944BFF">
        <w:t>444-459.</w:t>
      </w:r>
    </w:p>
  </w:footnote>
  <w:footnote w:id="34">
    <w:p w14:paraId="186DD411" w14:textId="4C66D842" w:rsidR="00701206" w:rsidRPr="00441D0B" w:rsidRDefault="00701206">
      <w:pPr>
        <w:pStyle w:val="FootnoteText"/>
      </w:pPr>
      <w:r>
        <w:rPr>
          <w:rStyle w:val="FootnoteReference"/>
        </w:rPr>
        <w:footnoteRef/>
      </w:r>
      <w:r>
        <w:t xml:space="preserve"> </w:t>
      </w:r>
      <w:r w:rsidR="00441D0B">
        <w:t xml:space="preserve">Campion, </w:t>
      </w:r>
      <w:r w:rsidR="00F02EFE">
        <w:rPr>
          <w:i/>
          <w:iCs/>
        </w:rPr>
        <w:t>The Importance of Cosmology in Culture</w:t>
      </w:r>
      <w:r w:rsidR="007304DF">
        <w:rPr>
          <w:i/>
          <w:iCs/>
        </w:rPr>
        <w:t>.</w:t>
      </w:r>
    </w:p>
  </w:footnote>
  <w:footnote w:id="35">
    <w:p w14:paraId="5F494A2C" w14:textId="4115D0F3" w:rsidR="004A1F65" w:rsidRPr="00F42227" w:rsidRDefault="004A1F65">
      <w:pPr>
        <w:pStyle w:val="FootnoteText"/>
      </w:pPr>
      <w:r>
        <w:rPr>
          <w:rStyle w:val="FootnoteReference"/>
        </w:rPr>
        <w:footnoteRef/>
      </w:r>
      <w:r>
        <w:t xml:space="preserve"> Christenson, </w:t>
      </w:r>
      <w:r>
        <w:rPr>
          <w:i/>
          <w:iCs/>
        </w:rPr>
        <w:t xml:space="preserve">Popul Vuh, </w:t>
      </w:r>
      <w:r w:rsidR="00F42227">
        <w:t xml:space="preserve">pp. 6-7, lines </w:t>
      </w:r>
      <w:r w:rsidR="007304DF">
        <w:t>154-165.</w:t>
      </w:r>
    </w:p>
  </w:footnote>
  <w:footnote w:id="36">
    <w:p w14:paraId="64DC6659" w14:textId="4BABF2D3" w:rsidR="004D4D6B" w:rsidRDefault="004D4D6B">
      <w:pPr>
        <w:pStyle w:val="FootnoteText"/>
      </w:pPr>
      <w:r>
        <w:rPr>
          <w:rStyle w:val="FootnoteReference"/>
        </w:rPr>
        <w:footnoteRef/>
      </w:r>
      <w:r>
        <w:t xml:space="preserve"> Ibid, </w:t>
      </w:r>
      <w:r w:rsidR="00FE26A9">
        <w:t>lines 171-174.</w:t>
      </w:r>
    </w:p>
  </w:footnote>
  <w:footnote w:id="37">
    <w:p w14:paraId="7949DB18" w14:textId="7A34CE65" w:rsidR="00703655" w:rsidRPr="00703655" w:rsidRDefault="00703655">
      <w:pPr>
        <w:pStyle w:val="FootnoteText"/>
        <w:rPr>
          <w:i/>
          <w:iCs/>
        </w:rPr>
      </w:pPr>
      <w:r>
        <w:rPr>
          <w:rStyle w:val="FootnoteReference"/>
        </w:rPr>
        <w:footnoteRef/>
      </w:r>
      <w:r>
        <w:t xml:space="preserve"> Christenson, </w:t>
      </w:r>
      <w:r>
        <w:rPr>
          <w:i/>
          <w:iCs/>
        </w:rPr>
        <w:t xml:space="preserve">Popul </w:t>
      </w:r>
      <w:r w:rsidR="00E43337">
        <w:rPr>
          <w:i/>
          <w:iCs/>
        </w:rPr>
        <w:t>Vuh</w:t>
      </w:r>
    </w:p>
  </w:footnote>
  <w:footnote w:id="38">
    <w:p w14:paraId="08A6CDCA" w14:textId="71089F19" w:rsidR="002B7E5C" w:rsidRPr="002B7E5C" w:rsidRDefault="002B7E5C">
      <w:pPr>
        <w:pStyle w:val="FootnoteText"/>
      </w:pPr>
      <w:r>
        <w:rPr>
          <w:rStyle w:val="FootnoteReference"/>
        </w:rPr>
        <w:footnoteRef/>
      </w:r>
      <w:r>
        <w:t xml:space="preserve"> Mircea, Eliade, </w:t>
      </w:r>
      <w:r>
        <w:rPr>
          <w:i/>
          <w:iCs/>
        </w:rPr>
        <w:t xml:space="preserve">The Sacred And The Profane: The Nature of Religion, </w:t>
      </w:r>
      <w:r>
        <w:t xml:space="preserve">translated by Willard </w:t>
      </w:r>
      <w:proofErr w:type="spellStart"/>
      <w:proofErr w:type="gramStart"/>
      <w:r>
        <w:t>R.Trask</w:t>
      </w:r>
      <w:proofErr w:type="spellEnd"/>
      <w:proofErr w:type="gramEnd"/>
      <w:r>
        <w:t>, Harcourt, Brace &amp; World, Inc. New York</w:t>
      </w:r>
      <w:r w:rsidR="004B16C5">
        <w:t xml:space="preserve">, p.21. </w:t>
      </w:r>
    </w:p>
  </w:footnote>
  <w:footnote w:id="39">
    <w:p w14:paraId="44F98A7E" w14:textId="643D818C" w:rsidR="00E43337" w:rsidRPr="002B5839" w:rsidRDefault="00E43337">
      <w:pPr>
        <w:pStyle w:val="FootnoteText"/>
      </w:pPr>
      <w:r>
        <w:rPr>
          <w:rStyle w:val="FootnoteReference"/>
        </w:rPr>
        <w:footnoteRef/>
      </w:r>
      <w:r>
        <w:t xml:space="preserve"> Christenson, </w:t>
      </w:r>
      <w:r>
        <w:rPr>
          <w:i/>
          <w:iCs/>
        </w:rPr>
        <w:t xml:space="preserve">Popul Vuh, </w:t>
      </w:r>
      <w:r w:rsidR="002B5839">
        <w:t>p.</w:t>
      </w:r>
      <w:r w:rsidR="00132720">
        <w:t xml:space="preserve"> </w:t>
      </w:r>
      <w:r w:rsidR="00AE7067">
        <w:t xml:space="preserve">15, </w:t>
      </w:r>
      <w:r w:rsidR="00132720">
        <w:t>lines 397-416</w:t>
      </w:r>
      <w:r w:rsidR="00AE7067">
        <w:t>.</w:t>
      </w:r>
    </w:p>
  </w:footnote>
  <w:footnote w:id="40">
    <w:p w14:paraId="6785BE99" w14:textId="05CA8FE1" w:rsidR="00860AFD" w:rsidRPr="00187823" w:rsidRDefault="00860AFD">
      <w:pPr>
        <w:pStyle w:val="FootnoteText"/>
      </w:pPr>
      <w:r>
        <w:rPr>
          <w:rStyle w:val="FootnoteReference"/>
        </w:rPr>
        <w:footnoteRef/>
      </w:r>
      <w:r>
        <w:t xml:space="preserve"> </w:t>
      </w:r>
      <w:r w:rsidR="00892200">
        <w:t xml:space="preserve">Christenson, </w:t>
      </w:r>
      <w:r w:rsidR="00892200">
        <w:rPr>
          <w:i/>
          <w:iCs/>
        </w:rPr>
        <w:t xml:space="preserve">Popul Vuh, </w:t>
      </w:r>
      <w:r w:rsidR="00187823">
        <w:t xml:space="preserve">pp. 19-30. </w:t>
      </w:r>
    </w:p>
  </w:footnote>
  <w:footnote w:id="41">
    <w:p w14:paraId="4E01BE0D" w14:textId="4DFC2BA5" w:rsidR="00797B38" w:rsidRDefault="00797B38">
      <w:pPr>
        <w:pStyle w:val="FootnoteText"/>
      </w:pPr>
      <w:r>
        <w:rPr>
          <w:rStyle w:val="FootnoteReference"/>
        </w:rPr>
        <w:footnoteRef/>
      </w:r>
      <w:r>
        <w:t xml:space="preserve"> Ibid. p.</w:t>
      </w:r>
      <w:r w:rsidR="0027765C">
        <w:t xml:space="preserve"> 28, lines 790-799. </w:t>
      </w:r>
    </w:p>
  </w:footnote>
  <w:footnote w:id="42">
    <w:p w14:paraId="2208E1B7" w14:textId="04CBB92F" w:rsidR="00291036" w:rsidRDefault="00291036">
      <w:pPr>
        <w:pStyle w:val="FootnoteText"/>
      </w:pPr>
      <w:r>
        <w:rPr>
          <w:rStyle w:val="FootnoteReference"/>
        </w:rPr>
        <w:footnoteRef/>
      </w:r>
      <w:r>
        <w:t xml:space="preserve"> Ibid. p.</w:t>
      </w:r>
      <w:r w:rsidR="00E25DC9">
        <w:t xml:space="preserve"> 17, lines 453 – 457.</w:t>
      </w:r>
    </w:p>
  </w:footnote>
  <w:footnote w:id="43">
    <w:p w14:paraId="58B5CBDE" w14:textId="1C93E04F" w:rsidR="00E448ED" w:rsidRPr="00E448ED" w:rsidRDefault="00E448ED">
      <w:pPr>
        <w:pStyle w:val="FootnoteText"/>
      </w:pPr>
      <w:r>
        <w:rPr>
          <w:rStyle w:val="FootnoteReference"/>
        </w:rPr>
        <w:footnoteRef/>
      </w:r>
      <w:r>
        <w:t xml:space="preserve"> Eagleton, </w:t>
      </w:r>
      <w:r>
        <w:rPr>
          <w:i/>
          <w:iCs/>
        </w:rPr>
        <w:t xml:space="preserve">The Idea of Culture, </w:t>
      </w:r>
      <w:r>
        <w:t>p.</w:t>
      </w:r>
      <w:r w:rsidR="00912634">
        <w:t xml:space="preserve"> 6. </w:t>
      </w:r>
    </w:p>
  </w:footnote>
  <w:footnote w:id="44">
    <w:p w14:paraId="21BD5139" w14:textId="727CFE58" w:rsidR="00C01537" w:rsidRPr="00C01537" w:rsidRDefault="00C01537">
      <w:pPr>
        <w:pStyle w:val="FootnoteText"/>
      </w:pPr>
      <w:r>
        <w:rPr>
          <w:rStyle w:val="FootnoteReference"/>
        </w:rPr>
        <w:footnoteRef/>
      </w:r>
      <w:r>
        <w:t xml:space="preserve"> Campion, </w:t>
      </w:r>
      <w:r>
        <w:rPr>
          <w:i/>
          <w:iCs/>
        </w:rPr>
        <w:t>Astrology and Cosmology</w:t>
      </w:r>
      <w:r>
        <w:t xml:space="preserve">, p. </w:t>
      </w:r>
      <w:r w:rsidR="00BD0A0A">
        <w:t>56.</w:t>
      </w:r>
    </w:p>
  </w:footnote>
  <w:footnote w:id="45">
    <w:p w14:paraId="53B941ED" w14:textId="41464072" w:rsidR="00956313" w:rsidRDefault="00956313" w:rsidP="008B6EB6">
      <w:pPr>
        <w:pStyle w:val="FootnoteText"/>
      </w:pPr>
      <w:r>
        <w:rPr>
          <w:rStyle w:val="FootnoteReference"/>
        </w:rPr>
        <w:footnoteRef/>
      </w:r>
      <w:r>
        <w:t xml:space="preserve"> </w:t>
      </w:r>
      <w:r w:rsidR="008B6EB6">
        <w:t xml:space="preserve">Allen J, Christenson ‘Who Shall Be Our </w:t>
      </w:r>
      <w:proofErr w:type="spellStart"/>
      <w:proofErr w:type="gramStart"/>
      <w:r w:rsidR="008B6EB6">
        <w:t>Sustainer</w:t>
      </w:r>
      <w:proofErr w:type="spellEnd"/>
      <w:r w:rsidR="008B6EB6">
        <w:t>?:</w:t>
      </w:r>
      <w:proofErr w:type="gramEnd"/>
      <w:r w:rsidR="008B6EB6">
        <w:t xml:space="preserve"> Sacred Myth And The Spoken Word’, Expedition, 51.1 (2009), pp. 9–16, p.</w:t>
      </w:r>
      <w:r w:rsidR="00A44603">
        <w:t>10.</w:t>
      </w:r>
    </w:p>
  </w:footnote>
  <w:footnote w:id="46">
    <w:p w14:paraId="00D2DC71" w14:textId="40183BCD" w:rsidR="004E7C46" w:rsidRPr="005A71F6" w:rsidRDefault="004E7C46">
      <w:pPr>
        <w:pStyle w:val="FootnoteText"/>
      </w:pPr>
      <w:r>
        <w:rPr>
          <w:rStyle w:val="FootnoteReference"/>
        </w:rPr>
        <w:footnoteRef/>
      </w:r>
      <w:r>
        <w:t xml:space="preserve"> </w:t>
      </w:r>
      <w:r w:rsidR="005A71F6">
        <w:t xml:space="preserve">Ralph L. </w:t>
      </w:r>
      <w:proofErr w:type="spellStart"/>
      <w:r w:rsidR="005A71F6">
        <w:t>Roys</w:t>
      </w:r>
      <w:proofErr w:type="spellEnd"/>
      <w:r w:rsidR="005A71F6">
        <w:t xml:space="preserve">, </w:t>
      </w:r>
      <w:r w:rsidR="005A71F6">
        <w:rPr>
          <w:i/>
          <w:iCs/>
        </w:rPr>
        <w:t xml:space="preserve">The Book </w:t>
      </w:r>
      <w:proofErr w:type="gramStart"/>
      <w:r w:rsidR="005A71F6">
        <w:rPr>
          <w:i/>
          <w:iCs/>
        </w:rPr>
        <w:t>Of</w:t>
      </w:r>
      <w:proofErr w:type="gramEnd"/>
      <w:r w:rsidR="005A71F6">
        <w:rPr>
          <w:i/>
          <w:iCs/>
        </w:rPr>
        <w:t xml:space="preserve"> </w:t>
      </w:r>
      <w:proofErr w:type="spellStart"/>
      <w:r w:rsidR="005A71F6">
        <w:rPr>
          <w:i/>
          <w:iCs/>
        </w:rPr>
        <w:t>Chilam</w:t>
      </w:r>
      <w:proofErr w:type="spellEnd"/>
      <w:r w:rsidR="005A71F6">
        <w:rPr>
          <w:i/>
          <w:iCs/>
        </w:rPr>
        <w:t xml:space="preserve"> Balam Of Chumayel, </w:t>
      </w:r>
      <w:r w:rsidR="005A71F6">
        <w:t>Carnegie Institution Of Washington (1933), p.</w:t>
      </w:r>
      <w:r w:rsidR="00166465">
        <w:t xml:space="preserve"> 99. </w:t>
      </w:r>
    </w:p>
  </w:footnote>
  <w:footnote w:id="47">
    <w:p w14:paraId="53EC2610" w14:textId="14FD0649" w:rsidR="00A21352" w:rsidRPr="00BF6053" w:rsidRDefault="00A21352">
      <w:pPr>
        <w:pStyle w:val="FootnoteText"/>
      </w:pPr>
      <w:r>
        <w:rPr>
          <w:rStyle w:val="FootnoteReference"/>
        </w:rPr>
        <w:footnoteRef/>
      </w:r>
      <w:r>
        <w:t xml:space="preserve"> Knowlton, </w:t>
      </w:r>
      <w:r>
        <w:rPr>
          <w:i/>
          <w:iCs/>
        </w:rPr>
        <w:t xml:space="preserve">Maya Creation Myths, </w:t>
      </w:r>
      <w:r w:rsidR="00BF6053">
        <w:t xml:space="preserve">p. 56. </w:t>
      </w:r>
    </w:p>
  </w:footnote>
  <w:footnote w:id="48">
    <w:p w14:paraId="62AD5984" w14:textId="1261FC00" w:rsidR="00D922FF" w:rsidRDefault="00D922FF">
      <w:pPr>
        <w:pStyle w:val="FootnoteText"/>
      </w:pPr>
      <w:r>
        <w:rPr>
          <w:rStyle w:val="FootnoteReference"/>
        </w:rPr>
        <w:footnoteRef/>
      </w:r>
      <w:r>
        <w:t xml:space="preserve"> Ibid. p.</w:t>
      </w:r>
      <w:r w:rsidR="007F0FEF">
        <w:t xml:space="preserve"> </w:t>
      </w:r>
      <w:r>
        <w:t>57.</w:t>
      </w:r>
    </w:p>
  </w:footnote>
  <w:footnote w:id="49">
    <w:p w14:paraId="214C21C7" w14:textId="5AA232E2" w:rsidR="007F0FEF" w:rsidRDefault="007F0FEF">
      <w:pPr>
        <w:pStyle w:val="FootnoteText"/>
      </w:pPr>
      <w:r>
        <w:rPr>
          <w:rStyle w:val="FootnoteReference"/>
        </w:rPr>
        <w:footnoteRef/>
      </w:r>
      <w:r>
        <w:t xml:space="preserve"> Ibid. p. </w:t>
      </w:r>
      <w:r w:rsidR="00A72EDF">
        <w:t>62.</w:t>
      </w:r>
    </w:p>
  </w:footnote>
  <w:footnote w:id="50">
    <w:p w14:paraId="205416E9" w14:textId="2CDFE19A" w:rsidR="00622E36" w:rsidRPr="00622E36" w:rsidRDefault="00622E36">
      <w:pPr>
        <w:pStyle w:val="FootnoteText"/>
      </w:pPr>
      <w:r>
        <w:rPr>
          <w:rStyle w:val="FootnoteReference"/>
        </w:rPr>
        <w:footnoteRef/>
      </w:r>
      <w:r>
        <w:t xml:space="preserve"> Eagleton, </w:t>
      </w:r>
      <w:r>
        <w:rPr>
          <w:i/>
          <w:iCs/>
        </w:rPr>
        <w:t xml:space="preserve">The Idea </w:t>
      </w:r>
      <w:proofErr w:type="gramStart"/>
      <w:r>
        <w:rPr>
          <w:i/>
          <w:iCs/>
        </w:rPr>
        <w:t>Of</w:t>
      </w:r>
      <w:proofErr w:type="gramEnd"/>
      <w:r>
        <w:rPr>
          <w:i/>
          <w:iCs/>
        </w:rPr>
        <w:t xml:space="preserve"> Culture, </w:t>
      </w:r>
      <w:r>
        <w:t>p. 5.</w:t>
      </w:r>
    </w:p>
  </w:footnote>
  <w:footnote w:id="51">
    <w:p w14:paraId="00ABD5EB" w14:textId="3F483935" w:rsidR="002E25A4" w:rsidRPr="00195EC7" w:rsidRDefault="002E25A4">
      <w:pPr>
        <w:pStyle w:val="FootnoteText"/>
      </w:pPr>
      <w:r>
        <w:rPr>
          <w:rStyle w:val="FootnoteReference"/>
        </w:rPr>
        <w:footnoteRef/>
      </w:r>
      <w:r>
        <w:t xml:space="preserve"> Christenson, </w:t>
      </w:r>
      <w:proofErr w:type="spellStart"/>
      <w:r w:rsidR="00195EC7">
        <w:rPr>
          <w:i/>
          <w:iCs/>
        </w:rPr>
        <w:t>Popol</w:t>
      </w:r>
      <w:proofErr w:type="spellEnd"/>
      <w:r w:rsidR="00195EC7">
        <w:rPr>
          <w:i/>
          <w:iCs/>
        </w:rPr>
        <w:t xml:space="preserve"> Vuh, </w:t>
      </w:r>
      <w:r w:rsidR="00195EC7">
        <w:t xml:space="preserve">pp. 3-4, lines </w:t>
      </w:r>
      <w:r w:rsidR="00740B6B">
        <w:t xml:space="preserve">66 – 75. </w:t>
      </w:r>
    </w:p>
  </w:footnote>
  <w:footnote w:id="52">
    <w:p w14:paraId="2D730FEE" w14:textId="274F3CED" w:rsidR="008956A3" w:rsidRPr="008956A3" w:rsidRDefault="008956A3">
      <w:pPr>
        <w:pStyle w:val="FootnoteText"/>
      </w:pPr>
      <w:r>
        <w:rPr>
          <w:rStyle w:val="FootnoteReference"/>
        </w:rPr>
        <w:footnoteRef/>
      </w:r>
      <w:r>
        <w:t xml:space="preserve"> </w:t>
      </w:r>
      <w:proofErr w:type="spellStart"/>
      <w:r>
        <w:t>Roys</w:t>
      </w:r>
      <w:proofErr w:type="spellEnd"/>
      <w:r>
        <w:t xml:space="preserve">, </w:t>
      </w:r>
      <w:r>
        <w:rPr>
          <w:i/>
          <w:iCs/>
        </w:rPr>
        <w:t xml:space="preserve">The Book of </w:t>
      </w:r>
      <w:proofErr w:type="spellStart"/>
      <w:r>
        <w:rPr>
          <w:i/>
          <w:iCs/>
        </w:rPr>
        <w:t>Chilam</w:t>
      </w:r>
      <w:proofErr w:type="spellEnd"/>
      <w:r>
        <w:rPr>
          <w:i/>
          <w:iCs/>
        </w:rPr>
        <w:t xml:space="preserve"> of Balam of Chumayel, </w:t>
      </w:r>
      <w:r>
        <w:t xml:space="preserve">p. 100. </w:t>
      </w:r>
    </w:p>
  </w:footnote>
  <w:footnote w:id="53">
    <w:p w14:paraId="1EB16965" w14:textId="2DA4FB19" w:rsidR="00583AE2" w:rsidRPr="00583AE2" w:rsidRDefault="00583AE2">
      <w:pPr>
        <w:pStyle w:val="FootnoteText"/>
      </w:pPr>
      <w:r>
        <w:rPr>
          <w:rStyle w:val="FootnoteReference"/>
        </w:rPr>
        <w:footnoteRef/>
      </w:r>
      <w:r>
        <w:t xml:space="preserve"> Eliade, </w:t>
      </w:r>
      <w:r>
        <w:rPr>
          <w:i/>
          <w:iCs/>
        </w:rPr>
        <w:t xml:space="preserve">The Sacred </w:t>
      </w:r>
      <w:proofErr w:type="gramStart"/>
      <w:r>
        <w:rPr>
          <w:i/>
          <w:iCs/>
        </w:rPr>
        <w:t>And</w:t>
      </w:r>
      <w:proofErr w:type="gramEnd"/>
      <w:r>
        <w:rPr>
          <w:i/>
          <w:iCs/>
        </w:rPr>
        <w:t xml:space="preserve"> The Profane, </w:t>
      </w:r>
      <w:r>
        <w:t xml:space="preserve">p. 30. </w:t>
      </w:r>
    </w:p>
  </w:footnote>
  <w:footnote w:id="54">
    <w:p w14:paraId="2063819E" w14:textId="14ED5F99" w:rsidR="001F7A34" w:rsidRPr="001F7A34" w:rsidRDefault="001F7A34">
      <w:pPr>
        <w:pStyle w:val="FootnoteText"/>
        <w:rPr>
          <w:i/>
          <w:iCs/>
        </w:rPr>
      </w:pPr>
      <w:r>
        <w:rPr>
          <w:rStyle w:val="FootnoteReference"/>
        </w:rPr>
        <w:footnoteRef/>
      </w:r>
      <w:r>
        <w:t xml:space="preserve"> Eagleton</w:t>
      </w:r>
      <w:r w:rsidR="008604C5">
        <w:t>,</w:t>
      </w:r>
      <w:r>
        <w:t xml:space="preserve"> </w:t>
      </w:r>
      <w:r w:rsidR="007816CB">
        <w:t xml:space="preserve">p.4. </w:t>
      </w:r>
    </w:p>
  </w:footnote>
  <w:footnote w:id="55">
    <w:p w14:paraId="194D4615" w14:textId="42B497FF" w:rsidR="00226C5A" w:rsidRPr="008604C5" w:rsidRDefault="00226C5A">
      <w:pPr>
        <w:pStyle w:val="FootnoteText"/>
      </w:pPr>
      <w:r>
        <w:rPr>
          <w:rStyle w:val="FootnoteReference"/>
        </w:rPr>
        <w:footnoteRef/>
      </w:r>
      <w:r>
        <w:t xml:space="preserve"> Campion</w:t>
      </w:r>
      <w:r w:rsidR="008604C5">
        <w:t xml:space="preserve">, </w:t>
      </w:r>
      <w:r w:rsidR="008604C5">
        <w:rPr>
          <w:i/>
          <w:iCs/>
        </w:rPr>
        <w:t xml:space="preserve">Astrology </w:t>
      </w:r>
      <w:proofErr w:type="gramStart"/>
      <w:r w:rsidR="00EB18B7">
        <w:rPr>
          <w:i/>
          <w:iCs/>
        </w:rPr>
        <w:t>A</w:t>
      </w:r>
      <w:r w:rsidR="008604C5">
        <w:rPr>
          <w:i/>
          <w:iCs/>
        </w:rPr>
        <w:t>nd</w:t>
      </w:r>
      <w:proofErr w:type="gramEnd"/>
      <w:r w:rsidR="008604C5">
        <w:rPr>
          <w:i/>
          <w:iCs/>
        </w:rPr>
        <w:t xml:space="preserve"> Cosmology</w:t>
      </w:r>
      <w:r w:rsidR="008604C5">
        <w:t xml:space="preserve">, p. 57. </w:t>
      </w:r>
    </w:p>
  </w:footnote>
  <w:footnote w:id="56">
    <w:p w14:paraId="4E3A119B" w14:textId="63F8E077" w:rsidR="00304F8E" w:rsidRPr="00304F8E" w:rsidRDefault="00304F8E">
      <w:pPr>
        <w:pStyle w:val="FootnoteText"/>
      </w:pPr>
      <w:r>
        <w:rPr>
          <w:rStyle w:val="FootnoteReference"/>
        </w:rPr>
        <w:footnoteRef/>
      </w:r>
      <w:r>
        <w:t xml:space="preserve"> Eliade, </w:t>
      </w:r>
      <w:r>
        <w:rPr>
          <w:i/>
          <w:iCs/>
        </w:rPr>
        <w:t xml:space="preserve">The Sacred </w:t>
      </w:r>
      <w:proofErr w:type="gramStart"/>
      <w:r>
        <w:rPr>
          <w:i/>
          <w:iCs/>
        </w:rPr>
        <w:t>And</w:t>
      </w:r>
      <w:proofErr w:type="gramEnd"/>
      <w:r>
        <w:rPr>
          <w:i/>
          <w:iCs/>
        </w:rPr>
        <w:t xml:space="preserve"> The Profane, </w:t>
      </w:r>
      <w:r>
        <w:t>p. 33.</w:t>
      </w:r>
    </w:p>
  </w:footnote>
  <w:footnote w:id="57">
    <w:p w14:paraId="4A07D7D0" w14:textId="29442816" w:rsidR="00453896" w:rsidRDefault="00453896">
      <w:pPr>
        <w:pStyle w:val="FootnoteText"/>
      </w:pPr>
      <w:r>
        <w:rPr>
          <w:rStyle w:val="FootnoteReference"/>
        </w:rPr>
        <w:footnoteRef/>
      </w:r>
      <w:r>
        <w:t xml:space="preserve"> </w:t>
      </w:r>
      <w:r w:rsidR="003A7EFD">
        <w:t xml:space="preserve">Ivan </w:t>
      </w:r>
      <w:proofErr w:type="spellStart"/>
      <w:r w:rsidR="003A7EFD">
        <w:t>Sprajc</w:t>
      </w:r>
      <w:proofErr w:type="spellEnd"/>
      <w:r w:rsidR="003A7EFD">
        <w:t>,</w:t>
      </w:r>
      <w:r w:rsidR="003A7EFD" w:rsidRPr="003A7EFD">
        <w:t xml:space="preserve"> Astronomical Correlates of Architecture and Landscape in Mesoamerica. In: Ruggles, C. (eds) Handbook of </w:t>
      </w:r>
      <w:proofErr w:type="spellStart"/>
      <w:r w:rsidR="003A7EFD" w:rsidRPr="003A7EFD">
        <w:t>Archaeoastronomy</w:t>
      </w:r>
      <w:proofErr w:type="spellEnd"/>
      <w:r w:rsidR="003A7EFD" w:rsidRPr="003A7EFD">
        <w:t xml:space="preserve"> and Ethnoastronomy. Springer, New York, NY. 2015). https://doi-org.ezproxy.uwtsd.ac.uk/10.1007/978-1-4614-6141-8_56</w:t>
      </w:r>
    </w:p>
  </w:footnote>
  <w:footnote w:id="58">
    <w:p w14:paraId="5753486B" w14:textId="3A213AF4" w:rsidR="00EB18B7" w:rsidRPr="00EB18B7" w:rsidRDefault="00EB18B7">
      <w:pPr>
        <w:pStyle w:val="FootnoteText"/>
      </w:pPr>
      <w:r>
        <w:rPr>
          <w:rStyle w:val="FootnoteReference"/>
        </w:rPr>
        <w:footnoteRef/>
      </w:r>
      <w:r>
        <w:t xml:space="preserve"> Campion, </w:t>
      </w:r>
      <w:r>
        <w:rPr>
          <w:i/>
          <w:iCs/>
        </w:rPr>
        <w:t xml:space="preserve">Astrology </w:t>
      </w:r>
      <w:proofErr w:type="gramStart"/>
      <w:r>
        <w:rPr>
          <w:i/>
          <w:iCs/>
        </w:rPr>
        <w:t>And</w:t>
      </w:r>
      <w:proofErr w:type="gramEnd"/>
      <w:r>
        <w:rPr>
          <w:i/>
          <w:iCs/>
        </w:rPr>
        <w:t xml:space="preserve"> Cosmology, </w:t>
      </w:r>
      <w:r>
        <w:t>p. 62.</w:t>
      </w:r>
    </w:p>
  </w:footnote>
  <w:footnote w:id="59">
    <w:p w14:paraId="050DC962" w14:textId="1F431723" w:rsidR="00442C74" w:rsidRPr="00D3105B" w:rsidRDefault="00442C74">
      <w:pPr>
        <w:pStyle w:val="FootnoteText"/>
      </w:pPr>
      <w:r>
        <w:rPr>
          <w:rStyle w:val="FootnoteReference"/>
        </w:rPr>
        <w:footnoteRef/>
      </w:r>
      <w:r>
        <w:t xml:space="preserve"> </w:t>
      </w:r>
      <w:r w:rsidR="00D3105B">
        <w:t xml:space="preserve">Knowlton, </w:t>
      </w:r>
      <w:r w:rsidR="00D3105B">
        <w:rPr>
          <w:i/>
          <w:iCs/>
        </w:rPr>
        <w:t xml:space="preserve">Maya Creation Myths, </w:t>
      </w:r>
      <w:r w:rsidR="00D3105B">
        <w:t xml:space="preserve">p. 15. </w:t>
      </w:r>
    </w:p>
  </w:footnote>
  <w:footnote w:id="60">
    <w:p w14:paraId="6B07D8BA" w14:textId="063770FD" w:rsidR="00B45E6B" w:rsidRDefault="00B45E6B">
      <w:pPr>
        <w:pStyle w:val="FootnoteText"/>
      </w:pPr>
      <w:r>
        <w:rPr>
          <w:rStyle w:val="FootnoteReference"/>
        </w:rPr>
        <w:footnoteRef/>
      </w:r>
      <w:r>
        <w:t xml:space="preserve"> </w:t>
      </w:r>
      <w:proofErr w:type="spellStart"/>
      <w:r w:rsidR="00D036C6" w:rsidRPr="00D036C6">
        <w:t>Šprajc</w:t>
      </w:r>
      <w:proofErr w:type="spellEnd"/>
      <w:r w:rsidR="00D036C6" w:rsidRPr="00D036C6">
        <w:t xml:space="preserve">, </w:t>
      </w:r>
      <w:r w:rsidR="00D036C6" w:rsidRPr="00D036C6">
        <w:rPr>
          <w:i/>
          <w:iCs/>
        </w:rPr>
        <w:t xml:space="preserve">Astronomical Correlates </w:t>
      </w:r>
      <w:proofErr w:type="gramStart"/>
      <w:r w:rsidR="00D036C6">
        <w:rPr>
          <w:i/>
          <w:iCs/>
        </w:rPr>
        <w:t>Of</w:t>
      </w:r>
      <w:proofErr w:type="gramEnd"/>
      <w:r w:rsidR="00D036C6" w:rsidRPr="00D036C6">
        <w:rPr>
          <w:i/>
          <w:iCs/>
        </w:rPr>
        <w:t xml:space="preserve"> Architecture </w:t>
      </w:r>
      <w:r w:rsidR="00D036C6">
        <w:rPr>
          <w:i/>
          <w:iCs/>
        </w:rPr>
        <w:t>A</w:t>
      </w:r>
      <w:r w:rsidR="00D036C6" w:rsidRPr="00D036C6">
        <w:rPr>
          <w:i/>
          <w:iCs/>
        </w:rPr>
        <w:t xml:space="preserve">nd Landscape </w:t>
      </w:r>
      <w:r w:rsidR="00D036C6">
        <w:rPr>
          <w:i/>
          <w:iCs/>
        </w:rPr>
        <w:t>I</w:t>
      </w:r>
      <w:r w:rsidR="00D036C6" w:rsidRPr="00D036C6">
        <w:rPr>
          <w:i/>
          <w:iCs/>
        </w:rPr>
        <w:t>n Mesoamerica</w:t>
      </w:r>
      <w:r w:rsidR="00D036C6">
        <w:t>. (2015)</w:t>
      </w:r>
    </w:p>
  </w:footnote>
  <w:footnote w:id="61">
    <w:p w14:paraId="36F35BB1" w14:textId="05438D85" w:rsidR="00681F27" w:rsidRPr="00090AEE" w:rsidRDefault="00681F27" w:rsidP="00090AEE">
      <w:pPr>
        <w:pStyle w:val="FootnoteText"/>
      </w:pPr>
      <w:r>
        <w:rPr>
          <w:rStyle w:val="FootnoteReference"/>
        </w:rPr>
        <w:footnoteRef/>
      </w:r>
      <w:r>
        <w:t xml:space="preserve"> Kristin, Landau, </w:t>
      </w:r>
      <w:r>
        <w:rPr>
          <w:i/>
          <w:iCs/>
        </w:rPr>
        <w:t xml:space="preserve">Spatial Logic </w:t>
      </w:r>
      <w:proofErr w:type="gramStart"/>
      <w:r>
        <w:rPr>
          <w:i/>
          <w:iCs/>
        </w:rPr>
        <w:t>And</w:t>
      </w:r>
      <w:proofErr w:type="gramEnd"/>
      <w:r>
        <w:rPr>
          <w:i/>
          <w:iCs/>
        </w:rPr>
        <w:t xml:space="preserve"> Maya City Planning: The Case For Cosmology, </w:t>
      </w:r>
      <w:r w:rsidR="00090AEE" w:rsidRPr="00090AEE">
        <w:t>Cambridge Archaeological Journal 25:1</w:t>
      </w:r>
      <w:r w:rsidR="009D1B8E">
        <w:t xml:space="preserve"> </w:t>
      </w:r>
      <w:r w:rsidR="009D1B8E">
        <w:t>(</w:t>
      </w:r>
      <w:r w:rsidR="009D1B8E" w:rsidRPr="00090AEE">
        <w:t>2015</w:t>
      </w:r>
      <w:r w:rsidR="009D1B8E">
        <w:t>),</w:t>
      </w:r>
      <w:r w:rsidR="00090AEE" w:rsidRPr="00090AEE">
        <w:t xml:space="preserve"> </w:t>
      </w:r>
      <w:r w:rsidR="009D1B8E">
        <w:t xml:space="preserve">pp. </w:t>
      </w:r>
      <w:r w:rsidR="00090AEE" w:rsidRPr="00090AEE">
        <w:t>275–292</w:t>
      </w:r>
      <w:r w:rsidR="00090AEE">
        <w:t xml:space="preserve">, </w:t>
      </w:r>
      <w:r w:rsidR="009D1B8E">
        <w:t xml:space="preserve">p. 275. </w:t>
      </w:r>
    </w:p>
  </w:footnote>
  <w:footnote w:id="62">
    <w:p w14:paraId="25C2217F" w14:textId="3642A25B" w:rsidR="005D17AC" w:rsidRDefault="005D17AC">
      <w:pPr>
        <w:pStyle w:val="FootnoteText"/>
      </w:pPr>
      <w:r>
        <w:rPr>
          <w:rStyle w:val="FootnoteReference"/>
        </w:rPr>
        <w:footnoteRef/>
      </w:r>
      <w:r>
        <w:t xml:space="preserve"> </w:t>
      </w:r>
      <w:r w:rsidR="002532D5">
        <w:t>Wendy, Ashmore</w:t>
      </w:r>
      <w:r w:rsidR="002532D5" w:rsidRPr="002532D5">
        <w:t xml:space="preserve"> and Jeremy A. </w:t>
      </w:r>
      <w:proofErr w:type="spellStart"/>
      <w:r w:rsidR="002532D5" w:rsidRPr="002532D5">
        <w:t>Sabloff</w:t>
      </w:r>
      <w:proofErr w:type="spellEnd"/>
      <w:r w:rsidR="002532D5" w:rsidRPr="002532D5">
        <w:t>, ‘</w:t>
      </w:r>
      <w:r w:rsidR="002532D5" w:rsidRPr="002532D5">
        <w:rPr>
          <w:i/>
          <w:iCs/>
        </w:rPr>
        <w:t>Spatial Orders in Maya Civic Plans’</w:t>
      </w:r>
      <w:r w:rsidR="002532D5" w:rsidRPr="002532D5">
        <w:t>, Latin American Antiquity, 13.2 (2002),</w:t>
      </w:r>
      <w:r w:rsidR="002532D5">
        <w:t xml:space="preserve"> pp.</w:t>
      </w:r>
      <w:r w:rsidR="002532D5" w:rsidRPr="002532D5">
        <w:t xml:space="preserve"> 201–15</w:t>
      </w:r>
      <w:r w:rsidR="002532D5">
        <w:t>, p. 202</w:t>
      </w:r>
    </w:p>
  </w:footnote>
  <w:footnote w:id="63">
    <w:p w14:paraId="6E5E7482" w14:textId="6BB70994" w:rsidR="00D17229" w:rsidRDefault="00D17229">
      <w:pPr>
        <w:pStyle w:val="FootnoteText"/>
      </w:pPr>
      <w:r>
        <w:rPr>
          <w:rStyle w:val="FootnoteReference"/>
        </w:rPr>
        <w:footnoteRef/>
      </w:r>
      <w:r>
        <w:t xml:space="preserve"> </w:t>
      </w:r>
      <w:r w:rsidR="00B00936" w:rsidRPr="00B00936">
        <w:t xml:space="preserve">Clemency, Coggins, and E. C. Krupp. “The North Celestial Pole in Ancient Mesoamerica.” Cosmology, Calendars, and Horizon-Based Astronomy in Ancient Mesoamerica, edited by Anne S. Dowd and Susan </w:t>
      </w:r>
      <w:proofErr w:type="spellStart"/>
      <w:r w:rsidR="00B00936" w:rsidRPr="00B00936">
        <w:t>Milbrath</w:t>
      </w:r>
      <w:proofErr w:type="spellEnd"/>
      <w:r w:rsidR="00B00936" w:rsidRPr="00B00936">
        <w:t>, University Press of Colorado, 2015, pp. 101–38. JSTOR, http://www.jstor.org/stable/j.ctt14bthst.12. Accessed 9 Jan. 2023</w:t>
      </w:r>
      <w:r w:rsidR="00B00936">
        <w:t>, p. 108.</w:t>
      </w:r>
    </w:p>
  </w:footnote>
  <w:footnote w:id="64">
    <w:p w14:paraId="495D1FA2" w14:textId="253B3F22" w:rsidR="00A12014" w:rsidRDefault="00A12014">
      <w:pPr>
        <w:pStyle w:val="FootnoteText"/>
      </w:pPr>
      <w:r>
        <w:rPr>
          <w:rStyle w:val="FootnoteReference"/>
        </w:rPr>
        <w:footnoteRef/>
      </w:r>
      <w:r>
        <w:t xml:space="preserve"> </w:t>
      </w:r>
      <w:r w:rsidRPr="00A12014">
        <w:t>Clemency</w:t>
      </w:r>
      <w:r w:rsidRPr="00A12014">
        <w:t xml:space="preserve"> </w:t>
      </w:r>
      <w:r w:rsidRPr="00A12014">
        <w:t>Coggins</w:t>
      </w:r>
      <w:r>
        <w:t>,</w:t>
      </w:r>
      <w:r w:rsidRPr="00A12014">
        <w:t xml:space="preserve"> “The Shape of Time: Some Political Implications of a Four-Part Figure.” American Antiquity, vol. 45, no. 4, 1980, pp. 727–39. JSTOR, https://doi.org/10.2307/280144. Accessed 9 Jan. 2023</w:t>
      </w:r>
      <w:r>
        <w:t xml:space="preserve"> p. </w:t>
      </w:r>
      <w:r w:rsidR="002D44D6">
        <w:t xml:space="preserve">729. </w:t>
      </w:r>
    </w:p>
  </w:footnote>
  <w:footnote w:id="65">
    <w:p w14:paraId="7DE33C28" w14:textId="0FEFC8F1" w:rsidR="002359EF" w:rsidRDefault="002359EF">
      <w:pPr>
        <w:pStyle w:val="FootnoteText"/>
      </w:pPr>
      <w:r>
        <w:rPr>
          <w:rStyle w:val="FootnoteReference"/>
        </w:rPr>
        <w:footnoteRef/>
      </w:r>
      <w:r>
        <w:t xml:space="preserve"> Ibid. p. 730. </w:t>
      </w:r>
    </w:p>
  </w:footnote>
  <w:footnote w:id="66">
    <w:p w14:paraId="2DCFA673" w14:textId="29B76208" w:rsidR="00FD214F" w:rsidRPr="00346D8E" w:rsidRDefault="00FD214F">
      <w:pPr>
        <w:pStyle w:val="FootnoteText"/>
      </w:pPr>
      <w:r>
        <w:rPr>
          <w:rStyle w:val="FootnoteReference"/>
        </w:rPr>
        <w:footnoteRef/>
      </w:r>
      <w:r>
        <w:t xml:space="preserve"> Ashmore, </w:t>
      </w:r>
      <w:r w:rsidR="00346D8E">
        <w:rPr>
          <w:i/>
          <w:iCs/>
        </w:rPr>
        <w:t>Spatial Logic</w:t>
      </w:r>
      <w:r w:rsidR="00346D8E">
        <w:t>, p. 203.</w:t>
      </w:r>
    </w:p>
  </w:footnote>
  <w:footnote w:id="67">
    <w:p w14:paraId="5D5D5480" w14:textId="77777777" w:rsidR="00076A90" w:rsidRPr="00076A90" w:rsidRDefault="0010627C" w:rsidP="00076A90">
      <w:pPr>
        <w:pStyle w:val="FootnoteText"/>
        <w:rPr>
          <w:i/>
          <w:iCs/>
        </w:rPr>
      </w:pPr>
      <w:r>
        <w:rPr>
          <w:rStyle w:val="FootnoteReference"/>
        </w:rPr>
        <w:footnoteRef/>
      </w:r>
      <w:r>
        <w:t xml:space="preserve"> Michael E. Smith,</w:t>
      </w:r>
      <w:r w:rsidRPr="00076A90">
        <w:rPr>
          <w:i/>
          <w:iCs/>
        </w:rPr>
        <w:t xml:space="preserve"> </w:t>
      </w:r>
      <w:r w:rsidR="00076A90" w:rsidRPr="00076A90">
        <w:rPr>
          <w:i/>
          <w:iCs/>
        </w:rPr>
        <w:t>Can We Read Cosmology in Ancient Maya City Plans? Comment on Ashmore and</w:t>
      </w:r>
    </w:p>
    <w:p w14:paraId="5F708196" w14:textId="35526090" w:rsidR="0010627C" w:rsidRPr="00076A90" w:rsidRDefault="00076A90" w:rsidP="00076A90">
      <w:pPr>
        <w:pStyle w:val="FootnoteText"/>
      </w:pPr>
      <w:proofErr w:type="spellStart"/>
      <w:r w:rsidRPr="00076A90">
        <w:rPr>
          <w:i/>
          <w:iCs/>
        </w:rPr>
        <w:t>Sabloff</w:t>
      </w:r>
      <w:proofErr w:type="spellEnd"/>
      <w:r>
        <w:rPr>
          <w:i/>
          <w:iCs/>
        </w:rPr>
        <w:t xml:space="preserve">, </w:t>
      </w:r>
      <w:r w:rsidRPr="00076A90">
        <w:t>Latin American Antiquity</w:t>
      </w:r>
      <w:r>
        <w:t>,</w:t>
      </w:r>
      <w:r w:rsidRPr="00076A90">
        <w:t xml:space="preserve"> </w:t>
      </w:r>
      <w:r>
        <w:t>14:</w:t>
      </w:r>
      <w:r w:rsidRPr="00076A90">
        <w:t xml:space="preserve"> 2</w:t>
      </w:r>
      <w:r>
        <w:t>, (</w:t>
      </w:r>
      <w:r w:rsidRPr="00076A90">
        <w:t>2003), pp. 221-228</w:t>
      </w:r>
      <w:r>
        <w:t xml:space="preserve">, p. </w:t>
      </w:r>
      <w:r w:rsidR="00AC7186">
        <w:t>222.</w:t>
      </w:r>
    </w:p>
  </w:footnote>
  <w:footnote w:id="68">
    <w:p w14:paraId="1F520205" w14:textId="65FDEDDB" w:rsidR="00EC03E0" w:rsidRDefault="00EC03E0">
      <w:pPr>
        <w:pStyle w:val="FootnoteText"/>
      </w:pPr>
      <w:r>
        <w:rPr>
          <w:rStyle w:val="FootnoteReference"/>
        </w:rPr>
        <w:footnoteRef/>
      </w:r>
      <w:r>
        <w:t xml:space="preserve"> Ibid, p. </w:t>
      </w:r>
      <w:r w:rsidR="00F232D7">
        <w:t>223.</w:t>
      </w:r>
    </w:p>
  </w:footnote>
  <w:footnote w:id="69">
    <w:p w14:paraId="71E4A5B5" w14:textId="188DAEEF" w:rsidR="006416A9" w:rsidRPr="006416A9" w:rsidRDefault="006416A9">
      <w:pPr>
        <w:pStyle w:val="FootnoteText"/>
      </w:pPr>
      <w:r>
        <w:rPr>
          <w:rStyle w:val="FootnoteReference"/>
        </w:rPr>
        <w:footnoteRef/>
      </w:r>
      <w:r>
        <w:t xml:space="preserve"> Campion, </w:t>
      </w:r>
      <w:r>
        <w:rPr>
          <w:i/>
          <w:iCs/>
        </w:rPr>
        <w:t xml:space="preserve">Astrology </w:t>
      </w:r>
      <w:proofErr w:type="gramStart"/>
      <w:r>
        <w:rPr>
          <w:i/>
          <w:iCs/>
        </w:rPr>
        <w:t>And</w:t>
      </w:r>
      <w:proofErr w:type="gramEnd"/>
      <w:r>
        <w:rPr>
          <w:i/>
          <w:iCs/>
        </w:rPr>
        <w:t xml:space="preserve"> Cosmology, </w:t>
      </w:r>
      <w:r>
        <w:t xml:space="preserve">p. </w:t>
      </w:r>
      <w:r w:rsidR="00A2577F">
        <w:t>67.</w:t>
      </w:r>
    </w:p>
  </w:footnote>
  <w:footnote w:id="70">
    <w:p w14:paraId="6206B3F7" w14:textId="1D4E4A9F" w:rsidR="00A45288" w:rsidRDefault="00A45288">
      <w:pPr>
        <w:pStyle w:val="FootnoteText"/>
      </w:pPr>
      <w:r>
        <w:rPr>
          <w:rStyle w:val="FootnoteReference"/>
        </w:rPr>
        <w:footnoteRef/>
      </w:r>
      <w:r>
        <w:t xml:space="preserve"> Ibid.</w:t>
      </w:r>
    </w:p>
  </w:footnote>
  <w:footnote w:id="71">
    <w:p w14:paraId="1D9C1416" w14:textId="23F9A7ED" w:rsidR="00B8122A" w:rsidRDefault="00B8122A">
      <w:pPr>
        <w:pStyle w:val="FootnoteText"/>
      </w:pPr>
      <w:r>
        <w:rPr>
          <w:rStyle w:val="FootnoteReference"/>
        </w:rPr>
        <w:footnoteRef/>
      </w:r>
      <w:r>
        <w:t xml:space="preserve"> Ibid.</w:t>
      </w:r>
    </w:p>
  </w:footnote>
  <w:footnote w:id="72">
    <w:p w14:paraId="7D3F28FD" w14:textId="2BC63752" w:rsidR="00434755" w:rsidRDefault="00434755">
      <w:pPr>
        <w:pStyle w:val="FootnoteText"/>
      </w:pPr>
      <w:r>
        <w:rPr>
          <w:rStyle w:val="FootnoteReference"/>
        </w:rPr>
        <w:footnoteRef/>
      </w:r>
      <w:r>
        <w:t xml:space="preserve"> Ibid. </w:t>
      </w:r>
      <w:r w:rsidR="00FB4480">
        <w:t>p.68.</w:t>
      </w:r>
    </w:p>
  </w:footnote>
  <w:footnote w:id="73">
    <w:p w14:paraId="3A072DF4" w14:textId="7547FDF4" w:rsidR="00FB4480" w:rsidRDefault="00FB4480">
      <w:pPr>
        <w:pStyle w:val="FootnoteText"/>
      </w:pPr>
      <w:r>
        <w:rPr>
          <w:rStyle w:val="FootnoteReference"/>
        </w:rPr>
        <w:footnoteRef/>
      </w:r>
      <w:r>
        <w:t xml:space="preserve"> Ibid. </w:t>
      </w:r>
    </w:p>
  </w:footnote>
  <w:footnote w:id="74">
    <w:p w14:paraId="58FA9FDC" w14:textId="6DFF03E7" w:rsidR="00A35CC1" w:rsidRDefault="00A35CC1">
      <w:pPr>
        <w:pStyle w:val="FootnoteText"/>
      </w:pPr>
      <w:r>
        <w:rPr>
          <w:rStyle w:val="FootnoteReference"/>
        </w:rPr>
        <w:footnoteRef/>
      </w:r>
      <w:r>
        <w:t xml:space="preserve"> </w:t>
      </w:r>
      <w:r w:rsidR="00D66DD3">
        <w:t>Coggins and Krupp, p. 102.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480065"/>
      <w:docPartObj>
        <w:docPartGallery w:val="Page Numbers (Top of Page)"/>
        <w:docPartUnique/>
      </w:docPartObj>
    </w:sdtPr>
    <w:sdtEndPr>
      <w:rPr>
        <w:noProof/>
      </w:rPr>
    </w:sdtEndPr>
    <w:sdtContent>
      <w:p w14:paraId="393DF821" w14:textId="4F1A86F6" w:rsidR="00B74A1A" w:rsidRDefault="00B74A1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D4D3A7" w14:textId="0692651F" w:rsidR="00B74A1A" w:rsidRDefault="00B74A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2E1"/>
    <w:rsid w:val="00002E71"/>
    <w:rsid w:val="00002F85"/>
    <w:rsid w:val="00005983"/>
    <w:rsid w:val="00013A74"/>
    <w:rsid w:val="00014430"/>
    <w:rsid w:val="000357C8"/>
    <w:rsid w:val="00050692"/>
    <w:rsid w:val="00053B82"/>
    <w:rsid w:val="00070FE5"/>
    <w:rsid w:val="00076A90"/>
    <w:rsid w:val="000802E1"/>
    <w:rsid w:val="00087717"/>
    <w:rsid w:val="0009052F"/>
    <w:rsid w:val="00090AEE"/>
    <w:rsid w:val="00090E7E"/>
    <w:rsid w:val="000933D3"/>
    <w:rsid w:val="000964D3"/>
    <w:rsid w:val="000A0565"/>
    <w:rsid w:val="000A303B"/>
    <w:rsid w:val="000C1969"/>
    <w:rsid w:val="000C1D4E"/>
    <w:rsid w:val="000D20DE"/>
    <w:rsid w:val="000D21B5"/>
    <w:rsid w:val="000D4769"/>
    <w:rsid w:val="000D5CFC"/>
    <w:rsid w:val="000F0D27"/>
    <w:rsid w:val="000F67E7"/>
    <w:rsid w:val="0010627C"/>
    <w:rsid w:val="001133BB"/>
    <w:rsid w:val="00113D17"/>
    <w:rsid w:val="00115590"/>
    <w:rsid w:val="0012140F"/>
    <w:rsid w:val="00122C90"/>
    <w:rsid w:val="00132720"/>
    <w:rsid w:val="001335CC"/>
    <w:rsid w:val="0013439A"/>
    <w:rsid w:val="001369DA"/>
    <w:rsid w:val="001431DD"/>
    <w:rsid w:val="00143716"/>
    <w:rsid w:val="0015138D"/>
    <w:rsid w:val="00152352"/>
    <w:rsid w:val="001545DB"/>
    <w:rsid w:val="00154CBC"/>
    <w:rsid w:val="0016058A"/>
    <w:rsid w:val="00166465"/>
    <w:rsid w:val="001704BA"/>
    <w:rsid w:val="00173C29"/>
    <w:rsid w:val="00181C0B"/>
    <w:rsid w:val="00187427"/>
    <w:rsid w:val="00187823"/>
    <w:rsid w:val="00191AB7"/>
    <w:rsid w:val="00195EC7"/>
    <w:rsid w:val="001A1BC5"/>
    <w:rsid w:val="001A3E89"/>
    <w:rsid w:val="001B6E0C"/>
    <w:rsid w:val="001D0179"/>
    <w:rsid w:val="001D63C5"/>
    <w:rsid w:val="001E1C44"/>
    <w:rsid w:val="001E2B4C"/>
    <w:rsid w:val="001E5C97"/>
    <w:rsid w:val="001E6070"/>
    <w:rsid w:val="001E77B6"/>
    <w:rsid w:val="001F1BD7"/>
    <w:rsid w:val="001F598A"/>
    <w:rsid w:val="001F7A34"/>
    <w:rsid w:val="00211A7C"/>
    <w:rsid w:val="00216A31"/>
    <w:rsid w:val="00222FF8"/>
    <w:rsid w:val="00226C5A"/>
    <w:rsid w:val="00227A74"/>
    <w:rsid w:val="002359EF"/>
    <w:rsid w:val="00250AB4"/>
    <w:rsid w:val="002532D5"/>
    <w:rsid w:val="00253CBC"/>
    <w:rsid w:val="00262950"/>
    <w:rsid w:val="00264DBB"/>
    <w:rsid w:val="002712B3"/>
    <w:rsid w:val="00273B04"/>
    <w:rsid w:val="00274651"/>
    <w:rsid w:val="0027765C"/>
    <w:rsid w:val="0028000A"/>
    <w:rsid w:val="0028036F"/>
    <w:rsid w:val="00282CEC"/>
    <w:rsid w:val="00291036"/>
    <w:rsid w:val="002927F4"/>
    <w:rsid w:val="00293F43"/>
    <w:rsid w:val="0029621E"/>
    <w:rsid w:val="00297081"/>
    <w:rsid w:val="002A2D9E"/>
    <w:rsid w:val="002A45EC"/>
    <w:rsid w:val="002B5839"/>
    <w:rsid w:val="002B7E5C"/>
    <w:rsid w:val="002C2925"/>
    <w:rsid w:val="002C50C7"/>
    <w:rsid w:val="002D1209"/>
    <w:rsid w:val="002D32B7"/>
    <w:rsid w:val="002D44D6"/>
    <w:rsid w:val="002E0AF1"/>
    <w:rsid w:val="002E2538"/>
    <w:rsid w:val="002E25A4"/>
    <w:rsid w:val="002F64E6"/>
    <w:rsid w:val="00304F8E"/>
    <w:rsid w:val="00305A14"/>
    <w:rsid w:val="0030684E"/>
    <w:rsid w:val="003068C5"/>
    <w:rsid w:val="00315EB4"/>
    <w:rsid w:val="003218AE"/>
    <w:rsid w:val="003248E4"/>
    <w:rsid w:val="00331DD7"/>
    <w:rsid w:val="00346D8E"/>
    <w:rsid w:val="00357EEB"/>
    <w:rsid w:val="00360442"/>
    <w:rsid w:val="00362BA1"/>
    <w:rsid w:val="00365635"/>
    <w:rsid w:val="0036613C"/>
    <w:rsid w:val="003711BD"/>
    <w:rsid w:val="003740D6"/>
    <w:rsid w:val="003801B8"/>
    <w:rsid w:val="00387A27"/>
    <w:rsid w:val="003936DC"/>
    <w:rsid w:val="003A2808"/>
    <w:rsid w:val="003A7EFD"/>
    <w:rsid w:val="003B1F21"/>
    <w:rsid w:val="003C474A"/>
    <w:rsid w:val="003D172A"/>
    <w:rsid w:val="003D2680"/>
    <w:rsid w:val="003E7AFC"/>
    <w:rsid w:val="003F50BD"/>
    <w:rsid w:val="0040589C"/>
    <w:rsid w:val="00406020"/>
    <w:rsid w:val="00406D97"/>
    <w:rsid w:val="00411E54"/>
    <w:rsid w:val="00412B21"/>
    <w:rsid w:val="00417DCC"/>
    <w:rsid w:val="00421D4A"/>
    <w:rsid w:val="00425C84"/>
    <w:rsid w:val="00425D12"/>
    <w:rsid w:val="00425FDE"/>
    <w:rsid w:val="004266AE"/>
    <w:rsid w:val="00426A81"/>
    <w:rsid w:val="00434755"/>
    <w:rsid w:val="00441D0B"/>
    <w:rsid w:val="00442C74"/>
    <w:rsid w:val="004476E6"/>
    <w:rsid w:val="00453896"/>
    <w:rsid w:val="00464B69"/>
    <w:rsid w:val="00467D0A"/>
    <w:rsid w:val="00470D5E"/>
    <w:rsid w:val="00470E84"/>
    <w:rsid w:val="004807FA"/>
    <w:rsid w:val="0049225B"/>
    <w:rsid w:val="004A0AE4"/>
    <w:rsid w:val="004A1F65"/>
    <w:rsid w:val="004B16C5"/>
    <w:rsid w:val="004C1BEC"/>
    <w:rsid w:val="004C225D"/>
    <w:rsid w:val="004C3E71"/>
    <w:rsid w:val="004C484B"/>
    <w:rsid w:val="004C72A8"/>
    <w:rsid w:val="004D4D6B"/>
    <w:rsid w:val="004D6152"/>
    <w:rsid w:val="004D7154"/>
    <w:rsid w:val="004E11C5"/>
    <w:rsid w:val="004E7C46"/>
    <w:rsid w:val="00500443"/>
    <w:rsid w:val="00520AE9"/>
    <w:rsid w:val="005327D2"/>
    <w:rsid w:val="005477A6"/>
    <w:rsid w:val="005477AA"/>
    <w:rsid w:val="00554926"/>
    <w:rsid w:val="0056242B"/>
    <w:rsid w:val="00563849"/>
    <w:rsid w:val="005657B5"/>
    <w:rsid w:val="00572CAF"/>
    <w:rsid w:val="00576CB2"/>
    <w:rsid w:val="00583AE2"/>
    <w:rsid w:val="00587F3B"/>
    <w:rsid w:val="00591A63"/>
    <w:rsid w:val="005A71F6"/>
    <w:rsid w:val="005A7AFE"/>
    <w:rsid w:val="005B12C0"/>
    <w:rsid w:val="005B63D3"/>
    <w:rsid w:val="005B7E37"/>
    <w:rsid w:val="005C04E6"/>
    <w:rsid w:val="005C23EE"/>
    <w:rsid w:val="005C668C"/>
    <w:rsid w:val="005D17AC"/>
    <w:rsid w:val="005D6BDD"/>
    <w:rsid w:val="005D7CDD"/>
    <w:rsid w:val="005E568F"/>
    <w:rsid w:val="005F22BB"/>
    <w:rsid w:val="00600FF3"/>
    <w:rsid w:val="00616CB6"/>
    <w:rsid w:val="006219E5"/>
    <w:rsid w:val="00621C25"/>
    <w:rsid w:val="006228A7"/>
    <w:rsid w:val="00622E36"/>
    <w:rsid w:val="00624A06"/>
    <w:rsid w:val="00627C58"/>
    <w:rsid w:val="00634A73"/>
    <w:rsid w:val="0063582A"/>
    <w:rsid w:val="006416A9"/>
    <w:rsid w:val="00643975"/>
    <w:rsid w:val="00647028"/>
    <w:rsid w:val="00650533"/>
    <w:rsid w:val="00653B93"/>
    <w:rsid w:val="006645D7"/>
    <w:rsid w:val="0066527A"/>
    <w:rsid w:val="00666E5A"/>
    <w:rsid w:val="0067555E"/>
    <w:rsid w:val="00681F27"/>
    <w:rsid w:val="00693483"/>
    <w:rsid w:val="00693C88"/>
    <w:rsid w:val="00697D1A"/>
    <w:rsid w:val="006A22ED"/>
    <w:rsid w:val="006B1947"/>
    <w:rsid w:val="006B76E5"/>
    <w:rsid w:val="006C64C4"/>
    <w:rsid w:val="006D67C4"/>
    <w:rsid w:val="006D79B2"/>
    <w:rsid w:val="006E36D2"/>
    <w:rsid w:val="006F0F04"/>
    <w:rsid w:val="006F1316"/>
    <w:rsid w:val="006F18DA"/>
    <w:rsid w:val="006F2F69"/>
    <w:rsid w:val="006F42CC"/>
    <w:rsid w:val="006F6E39"/>
    <w:rsid w:val="006F7BBF"/>
    <w:rsid w:val="00701206"/>
    <w:rsid w:val="00703655"/>
    <w:rsid w:val="00706460"/>
    <w:rsid w:val="00711F7C"/>
    <w:rsid w:val="00715567"/>
    <w:rsid w:val="00727D2B"/>
    <w:rsid w:val="007304DF"/>
    <w:rsid w:val="00740B2E"/>
    <w:rsid w:val="00740B6B"/>
    <w:rsid w:val="007419C6"/>
    <w:rsid w:val="00750A9E"/>
    <w:rsid w:val="0075314F"/>
    <w:rsid w:val="00770ADD"/>
    <w:rsid w:val="00771CF9"/>
    <w:rsid w:val="00772E64"/>
    <w:rsid w:val="007801A0"/>
    <w:rsid w:val="00780B1C"/>
    <w:rsid w:val="00780E81"/>
    <w:rsid w:val="007816CB"/>
    <w:rsid w:val="0079181A"/>
    <w:rsid w:val="00793481"/>
    <w:rsid w:val="00797B38"/>
    <w:rsid w:val="007A1F78"/>
    <w:rsid w:val="007A333D"/>
    <w:rsid w:val="007A5302"/>
    <w:rsid w:val="007B0B62"/>
    <w:rsid w:val="007B0F6B"/>
    <w:rsid w:val="007B5E3E"/>
    <w:rsid w:val="007E1A50"/>
    <w:rsid w:val="007F0FEF"/>
    <w:rsid w:val="007F7D9E"/>
    <w:rsid w:val="0080586A"/>
    <w:rsid w:val="00830854"/>
    <w:rsid w:val="008403EE"/>
    <w:rsid w:val="00841E47"/>
    <w:rsid w:val="00843307"/>
    <w:rsid w:val="00843AD5"/>
    <w:rsid w:val="008603AD"/>
    <w:rsid w:val="008604C5"/>
    <w:rsid w:val="00860AFD"/>
    <w:rsid w:val="008619CE"/>
    <w:rsid w:val="008646A1"/>
    <w:rsid w:val="00881A71"/>
    <w:rsid w:val="00892200"/>
    <w:rsid w:val="00892430"/>
    <w:rsid w:val="008956A3"/>
    <w:rsid w:val="008A4274"/>
    <w:rsid w:val="008A5EB9"/>
    <w:rsid w:val="008B6EB6"/>
    <w:rsid w:val="00902B67"/>
    <w:rsid w:val="009041A2"/>
    <w:rsid w:val="00912634"/>
    <w:rsid w:val="00925AB3"/>
    <w:rsid w:val="00944BFF"/>
    <w:rsid w:val="00946A81"/>
    <w:rsid w:val="00956313"/>
    <w:rsid w:val="00960B8B"/>
    <w:rsid w:val="0096136A"/>
    <w:rsid w:val="00965D76"/>
    <w:rsid w:val="00966A11"/>
    <w:rsid w:val="00977D70"/>
    <w:rsid w:val="00987F17"/>
    <w:rsid w:val="009B5002"/>
    <w:rsid w:val="009C3314"/>
    <w:rsid w:val="009C6522"/>
    <w:rsid w:val="009C7871"/>
    <w:rsid w:val="009D1B8E"/>
    <w:rsid w:val="009D33E6"/>
    <w:rsid w:val="009D797A"/>
    <w:rsid w:val="009F7390"/>
    <w:rsid w:val="00A005DC"/>
    <w:rsid w:val="00A06C33"/>
    <w:rsid w:val="00A10642"/>
    <w:rsid w:val="00A10F55"/>
    <w:rsid w:val="00A1159D"/>
    <w:rsid w:val="00A12014"/>
    <w:rsid w:val="00A16599"/>
    <w:rsid w:val="00A21352"/>
    <w:rsid w:val="00A2237B"/>
    <w:rsid w:val="00A23937"/>
    <w:rsid w:val="00A2577F"/>
    <w:rsid w:val="00A35CC1"/>
    <w:rsid w:val="00A37C62"/>
    <w:rsid w:val="00A44603"/>
    <w:rsid w:val="00A45288"/>
    <w:rsid w:val="00A45E9B"/>
    <w:rsid w:val="00A53A17"/>
    <w:rsid w:val="00A611D3"/>
    <w:rsid w:val="00A7132A"/>
    <w:rsid w:val="00A72774"/>
    <w:rsid w:val="00A72EDF"/>
    <w:rsid w:val="00A7548D"/>
    <w:rsid w:val="00A7659A"/>
    <w:rsid w:val="00A77D7C"/>
    <w:rsid w:val="00A91C3F"/>
    <w:rsid w:val="00A9791B"/>
    <w:rsid w:val="00A97C4A"/>
    <w:rsid w:val="00AA2D21"/>
    <w:rsid w:val="00AA6FFD"/>
    <w:rsid w:val="00AA798A"/>
    <w:rsid w:val="00AC32C0"/>
    <w:rsid w:val="00AC3B62"/>
    <w:rsid w:val="00AC7186"/>
    <w:rsid w:val="00AD2FDC"/>
    <w:rsid w:val="00AD7A13"/>
    <w:rsid w:val="00AE01DC"/>
    <w:rsid w:val="00AE2016"/>
    <w:rsid w:val="00AE7067"/>
    <w:rsid w:val="00AF3CD5"/>
    <w:rsid w:val="00AF5330"/>
    <w:rsid w:val="00AF5CEB"/>
    <w:rsid w:val="00B00936"/>
    <w:rsid w:val="00B04A33"/>
    <w:rsid w:val="00B168FB"/>
    <w:rsid w:val="00B21CDA"/>
    <w:rsid w:val="00B25256"/>
    <w:rsid w:val="00B25CC4"/>
    <w:rsid w:val="00B33104"/>
    <w:rsid w:val="00B346BB"/>
    <w:rsid w:val="00B3658B"/>
    <w:rsid w:val="00B41FF1"/>
    <w:rsid w:val="00B4365A"/>
    <w:rsid w:val="00B45E6B"/>
    <w:rsid w:val="00B46C82"/>
    <w:rsid w:val="00B566BA"/>
    <w:rsid w:val="00B6617C"/>
    <w:rsid w:val="00B6693E"/>
    <w:rsid w:val="00B733E9"/>
    <w:rsid w:val="00B74A1A"/>
    <w:rsid w:val="00B8122A"/>
    <w:rsid w:val="00B87073"/>
    <w:rsid w:val="00BB4107"/>
    <w:rsid w:val="00BB62AA"/>
    <w:rsid w:val="00BC3A76"/>
    <w:rsid w:val="00BC481E"/>
    <w:rsid w:val="00BD0A0A"/>
    <w:rsid w:val="00BE12B6"/>
    <w:rsid w:val="00BE1E36"/>
    <w:rsid w:val="00BE2E18"/>
    <w:rsid w:val="00BE5BE0"/>
    <w:rsid w:val="00BF6053"/>
    <w:rsid w:val="00BF6413"/>
    <w:rsid w:val="00C01537"/>
    <w:rsid w:val="00C0285C"/>
    <w:rsid w:val="00C13335"/>
    <w:rsid w:val="00C1769A"/>
    <w:rsid w:val="00C2293E"/>
    <w:rsid w:val="00C27926"/>
    <w:rsid w:val="00C44203"/>
    <w:rsid w:val="00C44CB1"/>
    <w:rsid w:val="00C80160"/>
    <w:rsid w:val="00C83C4F"/>
    <w:rsid w:val="00C84ED3"/>
    <w:rsid w:val="00C860DA"/>
    <w:rsid w:val="00C86402"/>
    <w:rsid w:val="00C96C25"/>
    <w:rsid w:val="00C97594"/>
    <w:rsid w:val="00CA3AD5"/>
    <w:rsid w:val="00CA502E"/>
    <w:rsid w:val="00CA5181"/>
    <w:rsid w:val="00CB4BFF"/>
    <w:rsid w:val="00CB60E3"/>
    <w:rsid w:val="00CC5720"/>
    <w:rsid w:val="00CC6429"/>
    <w:rsid w:val="00CE540C"/>
    <w:rsid w:val="00CE6587"/>
    <w:rsid w:val="00CF3150"/>
    <w:rsid w:val="00CF7453"/>
    <w:rsid w:val="00D036C6"/>
    <w:rsid w:val="00D03E19"/>
    <w:rsid w:val="00D17229"/>
    <w:rsid w:val="00D217C4"/>
    <w:rsid w:val="00D3105B"/>
    <w:rsid w:val="00D34CE1"/>
    <w:rsid w:val="00D5044A"/>
    <w:rsid w:val="00D51B0C"/>
    <w:rsid w:val="00D52C3A"/>
    <w:rsid w:val="00D539F3"/>
    <w:rsid w:val="00D544AD"/>
    <w:rsid w:val="00D609A8"/>
    <w:rsid w:val="00D66DD3"/>
    <w:rsid w:val="00D70947"/>
    <w:rsid w:val="00D70B61"/>
    <w:rsid w:val="00D7156A"/>
    <w:rsid w:val="00D847F8"/>
    <w:rsid w:val="00D922FF"/>
    <w:rsid w:val="00D9420D"/>
    <w:rsid w:val="00D94584"/>
    <w:rsid w:val="00D97BFA"/>
    <w:rsid w:val="00DA52B3"/>
    <w:rsid w:val="00DA6DC4"/>
    <w:rsid w:val="00DB57AD"/>
    <w:rsid w:val="00DB6064"/>
    <w:rsid w:val="00DC335F"/>
    <w:rsid w:val="00DC5313"/>
    <w:rsid w:val="00DD4A2C"/>
    <w:rsid w:val="00DD7044"/>
    <w:rsid w:val="00DE0390"/>
    <w:rsid w:val="00DE7751"/>
    <w:rsid w:val="00DF70D5"/>
    <w:rsid w:val="00E031C8"/>
    <w:rsid w:val="00E0765F"/>
    <w:rsid w:val="00E125E9"/>
    <w:rsid w:val="00E25DC9"/>
    <w:rsid w:val="00E43337"/>
    <w:rsid w:val="00E448ED"/>
    <w:rsid w:val="00E534CD"/>
    <w:rsid w:val="00E672CF"/>
    <w:rsid w:val="00E67E50"/>
    <w:rsid w:val="00E705CD"/>
    <w:rsid w:val="00E721DF"/>
    <w:rsid w:val="00E7266C"/>
    <w:rsid w:val="00E73202"/>
    <w:rsid w:val="00E73C0D"/>
    <w:rsid w:val="00E7497A"/>
    <w:rsid w:val="00E75B20"/>
    <w:rsid w:val="00E84DA6"/>
    <w:rsid w:val="00E852DE"/>
    <w:rsid w:val="00E93810"/>
    <w:rsid w:val="00E9385C"/>
    <w:rsid w:val="00EA327B"/>
    <w:rsid w:val="00EA4EDD"/>
    <w:rsid w:val="00EA60F7"/>
    <w:rsid w:val="00EB08C4"/>
    <w:rsid w:val="00EB18B7"/>
    <w:rsid w:val="00EB1F6D"/>
    <w:rsid w:val="00EB728E"/>
    <w:rsid w:val="00EB78A6"/>
    <w:rsid w:val="00EC03E0"/>
    <w:rsid w:val="00EC47EA"/>
    <w:rsid w:val="00EC5591"/>
    <w:rsid w:val="00ED3FDF"/>
    <w:rsid w:val="00ED58AF"/>
    <w:rsid w:val="00EE0BFA"/>
    <w:rsid w:val="00EE5009"/>
    <w:rsid w:val="00EF0AAA"/>
    <w:rsid w:val="00EF5E24"/>
    <w:rsid w:val="00EF6F93"/>
    <w:rsid w:val="00F02EFE"/>
    <w:rsid w:val="00F034EF"/>
    <w:rsid w:val="00F222C5"/>
    <w:rsid w:val="00F232D7"/>
    <w:rsid w:val="00F239FC"/>
    <w:rsid w:val="00F4165A"/>
    <w:rsid w:val="00F42227"/>
    <w:rsid w:val="00F5552C"/>
    <w:rsid w:val="00F5583C"/>
    <w:rsid w:val="00F55D16"/>
    <w:rsid w:val="00F63032"/>
    <w:rsid w:val="00F728E3"/>
    <w:rsid w:val="00F77667"/>
    <w:rsid w:val="00F85044"/>
    <w:rsid w:val="00F86D10"/>
    <w:rsid w:val="00F900BC"/>
    <w:rsid w:val="00F91460"/>
    <w:rsid w:val="00F96CA7"/>
    <w:rsid w:val="00F97001"/>
    <w:rsid w:val="00FA0187"/>
    <w:rsid w:val="00FA2138"/>
    <w:rsid w:val="00FB0AEA"/>
    <w:rsid w:val="00FB4480"/>
    <w:rsid w:val="00FC0B3C"/>
    <w:rsid w:val="00FC76DD"/>
    <w:rsid w:val="00FD214F"/>
    <w:rsid w:val="00FE26A9"/>
    <w:rsid w:val="00FF0BB8"/>
    <w:rsid w:val="00FF2441"/>
    <w:rsid w:val="00FF2922"/>
    <w:rsid w:val="00FF687C"/>
    <w:rsid w:val="00FF7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5A2EB"/>
  <w15:chartTrackingRefBased/>
  <w15:docId w15:val="{41BC3880-B97F-46B4-93B2-1394F062E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A1A"/>
  </w:style>
  <w:style w:type="paragraph" w:styleId="Footer">
    <w:name w:val="footer"/>
    <w:basedOn w:val="Normal"/>
    <w:link w:val="FooterChar"/>
    <w:uiPriority w:val="99"/>
    <w:unhideWhenUsed/>
    <w:rsid w:val="00B74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A1A"/>
  </w:style>
  <w:style w:type="paragraph" w:styleId="FootnoteText">
    <w:name w:val="footnote text"/>
    <w:basedOn w:val="Normal"/>
    <w:link w:val="FootnoteTextChar"/>
    <w:uiPriority w:val="99"/>
    <w:semiHidden/>
    <w:unhideWhenUsed/>
    <w:rsid w:val="00AC3B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3B62"/>
    <w:rPr>
      <w:sz w:val="20"/>
      <w:szCs w:val="20"/>
    </w:rPr>
  </w:style>
  <w:style w:type="character" w:styleId="FootnoteReference">
    <w:name w:val="footnote reference"/>
    <w:basedOn w:val="DefaultParagraphFont"/>
    <w:uiPriority w:val="99"/>
    <w:semiHidden/>
    <w:unhideWhenUsed/>
    <w:rsid w:val="00AC3B62"/>
    <w:rPr>
      <w:vertAlign w:val="superscript"/>
    </w:rPr>
  </w:style>
  <w:style w:type="character" w:styleId="Hyperlink">
    <w:name w:val="Hyperlink"/>
    <w:basedOn w:val="DefaultParagraphFont"/>
    <w:uiPriority w:val="99"/>
    <w:unhideWhenUsed/>
    <w:rsid w:val="00AE01DC"/>
    <w:rPr>
      <w:color w:val="0563C1" w:themeColor="hyperlink"/>
      <w:u w:val="single"/>
    </w:rPr>
  </w:style>
  <w:style w:type="character" w:styleId="UnresolvedMention">
    <w:name w:val="Unresolved Mention"/>
    <w:basedOn w:val="DefaultParagraphFont"/>
    <w:uiPriority w:val="99"/>
    <w:semiHidden/>
    <w:unhideWhenUsed/>
    <w:rsid w:val="00AE0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66470">
      <w:bodyDiv w:val="1"/>
      <w:marLeft w:val="0"/>
      <w:marRight w:val="0"/>
      <w:marTop w:val="0"/>
      <w:marBottom w:val="0"/>
      <w:divBdr>
        <w:top w:val="none" w:sz="0" w:space="0" w:color="auto"/>
        <w:left w:val="none" w:sz="0" w:space="0" w:color="auto"/>
        <w:bottom w:val="none" w:sz="0" w:space="0" w:color="auto"/>
        <w:right w:val="none" w:sz="0" w:space="0" w:color="auto"/>
      </w:divBdr>
    </w:div>
    <w:div w:id="349064900">
      <w:bodyDiv w:val="1"/>
      <w:marLeft w:val="0"/>
      <w:marRight w:val="0"/>
      <w:marTop w:val="0"/>
      <w:marBottom w:val="0"/>
      <w:divBdr>
        <w:top w:val="none" w:sz="0" w:space="0" w:color="auto"/>
        <w:left w:val="none" w:sz="0" w:space="0" w:color="auto"/>
        <w:bottom w:val="none" w:sz="0" w:space="0" w:color="auto"/>
        <w:right w:val="none" w:sz="0" w:space="0" w:color="auto"/>
      </w:divBdr>
      <w:divsChild>
        <w:div w:id="1463884442">
          <w:marLeft w:val="0"/>
          <w:marRight w:val="0"/>
          <w:marTop w:val="0"/>
          <w:marBottom w:val="0"/>
          <w:divBdr>
            <w:top w:val="none" w:sz="0" w:space="0" w:color="auto"/>
            <w:left w:val="none" w:sz="0" w:space="0" w:color="auto"/>
            <w:bottom w:val="none" w:sz="0" w:space="0" w:color="auto"/>
            <w:right w:val="none" w:sz="0" w:space="0" w:color="auto"/>
          </w:divBdr>
          <w:divsChild>
            <w:div w:id="1163425099">
              <w:marLeft w:val="0"/>
              <w:marRight w:val="0"/>
              <w:marTop w:val="0"/>
              <w:marBottom w:val="0"/>
              <w:divBdr>
                <w:top w:val="none" w:sz="0" w:space="0" w:color="auto"/>
                <w:left w:val="none" w:sz="0" w:space="0" w:color="auto"/>
                <w:bottom w:val="none" w:sz="0" w:space="0" w:color="auto"/>
                <w:right w:val="none" w:sz="0" w:space="0" w:color="auto"/>
              </w:divBdr>
              <w:divsChild>
                <w:div w:id="689337614">
                  <w:marLeft w:val="480"/>
                  <w:marRight w:val="0"/>
                  <w:marTop w:val="0"/>
                  <w:marBottom w:val="0"/>
                  <w:divBdr>
                    <w:top w:val="none" w:sz="0" w:space="0" w:color="auto"/>
                    <w:left w:val="none" w:sz="0" w:space="0" w:color="auto"/>
                    <w:bottom w:val="none" w:sz="0" w:space="0" w:color="auto"/>
                    <w:right w:val="none" w:sz="0" w:space="0" w:color="auto"/>
                  </w:divBdr>
                  <w:divsChild>
                    <w:div w:id="164222878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662467531">
      <w:bodyDiv w:val="1"/>
      <w:marLeft w:val="0"/>
      <w:marRight w:val="0"/>
      <w:marTop w:val="0"/>
      <w:marBottom w:val="0"/>
      <w:divBdr>
        <w:top w:val="none" w:sz="0" w:space="0" w:color="auto"/>
        <w:left w:val="none" w:sz="0" w:space="0" w:color="auto"/>
        <w:bottom w:val="none" w:sz="0" w:space="0" w:color="auto"/>
        <w:right w:val="none" w:sz="0" w:space="0" w:color="auto"/>
      </w:divBdr>
    </w:div>
    <w:div w:id="988366818">
      <w:bodyDiv w:val="1"/>
      <w:marLeft w:val="0"/>
      <w:marRight w:val="0"/>
      <w:marTop w:val="0"/>
      <w:marBottom w:val="0"/>
      <w:divBdr>
        <w:top w:val="none" w:sz="0" w:space="0" w:color="auto"/>
        <w:left w:val="none" w:sz="0" w:space="0" w:color="auto"/>
        <w:bottom w:val="none" w:sz="0" w:space="0" w:color="auto"/>
        <w:right w:val="none" w:sz="0" w:space="0" w:color="auto"/>
      </w:divBdr>
      <w:divsChild>
        <w:div w:id="1756828525">
          <w:marLeft w:val="0"/>
          <w:marRight w:val="0"/>
          <w:marTop w:val="0"/>
          <w:marBottom w:val="0"/>
          <w:divBdr>
            <w:top w:val="none" w:sz="0" w:space="0" w:color="auto"/>
            <w:left w:val="none" w:sz="0" w:space="0" w:color="auto"/>
            <w:bottom w:val="none" w:sz="0" w:space="0" w:color="auto"/>
            <w:right w:val="none" w:sz="0" w:space="0" w:color="auto"/>
          </w:divBdr>
          <w:divsChild>
            <w:div w:id="914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j.ctt9qg5q5" TargetMode="External"/><Relationship Id="rId2" Type="http://schemas.openxmlformats.org/officeDocument/2006/relationships/hyperlink" Target="https://www.intechopen.com/chapters/54580" TargetMode="External"/><Relationship Id="rId1" Type="http://schemas.openxmlformats.org/officeDocument/2006/relationships/hyperlink" Target="https://www.britannica.com/topic/Maya-people" TargetMode="External"/><Relationship Id="rId4" Type="http://schemas.openxmlformats.org/officeDocument/2006/relationships/hyperlink" Target="https://www.mesoweb.com/publications/Christenson/PV-Liter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5" ma:contentTypeDescription="Create a new document." ma:contentTypeScope="" ma:versionID="684dd01313ae1e8d195ea57ed2cbca21">
  <xsd:schema xmlns:xsd="http://www.w3.org/2001/XMLSchema" xmlns:xs="http://www.w3.org/2001/XMLSchema" xmlns:p="http://schemas.microsoft.com/office/2006/metadata/properties" xmlns:ns3="2185e222-3c8d-40d1-8655-532d5209bd26" targetNamespace="http://schemas.microsoft.com/office/2006/metadata/properties" ma:root="true" ma:fieldsID="4044e674a6c7208d38d1353ccd4c6678"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ADD15-C110-424F-953F-7868F4A582AA}">
  <ds:schemaRefs>
    <ds:schemaRef ds:uri="http://www.w3.org/XML/1998/namespace"/>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2185e222-3c8d-40d1-8655-532d5209bd26"/>
    <ds:schemaRef ds:uri="http://purl.org/dc/terms/"/>
  </ds:schemaRefs>
</ds:datastoreItem>
</file>

<file path=customXml/itemProps2.xml><?xml version="1.0" encoding="utf-8"?>
<ds:datastoreItem xmlns:ds="http://schemas.openxmlformats.org/officeDocument/2006/customXml" ds:itemID="{699524E3-4960-4E4A-9D27-F284E928487A}">
  <ds:schemaRefs>
    <ds:schemaRef ds:uri="http://schemas.microsoft.com/sharepoint/v3/contenttype/forms"/>
  </ds:schemaRefs>
</ds:datastoreItem>
</file>

<file path=customXml/itemProps3.xml><?xml version="1.0" encoding="utf-8"?>
<ds:datastoreItem xmlns:ds="http://schemas.openxmlformats.org/officeDocument/2006/customXml" ds:itemID="{FC330EA8-031F-4374-94BB-41491A745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4581EB-C7CD-424F-8D0F-E304FB6F7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3167</Words>
  <Characters>18055</Characters>
  <Application>Microsoft Office Word</Application>
  <DocSecurity>0</DocSecurity>
  <Lines>150</Lines>
  <Paragraphs>42</Paragraphs>
  <ScaleCrop>false</ScaleCrop>
  <Company/>
  <LinksUpToDate>false</LinksUpToDate>
  <CharactersWithSpaces>21180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Ayeshah Lalloo (2124407)</dc:creator>
  <cp:keywords/>
  <dc:description/>
  <cp:lastModifiedBy>Ayeshah Lalloo</cp:lastModifiedBy>
  <cp:revision>2</cp:revision>
  <dcterms:created xsi:type="dcterms:W3CDTF">2023-01-09T22:18:00Z</dcterms:created>
  <dcterms:modified xsi:type="dcterms:W3CDTF">2023-01-09T22:18:00Z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