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A74441" w14:textId="77777777" w:rsidR="00B52ADA" w:rsidRPr="00B52ADA" w:rsidRDefault="00B52ADA" w:rsidP="00B52ADA">
      <w:pPr>
        <w:widowControl/>
        <w:spacing w:line="360" w:lineRule="auto"/>
        <w:jc w:val="left"/>
        <w:rPr>
          <w:rFonts w:asciiTheme="minorBidi" w:hAnsiTheme="minorBidi"/>
          <w:sz w:val="24"/>
          <w:szCs w:val="32"/>
        </w:rPr>
      </w:pPr>
    </w:p>
    <w:p w14:paraId="61F154C9" w14:textId="77777777" w:rsidR="00B52ADA" w:rsidRPr="00B52ADA" w:rsidRDefault="00B52ADA" w:rsidP="00B52ADA">
      <w:pPr>
        <w:widowControl/>
        <w:spacing w:line="360" w:lineRule="auto"/>
        <w:jc w:val="left"/>
        <w:rPr>
          <w:rFonts w:asciiTheme="minorBidi" w:hAnsiTheme="minorBidi"/>
          <w:sz w:val="24"/>
          <w:szCs w:val="32"/>
        </w:rPr>
      </w:pPr>
    </w:p>
    <w:p w14:paraId="1985E52C" w14:textId="77777777" w:rsidR="00B52ADA" w:rsidRPr="00B52ADA" w:rsidRDefault="00B52ADA" w:rsidP="00B52ADA">
      <w:pPr>
        <w:widowControl/>
        <w:spacing w:line="360" w:lineRule="auto"/>
        <w:jc w:val="left"/>
        <w:rPr>
          <w:rFonts w:asciiTheme="minorBidi" w:hAnsiTheme="minorBidi"/>
          <w:sz w:val="24"/>
          <w:szCs w:val="32"/>
        </w:rPr>
      </w:pPr>
    </w:p>
    <w:p w14:paraId="0F716CA8" w14:textId="77777777" w:rsidR="00B52ADA" w:rsidRPr="00B52ADA" w:rsidRDefault="00B52ADA" w:rsidP="00B52ADA">
      <w:pPr>
        <w:widowControl/>
        <w:spacing w:line="360" w:lineRule="auto"/>
        <w:jc w:val="left"/>
        <w:rPr>
          <w:rFonts w:asciiTheme="minorBidi" w:hAnsiTheme="minorBidi"/>
          <w:sz w:val="24"/>
          <w:szCs w:val="32"/>
        </w:rPr>
      </w:pPr>
    </w:p>
    <w:p w14:paraId="1C915EF9" w14:textId="77777777" w:rsidR="00B52ADA" w:rsidRPr="00B52ADA" w:rsidRDefault="00B52ADA" w:rsidP="00B52ADA">
      <w:pPr>
        <w:widowControl/>
        <w:spacing w:line="360" w:lineRule="auto"/>
        <w:jc w:val="left"/>
        <w:rPr>
          <w:rFonts w:asciiTheme="minorBidi" w:hAnsiTheme="minorBidi"/>
          <w:sz w:val="24"/>
          <w:szCs w:val="32"/>
        </w:rPr>
      </w:pPr>
    </w:p>
    <w:p w14:paraId="4AF4CBE5" w14:textId="77777777" w:rsidR="00B52ADA" w:rsidRPr="00B52ADA" w:rsidRDefault="00B52ADA" w:rsidP="00B52ADA">
      <w:pPr>
        <w:widowControl/>
        <w:spacing w:line="360" w:lineRule="auto"/>
        <w:jc w:val="left"/>
        <w:rPr>
          <w:rFonts w:asciiTheme="minorBidi" w:hAnsiTheme="minorBidi"/>
          <w:sz w:val="24"/>
          <w:szCs w:val="32"/>
        </w:rPr>
      </w:pPr>
    </w:p>
    <w:p w14:paraId="02941E61" w14:textId="747C7335" w:rsidR="00B52ADA" w:rsidRPr="00FC5295" w:rsidRDefault="001E59DA" w:rsidP="001E59DA">
      <w:pPr>
        <w:widowControl/>
        <w:spacing w:line="360" w:lineRule="auto"/>
        <w:jc w:val="center"/>
        <w:rPr>
          <w:rFonts w:asciiTheme="minorBidi" w:hAnsiTheme="minorBidi"/>
          <w:sz w:val="44"/>
          <w:szCs w:val="52"/>
        </w:rPr>
      </w:pPr>
      <w:r w:rsidRPr="001E59DA">
        <w:rPr>
          <w:rFonts w:asciiTheme="minorBidi" w:hAnsiTheme="minorBidi"/>
          <w:sz w:val="44"/>
          <w:szCs w:val="52"/>
        </w:rPr>
        <w:t>An essay on exploration of cultural differences in business ethics</w:t>
      </w:r>
    </w:p>
    <w:p w14:paraId="6598DF11" w14:textId="77777777" w:rsidR="00B52ADA" w:rsidRDefault="00B52ADA" w:rsidP="00B52ADA">
      <w:pPr>
        <w:widowControl/>
        <w:spacing w:line="360" w:lineRule="auto"/>
        <w:jc w:val="center"/>
        <w:rPr>
          <w:rFonts w:asciiTheme="minorBidi" w:hAnsiTheme="minorBidi"/>
          <w:sz w:val="24"/>
          <w:szCs w:val="32"/>
        </w:rPr>
      </w:pPr>
    </w:p>
    <w:p w14:paraId="0BC99CAB" w14:textId="77777777" w:rsidR="001E59DA" w:rsidRPr="001E59DA" w:rsidRDefault="001E59DA" w:rsidP="00B52ADA">
      <w:pPr>
        <w:widowControl/>
        <w:spacing w:line="360" w:lineRule="auto"/>
        <w:jc w:val="center"/>
        <w:rPr>
          <w:rFonts w:asciiTheme="minorBidi" w:hAnsiTheme="minorBidi"/>
          <w:sz w:val="24"/>
          <w:szCs w:val="32"/>
        </w:rPr>
      </w:pPr>
    </w:p>
    <w:p w14:paraId="3C090967" w14:textId="77777777" w:rsidR="00B52ADA" w:rsidRPr="00FC5295" w:rsidRDefault="00B52ADA" w:rsidP="00B52ADA">
      <w:pPr>
        <w:widowControl/>
        <w:spacing w:line="360" w:lineRule="auto"/>
        <w:jc w:val="center"/>
        <w:rPr>
          <w:rFonts w:asciiTheme="minorBidi" w:hAnsiTheme="minorBidi"/>
          <w:sz w:val="24"/>
          <w:szCs w:val="32"/>
        </w:rPr>
      </w:pPr>
    </w:p>
    <w:p w14:paraId="0A265F40" w14:textId="3177F9D2" w:rsidR="00B52ADA" w:rsidRPr="00580748" w:rsidRDefault="00B52ADA" w:rsidP="00B52ADA">
      <w:pPr>
        <w:widowControl/>
        <w:spacing w:line="360" w:lineRule="auto"/>
        <w:jc w:val="center"/>
        <w:rPr>
          <w:rFonts w:asciiTheme="minorBidi" w:hAnsiTheme="minorBidi"/>
          <w:sz w:val="24"/>
          <w:szCs w:val="32"/>
        </w:rPr>
      </w:pPr>
      <w:r w:rsidRPr="00580748">
        <w:rPr>
          <w:rFonts w:asciiTheme="minorBidi" w:hAnsiTheme="minorBidi"/>
          <w:sz w:val="24"/>
          <w:szCs w:val="32"/>
        </w:rPr>
        <w:t>BMBM60</w:t>
      </w:r>
      <w:r w:rsidR="00FC5295" w:rsidRPr="00580748">
        <w:rPr>
          <w:rFonts w:asciiTheme="minorBidi" w:hAnsiTheme="minorBidi"/>
          <w:sz w:val="24"/>
          <w:szCs w:val="32"/>
        </w:rPr>
        <w:t>0</w:t>
      </w:r>
      <w:r w:rsidR="00580748">
        <w:rPr>
          <w:rFonts w:asciiTheme="minorBidi" w:hAnsiTheme="minorBidi"/>
          <w:sz w:val="24"/>
          <w:szCs w:val="32"/>
        </w:rPr>
        <w:t>8</w:t>
      </w:r>
    </w:p>
    <w:p w14:paraId="40D453A0" w14:textId="77777777" w:rsidR="00B52ADA" w:rsidRPr="00580748" w:rsidRDefault="00B52ADA" w:rsidP="00B52ADA">
      <w:pPr>
        <w:widowControl/>
        <w:spacing w:line="360" w:lineRule="auto"/>
        <w:jc w:val="center"/>
        <w:rPr>
          <w:rFonts w:asciiTheme="minorBidi" w:hAnsiTheme="minorBidi"/>
          <w:sz w:val="24"/>
          <w:szCs w:val="32"/>
        </w:rPr>
      </w:pPr>
    </w:p>
    <w:p w14:paraId="2CC051BA" w14:textId="2250D228" w:rsidR="00B52ADA" w:rsidRPr="00580748" w:rsidRDefault="00FC5295" w:rsidP="00B52ADA">
      <w:pPr>
        <w:widowControl/>
        <w:spacing w:line="360" w:lineRule="auto"/>
        <w:jc w:val="center"/>
        <w:rPr>
          <w:rFonts w:asciiTheme="minorBidi" w:hAnsiTheme="minorBidi"/>
          <w:sz w:val="24"/>
          <w:szCs w:val="32"/>
        </w:rPr>
      </w:pPr>
      <w:r w:rsidRPr="00580748">
        <w:rPr>
          <w:rFonts w:asciiTheme="minorBidi" w:hAnsiTheme="minorBidi"/>
          <w:sz w:val="24"/>
          <w:szCs w:val="32"/>
        </w:rPr>
        <w:t>Global Ethics</w:t>
      </w:r>
    </w:p>
    <w:p w14:paraId="7442303B" w14:textId="77777777" w:rsidR="00B52ADA" w:rsidRPr="00580748" w:rsidRDefault="00B52ADA" w:rsidP="00B52ADA">
      <w:pPr>
        <w:widowControl/>
        <w:spacing w:line="360" w:lineRule="auto"/>
        <w:jc w:val="center"/>
        <w:rPr>
          <w:rFonts w:asciiTheme="minorBidi" w:hAnsiTheme="minorBidi"/>
          <w:sz w:val="24"/>
          <w:szCs w:val="32"/>
        </w:rPr>
      </w:pPr>
    </w:p>
    <w:p w14:paraId="1D15282F" w14:textId="68358D11" w:rsidR="00B52ADA" w:rsidRPr="00580748" w:rsidRDefault="00B52ADA" w:rsidP="00B52ADA">
      <w:pPr>
        <w:widowControl/>
        <w:spacing w:line="360" w:lineRule="auto"/>
        <w:jc w:val="center"/>
        <w:rPr>
          <w:rFonts w:asciiTheme="minorBidi" w:hAnsiTheme="minorBidi"/>
          <w:sz w:val="24"/>
          <w:szCs w:val="32"/>
        </w:rPr>
      </w:pPr>
      <w:r w:rsidRPr="00580748">
        <w:rPr>
          <w:rFonts w:asciiTheme="minorBidi" w:hAnsiTheme="minorBidi"/>
          <w:sz w:val="24"/>
          <w:szCs w:val="32"/>
        </w:rPr>
        <w:t xml:space="preserve">Lecturer: </w:t>
      </w:r>
      <w:proofErr w:type="spellStart"/>
      <w:r w:rsidR="00FC5295" w:rsidRPr="00580748">
        <w:rPr>
          <w:rFonts w:ascii="Arial" w:hAnsi="Arial" w:cs="Arial"/>
          <w:bCs/>
          <w:sz w:val="22"/>
          <w:szCs w:val="22"/>
        </w:rPr>
        <w:t>Arpu</w:t>
      </w:r>
      <w:proofErr w:type="spellEnd"/>
      <w:r w:rsidR="00FC5295" w:rsidRPr="00580748">
        <w:rPr>
          <w:rFonts w:ascii="Arial" w:hAnsi="Arial" w:cs="Arial"/>
          <w:bCs/>
          <w:sz w:val="22"/>
          <w:szCs w:val="22"/>
        </w:rPr>
        <w:t xml:space="preserve"> Kumar</w:t>
      </w:r>
    </w:p>
    <w:p w14:paraId="0858A0C4" w14:textId="77777777" w:rsidR="00B52ADA" w:rsidRPr="00580748" w:rsidRDefault="00B52ADA" w:rsidP="00B52ADA">
      <w:pPr>
        <w:widowControl/>
        <w:spacing w:line="360" w:lineRule="auto"/>
        <w:jc w:val="center"/>
        <w:rPr>
          <w:rFonts w:asciiTheme="minorBidi" w:hAnsiTheme="minorBidi"/>
          <w:sz w:val="24"/>
          <w:szCs w:val="32"/>
        </w:rPr>
      </w:pPr>
    </w:p>
    <w:p w14:paraId="45FE3A46" w14:textId="0C52E5A8" w:rsidR="00B52ADA" w:rsidRPr="00FC5295" w:rsidRDefault="00B52ADA" w:rsidP="00B52ADA">
      <w:pPr>
        <w:widowControl/>
        <w:spacing w:line="360" w:lineRule="auto"/>
        <w:jc w:val="center"/>
        <w:rPr>
          <w:rFonts w:asciiTheme="minorBidi" w:hAnsiTheme="minorBidi"/>
          <w:sz w:val="24"/>
          <w:szCs w:val="32"/>
        </w:rPr>
      </w:pPr>
      <w:r w:rsidRPr="00FC5295">
        <w:rPr>
          <w:rFonts w:asciiTheme="minorBidi" w:hAnsiTheme="minorBidi"/>
          <w:sz w:val="24"/>
          <w:szCs w:val="32"/>
        </w:rPr>
        <w:t>Student Name: Yuwei LIU</w:t>
      </w:r>
    </w:p>
    <w:p w14:paraId="5AEE7222" w14:textId="77777777" w:rsidR="00B52ADA" w:rsidRPr="00FC5295" w:rsidRDefault="00B52ADA" w:rsidP="00B52ADA">
      <w:pPr>
        <w:widowControl/>
        <w:spacing w:line="360" w:lineRule="auto"/>
        <w:jc w:val="center"/>
        <w:rPr>
          <w:rFonts w:asciiTheme="minorBidi" w:hAnsiTheme="minorBidi"/>
          <w:sz w:val="24"/>
          <w:szCs w:val="32"/>
        </w:rPr>
      </w:pPr>
    </w:p>
    <w:p w14:paraId="1BE8C74E" w14:textId="7125530C" w:rsidR="00B52ADA" w:rsidRPr="00FC5295" w:rsidRDefault="00B52ADA" w:rsidP="00B52ADA">
      <w:pPr>
        <w:widowControl/>
        <w:spacing w:line="360" w:lineRule="auto"/>
        <w:jc w:val="center"/>
        <w:rPr>
          <w:rFonts w:asciiTheme="minorBidi" w:hAnsiTheme="minorBidi"/>
          <w:sz w:val="24"/>
          <w:szCs w:val="32"/>
        </w:rPr>
      </w:pPr>
      <w:r w:rsidRPr="00FC5295">
        <w:rPr>
          <w:rFonts w:asciiTheme="minorBidi" w:hAnsiTheme="minorBidi"/>
          <w:sz w:val="24"/>
          <w:szCs w:val="32"/>
        </w:rPr>
        <w:t>Student ID Number: 2414567</w:t>
      </w:r>
    </w:p>
    <w:p w14:paraId="79B75376" w14:textId="77777777" w:rsidR="00B52ADA" w:rsidRPr="00FC5295" w:rsidRDefault="00B52ADA" w:rsidP="00B52ADA">
      <w:pPr>
        <w:widowControl/>
        <w:spacing w:line="360" w:lineRule="auto"/>
        <w:jc w:val="center"/>
        <w:rPr>
          <w:rFonts w:asciiTheme="minorBidi" w:hAnsiTheme="minorBidi"/>
          <w:sz w:val="24"/>
          <w:szCs w:val="32"/>
        </w:rPr>
      </w:pPr>
    </w:p>
    <w:p w14:paraId="5813118C" w14:textId="77777777" w:rsidR="00B52ADA" w:rsidRPr="00FC5295" w:rsidRDefault="00B52ADA" w:rsidP="00B52ADA">
      <w:pPr>
        <w:widowControl/>
        <w:spacing w:line="360" w:lineRule="auto"/>
        <w:jc w:val="center"/>
        <w:rPr>
          <w:rFonts w:asciiTheme="minorBidi" w:hAnsiTheme="minorBidi"/>
          <w:sz w:val="24"/>
          <w:szCs w:val="32"/>
        </w:rPr>
      </w:pPr>
    </w:p>
    <w:p w14:paraId="23F76902" w14:textId="77777777" w:rsidR="00B52ADA" w:rsidRPr="00FC5295" w:rsidRDefault="00B52ADA" w:rsidP="00B52ADA">
      <w:pPr>
        <w:widowControl/>
        <w:spacing w:line="360" w:lineRule="auto"/>
        <w:jc w:val="center"/>
        <w:rPr>
          <w:rFonts w:asciiTheme="minorBidi" w:hAnsiTheme="minorBidi"/>
          <w:sz w:val="24"/>
          <w:szCs w:val="32"/>
        </w:rPr>
      </w:pPr>
    </w:p>
    <w:p w14:paraId="1AEA1E2D" w14:textId="77777777" w:rsidR="00B52ADA" w:rsidRPr="00FC5295" w:rsidRDefault="00B52ADA" w:rsidP="00B52ADA">
      <w:pPr>
        <w:widowControl/>
        <w:spacing w:line="360" w:lineRule="auto"/>
        <w:jc w:val="center"/>
        <w:rPr>
          <w:rFonts w:asciiTheme="minorBidi" w:hAnsiTheme="minorBidi"/>
          <w:sz w:val="24"/>
          <w:szCs w:val="32"/>
        </w:rPr>
      </w:pPr>
    </w:p>
    <w:p w14:paraId="3127DDBF" w14:textId="77777777" w:rsidR="00B52ADA" w:rsidRPr="00FC5295" w:rsidRDefault="00B52ADA" w:rsidP="00B52ADA">
      <w:pPr>
        <w:widowControl/>
        <w:spacing w:line="360" w:lineRule="auto"/>
        <w:jc w:val="center"/>
        <w:rPr>
          <w:rFonts w:asciiTheme="minorBidi" w:hAnsiTheme="minorBidi"/>
          <w:sz w:val="24"/>
          <w:szCs w:val="32"/>
        </w:rPr>
      </w:pPr>
    </w:p>
    <w:p w14:paraId="08E5B004" w14:textId="77777777" w:rsidR="00B52ADA" w:rsidRPr="00FC5295" w:rsidRDefault="00B52ADA" w:rsidP="00B52ADA">
      <w:pPr>
        <w:widowControl/>
        <w:spacing w:line="360" w:lineRule="auto"/>
        <w:jc w:val="center"/>
        <w:rPr>
          <w:rFonts w:asciiTheme="minorBidi" w:hAnsiTheme="minorBidi"/>
          <w:sz w:val="24"/>
          <w:szCs w:val="32"/>
        </w:rPr>
      </w:pPr>
    </w:p>
    <w:p w14:paraId="59C3D4AF" w14:textId="338684F4" w:rsidR="00B52ADA" w:rsidRPr="00FC5295" w:rsidRDefault="00B52ADA">
      <w:pPr>
        <w:widowControl/>
        <w:jc w:val="left"/>
      </w:pPr>
      <w:r w:rsidRPr="00FC5295">
        <w:br w:type="page"/>
      </w:r>
    </w:p>
    <w:p w14:paraId="2629FAC8" w14:textId="33A1A5A6" w:rsidR="008E6AFF" w:rsidRPr="00617491" w:rsidRDefault="00A6642F" w:rsidP="00617491">
      <w:pPr>
        <w:pStyle w:val="a8"/>
        <w:rPr>
          <w:szCs w:val="28"/>
        </w:rPr>
      </w:pPr>
      <w:bookmarkStart w:id="0" w:name="_Toc216478320"/>
      <w:r>
        <w:rPr>
          <w:rFonts w:hint="eastAsia"/>
          <w:szCs w:val="28"/>
        </w:rPr>
        <w:lastRenderedPageBreak/>
        <w:t>Abstract</w:t>
      </w:r>
      <w:bookmarkEnd w:id="0"/>
    </w:p>
    <w:p w14:paraId="06098FCC" w14:textId="7986FC99" w:rsidR="00FC5295" w:rsidRDefault="001E59DA" w:rsidP="00FC5295">
      <w:pPr>
        <w:pStyle w:val="a5"/>
        <w:spacing w:line="360" w:lineRule="auto"/>
        <w:rPr>
          <w:rFonts w:asciiTheme="minorBidi" w:hAnsiTheme="minorBidi" w:cstheme="minorBidi"/>
          <w:color w:val="000000"/>
        </w:rPr>
      </w:pPr>
      <w:r w:rsidRPr="001E59DA">
        <w:rPr>
          <w:rFonts w:asciiTheme="minorBidi" w:hAnsiTheme="minorBidi" w:cstheme="minorBidi"/>
          <w:color w:val="000000"/>
        </w:rPr>
        <w:t>This article explores the impact of cultural differences on business ethics, focusing on corporate responses to climate change, smoking, gambling, healthy eating, and the wider climate crisis caused by human activity. Business ethics are not universal but are influenced by social values, regulatory frameworks and cultural norms, which vary significantly between countries and regions. This study examines how these differences influence corporate decision-making, stakeholder expectations, and corporate ethical responsibilities. For example, cultural attitudes towards environmental responsibility influence the extent to which companies engage in climate change initiatives, while perceptions of personal freedoms, public health and social welfare influence corporate attitudes towards smoking, gambling and unhealthy food consumption. By analyzing these areas, this article highlights the ethical challenges faced by companies in balancing profit motives with social and environmental responsibilities, and how cultural context determines the extent of regulatory intervention and voluntary corporate action. The findings highlight the importance of building culturally aware ethical frameworks and global corporate governance strategies that meet both local expectations and international standards. Finally, the paper highlights that understanding cultural differences is critical to fostering responsible, sustainable and ethical business practices in a world increasingly affected by environmental and social challenges arising from human activity.</w:t>
      </w:r>
    </w:p>
    <w:p w14:paraId="1842CC96" w14:textId="27D0884C" w:rsidR="00B52ADA" w:rsidRPr="00FB0FA8" w:rsidRDefault="00B52ADA" w:rsidP="00FC5295">
      <w:pPr>
        <w:pStyle w:val="a5"/>
        <w:spacing w:line="360" w:lineRule="auto"/>
        <w:rPr>
          <w:rFonts w:asciiTheme="minorBidi" w:hAnsiTheme="minorBidi" w:cstheme="minorBidi"/>
          <w:color w:val="000000"/>
        </w:rPr>
      </w:pPr>
      <w:r w:rsidRPr="00FB0FA8">
        <w:rPr>
          <w:rFonts w:asciiTheme="minorBidi" w:hAnsiTheme="minorBidi" w:cstheme="minorBidi"/>
          <w:color w:val="000000"/>
        </w:rPr>
        <w:br w:type="page"/>
      </w:r>
    </w:p>
    <w:sdt>
      <w:sdtPr>
        <w:rPr>
          <w:rFonts w:asciiTheme="minorHAnsi" w:eastAsiaTheme="minorEastAsia" w:hAnsiTheme="minorHAnsi" w:cstheme="minorBidi"/>
          <w:b w:val="0"/>
          <w:bCs w:val="0"/>
          <w:color w:val="auto"/>
          <w:kern w:val="2"/>
          <w:sz w:val="21"/>
          <w:szCs w:val="24"/>
          <w:lang w:val="zh-CN"/>
          <w14:ligatures w14:val="standardContextual"/>
        </w:rPr>
        <w:id w:val="-494497731"/>
        <w:docPartObj>
          <w:docPartGallery w:val="Table of Contents"/>
          <w:docPartUnique/>
        </w:docPartObj>
      </w:sdtPr>
      <w:sdtEndPr>
        <w:rPr>
          <w:noProof/>
          <w:lang w:val="en-US"/>
        </w:rPr>
      </w:sdtEndPr>
      <w:sdtContent>
        <w:p w14:paraId="0B2732FD" w14:textId="4F5F6DB0" w:rsidR="00CF1BDA" w:rsidRPr="00CF1BDA" w:rsidRDefault="00CF1BDA">
          <w:pPr>
            <w:pStyle w:val="TOC"/>
          </w:pPr>
          <w:r>
            <w:t>Content Page</w:t>
          </w:r>
        </w:p>
        <w:p w14:paraId="3FC44487" w14:textId="4F0C8CD4" w:rsidR="00BA73F6" w:rsidRDefault="00CF1BDA">
          <w:pPr>
            <w:pStyle w:val="TOC1"/>
            <w:tabs>
              <w:tab w:val="right" w:leader="dot" w:pos="8296"/>
            </w:tabs>
            <w:rPr>
              <w:rFonts w:eastAsiaTheme="minorEastAsia" w:cstheme="minorBidi"/>
              <w:b w:val="0"/>
              <w:bCs w:val="0"/>
              <w:caps w:val="0"/>
              <w:noProof/>
              <w:sz w:val="21"/>
              <w:szCs w:val="24"/>
              <w:u w:val="none"/>
            </w:rPr>
          </w:pPr>
          <w:r>
            <w:rPr>
              <w:b w:val="0"/>
              <w:bCs w:val="0"/>
            </w:rPr>
            <w:fldChar w:fldCharType="begin"/>
          </w:r>
          <w:r>
            <w:instrText>TOC \o "1-3" \h \z \u</w:instrText>
          </w:r>
          <w:r>
            <w:rPr>
              <w:b w:val="0"/>
              <w:bCs w:val="0"/>
            </w:rPr>
            <w:fldChar w:fldCharType="separate"/>
          </w:r>
          <w:hyperlink w:anchor="_Toc216478320" w:history="1">
            <w:r w:rsidR="00BA73F6" w:rsidRPr="000D203F">
              <w:rPr>
                <w:rStyle w:val="af1"/>
                <w:noProof/>
              </w:rPr>
              <w:t>Abstract</w:t>
            </w:r>
            <w:r w:rsidR="00BA73F6">
              <w:rPr>
                <w:noProof/>
                <w:webHidden/>
              </w:rPr>
              <w:tab/>
            </w:r>
            <w:r w:rsidR="00BA73F6">
              <w:rPr>
                <w:noProof/>
                <w:webHidden/>
              </w:rPr>
              <w:fldChar w:fldCharType="begin"/>
            </w:r>
            <w:r w:rsidR="00BA73F6">
              <w:rPr>
                <w:noProof/>
                <w:webHidden/>
              </w:rPr>
              <w:instrText xml:space="preserve"> PAGEREF _Toc216478320 \h </w:instrText>
            </w:r>
            <w:r w:rsidR="00BA73F6">
              <w:rPr>
                <w:noProof/>
                <w:webHidden/>
              </w:rPr>
            </w:r>
            <w:r w:rsidR="00BA73F6">
              <w:rPr>
                <w:noProof/>
                <w:webHidden/>
              </w:rPr>
              <w:fldChar w:fldCharType="separate"/>
            </w:r>
            <w:r w:rsidR="00BA73F6">
              <w:rPr>
                <w:noProof/>
                <w:webHidden/>
              </w:rPr>
              <w:t>1</w:t>
            </w:r>
            <w:r w:rsidR="00BA73F6">
              <w:rPr>
                <w:noProof/>
                <w:webHidden/>
              </w:rPr>
              <w:fldChar w:fldCharType="end"/>
            </w:r>
          </w:hyperlink>
        </w:p>
        <w:p w14:paraId="6785C057" w14:textId="7E2D0ED5" w:rsidR="00BA73F6" w:rsidRDefault="00BA73F6">
          <w:pPr>
            <w:pStyle w:val="TOC1"/>
            <w:tabs>
              <w:tab w:val="right" w:leader="dot" w:pos="8296"/>
            </w:tabs>
            <w:rPr>
              <w:rFonts w:eastAsiaTheme="minorEastAsia" w:cstheme="minorBidi"/>
              <w:b w:val="0"/>
              <w:bCs w:val="0"/>
              <w:caps w:val="0"/>
              <w:noProof/>
              <w:sz w:val="21"/>
              <w:szCs w:val="24"/>
              <w:u w:val="none"/>
            </w:rPr>
          </w:pPr>
          <w:hyperlink w:anchor="_Toc216478321" w:history="1">
            <w:r w:rsidRPr="000D203F">
              <w:rPr>
                <w:rStyle w:val="af1"/>
                <w:noProof/>
              </w:rPr>
              <w:t>Introduction</w:t>
            </w:r>
            <w:r>
              <w:rPr>
                <w:noProof/>
                <w:webHidden/>
              </w:rPr>
              <w:tab/>
            </w:r>
            <w:r>
              <w:rPr>
                <w:noProof/>
                <w:webHidden/>
              </w:rPr>
              <w:fldChar w:fldCharType="begin"/>
            </w:r>
            <w:r>
              <w:rPr>
                <w:noProof/>
                <w:webHidden/>
              </w:rPr>
              <w:instrText xml:space="preserve"> PAGEREF _Toc216478321 \h </w:instrText>
            </w:r>
            <w:r>
              <w:rPr>
                <w:noProof/>
                <w:webHidden/>
              </w:rPr>
            </w:r>
            <w:r>
              <w:rPr>
                <w:noProof/>
                <w:webHidden/>
              </w:rPr>
              <w:fldChar w:fldCharType="separate"/>
            </w:r>
            <w:r>
              <w:rPr>
                <w:noProof/>
                <w:webHidden/>
              </w:rPr>
              <w:t>3</w:t>
            </w:r>
            <w:r>
              <w:rPr>
                <w:noProof/>
                <w:webHidden/>
              </w:rPr>
              <w:fldChar w:fldCharType="end"/>
            </w:r>
          </w:hyperlink>
        </w:p>
        <w:p w14:paraId="1130A685" w14:textId="03FB27D1" w:rsidR="00BA73F6" w:rsidRDefault="00BA73F6">
          <w:pPr>
            <w:pStyle w:val="TOC1"/>
            <w:tabs>
              <w:tab w:val="right" w:leader="dot" w:pos="8296"/>
            </w:tabs>
            <w:rPr>
              <w:rFonts w:eastAsiaTheme="minorEastAsia" w:cstheme="minorBidi"/>
              <w:b w:val="0"/>
              <w:bCs w:val="0"/>
              <w:caps w:val="0"/>
              <w:noProof/>
              <w:sz w:val="21"/>
              <w:szCs w:val="24"/>
              <w:u w:val="none"/>
            </w:rPr>
          </w:pPr>
          <w:hyperlink w:anchor="_Toc216478322" w:history="1">
            <w:r w:rsidRPr="000D203F">
              <w:rPr>
                <w:rStyle w:val="af1"/>
                <w:noProof/>
              </w:rPr>
              <w:t>The difference in climate change, smoking, gambling, healthy eating</w:t>
            </w:r>
            <w:r>
              <w:rPr>
                <w:noProof/>
                <w:webHidden/>
              </w:rPr>
              <w:tab/>
            </w:r>
            <w:r>
              <w:rPr>
                <w:noProof/>
                <w:webHidden/>
              </w:rPr>
              <w:fldChar w:fldCharType="begin"/>
            </w:r>
            <w:r>
              <w:rPr>
                <w:noProof/>
                <w:webHidden/>
              </w:rPr>
              <w:instrText xml:space="preserve"> PAGEREF _Toc216478322 \h </w:instrText>
            </w:r>
            <w:r>
              <w:rPr>
                <w:noProof/>
                <w:webHidden/>
              </w:rPr>
            </w:r>
            <w:r>
              <w:rPr>
                <w:noProof/>
                <w:webHidden/>
              </w:rPr>
              <w:fldChar w:fldCharType="separate"/>
            </w:r>
            <w:r>
              <w:rPr>
                <w:noProof/>
                <w:webHidden/>
              </w:rPr>
              <w:t>5</w:t>
            </w:r>
            <w:r>
              <w:rPr>
                <w:noProof/>
                <w:webHidden/>
              </w:rPr>
              <w:fldChar w:fldCharType="end"/>
            </w:r>
          </w:hyperlink>
        </w:p>
        <w:p w14:paraId="1270F8C9" w14:textId="4B32E33E" w:rsidR="00BA73F6" w:rsidRDefault="00BA73F6">
          <w:pPr>
            <w:pStyle w:val="TOC1"/>
            <w:tabs>
              <w:tab w:val="right" w:leader="dot" w:pos="8296"/>
            </w:tabs>
            <w:rPr>
              <w:rFonts w:eastAsiaTheme="minorEastAsia" w:cstheme="minorBidi"/>
              <w:b w:val="0"/>
              <w:bCs w:val="0"/>
              <w:caps w:val="0"/>
              <w:noProof/>
              <w:sz w:val="21"/>
              <w:szCs w:val="24"/>
              <w:u w:val="none"/>
            </w:rPr>
          </w:pPr>
          <w:hyperlink w:anchor="_Toc216478323" w:history="1">
            <w:r w:rsidRPr="000D203F">
              <w:rPr>
                <w:rStyle w:val="af1"/>
                <w:noProof/>
              </w:rPr>
              <w:t>Climate emergency by human activities</w:t>
            </w:r>
            <w:r>
              <w:rPr>
                <w:noProof/>
                <w:webHidden/>
              </w:rPr>
              <w:tab/>
            </w:r>
            <w:r>
              <w:rPr>
                <w:noProof/>
                <w:webHidden/>
              </w:rPr>
              <w:fldChar w:fldCharType="begin"/>
            </w:r>
            <w:r>
              <w:rPr>
                <w:noProof/>
                <w:webHidden/>
              </w:rPr>
              <w:instrText xml:space="preserve"> PAGEREF _Toc216478323 \h </w:instrText>
            </w:r>
            <w:r>
              <w:rPr>
                <w:noProof/>
                <w:webHidden/>
              </w:rPr>
            </w:r>
            <w:r>
              <w:rPr>
                <w:noProof/>
                <w:webHidden/>
              </w:rPr>
              <w:fldChar w:fldCharType="separate"/>
            </w:r>
            <w:r>
              <w:rPr>
                <w:noProof/>
                <w:webHidden/>
              </w:rPr>
              <w:t>10</w:t>
            </w:r>
            <w:r>
              <w:rPr>
                <w:noProof/>
                <w:webHidden/>
              </w:rPr>
              <w:fldChar w:fldCharType="end"/>
            </w:r>
          </w:hyperlink>
        </w:p>
        <w:p w14:paraId="130500E7" w14:textId="3BF4516B" w:rsidR="00BA73F6" w:rsidRDefault="00BA73F6">
          <w:pPr>
            <w:pStyle w:val="TOC1"/>
            <w:tabs>
              <w:tab w:val="right" w:leader="dot" w:pos="8296"/>
            </w:tabs>
            <w:rPr>
              <w:rFonts w:eastAsiaTheme="minorEastAsia" w:cstheme="minorBidi"/>
              <w:b w:val="0"/>
              <w:bCs w:val="0"/>
              <w:caps w:val="0"/>
              <w:noProof/>
              <w:sz w:val="21"/>
              <w:szCs w:val="24"/>
              <w:u w:val="none"/>
            </w:rPr>
          </w:pPr>
          <w:hyperlink w:anchor="_Toc216478324" w:history="1">
            <w:r w:rsidRPr="000D203F">
              <w:rPr>
                <w:rStyle w:val="af1"/>
                <w:noProof/>
              </w:rPr>
              <w:t>Conclusion</w:t>
            </w:r>
            <w:r>
              <w:rPr>
                <w:noProof/>
                <w:webHidden/>
              </w:rPr>
              <w:tab/>
            </w:r>
            <w:r>
              <w:rPr>
                <w:noProof/>
                <w:webHidden/>
              </w:rPr>
              <w:fldChar w:fldCharType="begin"/>
            </w:r>
            <w:r>
              <w:rPr>
                <w:noProof/>
                <w:webHidden/>
              </w:rPr>
              <w:instrText xml:space="preserve"> PAGEREF _Toc216478324 \h </w:instrText>
            </w:r>
            <w:r>
              <w:rPr>
                <w:noProof/>
                <w:webHidden/>
              </w:rPr>
            </w:r>
            <w:r>
              <w:rPr>
                <w:noProof/>
                <w:webHidden/>
              </w:rPr>
              <w:fldChar w:fldCharType="separate"/>
            </w:r>
            <w:r>
              <w:rPr>
                <w:noProof/>
                <w:webHidden/>
              </w:rPr>
              <w:t>15</w:t>
            </w:r>
            <w:r>
              <w:rPr>
                <w:noProof/>
                <w:webHidden/>
              </w:rPr>
              <w:fldChar w:fldCharType="end"/>
            </w:r>
          </w:hyperlink>
        </w:p>
        <w:p w14:paraId="42005524" w14:textId="615840D0" w:rsidR="00BA73F6" w:rsidRDefault="00BA73F6">
          <w:pPr>
            <w:pStyle w:val="TOC1"/>
            <w:tabs>
              <w:tab w:val="right" w:leader="dot" w:pos="8296"/>
            </w:tabs>
            <w:rPr>
              <w:rFonts w:eastAsiaTheme="minorEastAsia" w:cstheme="minorBidi"/>
              <w:b w:val="0"/>
              <w:bCs w:val="0"/>
              <w:caps w:val="0"/>
              <w:noProof/>
              <w:sz w:val="21"/>
              <w:szCs w:val="24"/>
              <w:u w:val="none"/>
            </w:rPr>
          </w:pPr>
          <w:hyperlink w:anchor="_Toc216478325" w:history="1">
            <w:r w:rsidRPr="000D203F">
              <w:rPr>
                <w:rStyle w:val="af1"/>
                <w:noProof/>
              </w:rPr>
              <w:t>Recommendation</w:t>
            </w:r>
            <w:r>
              <w:rPr>
                <w:noProof/>
                <w:webHidden/>
              </w:rPr>
              <w:tab/>
            </w:r>
            <w:r>
              <w:rPr>
                <w:noProof/>
                <w:webHidden/>
              </w:rPr>
              <w:fldChar w:fldCharType="begin"/>
            </w:r>
            <w:r>
              <w:rPr>
                <w:noProof/>
                <w:webHidden/>
              </w:rPr>
              <w:instrText xml:space="preserve"> PAGEREF _Toc216478325 \h </w:instrText>
            </w:r>
            <w:r>
              <w:rPr>
                <w:noProof/>
                <w:webHidden/>
              </w:rPr>
            </w:r>
            <w:r>
              <w:rPr>
                <w:noProof/>
                <w:webHidden/>
              </w:rPr>
              <w:fldChar w:fldCharType="separate"/>
            </w:r>
            <w:r>
              <w:rPr>
                <w:noProof/>
                <w:webHidden/>
              </w:rPr>
              <w:t>16</w:t>
            </w:r>
            <w:r>
              <w:rPr>
                <w:noProof/>
                <w:webHidden/>
              </w:rPr>
              <w:fldChar w:fldCharType="end"/>
            </w:r>
          </w:hyperlink>
        </w:p>
        <w:p w14:paraId="21CF1AE6" w14:textId="430E48EF" w:rsidR="00BA73F6" w:rsidRDefault="00BA73F6">
          <w:pPr>
            <w:pStyle w:val="TOC1"/>
            <w:tabs>
              <w:tab w:val="right" w:leader="dot" w:pos="8296"/>
            </w:tabs>
            <w:rPr>
              <w:rFonts w:eastAsiaTheme="minorEastAsia" w:cstheme="minorBidi"/>
              <w:b w:val="0"/>
              <w:bCs w:val="0"/>
              <w:caps w:val="0"/>
              <w:noProof/>
              <w:sz w:val="21"/>
              <w:szCs w:val="24"/>
              <w:u w:val="none"/>
            </w:rPr>
          </w:pPr>
          <w:hyperlink w:anchor="_Toc216478326" w:history="1">
            <w:r w:rsidRPr="000D203F">
              <w:rPr>
                <w:rStyle w:val="af1"/>
                <w:noProof/>
              </w:rPr>
              <w:t>References</w:t>
            </w:r>
            <w:r>
              <w:rPr>
                <w:noProof/>
                <w:webHidden/>
              </w:rPr>
              <w:tab/>
            </w:r>
            <w:r>
              <w:rPr>
                <w:noProof/>
                <w:webHidden/>
              </w:rPr>
              <w:fldChar w:fldCharType="begin"/>
            </w:r>
            <w:r>
              <w:rPr>
                <w:noProof/>
                <w:webHidden/>
              </w:rPr>
              <w:instrText xml:space="preserve"> PAGEREF _Toc216478326 \h </w:instrText>
            </w:r>
            <w:r>
              <w:rPr>
                <w:noProof/>
                <w:webHidden/>
              </w:rPr>
            </w:r>
            <w:r>
              <w:rPr>
                <w:noProof/>
                <w:webHidden/>
              </w:rPr>
              <w:fldChar w:fldCharType="separate"/>
            </w:r>
            <w:r>
              <w:rPr>
                <w:noProof/>
                <w:webHidden/>
              </w:rPr>
              <w:t>17</w:t>
            </w:r>
            <w:r>
              <w:rPr>
                <w:noProof/>
                <w:webHidden/>
              </w:rPr>
              <w:fldChar w:fldCharType="end"/>
            </w:r>
          </w:hyperlink>
        </w:p>
        <w:p w14:paraId="79DBD133" w14:textId="2147B4B6" w:rsidR="00CF1BDA" w:rsidRDefault="00CF1BDA">
          <w:r>
            <w:rPr>
              <w:b/>
              <w:bCs/>
              <w:noProof/>
            </w:rPr>
            <w:fldChar w:fldCharType="end"/>
          </w:r>
        </w:p>
      </w:sdtContent>
    </w:sdt>
    <w:p w14:paraId="7BF59969" w14:textId="77777777" w:rsidR="00B52ADA" w:rsidRPr="007C1906" w:rsidRDefault="00B52ADA"/>
    <w:p w14:paraId="7381FFF5" w14:textId="5D455F99" w:rsidR="00B52ADA" w:rsidRDefault="00B52ADA">
      <w:pPr>
        <w:widowControl/>
        <w:jc w:val="left"/>
      </w:pPr>
      <w:r>
        <w:br w:type="page"/>
      </w:r>
    </w:p>
    <w:p w14:paraId="49716BB0" w14:textId="23F952DE" w:rsidR="00B52ADA" w:rsidRPr="00617491" w:rsidRDefault="00B52ADA" w:rsidP="00617491">
      <w:pPr>
        <w:pStyle w:val="a8"/>
        <w:rPr>
          <w:szCs w:val="28"/>
        </w:rPr>
      </w:pPr>
      <w:bookmarkStart w:id="1" w:name="_Toc216478321"/>
      <w:r w:rsidRPr="00617491">
        <w:rPr>
          <w:szCs w:val="28"/>
        </w:rPr>
        <w:lastRenderedPageBreak/>
        <w:t>Introduction</w:t>
      </w:r>
      <w:bookmarkEnd w:id="1"/>
    </w:p>
    <w:p w14:paraId="66D554C0" w14:textId="77777777" w:rsidR="00B718C1" w:rsidRPr="00B718C1" w:rsidRDefault="00B718C1" w:rsidP="00B718C1">
      <w:pPr>
        <w:pStyle w:val="a5"/>
        <w:spacing w:line="360" w:lineRule="auto"/>
        <w:rPr>
          <w:rFonts w:asciiTheme="minorBidi" w:hAnsiTheme="minorBidi"/>
          <w:color w:val="000000"/>
        </w:rPr>
      </w:pPr>
      <w:r w:rsidRPr="00B718C1">
        <w:rPr>
          <w:rFonts w:asciiTheme="minorBidi" w:hAnsiTheme="minorBidi"/>
          <w:color w:val="000000"/>
        </w:rPr>
        <w:t>Cultural differences play an important role in shaping business ethics, especially where business activities intersect with public health and environmental responsibilities. Issues such as climate change, smoking, gambling, and healthy eating highlight that ethical standards are not universal but are influenced by social norms, values, and regulatory expectations in different cultural contexts (Crane et al., 2019). Therefore, businesses operating across borders must deal with different ethical expectations while maintaining legitimacy among different stakeholders.</w:t>
      </w:r>
    </w:p>
    <w:p w14:paraId="21213E1E" w14:textId="77777777" w:rsidR="00B718C1" w:rsidRPr="00B718C1" w:rsidRDefault="00B718C1" w:rsidP="00B718C1">
      <w:pPr>
        <w:pStyle w:val="a5"/>
        <w:spacing w:line="360" w:lineRule="auto"/>
        <w:rPr>
          <w:rFonts w:asciiTheme="minorBidi" w:hAnsiTheme="minorBidi"/>
          <w:color w:val="000000"/>
        </w:rPr>
      </w:pPr>
    </w:p>
    <w:p w14:paraId="1358BBC0" w14:textId="77777777" w:rsidR="00B718C1" w:rsidRPr="00B718C1" w:rsidRDefault="00B718C1" w:rsidP="00B718C1">
      <w:pPr>
        <w:pStyle w:val="a5"/>
        <w:spacing w:line="360" w:lineRule="auto"/>
        <w:rPr>
          <w:rFonts w:asciiTheme="minorBidi" w:hAnsiTheme="minorBidi"/>
          <w:color w:val="000000"/>
        </w:rPr>
      </w:pPr>
      <w:r w:rsidRPr="00B718C1">
        <w:rPr>
          <w:rFonts w:asciiTheme="minorBidi" w:hAnsiTheme="minorBidi"/>
          <w:color w:val="000000"/>
        </w:rPr>
        <w:t>Climate change and the broader climate emergency caused by human activities have intensified ethical scrutiny of corporate behavior. Although scientific consensus confirms that industrial and commercial activities are the main drivers of global warming, attitudes toward environmental responsibility vary across cultures, which affects how companies respond to climate change through sustainable development strategies, emission reductions, and information disclosure practices (IPCC, 2023). In some societies, strong public pressure drives companies to take climate action, while in others economic growth may take precedence over environmental concerns.</w:t>
      </w:r>
    </w:p>
    <w:p w14:paraId="4E2766BA" w14:textId="77777777" w:rsidR="00B718C1" w:rsidRPr="00B718C1" w:rsidRDefault="00B718C1" w:rsidP="00B718C1">
      <w:pPr>
        <w:pStyle w:val="a5"/>
        <w:spacing w:line="360" w:lineRule="auto"/>
        <w:rPr>
          <w:rFonts w:asciiTheme="minorBidi" w:hAnsiTheme="minorBidi"/>
          <w:color w:val="000000"/>
        </w:rPr>
      </w:pPr>
    </w:p>
    <w:p w14:paraId="589CCD54" w14:textId="77777777" w:rsidR="00B718C1" w:rsidRPr="00B718C1" w:rsidRDefault="00B718C1" w:rsidP="00B718C1">
      <w:pPr>
        <w:pStyle w:val="a5"/>
        <w:spacing w:line="360" w:lineRule="auto"/>
        <w:rPr>
          <w:rFonts w:asciiTheme="minorBidi" w:hAnsiTheme="minorBidi"/>
          <w:color w:val="000000"/>
        </w:rPr>
      </w:pPr>
      <w:r w:rsidRPr="00B718C1">
        <w:rPr>
          <w:rFonts w:asciiTheme="minorBidi" w:hAnsiTheme="minorBidi"/>
          <w:color w:val="000000"/>
        </w:rPr>
        <w:t xml:space="preserve">Likewise, industries related to smoking, gambling, and unhealthy eating illustrate cultural differences in ethical acceptance. Tobacco use, gambling participation and dietary habits are influenced by tradition, regulation and social attitudes, which in turn influence how companies market their products and manage social harm (World Health Organization, 2023; Adams, 2016). Different cultures have different expectations for responsible marketing and </w:t>
      </w:r>
      <w:r w:rsidRPr="00B718C1">
        <w:rPr>
          <w:rFonts w:asciiTheme="minorBidi" w:hAnsiTheme="minorBidi"/>
          <w:color w:val="000000"/>
        </w:rPr>
        <w:lastRenderedPageBreak/>
        <w:t>consumer protection, which creates ethical challenges for multinational companies.</w:t>
      </w:r>
    </w:p>
    <w:p w14:paraId="127DEE9A" w14:textId="77777777" w:rsidR="00B718C1" w:rsidRPr="00B718C1" w:rsidRDefault="00B718C1" w:rsidP="00B718C1">
      <w:pPr>
        <w:pStyle w:val="a5"/>
        <w:spacing w:line="360" w:lineRule="auto"/>
        <w:rPr>
          <w:rFonts w:asciiTheme="minorBidi" w:hAnsiTheme="minorBidi"/>
          <w:color w:val="000000"/>
        </w:rPr>
      </w:pPr>
    </w:p>
    <w:p w14:paraId="28587537" w14:textId="043750AE" w:rsidR="00B52ADA" w:rsidRDefault="00B718C1" w:rsidP="00B718C1">
      <w:pPr>
        <w:pStyle w:val="a5"/>
        <w:spacing w:line="360" w:lineRule="auto"/>
      </w:pPr>
      <w:r w:rsidRPr="00B718C1">
        <w:rPr>
          <w:rFonts w:asciiTheme="minorBidi" w:hAnsiTheme="minorBidi"/>
          <w:color w:val="000000"/>
        </w:rPr>
        <w:t>Overall, exploring cultural differences in business ethics reveals the need for companies to balance global ethical standards with local cultural values ​​when dealing with health risks and the human-caused climate crisis.</w:t>
      </w:r>
      <w:r w:rsidR="00B52ADA">
        <w:br w:type="page"/>
      </w:r>
    </w:p>
    <w:p w14:paraId="43FCB007" w14:textId="00EDD8A2" w:rsidR="002B5A8C" w:rsidRDefault="001E59DA" w:rsidP="002B5A8C">
      <w:pPr>
        <w:pStyle w:val="a8"/>
      </w:pPr>
      <w:bookmarkStart w:id="2" w:name="_Toc216478322"/>
      <w:r>
        <w:lastRenderedPageBreak/>
        <w:t xml:space="preserve">The difference in </w:t>
      </w:r>
      <w:r w:rsidRPr="001E59DA">
        <w:t>climate change, smoking, gambling, healthy eating</w:t>
      </w:r>
      <w:bookmarkEnd w:id="2"/>
    </w:p>
    <w:p w14:paraId="283D242E" w14:textId="02572712" w:rsidR="001E59DA" w:rsidRPr="001E59DA" w:rsidRDefault="001E59DA" w:rsidP="001E59DA">
      <w:pPr>
        <w:pStyle w:val="a5"/>
        <w:spacing w:line="360" w:lineRule="auto"/>
        <w:rPr>
          <w:rFonts w:asciiTheme="minorBidi" w:hAnsiTheme="minorBidi"/>
          <w:color w:val="000000"/>
        </w:rPr>
      </w:pPr>
      <w:r w:rsidRPr="001E59DA">
        <w:rPr>
          <w:rFonts w:asciiTheme="minorBidi" w:hAnsiTheme="minorBidi"/>
          <w:color w:val="000000"/>
        </w:rPr>
        <w:t>Climate change is perhaps the most far-reaching ethical challenge of the 21st century. Businesses bear significant responsibility for greenhouse gas emissions and environmental degradation. However, their ethical obligations to mitigate climate impacts have been slow to be translated into binding regulations. Soft legal instruments such as the OECD Guidelines for Multinational Enterprises encourage companies to adopt responsible business practices including environmental protection and climate action, but these guidelines are non-binding and rely on voluntary compliance by companies (OECD Guidelines, 2024). This has prompted criticism that many companies engage in "greenwashing" - marketing themselves as environmentally friendly without substantive action - which undermines public trust and hinders the achievement of climate goals. Regulators around the world, including the European Union, are tightening requirements on environmental information disclosure and investor protection to combat misleading propaganda and increase the transparency of sustainability reporting (</w:t>
      </w:r>
      <w:r w:rsidR="00B718C1">
        <w:rPr>
          <w:rFonts w:ascii="Arial" w:hAnsi="Arial" w:cs="Arial"/>
          <w:color w:val="000000"/>
        </w:rPr>
        <w:t>Environment</w:t>
      </w:r>
      <w:r w:rsidR="00B718C1">
        <w:rPr>
          <w:rFonts w:ascii="Arial" w:hAnsi="Arial" w:cs="Arial"/>
          <w:color w:val="000000"/>
        </w:rPr>
        <w:t>,</w:t>
      </w:r>
      <w:r w:rsidR="00B718C1">
        <w:rPr>
          <w:rFonts w:ascii="Arial" w:hAnsi="Arial" w:cs="Arial"/>
          <w:color w:val="000000"/>
        </w:rPr>
        <w:t xml:space="preserve"> 2025</w:t>
      </w:r>
      <w:r w:rsidRPr="001E59DA">
        <w:rPr>
          <w:rFonts w:asciiTheme="minorBidi" w:hAnsiTheme="minorBidi"/>
          <w:color w:val="000000"/>
        </w:rPr>
        <w:t>). From an ethical perspective, this reflects that the nature of corporate social responsibility (CSR) is shifting from voluntary commitment to more stringent requirements, that is, companies must include environmental damage in their responsibilities to society.</w:t>
      </w:r>
    </w:p>
    <w:p w14:paraId="4CA1C80F" w14:textId="77777777" w:rsidR="001E59DA" w:rsidRPr="001E59DA" w:rsidRDefault="001E59DA" w:rsidP="001E59DA">
      <w:pPr>
        <w:pStyle w:val="a5"/>
        <w:spacing w:line="360" w:lineRule="auto"/>
        <w:rPr>
          <w:rFonts w:asciiTheme="minorBidi" w:hAnsiTheme="minorBidi"/>
          <w:color w:val="000000"/>
        </w:rPr>
      </w:pPr>
    </w:p>
    <w:p w14:paraId="4DF5BFA7" w14:textId="6D184679" w:rsidR="001E59DA" w:rsidRDefault="001E59DA" w:rsidP="001E59DA">
      <w:pPr>
        <w:pStyle w:val="a5"/>
        <w:spacing w:line="360" w:lineRule="auto"/>
        <w:rPr>
          <w:rFonts w:asciiTheme="minorBidi" w:hAnsiTheme="minorBidi"/>
          <w:color w:val="000000"/>
        </w:rPr>
      </w:pPr>
      <w:r w:rsidRPr="001E59DA">
        <w:rPr>
          <w:rFonts w:asciiTheme="minorBidi" w:hAnsiTheme="minorBidi"/>
          <w:color w:val="000000"/>
        </w:rPr>
        <w:t xml:space="preserve">The evolving ethical landscape is also reflected in international policy debates, such as proposals for mandatory human rights and environmental due diligence legislation in the UK. Activists and more than 150 companies and investors have called on the British government to enact the Business Human Rights and Environment Bill, which requires companies to proactively </w:t>
      </w:r>
      <w:r w:rsidRPr="001E59DA">
        <w:rPr>
          <w:rFonts w:asciiTheme="minorBidi" w:hAnsiTheme="minorBidi"/>
          <w:color w:val="000000"/>
        </w:rPr>
        <w:lastRenderedPageBreak/>
        <w:t>identify, prevent and respond to damage in their own activities and supply chains, including damage related to climate change (</w:t>
      </w:r>
      <w:r w:rsidR="00B718C1">
        <w:rPr>
          <w:rFonts w:ascii="Arial" w:hAnsi="Arial" w:cs="Arial"/>
          <w:color w:val="000000"/>
        </w:rPr>
        <w:t>DECORTES</w:t>
      </w:r>
      <w:r w:rsidR="00B718C1">
        <w:rPr>
          <w:rFonts w:ascii="Arial" w:hAnsi="Arial" w:cs="Arial"/>
          <w:color w:val="000000"/>
        </w:rPr>
        <w:t>,</w:t>
      </w:r>
      <w:r w:rsidR="00B718C1">
        <w:rPr>
          <w:rFonts w:ascii="Arial" w:hAnsi="Arial" w:cs="Arial"/>
          <w:color w:val="000000"/>
        </w:rPr>
        <w:t xml:space="preserve"> 2025)</w:t>
      </w:r>
      <w:r w:rsidRPr="001E59DA">
        <w:rPr>
          <w:rFonts w:asciiTheme="minorBidi" w:hAnsiTheme="minorBidi"/>
          <w:color w:val="000000"/>
        </w:rPr>
        <w:t>. This ethical approach emphasizes prevention and accountability rather than voluntary action, combining corporate responsibility with human rights and environmental protection principles.</w:t>
      </w:r>
    </w:p>
    <w:p w14:paraId="1A558F58" w14:textId="77777777" w:rsidR="001E59DA" w:rsidRDefault="001E59DA" w:rsidP="001E59DA">
      <w:pPr>
        <w:pStyle w:val="a5"/>
        <w:spacing w:line="360" w:lineRule="auto"/>
        <w:rPr>
          <w:rFonts w:asciiTheme="minorBidi" w:hAnsiTheme="minorBidi" w:cstheme="minorBidi"/>
          <w:color w:val="000000"/>
        </w:rPr>
      </w:pPr>
    </w:p>
    <w:p w14:paraId="6B67CF81" w14:textId="24ABE2D1" w:rsidR="001E59DA" w:rsidRPr="001E59DA" w:rsidRDefault="001E59DA" w:rsidP="001E59DA">
      <w:pPr>
        <w:pStyle w:val="a5"/>
        <w:spacing w:line="360" w:lineRule="auto"/>
        <w:rPr>
          <w:rFonts w:asciiTheme="minorBidi" w:hAnsiTheme="minorBidi" w:cstheme="minorBidi"/>
          <w:color w:val="000000"/>
        </w:rPr>
      </w:pPr>
      <w:r w:rsidRPr="001E59DA">
        <w:rPr>
          <w:rFonts w:asciiTheme="minorBidi" w:hAnsiTheme="minorBidi"/>
          <w:color w:val="000000"/>
        </w:rPr>
        <w:t>Smoking provides a clear example of how ethical considerations can successfully drive public policy toward prioritizing health over commercial freedoms. In the UK, comprehensive smoke-free legislation in place since 2007, which bans smoking in enclosed public spaces and workplaces, has significantly reduced secondhand smoke exposure and its associated health risks (</w:t>
      </w:r>
      <w:r w:rsidR="00B718C1">
        <w:rPr>
          <w:rFonts w:ascii="Arial" w:hAnsi="Arial" w:cs="Arial"/>
          <w:color w:val="000000"/>
        </w:rPr>
        <w:t>A</w:t>
      </w:r>
      <w:r w:rsidR="00B718C1">
        <w:rPr>
          <w:rFonts w:ascii="Arial" w:hAnsi="Arial" w:cs="Arial"/>
          <w:color w:val="000000"/>
        </w:rPr>
        <w:t xml:space="preserve"> </w:t>
      </w:r>
      <w:r w:rsidR="00B718C1">
        <w:rPr>
          <w:rFonts w:ascii="Arial" w:hAnsi="Arial" w:cs="Arial"/>
          <w:color w:val="000000"/>
        </w:rPr>
        <w:t>smoke</w:t>
      </w:r>
      <w:r w:rsidR="00B718C1">
        <w:rPr>
          <w:rFonts w:ascii="Arial" w:hAnsi="Arial" w:cs="Arial"/>
          <w:color w:val="000000"/>
        </w:rPr>
        <w:t xml:space="preserve"> free</w:t>
      </w:r>
      <w:r w:rsidR="00B718C1">
        <w:rPr>
          <w:rFonts w:ascii="Arial" w:hAnsi="Arial" w:cs="Arial"/>
          <w:color w:val="000000"/>
        </w:rPr>
        <w:t>,</w:t>
      </w:r>
      <w:r w:rsidR="00B718C1">
        <w:rPr>
          <w:rFonts w:ascii="Arial" w:hAnsi="Arial" w:cs="Arial"/>
          <w:color w:val="000000"/>
        </w:rPr>
        <w:t xml:space="preserve"> 2021</w:t>
      </w:r>
      <w:r w:rsidRPr="001E59DA">
        <w:rPr>
          <w:rFonts w:asciiTheme="minorBidi" w:hAnsiTheme="minorBidi"/>
          <w:color w:val="000000"/>
        </w:rPr>
        <w:t>). Public support for these measures has remained high, reflecting a social consensus that protecting vulnerable groups and reducing preventable disease are legitimate reasons for regulatory intervention. Surveys show that people overwhelmingly support restrictions on smoking in public places and in vehicles with children, demonstrating broad ethical support for prioritizing collective well-being (</w:t>
      </w:r>
      <w:r w:rsidR="00B718C1">
        <w:rPr>
          <w:rFonts w:ascii="Arial" w:hAnsi="Arial" w:cs="Arial"/>
          <w:color w:val="000000"/>
        </w:rPr>
        <w:t>A</w:t>
      </w:r>
      <w:r w:rsidR="00B718C1">
        <w:rPr>
          <w:rFonts w:ascii="Arial" w:hAnsi="Arial" w:cs="Arial"/>
          <w:color w:val="000000"/>
        </w:rPr>
        <w:t xml:space="preserve"> </w:t>
      </w:r>
      <w:r w:rsidR="00B718C1">
        <w:rPr>
          <w:rFonts w:ascii="Arial" w:hAnsi="Arial" w:cs="Arial"/>
          <w:color w:val="000000"/>
        </w:rPr>
        <w:t>smoke</w:t>
      </w:r>
      <w:r w:rsidR="00B718C1">
        <w:rPr>
          <w:rFonts w:ascii="Arial" w:hAnsi="Arial" w:cs="Arial"/>
          <w:color w:val="000000"/>
        </w:rPr>
        <w:t xml:space="preserve"> free</w:t>
      </w:r>
      <w:r w:rsidR="00B718C1">
        <w:rPr>
          <w:rFonts w:ascii="Arial" w:hAnsi="Arial" w:cs="Arial"/>
          <w:color w:val="000000"/>
        </w:rPr>
        <w:t>,</w:t>
      </w:r>
      <w:r w:rsidR="00B718C1">
        <w:rPr>
          <w:rFonts w:ascii="Arial" w:hAnsi="Arial" w:cs="Arial"/>
          <w:color w:val="000000"/>
        </w:rPr>
        <w:t xml:space="preserve"> 2021)</w:t>
      </w:r>
      <w:r w:rsidRPr="001E59DA">
        <w:rPr>
          <w:rFonts w:asciiTheme="minorBidi" w:hAnsiTheme="minorBidi"/>
          <w:color w:val="000000"/>
        </w:rPr>
        <w:t>.</w:t>
      </w:r>
    </w:p>
    <w:p w14:paraId="08906680" w14:textId="77777777" w:rsidR="001E59DA" w:rsidRPr="001E59DA" w:rsidRDefault="001E59DA" w:rsidP="001E59DA">
      <w:pPr>
        <w:pStyle w:val="a5"/>
        <w:spacing w:line="360" w:lineRule="auto"/>
        <w:rPr>
          <w:rFonts w:asciiTheme="minorBidi" w:hAnsiTheme="minorBidi"/>
          <w:color w:val="000000"/>
        </w:rPr>
      </w:pPr>
    </w:p>
    <w:p w14:paraId="7B82D121" w14:textId="26B8FFDD" w:rsidR="002B5A8C" w:rsidRPr="002B5A8C" w:rsidRDefault="001E59DA" w:rsidP="001E59DA">
      <w:pPr>
        <w:pStyle w:val="a5"/>
        <w:spacing w:line="360" w:lineRule="auto"/>
        <w:rPr>
          <w:rFonts w:asciiTheme="minorBidi" w:hAnsiTheme="minorBidi"/>
          <w:color w:val="000000"/>
        </w:rPr>
      </w:pPr>
      <w:r w:rsidRPr="001E59DA">
        <w:rPr>
          <w:rFonts w:asciiTheme="minorBidi" w:hAnsiTheme="minorBidi"/>
          <w:color w:val="000000"/>
        </w:rPr>
        <w:t xml:space="preserve">This ethical framework has extended to the international level: the World Health Organization’s Framework Convention on Tobacco Control requires state parties to take measures to reduce tobacco consumption and protect public health, including package warnings, advertising restrictions and taxes. Critics believe that tobacco companies’ continued marketing activities in low- and middle-income countries undermine global health ethics and expose the conflict between profit motives and human rights to health (The Guardian, 2025). Smoking policy thus demonstrates how ethical arguments centered on </w:t>
      </w:r>
      <w:r w:rsidRPr="001E59DA">
        <w:rPr>
          <w:rFonts w:asciiTheme="minorBidi" w:hAnsiTheme="minorBidi"/>
          <w:color w:val="000000"/>
        </w:rPr>
        <w:lastRenderedPageBreak/>
        <w:t>health equity and harm prevention can reshape legal standards and reduce the burden of disease.</w:t>
      </w:r>
    </w:p>
    <w:p w14:paraId="09037C30" w14:textId="77777777" w:rsidR="001E59DA" w:rsidRDefault="001E59DA" w:rsidP="001E59DA">
      <w:pPr>
        <w:pStyle w:val="a5"/>
        <w:spacing w:line="360" w:lineRule="auto"/>
        <w:rPr>
          <w:rFonts w:asciiTheme="minorBidi" w:hAnsiTheme="minorBidi" w:cstheme="minorBidi"/>
          <w:color w:val="000000"/>
        </w:rPr>
      </w:pPr>
    </w:p>
    <w:p w14:paraId="51353A03" w14:textId="1CA9CA38" w:rsidR="001E59DA" w:rsidRPr="001E59DA" w:rsidRDefault="001E59DA" w:rsidP="001E59DA">
      <w:pPr>
        <w:pStyle w:val="a5"/>
        <w:spacing w:line="360" w:lineRule="auto"/>
        <w:rPr>
          <w:rFonts w:asciiTheme="minorBidi" w:hAnsiTheme="minorBidi"/>
          <w:color w:val="000000"/>
        </w:rPr>
      </w:pPr>
      <w:r w:rsidRPr="001E59DA">
        <w:rPr>
          <w:rFonts w:asciiTheme="minorBidi" w:hAnsiTheme="minorBidi"/>
          <w:color w:val="000000"/>
        </w:rPr>
        <w:t xml:space="preserve">Gambling faces different ethical dilemmas. Although gambling is often viewed as entertainment, evidence shows that it can have harmful consequences such as addiction, financial ruin, and social harm, disproportionately affecting vulnerable groups (Wardle et al., </w:t>
      </w:r>
      <w:proofErr w:type="gramStart"/>
      <w:r w:rsidRPr="001E59DA">
        <w:rPr>
          <w:rFonts w:asciiTheme="minorBidi" w:hAnsiTheme="minorBidi"/>
          <w:color w:val="000000"/>
        </w:rPr>
        <w:t>2024 )</w:t>
      </w:r>
      <w:proofErr w:type="gramEnd"/>
      <w:r w:rsidRPr="001E59DA">
        <w:rPr>
          <w:rFonts w:asciiTheme="minorBidi" w:hAnsiTheme="minorBidi"/>
          <w:color w:val="000000"/>
        </w:rPr>
        <w:t>. Public health scholars argue that industry's voluntary corporate social responsibility measures are insufficient to protect consumers and advocate for greater regulation focused on harm reduction, screening for addiction risks, and limiting marketing strategies that exploit psychological vulnerabilities. A public health perspective on gambling regulation places problem gambling on a par with smoking or alcohol abuse, emphasizing prevention, protection and support for affected individuals (van Schalkwyk et al., 2021).</w:t>
      </w:r>
    </w:p>
    <w:p w14:paraId="01FF65D4" w14:textId="77777777" w:rsidR="001E59DA" w:rsidRPr="001E59DA" w:rsidRDefault="001E59DA" w:rsidP="001E59DA">
      <w:pPr>
        <w:pStyle w:val="a5"/>
        <w:spacing w:line="360" w:lineRule="auto"/>
        <w:rPr>
          <w:rFonts w:asciiTheme="minorBidi" w:hAnsiTheme="minorBidi"/>
          <w:color w:val="000000"/>
        </w:rPr>
      </w:pPr>
    </w:p>
    <w:p w14:paraId="47B72219" w14:textId="3DF2163C" w:rsidR="001E59DA" w:rsidRPr="001E59DA" w:rsidRDefault="001E59DA" w:rsidP="001E59DA">
      <w:pPr>
        <w:pStyle w:val="a5"/>
        <w:spacing w:line="360" w:lineRule="auto"/>
        <w:rPr>
          <w:rFonts w:asciiTheme="minorBidi" w:hAnsiTheme="minorBidi"/>
          <w:color w:val="000000"/>
        </w:rPr>
      </w:pPr>
      <w:r w:rsidRPr="001E59DA">
        <w:rPr>
          <w:rFonts w:asciiTheme="minorBidi" w:hAnsiTheme="minorBidi"/>
          <w:color w:val="000000"/>
        </w:rPr>
        <w:t>In the UK, the Gambling Commission oversees regulations aimed at keeping gambling fair and protecting vulnerable people, but critics say the current framework is outdated and cannot adequately deal with the rapid growth of online gambling and the harm it causes. Ethical criticism points out that CSR initiatives often serve to deflect criticism without addressing structural issues such as addictive product design and targeted advertising, suggesting the need for stronger safeguards that prioritize consumer protection over industry profits.</w:t>
      </w:r>
    </w:p>
    <w:p w14:paraId="067B8451" w14:textId="77777777" w:rsidR="001E59DA" w:rsidRDefault="001E59DA" w:rsidP="001E59DA">
      <w:pPr>
        <w:pStyle w:val="a5"/>
        <w:spacing w:line="360" w:lineRule="auto"/>
        <w:rPr>
          <w:rFonts w:asciiTheme="minorBidi" w:hAnsiTheme="minorBidi"/>
          <w:color w:val="000000"/>
        </w:rPr>
      </w:pPr>
    </w:p>
    <w:p w14:paraId="6DA815C7" w14:textId="683C1B18" w:rsidR="001E59DA" w:rsidRPr="001E59DA" w:rsidRDefault="001E59DA" w:rsidP="001E59DA">
      <w:pPr>
        <w:pStyle w:val="a5"/>
        <w:spacing w:line="360" w:lineRule="auto"/>
        <w:rPr>
          <w:rFonts w:asciiTheme="minorBidi" w:hAnsiTheme="minorBidi"/>
          <w:color w:val="000000"/>
        </w:rPr>
      </w:pPr>
      <w:r w:rsidRPr="001E59DA">
        <w:rPr>
          <w:rFonts w:asciiTheme="minorBidi" w:hAnsiTheme="minorBidi"/>
          <w:color w:val="000000"/>
        </w:rPr>
        <w:t xml:space="preserve">The debate over healthy eating highlights the tension between corporate interests in selling products and the public health need to reduce diet-related </w:t>
      </w:r>
      <w:r w:rsidRPr="001E59DA">
        <w:rPr>
          <w:rFonts w:asciiTheme="minorBidi" w:hAnsiTheme="minorBidi"/>
          <w:color w:val="000000"/>
        </w:rPr>
        <w:lastRenderedPageBreak/>
        <w:t xml:space="preserve">diseases such as obesity, diabetes and heart disease. In the UK, childhood obesity has been a focus of policy attention, such as the Childhood Obesity Plan, which aims to halve obesity rates by 2030 and reduce children's exposure to unhealthy food advertising </w:t>
      </w:r>
      <w:r w:rsidR="00B718C1">
        <w:rPr>
          <w:rFonts w:ascii="Arial" w:hAnsi="Arial" w:cs="Arial"/>
          <w:color w:val="000000"/>
        </w:rPr>
        <w:t>(Conway, 2024</w:t>
      </w:r>
      <w:r w:rsidRPr="001E59DA">
        <w:rPr>
          <w:rFonts w:asciiTheme="minorBidi" w:hAnsiTheme="minorBidi"/>
          <w:color w:val="000000"/>
        </w:rPr>
        <w:t>). New legislation restricting junk food advertising before 9pm and banning paid online advertising – a policy expected to remove billions of calories from children’s diets – reflects the government’s focus on protecting children’s long-term health (</w:t>
      </w:r>
      <w:r w:rsidR="00B718C1">
        <w:rPr>
          <w:rFonts w:ascii="Arial" w:hAnsi="Arial" w:cs="Arial"/>
          <w:color w:val="000000"/>
        </w:rPr>
        <w:t>Obesity Health Alliance, 2024</w:t>
      </w:r>
      <w:r w:rsidRPr="001E59DA">
        <w:rPr>
          <w:rFonts w:asciiTheme="minorBidi" w:hAnsiTheme="minorBidi"/>
          <w:color w:val="000000"/>
        </w:rPr>
        <w:t>).</w:t>
      </w:r>
    </w:p>
    <w:p w14:paraId="645876DD" w14:textId="77777777" w:rsidR="001E59DA" w:rsidRPr="001E59DA" w:rsidRDefault="001E59DA" w:rsidP="001E59DA">
      <w:pPr>
        <w:pStyle w:val="a5"/>
        <w:spacing w:line="360" w:lineRule="auto"/>
        <w:rPr>
          <w:rFonts w:asciiTheme="minorBidi" w:hAnsiTheme="minorBidi"/>
          <w:color w:val="000000"/>
        </w:rPr>
      </w:pPr>
    </w:p>
    <w:p w14:paraId="55731404" w14:textId="4CF4F648" w:rsidR="001E59DA" w:rsidRDefault="001E59DA" w:rsidP="001E59DA">
      <w:pPr>
        <w:pStyle w:val="a5"/>
        <w:spacing w:line="360" w:lineRule="auto"/>
        <w:rPr>
          <w:rFonts w:asciiTheme="minorBidi" w:hAnsiTheme="minorBidi"/>
          <w:color w:val="000000"/>
        </w:rPr>
      </w:pPr>
      <w:r w:rsidRPr="001E59DA">
        <w:rPr>
          <w:rFonts w:asciiTheme="minorBidi" w:hAnsiTheme="minorBidi"/>
          <w:color w:val="000000"/>
        </w:rPr>
        <w:t xml:space="preserve">Despite the strong momentum for policy advancement, industry resistance remains strong, with some large companies questioning restrictions on advertising or product placement, arguing that these measures infringe on commercial freedom and consumer choice (The Guardian, 2022). Additionally, reports from regulators show that large food companies often lack board-level accountability for nutrition results and lack of transparency around unhealthy products taking over menus and promotions (Food Foundation, 2024). The ongoing debate reflects a broader global ethical dilemma: Should personal choice trump public health? </w:t>
      </w:r>
      <w:r>
        <w:rPr>
          <w:rFonts w:asciiTheme="minorBidi" w:hAnsiTheme="minorBidi"/>
          <w:color w:val="000000"/>
        </w:rPr>
        <w:t>W</w:t>
      </w:r>
      <w:r w:rsidRPr="001E59DA">
        <w:rPr>
          <w:rFonts w:asciiTheme="minorBidi" w:hAnsiTheme="minorBidi"/>
          <w:color w:val="000000"/>
        </w:rPr>
        <w:t>hen evidence shows that structural factors have a significant influence on eating behavior, will governments intervene to change the environment toward a healthier default?</w:t>
      </w:r>
    </w:p>
    <w:p w14:paraId="2039CE35" w14:textId="77777777" w:rsidR="001E59DA" w:rsidRDefault="001E59DA" w:rsidP="001E59DA">
      <w:pPr>
        <w:pStyle w:val="a5"/>
        <w:spacing w:line="360" w:lineRule="auto"/>
        <w:rPr>
          <w:rFonts w:asciiTheme="minorBidi" w:hAnsiTheme="minorBidi"/>
          <w:color w:val="000000"/>
        </w:rPr>
      </w:pPr>
    </w:p>
    <w:p w14:paraId="315EC83E" w14:textId="347F5913" w:rsidR="001E59DA" w:rsidRDefault="001E59DA" w:rsidP="001E59DA">
      <w:pPr>
        <w:pStyle w:val="a5"/>
        <w:spacing w:line="360" w:lineRule="auto"/>
        <w:rPr>
          <w:rFonts w:asciiTheme="minorBidi" w:hAnsiTheme="minorBidi"/>
          <w:color w:val="000000"/>
        </w:rPr>
      </w:pPr>
      <w:r w:rsidRPr="001E59DA">
        <w:rPr>
          <w:rFonts w:asciiTheme="minorBidi" w:hAnsiTheme="minorBidi"/>
          <w:color w:val="000000"/>
        </w:rPr>
        <w:t xml:space="preserve">Several key ethical themes emerged in areas such as climate change, smoking, gambling and healthy eating. First, government regulation is crucial: smoke-free laws and restrictions on unhealthy food advertising demonstrate that when the evidence conclusively links corporate behavior to public harm, government is ethically justified and empowered to intervene to protect vulnerable groups, emphasizing harm prevention and fairness. Second, the </w:t>
      </w:r>
      <w:r w:rsidRPr="001E59DA">
        <w:rPr>
          <w:rFonts w:asciiTheme="minorBidi" w:hAnsiTheme="minorBidi"/>
          <w:color w:val="000000"/>
        </w:rPr>
        <w:lastRenderedPageBreak/>
        <w:t>tension between corporate responsibility and the profit motive is evident, especially in areas such as climate change and nutrition, where voluntary CSR initiatives often achieve little, so long-term accountability must be ensured through legal obligations rather than short-term profit maximization. Third, protecting vulnerable populations—including children, low-income communities, and future generations—is a core ethical concern in all four areas, embodying principles of intergenerational justice and recognition of the social determinants of health. Finally, global standards and local implementation highlight the importance of ethical governance: International frameworks such as the United Nations’ Guiding Principles on Business and Human Rights and the World Health Organization’s Framework Convention on Tobacco Control provide guidance for national policies, but inconsistent implementation highlights the need for uniform enforcement and cross-jurisdictional coordination to effectively uphold ethical responsibility.</w:t>
      </w:r>
    </w:p>
    <w:p w14:paraId="67797B83" w14:textId="77777777" w:rsidR="001E59DA" w:rsidRDefault="001E59DA" w:rsidP="001E59DA">
      <w:pPr>
        <w:pStyle w:val="a5"/>
        <w:spacing w:line="360" w:lineRule="auto"/>
        <w:rPr>
          <w:rFonts w:asciiTheme="minorBidi" w:hAnsiTheme="minorBidi"/>
          <w:color w:val="000000"/>
        </w:rPr>
      </w:pPr>
    </w:p>
    <w:p w14:paraId="0016B931" w14:textId="1329799E" w:rsidR="001E59DA" w:rsidRPr="001E59DA" w:rsidRDefault="001E59DA" w:rsidP="001E59DA">
      <w:pPr>
        <w:pStyle w:val="a5"/>
        <w:spacing w:line="360" w:lineRule="auto"/>
        <w:rPr>
          <w:rFonts w:asciiTheme="minorBidi" w:hAnsiTheme="minorBidi"/>
          <w:color w:val="000000"/>
        </w:rPr>
      </w:pPr>
      <w:r w:rsidRPr="001E59DA">
        <w:rPr>
          <w:rFonts w:asciiTheme="minorBidi" w:hAnsiTheme="minorBidi"/>
          <w:color w:val="000000"/>
        </w:rPr>
        <w:t>Comparative studies of climate change, smoking, gambling, and healthy eating highlight how global ethics influence public policy and corporate behavior. In areas where evidence of harm is strong and public consensus is high - such as smoking and unhealthy foods - governments are increasingly introducing regulations to protect public health. In emerging areas such as corporate climate responsibility and human rights due diligence, ethical frameworks are evolving from voluntary corporate social responsibility (CSR) to binding accountability. In these areas, the ethical imperative is to balance individual autonomy and economic freedom with social obligations to protect health, human rights and the environment, thereby establishing regulatory frameworks that embody shared values ​​of equity, prevention and sustainable well-being.</w:t>
      </w:r>
    </w:p>
    <w:p w14:paraId="3B17D945" w14:textId="2CE1455D" w:rsidR="00617491" w:rsidRDefault="00617491" w:rsidP="002B5A8C">
      <w:pPr>
        <w:pStyle w:val="a5"/>
        <w:spacing w:line="360" w:lineRule="auto"/>
        <w:rPr>
          <w:rFonts w:asciiTheme="minorBidi" w:hAnsiTheme="minorBidi"/>
          <w:color w:val="000000"/>
        </w:rPr>
      </w:pPr>
      <w:r w:rsidRPr="002B5A8C">
        <w:rPr>
          <w:rFonts w:asciiTheme="minorBidi" w:hAnsiTheme="minorBidi"/>
          <w:color w:val="000000"/>
        </w:rPr>
        <w:br w:type="page"/>
      </w:r>
    </w:p>
    <w:p w14:paraId="6AB6A1A2" w14:textId="035D1C47" w:rsidR="00617491" w:rsidRPr="002B5A8C" w:rsidRDefault="001E59DA" w:rsidP="002B5A8C">
      <w:pPr>
        <w:pStyle w:val="a8"/>
      </w:pPr>
      <w:bookmarkStart w:id="3" w:name="_Toc216478323"/>
      <w:r>
        <w:lastRenderedPageBreak/>
        <w:t>Climate emergency by human activities</w:t>
      </w:r>
      <w:bookmarkEnd w:id="3"/>
    </w:p>
    <w:p w14:paraId="1D2E97C9" w14:textId="1A55828C" w:rsidR="001E59DA" w:rsidRDefault="001E59DA" w:rsidP="001E59DA">
      <w:pPr>
        <w:pStyle w:val="a5"/>
        <w:spacing w:line="360" w:lineRule="auto"/>
        <w:rPr>
          <w:rFonts w:asciiTheme="minorBidi" w:hAnsiTheme="minorBidi"/>
          <w:color w:val="000000"/>
        </w:rPr>
      </w:pPr>
      <w:r w:rsidRPr="001E59DA">
        <w:rPr>
          <w:rFonts w:asciiTheme="minorBidi" w:hAnsiTheme="minorBidi"/>
          <w:color w:val="000000"/>
        </w:rPr>
        <w:t xml:space="preserve">Scientific evidence overwhelmingly shows that human activities – especially the burning of fossil fuels, deforestation and industrial production – are exacerbating climate change and creating a climate emergency with far-reaching social, economic and ecological consequences (IPCC, 2022). Given that corporations are both major contributors to greenhouse gas emissions and key players in economic and social systems, whether they should be concerned about climate change is not only a practical question, but also a fundamental ethical one. This article believes that companies must attach great importance to climate change, and the reasons are rooted in global ethics, stakeholder responsibility, long-term survival, and fairness and justice. </w:t>
      </w:r>
    </w:p>
    <w:p w14:paraId="26BA0CA6" w14:textId="77777777" w:rsidR="001E59DA" w:rsidRDefault="001E59DA" w:rsidP="001E59DA">
      <w:pPr>
        <w:pStyle w:val="a5"/>
        <w:spacing w:line="360" w:lineRule="auto"/>
        <w:rPr>
          <w:rFonts w:asciiTheme="minorBidi" w:hAnsiTheme="minorBidi"/>
          <w:color w:val="000000"/>
        </w:rPr>
      </w:pPr>
    </w:p>
    <w:p w14:paraId="05D1E6B0" w14:textId="77777777" w:rsidR="001E59DA" w:rsidRPr="001E59DA" w:rsidRDefault="001E59DA" w:rsidP="001E59DA">
      <w:pPr>
        <w:pStyle w:val="a5"/>
        <w:spacing w:line="360" w:lineRule="auto"/>
        <w:rPr>
          <w:rFonts w:asciiTheme="minorBidi" w:hAnsiTheme="minorBidi"/>
          <w:color w:val="000000"/>
        </w:rPr>
      </w:pPr>
      <w:r w:rsidRPr="001E59DA">
        <w:rPr>
          <w:rFonts w:asciiTheme="minorBidi" w:hAnsiTheme="minorBidi"/>
          <w:color w:val="000000"/>
        </w:rPr>
        <w:t>Traditional economic frameworks, such as that proposed by Milton Friedman, believe that a business's primary responsibility is to increase shareholder value within the limits permitted by law (Friedman, 1970). However, this narrow perspective ignores the externalities that arise from pollution and environmental degradation—costs that are borne by society rather than businesses. Climate change is the quintessential externality: losses to individuals and communities—rising sea levels, extreme weather events, food insecurity—that are not reflected in current market prices for carbon-intensive goods and services. From an ethical perspective, companies that profit without considering these hazards are evading responsibility for the consequences of their actions.</w:t>
      </w:r>
    </w:p>
    <w:p w14:paraId="608B9905" w14:textId="77777777" w:rsidR="001E59DA" w:rsidRPr="001E59DA" w:rsidRDefault="001E59DA" w:rsidP="001E59DA">
      <w:pPr>
        <w:pStyle w:val="a5"/>
        <w:spacing w:line="360" w:lineRule="auto"/>
        <w:rPr>
          <w:rFonts w:asciiTheme="minorBidi" w:hAnsiTheme="minorBidi"/>
          <w:color w:val="000000"/>
        </w:rPr>
      </w:pPr>
    </w:p>
    <w:p w14:paraId="667A3FAA" w14:textId="6FD004D0" w:rsidR="001E59DA" w:rsidRPr="001E59DA" w:rsidRDefault="001E59DA" w:rsidP="001E59DA">
      <w:pPr>
        <w:pStyle w:val="a5"/>
        <w:spacing w:line="360" w:lineRule="auto"/>
        <w:rPr>
          <w:rFonts w:asciiTheme="minorBidi" w:hAnsiTheme="minorBidi"/>
          <w:color w:val="000000"/>
        </w:rPr>
      </w:pPr>
      <w:r w:rsidRPr="001E59DA">
        <w:rPr>
          <w:rFonts w:asciiTheme="minorBidi" w:hAnsiTheme="minorBidi"/>
          <w:color w:val="000000"/>
        </w:rPr>
        <w:t xml:space="preserve">A global ethics perspective recognizes that corporate actions have a profound impact on human well-being and the health of the planet. Scholars such as </w:t>
      </w:r>
      <w:r w:rsidRPr="001E59DA">
        <w:rPr>
          <w:rFonts w:asciiTheme="minorBidi" w:hAnsiTheme="minorBidi"/>
          <w:color w:val="000000"/>
        </w:rPr>
        <w:lastRenderedPageBreak/>
        <w:t xml:space="preserve">Sen (1999) believe that justice and ethical responsibility transcend national boundaries and time and space boundaries; the harm caused by today's emissions will affect future generations, poor communities, and those least responsible for pollution. </w:t>
      </w:r>
    </w:p>
    <w:p w14:paraId="7AE93758" w14:textId="77777777" w:rsidR="001E59DA" w:rsidRPr="001E59DA" w:rsidRDefault="001E59DA" w:rsidP="001E59DA">
      <w:pPr>
        <w:pStyle w:val="a5"/>
        <w:spacing w:line="360" w:lineRule="auto"/>
        <w:rPr>
          <w:rFonts w:asciiTheme="minorBidi" w:hAnsiTheme="minorBidi"/>
          <w:color w:val="000000"/>
        </w:rPr>
      </w:pPr>
    </w:p>
    <w:p w14:paraId="5FFD1BF6" w14:textId="46F924F4" w:rsidR="001E59DA" w:rsidRPr="001E59DA" w:rsidRDefault="001E59DA" w:rsidP="001E59DA">
      <w:pPr>
        <w:pStyle w:val="a5"/>
        <w:spacing w:line="360" w:lineRule="auto"/>
        <w:rPr>
          <w:rFonts w:asciiTheme="minorBidi" w:hAnsiTheme="minorBidi"/>
          <w:color w:val="000000"/>
        </w:rPr>
      </w:pPr>
      <w:r w:rsidRPr="001E59DA">
        <w:rPr>
          <w:rFonts w:asciiTheme="minorBidi" w:hAnsiTheme="minorBidi"/>
          <w:color w:val="000000"/>
        </w:rPr>
        <w:t xml:space="preserve">Stakeholder theory emphasizes that companies must consider the interests of all those affected by business decisions, not just the interests of shareholders (Freeman, </w:t>
      </w:r>
      <w:r w:rsidR="00B718C1">
        <w:rPr>
          <w:rFonts w:asciiTheme="minorBidi" w:hAnsiTheme="minorBidi"/>
          <w:color w:val="000000"/>
        </w:rPr>
        <w:t>2010</w:t>
      </w:r>
      <w:r w:rsidRPr="001E59DA">
        <w:rPr>
          <w:rFonts w:asciiTheme="minorBidi" w:hAnsiTheme="minorBidi"/>
          <w:color w:val="000000"/>
        </w:rPr>
        <w:t xml:space="preserve">). Climate change affects employees, customers, suppliers, communities and future generations, making it a quintessential stakeholder issue. For example, coastal communities face existential threats from rising sea levels, while agricultural areas suffer from extreme droughts or floods, destabilizing local economies. </w:t>
      </w:r>
    </w:p>
    <w:p w14:paraId="0C2682EA" w14:textId="77777777" w:rsidR="001E59DA" w:rsidRPr="001E59DA" w:rsidRDefault="001E59DA" w:rsidP="001E59DA">
      <w:pPr>
        <w:pStyle w:val="a5"/>
        <w:spacing w:line="360" w:lineRule="auto"/>
        <w:rPr>
          <w:rFonts w:asciiTheme="minorBidi" w:hAnsiTheme="minorBidi"/>
          <w:color w:val="000000"/>
        </w:rPr>
      </w:pPr>
    </w:p>
    <w:p w14:paraId="3C78F69E" w14:textId="1CDC8743" w:rsidR="001E59DA" w:rsidRPr="001E59DA" w:rsidRDefault="001E59DA" w:rsidP="001E59DA">
      <w:pPr>
        <w:pStyle w:val="a5"/>
        <w:spacing w:line="360" w:lineRule="auto"/>
        <w:rPr>
          <w:rFonts w:asciiTheme="minorBidi" w:hAnsiTheme="minorBidi"/>
          <w:color w:val="000000"/>
        </w:rPr>
      </w:pPr>
      <w:r w:rsidRPr="001E59DA">
        <w:rPr>
          <w:rFonts w:asciiTheme="minorBidi" w:hAnsiTheme="minorBidi"/>
          <w:color w:val="000000"/>
        </w:rPr>
        <w:t xml:space="preserve">A relevant corporate example is Unilever, which has integrated environmental sustainability into its business model. Unilever's Sustainable Living Plan includes a commitment to reduce greenhouse gas emissions across its value chain and develop products with a lower environmental impact. This approach is not only ethical but also consistent with consumer expectations; research shows that modern consumers are increasingly inclined to choose brands with strong sustainability credentials. Likewise, outdoor apparel company Patagonia has clearly prioritized environmental protection, even encouraging reduced consumption and repairs rather than replacements. </w:t>
      </w:r>
    </w:p>
    <w:p w14:paraId="0799DA4D" w14:textId="77777777" w:rsidR="001E59DA" w:rsidRPr="001E59DA" w:rsidRDefault="001E59DA" w:rsidP="001E59DA">
      <w:pPr>
        <w:pStyle w:val="a5"/>
        <w:spacing w:line="360" w:lineRule="auto"/>
        <w:rPr>
          <w:rFonts w:asciiTheme="minorBidi" w:hAnsiTheme="minorBidi"/>
          <w:color w:val="000000"/>
        </w:rPr>
      </w:pPr>
    </w:p>
    <w:p w14:paraId="345879B7" w14:textId="053AB53E" w:rsidR="001E59DA" w:rsidRPr="001E59DA" w:rsidRDefault="001E59DA" w:rsidP="001E59DA">
      <w:pPr>
        <w:pStyle w:val="a5"/>
        <w:spacing w:line="360" w:lineRule="auto"/>
        <w:rPr>
          <w:rFonts w:asciiTheme="minorBidi" w:hAnsiTheme="minorBidi"/>
          <w:color w:val="000000"/>
        </w:rPr>
      </w:pPr>
      <w:r w:rsidRPr="001E59DA">
        <w:rPr>
          <w:rFonts w:asciiTheme="minorBidi" w:hAnsiTheme="minorBidi"/>
          <w:color w:val="000000"/>
        </w:rPr>
        <w:t xml:space="preserve">In addition to being a moral imperative, there are powerful strategic implications for businesses to focus on climate change. Governments around the world are pursuing policies aimed at curbing carbon emissions, including </w:t>
      </w:r>
      <w:r w:rsidRPr="001E59DA">
        <w:rPr>
          <w:rFonts w:asciiTheme="minorBidi" w:hAnsiTheme="minorBidi"/>
          <w:color w:val="000000"/>
        </w:rPr>
        <w:lastRenderedPageBreak/>
        <w:t>carbon pricing, emissions trading systems and renewable energy mandates. The UK’s Climate Change Act (2008) and its subsequent net-zero emissions commitment by 2050 legally bind the UK to deep decarbonization, thereby influencing corporate planning and investment decisions. Similar policies exist in the European Union, Canada and parts of the United States, providing clear financial incentives for companies to anticipate regulatory changes and invest in low-carbon technologies.</w:t>
      </w:r>
    </w:p>
    <w:p w14:paraId="41422EBB" w14:textId="77777777" w:rsidR="001E59DA" w:rsidRPr="001E59DA" w:rsidRDefault="001E59DA" w:rsidP="001E59DA">
      <w:pPr>
        <w:pStyle w:val="a5"/>
        <w:spacing w:line="360" w:lineRule="auto"/>
        <w:rPr>
          <w:rFonts w:asciiTheme="minorBidi" w:hAnsiTheme="minorBidi"/>
          <w:color w:val="000000"/>
        </w:rPr>
      </w:pPr>
    </w:p>
    <w:p w14:paraId="3A5FDB17" w14:textId="2307A031" w:rsidR="001E59DA" w:rsidRDefault="001E59DA" w:rsidP="001E59DA">
      <w:pPr>
        <w:pStyle w:val="a5"/>
        <w:spacing w:line="360" w:lineRule="auto"/>
        <w:rPr>
          <w:rFonts w:asciiTheme="minorBidi" w:hAnsiTheme="minorBidi"/>
          <w:color w:val="000000"/>
        </w:rPr>
      </w:pPr>
      <w:r w:rsidRPr="001E59DA">
        <w:rPr>
          <w:rFonts w:asciiTheme="minorBidi" w:hAnsiTheme="minorBidi"/>
          <w:color w:val="000000"/>
        </w:rPr>
        <w:t>Investors are also demanding climate responsibility from companies. Large institutional investors like BlackRock are increasingly incorporating environmental, social and governance (ESG) metrics into their decision-making, incentivizing companies to disclose and reduce climate risks. Failure to address these issues could lead to divestments, higher costs of capital and a loss of market confidence.</w:t>
      </w:r>
    </w:p>
    <w:p w14:paraId="6D51D222" w14:textId="77777777" w:rsidR="001E59DA" w:rsidRDefault="001E59DA" w:rsidP="001E59DA">
      <w:pPr>
        <w:pStyle w:val="a5"/>
        <w:spacing w:line="360" w:lineRule="auto"/>
        <w:rPr>
          <w:rFonts w:asciiTheme="minorBidi" w:hAnsiTheme="minorBidi"/>
          <w:color w:val="000000"/>
        </w:rPr>
      </w:pPr>
    </w:p>
    <w:p w14:paraId="4B7EC570" w14:textId="3847D002" w:rsidR="001E59DA" w:rsidRPr="001E59DA" w:rsidRDefault="001E59DA" w:rsidP="001E59DA">
      <w:pPr>
        <w:pStyle w:val="a5"/>
        <w:spacing w:line="360" w:lineRule="auto"/>
        <w:rPr>
          <w:rFonts w:asciiTheme="minorBidi" w:hAnsiTheme="minorBidi"/>
          <w:color w:val="000000"/>
        </w:rPr>
      </w:pPr>
      <w:r w:rsidRPr="001E59DA">
        <w:rPr>
          <w:rFonts w:asciiTheme="minorBidi" w:hAnsiTheme="minorBidi"/>
          <w:color w:val="000000"/>
        </w:rPr>
        <w:t xml:space="preserve">From a global ethics perspective, climate change exacerbates existing inequalities. Many poor countries, which contribute little to global emissions, disproportionately bear the impacts of climate change. The ethical principle of climate justice emphasizes that those who have contributed most to the problem of climate change should bear greater responsibility for combating it. </w:t>
      </w:r>
    </w:p>
    <w:p w14:paraId="59692BE2" w14:textId="77777777" w:rsidR="001E59DA" w:rsidRPr="001E59DA" w:rsidRDefault="001E59DA" w:rsidP="001E59DA">
      <w:pPr>
        <w:pStyle w:val="a5"/>
        <w:spacing w:line="360" w:lineRule="auto"/>
        <w:rPr>
          <w:rFonts w:asciiTheme="minorBidi" w:hAnsiTheme="minorBidi"/>
          <w:color w:val="000000"/>
        </w:rPr>
      </w:pPr>
    </w:p>
    <w:p w14:paraId="32C560E8" w14:textId="230CC54A" w:rsidR="001E59DA" w:rsidRPr="001E59DA" w:rsidRDefault="001E59DA" w:rsidP="001E59DA">
      <w:pPr>
        <w:pStyle w:val="a5"/>
        <w:spacing w:line="360" w:lineRule="auto"/>
        <w:rPr>
          <w:rFonts w:asciiTheme="minorBidi" w:hAnsiTheme="minorBidi"/>
          <w:color w:val="000000"/>
        </w:rPr>
      </w:pPr>
      <w:r w:rsidRPr="001E59DA">
        <w:rPr>
          <w:rFonts w:asciiTheme="minorBidi" w:hAnsiTheme="minorBidi"/>
          <w:color w:val="000000"/>
        </w:rPr>
        <w:t>For example, large fossil fuel companies such as ExxonMobil and Shell have faced lawsuits and public criticism for misleading the public about climate science and delaying policy responses (</w:t>
      </w:r>
      <w:proofErr w:type="spellStart"/>
      <w:r w:rsidRPr="001E59DA">
        <w:rPr>
          <w:rFonts w:asciiTheme="minorBidi" w:hAnsiTheme="minorBidi"/>
          <w:color w:val="000000"/>
        </w:rPr>
        <w:t>Heede</w:t>
      </w:r>
      <w:proofErr w:type="spellEnd"/>
      <w:r w:rsidRPr="001E59DA">
        <w:rPr>
          <w:rFonts w:asciiTheme="minorBidi" w:hAnsiTheme="minorBidi"/>
          <w:color w:val="000000"/>
        </w:rPr>
        <w:t xml:space="preserve">, 2014). These cases highlight the ethical mistakes companies make when they strategically prioritize profit and market position over transparency and harm reduction. On the other </w:t>
      </w:r>
      <w:r w:rsidRPr="001E59DA">
        <w:rPr>
          <w:rFonts w:asciiTheme="minorBidi" w:hAnsiTheme="minorBidi"/>
          <w:color w:val="000000"/>
        </w:rPr>
        <w:lastRenderedPageBreak/>
        <w:t xml:space="preserve">hand, some companies have taken on climate leadership roles: Danish energy company </w:t>
      </w:r>
      <w:r w:rsidR="00B718C1">
        <w:rPr>
          <w:rFonts w:asciiTheme="minorBidi" w:hAnsiTheme="minorBidi"/>
          <w:color w:val="000000"/>
        </w:rPr>
        <w:t>r</w:t>
      </w:r>
      <w:r w:rsidR="00B718C1" w:rsidRPr="001E59DA">
        <w:rPr>
          <w:rFonts w:asciiTheme="minorBidi" w:hAnsiTheme="minorBidi"/>
          <w:color w:val="000000"/>
        </w:rPr>
        <w:t>ated</w:t>
      </w:r>
      <w:r w:rsidRPr="001E59DA">
        <w:rPr>
          <w:rFonts w:asciiTheme="minorBidi" w:hAnsiTheme="minorBidi"/>
          <w:color w:val="000000"/>
        </w:rPr>
        <w:t xml:space="preserve"> has transitioned from fossil fuels to renewables and now generates most of its electricity from wind energy. </w:t>
      </w:r>
    </w:p>
    <w:p w14:paraId="2B3CE147" w14:textId="77777777" w:rsidR="001E59DA" w:rsidRPr="001E59DA" w:rsidRDefault="001E59DA" w:rsidP="001E59DA">
      <w:pPr>
        <w:pStyle w:val="a5"/>
        <w:spacing w:line="360" w:lineRule="auto"/>
        <w:rPr>
          <w:rFonts w:asciiTheme="minorBidi" w:hAnsiTheme="minorBidi"/>
          <w:color w:val="000000"/>
        </w:rPr>
      </w:pPr>
    </w:p>
    <w:p w14:paraId="599B2487" w14:textId="77777777" w:rsidR="001E59DA" w:rsidRPr="001E59DA" w:rsidRDefault="001E59DA" w:rsidP="001E59DA">
      <w:pPr>
        <w:pStyle w:val="a5"/>
        <w:spacing w:line="360" w:lineRule="auto"/>
        <w:rPr>
          <w:rFonts w:asciiTheme="minorBidi" w:hAnsiTheme="minorBidi"/>
          <w:color w:val="000000"/>
        </w:rPr>
      </w:pPr>
      <w:r w:rsidRPr="001E59DA">
        <w:rPr>
          <w:rFonts w:asciiTheme="minorBidi" w:hAnsiTheme="minorBidi"/>
          <w:color w:val="000000"/>
        </w:rPr>
        <w:t>Effective corporate governance that prioritizes ethical considerations, including climate risk, is increasingly seen as key to creating long-term value. Porter and Kramer (2011) noted that businesses can create shared value by addressing social challenges that intersect with corporate strategy. Climate action fits neatly into this framework: reducing emissions often drives innovation, improves operational efficiency and enables market differentiation. For example, Tesla's focus on electric vehicles has made it a leader in sustainable transportation, which shows how ethical priorities can align with competitive advantage.</w:t>
      </w:r>
    </w:p>
    <w:p w14:paraId="2FD530AD" w14:textId="77777777" w:rsidR="001E59DA" w:rsidRPr="001E59DA" w:rsidRDefault="001E59DA" w:rsidP="001E59DA">
      <w:pPr>
        <w:pStyle w:val="a5"/>
        <w:spacing w:line="360" w:lineRule="auto"/>
        <w:rPr>
          <w:rFonts w:asciiTheme="minorBidi" w:hAnsiTheme="minorBidi"/>
          <w:color w:val="000000"/>
        </w:rPr>
      </w:pPr>
    </w:p>
    <w:p w14:paraId="0BDD2FB7" w14:textId="20B92A53" w:rsidR="001E59DA" w:rsidRDefault="001E59DA" w:rsidP="001E59DA">
      <w:pPr>
        <w:pStyle w:val="a5"/>
        <w:spacing w:line="360" w:lineRule="auto"/>
        <w:rPr>
          <w:rFonts w:asciiTheme="minorBidi" w:hAnsiTheme="minorBidi"/>
          <w:color w:val="000000"/>
        </w:rPr>
      </w:pPr>
      <w:r w:rsidRPr="001E59DA">
        <w:rPr>
          <w:rFonts w:asciiTheme="minorBidi" w:hAnsiTheme="minorBidi"/>
          <w:color w:val="000000"/>
        </w:rPr>
        <w:t>Additionally, ethical leadership and corporate governance help build trust with stakeholders. At a time when customers, employees, regulators and investors are increasingly focused on sustainability, companies that ignore climate risks risk reputational damage, litigation and talent loss. Conversely, companies that proactively incorporate climate considerations can strengthen their relationships with stakeholders and increase their own resilience.</w:t>
      </w:r>
    </w:p>
    <w:p w14:paraId="6E8E2D19" w14:textId="77777777" w:rsidR="001E59DA" w:rsidRDefault="001E59DA" w:rsidP="001E59DA">
      <w:pPr>
        <w:pStyle w:val="a5"/>
        <w:spacing w:line="360" w:lineRule="auto"/>
        <w:rPr>
          <w:rFonts w:asciiTheme="minorBidi" w:hAnsiTheme="minorBidi"/>
          <w:color w:val="000000"/>
        </w:rPr>
      </w:pPr>
    </w:p>
    <w:p w14:paraId="44DFF493" w14:textId="17002B51" w:rsidR="001E59DA" w:rsidRDefault="001E59DA" w:rsidP="001E59DA">
      <w:pPr>
        <w:pStyle w:val="a5"/>
        <w:spacing w:line="360" w:lineRule="auto"/>
        <w:rPr>
          <w:rFonts w:asciiTheme="minorBidi" w:hAnsiTheme="minorBidi"/>
          <w:color w:val="000000"/>
        </w:rPr>
      </w:pPr>
      <w:r w:rsidRPr="001E59DA">
        <w:rPr>
          <w:rFonts w:asciiTheme="minorBidi" w:hAnsiTheme="minorBidi"/>
          <w:color w:val="000000"/>
        </w:rPr>
        <w:t xml:space="preserve">In short, companies should not be concerned about climate change solely for legal compliance or risk management </w:t>
      </w:r>
      <w:proofErr w:type="gramStart"/>
      <w:r w:rsidRPr="001E59DA">
        <w:rPr>
          <w:rFonts w:asciiTheme="minorBidi" w:hAnsiTheme="minorBidi"/>
          <w:color w:val="000000"/>
        </w:rPr>
        <w:t>purposes, but</w:t>
      </w:r>
      <w:proofErr w:type="gramEnd"/>
      <w:r w:rsidRPr="001E59DA">
        <w:rPr>
          <w:rFonts w:asciiTheme="minorBidi" w:hAnsiTheme="minorBidi"/>
          <w:color w:val="000000"/>
        </w:rPr>
        <w:t xml:space="preserve"> should view it as a moral obligation rooted in responsibility, justice and guardianship. Scientific evidence has confirmed human-induced climate change and the serious harm it causes to communities, ecosystems and future generations. Greenhouse </w:t>
      </w:r>
      <w:r w:rsidRPr="001E59DA">
        <w:rPr>
          <w:rFonts w:asciiTheme="minorBidi" w:hAnsiTheme="minorBidi"/>
          <w:color w:val="000000"/>
        </w:rPr>
        <w:lastRenderedPageBreak/>
        <w:t>gas-emitting companies have an ethical responsibility to mitigate harm, protect vulnerable populations, and align their operations with a sustainable future. Companies that embrace this responsibility through innovation, transparent reporting and sustained climate action not only meet their ethical obligations but also gain a long-term competitive advantage in a global economy that is increasingly focused on sustainability. Ultimately, in the 21st century, paying attention to climate change is not optional for companies, but rather both a moral imperative and a strategic imperative in a world facing a climate emergency.</w:t>
      </w:r>
    </w:p>
    <w:p w14:paraId="3ECC9188" w14:textId="5087F5D5" w:rsidR="001C6345" w:rsidRPr="001E59DA" w:rsidRDefault="00B52ADA" w:rsidP="001E59DA">
      <w:pPr>
        <w:widowControl/>
        <w:jc w:val="left"/>
        <w:rPr>
          <w:rFonts w:asciiTheme="minorBidi" w:eastAsia="宋体" w:hAnsiTheme="minorBidi" w:cs="宋体"/>
          <w:color w:val="000000"/>
          <w:kern w:val="0"/>
          <w:sz w:val="24"/>
          <w14:ligatures w14:val="none"/>
        </w:rPr>
      </w:pPr>
      <w:r w:rsidRPr="00FB0FA8">
        <w:rPr>
          <w:rFonts w:asciiTheme="minorBidi" w:hAnsiTheme="minorBidi"/>
          <w:color w:val="000000"/>
        </w:rPr>
        <w:br w:type="page"/>
      </w:r>
    </w:p>
    <w:p w14:paraId="7274C754" w14:textId="30D73DC8" w:rsidR="00B52ADA" w:rsidRPr="001C6345" w:rsidRDefault="00B52ADA" w:rsidP="001C6345">
      <w:pPr>
        <w:pStyle w:val="a8"/>
      </w:pPr>
      <w:bookmarkStart w:id="4" w:name="_Toc216478324"/>
      <w:r w:rsidRPr="001C6345">
        <w:lastRenderedPageBreak/>
        <w:t>Conclusion</w:t>
      </w:r>
      <w:bookmarkEnd w:id="4"/>
    </w:p>
    <w:p w14:paraId="1B6DB896" w14:textId="25AFAED6" w:rsidR="001E59DA" w:rsidRDefault="001E59DA" w:rsidP="001C6345">
      <w:pPr>
        <w:pStyle w:val="a5"/>
        <w:spacing w:line="360" w:lineRule="auto"/>
        <w:rPr>
          <w:rFonts w:asciiTheme="minorBidi" w:hAnsiTheme="minorBidi"/>
          <w:color w:val="000000"/>
        </w:rPr>
      </w:pPr>
      <w:r w:rsidRPr="001E59DA">
        <w:rPr>
          <w:rFonts w:asciiTheme="minorBidi" w:hAnsiTheme="minorBidi"/>
          <w:color w:val="000000"/>
        </w:rPr>
        <w:t>The exploration of cultural differences in business ethics highlights the complexity and context-dependence of ethical decision-making in a globalized world. Businesses operating in diverse cultural and regulatory environments face different expectations around climate change, smoking, gambling, healthy eating and the wider climate crisis caused by human activity. Ethics and corporate responsibility are influenced not only by legal obligations but also by social values, public health priorities and environmental concerns, which vary significantly across regions. For example, the way companies respond to climate change depends on their cultural attitudes towards sustainability and long-term planning, while responses to smoking, gambling and unhealthy diets reflect society's different views on personal responsibility and protecting vulnerable groups. These differences underscore the importance of culturally sensitive ethical frameworks that can help businesses balance profit motives with social and environmental responsibilities. Ultimately, understanding and respecting cultural differences in ethical expectations is critical for multinational companies to operate responsibly, build trust with stakeholders, and contribute positively to pressing global challenges such as climate change and public health crises. In an increasingly connected world, by integrating ethical considerations into strategic decisions and adapting practices to local cultural norms, businesses can achieve both sustainability and social legitimacy.</w:t>
      </w:r>
    </w:p>
    <w:p w14:paraId="1832B0B3" w14:textId="0CFB3004" w:rsidR="00B52ADA" w:rsidRDefault="00B52ADA" w:rsidP="001C6345">
      <w:pPr>
        <w:pStyle w:val="a5"/>
        <w:spacing w:line="360" w:lineRule="auto"/>
      </w:pPr>
      <w:r>
        <w:br w:type="page"/>
      </w:r>
    </w:p>
    <w:p w14:paraId="16FD75D6" w14:textId="22E2C69E" w:rsidR="00FB0FA8" w:rsidRDefault="00B52ADA" w:rsidP="00617491">
      <w:pPr>
        <w:pStyle w:val="a8"/>
        <w:rPr>
          <w:szCs w:val="28"/>
        </w:rPr>
      </w:pPr>
      <w:bookmarkStart w:id="5" w:name="_Toc216478325"/>
      <w:r w:rsidRPr="00617491">
        <w:rPr>
          <w:szCs w:val="28"/>
        </w:rPr>
        <w:lastRenderedPageBreak/>
        <w:t>Recommendation</w:t>
      </w:r>
      <w:bookmarkEnd w:id="5"/>
    </w:p>
    <w:p w14:paraId="0219878E" w14:textId="36E58E3B" w:rsidR="001E59DA" w:rsidRPr="001E59DA" w:rsidRDefault="001E59DA" w:rsidP="001E59DA">
      <w:pPr>
        <w:pStyle w:val="a5"/>
        <w:spacing w:line="360" w:lineRule="auto"/>
        <w:rPr>
          <w:rFonts w:asciiTheme="minorBidi" w:hAnsiTheme="minorBidi"/>
          <w:color w:val="000000"/>
        </w:rPr>
      </w:pPr>
      <w:r>
        <w:rPr>
          <w:rFonts w:asciiTheme="minorBidi" w:hAnsiTheme="minorBidi"/>
          <w:color w:val="000000"/>
        </w:rPr>
        <w:t>M</w:t>
      </w:r>
      <w:r w:rsidRPr="001E59DA">
        <w:rPr>
          <w:rFonts w:asciiTheme="minorBidi" w:hAnsiTheme="minorBidi"/>
          <w:color w:val="000000"/>
        </w:rPr>
        <w:t>ultinational companies should develop policies that consider local cultural norms, values ​​and regulatory requirements while adhering to core global ethical principles. This approach ensures that corporate strategies resonate with local stakeholders and respect social expectations, whether they relate to environmental sustainability, public health or consumer protection.</w:t>
      </w:r>
    </w:p>
    <w:p w14:paraId="287216FF" w14:textId="77777777" w:rsidR="001E59DA" w:rsidRPr="001E59DA" w:rsidRDefault="001E59DA" w:rsidP="001E59DA">
      <w:pPr>
        <w:pStyle w:val="a5"/>
        <w:spacing w:line="360" w:lineRule="auto"/>
        <w:rPr>
          <w:rFonts w:asciiTheme="minorBidi" w:hAnsiTheme="minorBidi"/>
          <w:color w:val="000000"/>
        </w:rPr>
      </w:pPr>
    </w:p>
    <w:p w14:paraId="61252008" w14:textId="5DB1A788" w:rsidR="001E59DA" w:rsidRPr="001E59DA" w:rsidRDefault="001E59DA" w:rsidP="001E59DA">
      <w:pPr>
        <w:pStyle w:val="a5"/>
        <w:spacing w:line="360" w:lineRule="auto"/>
        <w:rPr>
          <w:rFonts w:asciiTheme="minorBidi" w:hAnsiTheme="minorBidi"/>
          <w:color w:val="000000"/>
        </w:rPr>
      </w:pPr>
      <w:r>
        <w:rPr>
          <w:rFonts w:asciiTheme="minorBidi" w:hAnsiTheme="minorBidi"/>
          <w:color w:val="000000"/>
        </w:rPr>
        <w:t>B</w:t>
      </w:r>
      <w:r w:rsidRPr="001E59DA">
        <w:rPr>
          <w:rFonts w:asciiTheme="minorBidi" w:hAnsiTheme="minorBidi"/>
          <w:color w:val="000000"/>
        </w:rPr>
        <w:t>usinesses should consider climate change and related man-made environmental impacts as core ethical and operational priorities. This includes commitments to carbon reduction targets, sustainable sourcing and transparency in reporting on environmental performance. For example, companies can follow international standards such as the United Nations Guiding Principles on Business and Human Rights or ISO 14001 to ensure accountability in all markets.</w:t>
      </w:r>
      <w:r>
        <w:rPr>
          <w:rFonts w:asciiTheme="minorBidi" w:hAnsiTheme="minorBidi"/>
          <w:color w:val="000000"/>
        </w:rPr>
        <w:t xml:space="preserve"> B</w:t>
      </w:r>
      <w:r w:rsidRPr="001E59DA">
        <w:rPr>
          <w:rFonts w:asciiTheme="minorBidi" w:hAnsiTheme="minorBidi"/>
          <w:color w:val="000000"/>
        </w:rPr>
        <w:t xml:space="preserve">usinesses should regularly consult with local communities, regulators and consumer groups to understand how different cultures view ethical issues such as smoking, gambling and unhealthy food consumption. </w:t>
      </w:r>
    </w:p>
    <w:p w14:paraId="684ACFA9" w14:textId="77777777" w:rsidR="001E59DA" w:rsidRPr="001E59DA" w:rsidRDefault="001E59DA" w:rsidP="001E59DA">
      <w:pPr>
        <w:pStyle w:val="a5"/>
        <w:spacing w:line="360" w:lineRule="auto"/>
        <w:rPr>
          <w:rFonts w:asciiTheme="minorBidi" w:hAnsiTheme="minorBidi"/>
          <w:color w:val="000000"/>
        </w:rPr>
      </w:pPr>
    </w:p>
    <w:p w14:paraId="0CEED1D3" w14:textId="1F8E495F" w:rsidR="001E59DA" w:rsidRPr="001E59DA" w:rsidRDefault="001E59DA" w:rsidP="001E59DA">
      <w:pPr>
        <w:pStyle w:val="a5"/>
        <w:spacing w:line="360" w:lineRule="auto"/>
        <w:rPr>
          <w:rFonts w:asciiTheme="minorBidi" w:hAnsiTheme="minorBidi"/>
          <w:color w:val="000000"/>
        </w:rPr>
      </w:pPr>
      <w:r>
        <w:rPr>
          <w:rFonts w:asciiTheme="minorBidi" w:hAnsiTheme="minorBidi"/>
          <w:color w:val="000000"/>
        </w:rPr>
        <w:t>E</w:t>
      </w:r>
      <w:r w:rsidRPr="001E59DA">
        <w:rPr>
          <w:rFonts w:asciiTheme="minorBidi" w:hAnsiTheme="minorBidi"/>
          <w:color w:val="000000"/>
        </w:rPr>
        <w:t>mployees and managers should receive training on cultural differences in ethics and the social consequences of corporate actions. This will enable employees to make decisions that consider global standards and local expectations, reducing the risk of unethical behavior or reputational damage.</w:t>
      </w:r>
      <w:r>
        <w:rPr>
          <w:rFonts w:asciiTheme="minorBidi" w:hAnsiTheme="minorBidi"/>
          <w:color w:val="000000"/>
        </w:rPr>
        <w:t xml:space="preserve"> </w:t>
      </w:r>
    </w:p>
    <w:p w14:paraId="72FA4F2B" w14:textId="07BC28CC" w:rsidR="001E59DA" w:rsidRPr="001E59DA" w:rsidRDefault="001E59DA" w:rsidP="001E59DA">
      <w:pPr>
        <w:widowControl/>
        <w:jc w:val="left"/>
        <w:rPr>
          <w:rFonts w:asciiTheme="minorBidi" w:eastAsia="宋体" w:hAnsiTheme="minorBidi" w:cs="宋体"/>
          <w:color w:val="000000"/>
          <w:kern w:val="0"/>
          <w:sz w:val="24"/>
          <w14:ligatures w14:val="none"/>
        </w:rPr>
      </w:pPr>
      <w:r>
        <w:rPr>
          <w:rFonts w:asciiTheme="minorBidi" w:hAnsiTheme="minorBidi"/>
          <w:color w:val="000000"/>
        </w:rPr>
        <w:br w:type="page"/>
      </w:r>
    </w:p>
    <w:p w14:paraId="06FFA435" w14:textId="494B93C5" w:rsidR="00B52ADA" w:rsidRPr="00AD190C" w:rsidRDefault="00B52ADA" w:rsidP="00AD190C">
      <w:pPr>
        <w:pStyle w:val="a8"/>
      </w:pPr>
      <w:bookmarkStart w:id="6" w:name="_Toc216478326"/>
      <w:r w:rsidRPr="00AD190C">
        <w:lastRenderedPageBreak/>
        <w:t>References</w:t>
      </w:r>
      <w:bookmarkEnd w:id="6"/>
    </w:p>
    <w:p w14:paraId="071E9E97" w14:textId="77777777" w:rsidR="00B718C1" w:rsidRPr="00B718C1" w:rsidRDefault="00B718C1" w:rsidP="001E59DA">
      <w:pPr>
        <w:pStyle w:val="a5"/>
        <w:spacing w:line="480" w:lineRule="auto"/>
        <w:ind w:left="480" w:hangingChars="200" w:hanging="480"/>
        <w:rPr>
          <w:rFonts w:asciiTheme="minorBidi" w:hAnsiTheme="minorBidi" w:cstheme="minorBidi"/>
          <w:lang w:val="nl-NL"/>
        </w:rPr>
      </w:pPr>
    </w:p>
    <w:p w14:paraId="3CB6A859" w14:textId="77777777" w:rsidR="00B718C1" w:rsidRPr="00B718C1" w:rsidRDefault="00B718C1" w:rsidP="00B718C1">
      <w:pPr>
        <w:pStyle w:val="a5"/>
        <w:spacing w:line="480" w:lineRule="auto"/>
        <w:ind w:left="480" w:hangingChars="200" w:hanging="480"/>
        <w:rPr>
          <w:rFonts w:asciiTheme="minorBidi" w:hAnsiTheme="minorBidi" w:cstheme="minorBidi"/>
        </w:rPr>
      </w:pPr>
      <w:r w:rsidRPr="00B718C1">
        <w:rPr>
          <w:rFonts w:asciiTheme="minorBidi" w:hAnsiTheme="minorBidi" w:cstheme="minorBidi"/>
        </w:rPr>
        <w:t>A</w:t>
      </w:r>
      <w:r w:rsidRPr="00B718C1">
        <w:rPr>
          <w:rFonts w:asciiTheme="minorBidi" w:hAnsiTheme="minorBidi" w:cstheme="minorBidi"/>
        </w:rPr>
        <w:t xml:space="preserve"> s</w:t>
      </w:r>
      <w:r>
        <w:rPr>
          <w:rFonts w:asciiTheme="minorBidi" w:hAnsiTheme="minorBidi" w:cstheme="minorBidi"/>
        </w:rPr>
        <w:t>mo</w:t>
      </w:r>
      <w:r w:rsidRPr="00B718C1">
        <w:rPr>
          <w:rFonts w:asciiTheme="minorBidi" w:hAnsiTheme="minorBidi" w:cstheme="minorBidi"/>
        </w:rPr>
        <w:t>ke free, D. (2021). All Party Parliamentary Group on Smoking and Health Executive Summary. [online] Available at: https://ash.org.uk/uploads/APPG-report-210609_Exec-Summary.pdf.</w:t>
      </w:r>
    </w:p>
    <w:p w14:paraId="46653F97" w14:textId="77777777" w:rsidR="00B718C1" w:rsidRPr="00B718C1" w:rsidRDefault="00B718C1" w:rsidP="00B718C1">
      <w:pPr>
        <w:pStyle w:val="a5"/>
        <w:spacing w:line="480" w:lineRule="auto"/>
        <w:ind w:left="480" w:hangingChars="200" w:hanging="480"/>
        <w:rPr>
          <w:rFonts w:asciiTheme="minorBidi" w:hAnsiTheme="minorBidi" w:cstheme="minorBidi"/>
          <w:lang w:val="nl-NL"/>
        </w:rPr>
      </w:pPr>
      <w:r w:rsidRPr="00B718C1">
        <w:rPr>
          <w:rFonts w:asciiTheme="minorBidi" w:hAnsiTheme="minorBidi" w:cstheme="minorBidi"/>
        </w:rPr>
        <w:t>Adams, P.J. (2016) </w:t>
      </w:r>
      <w:r w:rsidRPr="00B718C1">
        <w:rPr>
          <w:rFonts w:asciiTheme="minorBidi" w:hAnsiTheme="minorBidi" w:cstheme="minorBidi"/>
          <w:i/>
          <w:iCs/>
        </w:rPr>
        <w:t>Moral jeopardy: Risks of accepting money from the alcohol, tobacco and gambling industries</w:t>
      </w:r>
      <w:r w:rsidRPr="00B718C1">
        <w:rPr>
          <w:rFonts w:asciiTheme="minorBidi" w:hAnsiTheme="minorBidi" w:cstheme="minorBidi"/>
        </w:rPr>
        <w:t xml:space="preserve">. </w:t>
      </w:r>
      <w:r w:rsidRPr="00B718C1">
        <w:rPr>
          <w:rFonts w:asciiTheme="minorBidi" w:hAnsiTheme="minorBidi" w:cstheme="minorBidi"/>
          <w:lang w:val="nl-NL"/>
        </w:rPr>
        <w:t xml:space="preserve">Cambridge: Cambridge University Press. Available </w:t>
      </w:r>
      <w:proofErr w:type="spellStart"/>
      <w:r w:rsidRPr="00B718C1">
        <w:rPr>
          <w:rFonts w:asciiTheme="minorBidi" w:hAnsiTheme="minorBidi" w:cstheme="minorBidi"/>
          <w:lang w:val="nl-NL"/>
        </w:rPr>
        <w:t>at:</w:t>
      </w:r>
      <w:hyperlink r:id="rId7" w:tgtFrame="_new" w:history="1">
        <w:r w:rsidRPr="00B718C1">
          <w:rPr>
            <w:rFonts w:asciiTheme="minorBidi" w:hAnsiTheme="minorBidi" w:cstheme="minorBidi"/>
            <w:lang w:val="nl-NL"/>
          </w:rPr>
          <w:t>Https</w:t>
        </w:r>
        <w:proofErr w:type="spellEnd"/>
        <w:r w:rsidRPr="00B718C1">
          <w:rPr>
            <w:rFonts w:asciiTheme="minorBidi" w:hAnsiTheme="minorBidi" w:cstheme="minorBidi"/>
            <w:lang w:val="nl-NL"/>
          </w:rPr>
          <w:t>://www.cambridge.org</w:t>
        </w:r>
      </w:hyperlink>
    </w:p>
    <w:p w14:paraId="354554DB" w14:textId="77777777" w:rsidR="00B718C1" w:rsidRPr="001C6345" w:rsidRDefault="00B718C1" w:rsidP="001C6345">
      <w:pPr>
        <w:pStyle w:val="a5"/>
        <w:spacing w:line="480" w:lineRule="auto"/>
        <w:ind w:left="480" w:hangingChars="200" w:hanging="480"/>
        <w:rPr>
          <w:rFonts w:asciiTheme="minorBidi" w:hAnsiTheme="minorBidi" w:cstheme="minorBidi"/>
        </w:rPr>
      </w:pPr>
      <w:proofErr w:type="spellStart"/>
      <w:r w:rsidRPr="001C6345">
        <w:rPr>
          <w:rFonts w:asciiTheme="minorBidi" w:hAnsiTheme="minorBidi" w:cstheme="minorBidi"/>
        </w:rPr>
        <w:t>Aydoğmuş</w:t>
      </w:r>
      <w:proofErr w:type="spellEnd"/>
      <w:r w:rsidRPr="001C6345">
        <w:rPr>
          <w:rFonts w:asciiTheme="minorBidi" w:hAnsiTheme="minorBidi" w:cstheme="minorBidi"/>
        </w:rPr>
        <w:t>, M. (2022) ‘Impact of ESG performance on firm value and profitability’,</w:t>
      </w:r>
      <w:r w:rsidRPr="001C6345">
        <w:rPr>
          <w:rStyle w:val="apple-converted-space"/>
          <w:rFonts w:asciiTheme="minorBidi" w:hAnsiTheme="minorBidi" w:cstheme="minorBidi"/>
        </w:rPr>
        <w:t> </w:t>
      </w:r>
      <w:r w:rsidRPr="001C6345">
        <w:rPr>
          <w:rStyle w:val="a7"/>
          <w:rFonts w:asciiTheme="minorBidi" w:hAnsiTheme="minorBidi" w:cstheme="minorBidi"/>
        </w:rPr>
        <w:t>Journal of Cleaner Production</w:t>
      </w:r>
      <w:r w:rsidRPr="001C6345">
        <w:rPr>
          <w:rFonts w:asciiTheme="minorBidi" w:hAnsiTheme="minorBidi" w:cstheme="minorBidi"/>
        </w:rPr>
        <w:t xml:space="preserve">, 362, p. 132345. </w:t>
      </w:r>
    </w:p>
    <w:p w14:paraId="3FD51699" w14:textId="77777777" w:rsidR="00B718C1" w:rsidRPr="00B718C1" w:rsidRDefault="00B718C1" w:rsidP="00B718C1">
      <w:pPr>
        <w:pStyle w:val="a5"/>
        <w:spacing w:line="480" w:lineRule="auto"/>
        <w:ind w:left="480" w:hangingChars="200" w:hanging="480"/>
        <w:rPr>
          <w:rFonts w:asciiTheme="minorBidi" w:hAnsiTheme="minorBidi" w:cstheme="minorBidi"/>
        </w:rPr>
      </w:pPr>
      <w:r w:rsidRPr="00B718C1">
        <w:rPr>
          <w:rFonts w:asciiTheme="minorBidi" w:hAnsiTheme="minorBidi" w:cstheme="minorBidi"/>
        </w:rPr>
        <w:t xml:space="preserve">Balian, A. and </w:t>
      </w:r>
      <w:proofErr w:type="spellStart"/>
      <w:r w:rsidRPr="00B718C1">
        <w:rPr>
          <w:rFonts w:asciiTheme="minorBidi" w:hAnsiTheme="minorBidi" w:cstheme="minorBidi"/>
        </w:rPr>
        <w:t>Ghevondyan</w:t>
      </w:r>
      <w:proofErr w:type="spellEnd"/>
      <w:r w:rsidRPr="00B718C1">
        <w:rPr>
          <w:rFonts w:asciiTheme="minorBidi" w:hAnsiTheme="minorBidi" w:cstheme="minorBidi"/>
        </w:rPr>
        <w:t>, A. (2018). Creating Shared Value. Open Journal for Sociological Studies, [online] 2(1). Available at: https://centerprode.com/ojss/ojss0201/coas.ojss.0201.04037b.html [Accessed 23 Nov. 2023].</w:t>
      </w:r>
    </w:p>
    <w:p w14:paraId="6CD0B888" w14:textId="77777777" w:rsidR="00B718C1" w:rsidRPr="001E59DA" w:rsidRDefault="00B718C1" w:rsidP="00B718C1">
      <w:pPr>
        <w:pStyle w:val="a5"/>
        <w:spacing w:line="480" w:lineRule="auto"/>
        <w:ind w:left="480" w:hangingChars="200" w:hanging="480"/>
        <w:rPr>
          <w:rFonts w:asciiTheme="minorBidi" w:hAnsiTheme="minorBidi" w:cstheme="minorBidi"/>
        </w:rPr>
      </w:pPr>
      <w:r w:rsidRPr="00B718C1">
        <w:rPr>
          <w:rFonts w:asciiTheme="minorBidi" w:hAnsiTheme="minorBidi" w:cstheme="minorBidi"/>
        </w:rPr>
        <w:t xml:space="preserve">Conway, L. (2024). Advertising HFSS food and drink to children Summary 1 Current regulation 2 Past consultations and initiatives 3 Health and Care Act 2022 4 Other initiatives 5 Devolved administrations: policy on promotion of HFSS products 6 Views of stakeholders. [online] Available </w:t>
      </w:r>
      <w:r w:rsidRPr="00B718C1">
        <w:rPr>
          <w:rFonts w:asciiTheme="minorBidi" w:hAnsiTheme="minorBidi" w:cstheme="minorBidi"/>
        </w:rPr>
        <w:lastRenderedPageBreak/>
        <w:t>at: https://researchbriefings.files.parliament.uk/documents/CBP-10061/CBP-10061.pdf.</w:t>
      </w:r>
    </w:p>
    <w:p w14:paraId="1E442827" w14:textId="77777777" w:rsidR="00B718C1" w:rsidRPr="00B718C1" w:rsidRDefault="00B718C1" w:rsidP="00B718C1">
      <w:pPr>
        <w:pStyle w:val="a5"/>
        <w:spacing w:line="480" w:lineRule="auto"/>
        <w:ind w:left="480" w:hangingChars="200" w:hanging="480"/>
        <w:rPr>
          <w:rFonts w:asciiTheme="minorBidi" w:hAnsiTheme="minorBidi" w:cstheme="minorBidi"/>
          <w:lang w:val="nl-NL"/>
        </w:rPr>
      </w:pPr>
      <w:r w:rsidRPr="00B718C1">
        <w:rPr>
          <w:rFonts w:asciiTheme="minorBidi" w:hAnsiTheme="minorBidi" w:cstheme="minorBidi"/>
        </w:rPr>
        <w:t xml:space="preserve">Crane, A., Matten, D., </w:t>
      </w:r>
      <w:proofErr w:type="spellStart"/>
      <w:r w:rsidRPr="00B718C1">
        <w:rPr>
          <w:rFonts w:asciiTheme="minorBidi" w:hAnsiTheme="minorBidi" w:cstheme="minorBidi"/>
        </w:rPr>
        <w:t>Glozer</w:t>
      </w:r>
      <w:proofErr w:type="spellEnd"/>
      <w:r w:rsidRPr="00B718C1">
        <w:rPr>
          <w:rFonts w:asciiTheme="minorBidi" w:hAnsiTheme="minorBidi" w:cstheme="minorBidi"/>
        </w:rPr>
        <w:t>, S. and Spence, L. (2019) </w:t>
      </w:r>
      <w:r w:rsidRPr="00B718C1">
        <w:rPr>
          <w:rFonts w:asciiTheme="minorBidi" w:hAnsiTheme="minorBidi" w:cstheme="minorBidi"/>
          <w:i/>
          <w:iCs/>
        </w:rPr>
        <w:t xml:space="preserve">Business ethics: Managing corporate citizenship and sustainability in the age of </w:t>
      </w:r>
      <w:proofErr w:type="spellStart"/>
      <w:r w:rsidRPr="00B718C1">
        <w:rPr>
          <w:rFonts w:asciiTheme="minorBidi" w:hAnsiTheme="minorBidi" w:cstheme="minorBidi"/>
          <w:i/>
          <w:iCs/>
        </w:rPr>
        <w:t>globalizatio</w:t>
      </w:r>
      <w:proofErr w:type="spellEnd"/>
      <w:r w:rsidRPr="00B718C1">
        <w:rPr>
          <w:rFonts w:asciiTheme="minorBidi" w:hAnsiTheme="minorBidi" w:cstheme="minorBidi"/>
          <w:i/>
          <w:iCs/>
        </w:rPr>
        <w:t xml:space="preserve"> n</w:t>
      </w:r>
      <w:r w:rsidRPr="00B718C1">
        <w:rPr>
          <w:rFonts w:asciiTheme="minorBidi" w:hAnsiTheme="minorBidi" w:cstheme="minorBidi"/>
        </w:rPr>
        <w:t xml:space="preserve">. 5th </w:t>
      </w:r>
      <w:proofErr w:type="spellStart"/>
      <w:r w:rsidRPr="00B718C1">
        <w:rPr>
          <w:rFonts w:asciiTheme="minorBidi" w:hAnsiTheme="minorBidi" w:cstheme="minorBidi"/>
        </w:rPr>
        <w:t>edn</w:t>
      </w:r>
      <w:proofErr w:type="spellEnd"/>
      <w:r w:rsidRPr="00B718C1">
        <w:rPr>
          <w:rFonts w:asciiTheme="minorBidi" w:hAnsiTheme="minorBidi" w:cstheme="minorBidi"/>
        </w:rPr>
        <w:t xml:space="preserve">. </w:t>
      </w:r>
      <w:r w:rsidRPr="00B718C1">
        <w:rPr>
          <w:rFonts w:asciiTheme="minorBidi" w:hAnsiTheme="minorBidi" w:cstheme="minorBidi"/>
          <w:lang w:val="nl-NL"/>
        </w:rPr>
        <w:t>Oxford: Oxford University Press. Available at: </w:t>
      </w:r>
      <w:hyperlink r:id="rId8" w:tgtFrame="_new" w:history="1">
        <w:r w:rsidRPr="00B718C1">
          <w:rPr>
            <w:rFonts w:asciiTheme="minorBidi" w:hAnsiTheme="minorBidi" w:cstheme="minorBidi"/>
            <w:lang w:val="nl-NL"/>
          </w:rPr>
          <w:t>https://global.oup.com</w:t>
        </w:r>
      </w:hyperlink>
    </w:p>
    <w:p w14:paraId="37C525A1" w14:textId="77777777" w:rsidR="00B718C1" w:rsidRPr="00B718C1" w:rsidRDefault="00B718C1" w:rsidP="00B718C1">
      <w:pPr>
        <w:pStyle w:val="a5"/>
        <w:spacing w:line="480" w:lineRule="auto"/>
        <w:ind w:left="480" w:hangingChars="200" w:hanging="480"/>
        <w:rPr>
          <w:rFonts w:asciiTheme="minorBidi" w:hAnsiTheme="minorBidi" w:cstheme="minorBidi"/>
        </w:rPr>
      </w:pPr>
      <w:r w:rsidRPr="00B718C1">
        <w:rPr>
          <w:rFonts w:asciiTheme="minorBidi" w:hAnsiTheme="minorBidi" w:cstheme="minorBidi"/>
        </w:rPr>
        <w:t xml:space="preserve">DECORTES, J. (2025). Environmental Justice and Corporate social responsibility in the Nigerian Oil Industry. Unipd.it. [online] </w:t>
      </w:r>
      <w:proofErr w:type="spellStart"/>
      <w:proofErr w:type="gramStart"/>
      <w:r w:rsidRPr="00B718C1">
        <w:rPr>
          <w:rFonts w:asciiTheme="minorBidi" w:hAnsiTheme="minorBidi" w:cstheme="minorBidi"/>
        </w:rPr>
        <w:t>doi:https</w:t>
      </w:r>
      <w:proofErr w:type="spellEnd"/>
      <w:r w:rsidRPr="00B718C1">
        <w:rPr>
          <w:rFonts w:asciiTheme="minorBidi" w:hAnsiTheme="minorBidi" w:cstheme="minorBidi"/>
        </w:rPr>
        <w:t>://hdl.handle.net/20.500.12608/83917</w:t>
      </w:r>
      <w:proofErr w:type="gramEnd"/>
      <w:r w:rsidRPr="00B718C1">
        <w:rPr>
          <w:rFonts w:asciiTheme="minorBidi" w:hAnsiTheme="minorBidi" w:cstheme="minorBidi"/>
        </w:rPr>
        <w:t>.</w:t>
      </w:r>
    </w:p>
    <w:p w14:paraId="21415394" w14:textId="77777777" w:rsidR="00B718C1" w:rsidRPr="00B718C1" w:rsidRDefault="00B718C1" w:rsidP="00B718C1">
      <w:pPr>
        <w:pStyle w:val="a5"/>
        <w:spacing w:line="480" w:lineRule="auto"/>
        <w:ind w:left="480" w:hangingChars="200" w:hanging="480"/>
        <w:rPr>
          <w:rFonts w:asciiTheme="minorBidi" w:hAnsiTheme="minorBidi" w:cstheme="minorBidi"/>
        </w:rPr>
      </w:pPr>
      <w:r w:rsidRPr="00B718C1">
        <w:rPr>
          <w:rFonts w:asciiTheme="minorBidi" w:hAnsiTheme="minorBidi" w:cstheme="minorBidi"/>
        </w:rPr>
        <w:t>Environment. (2025). Green claims. [online] Available at: https://environment.ec.europa.eu/topics/circular-economy-topics/green-claims_en.</w:t>
      </w:r>
    </w:p>
    <w:p w14:paraId="6230102F" w14:textId="77777777" w:rsidR="00B718C1" w:rsidRPr="00B718C1" w:rsidRDefault="00B718C1" w:rsidP="00B718C1">
      <w:pPr>
        <w:pStyle w:val="a5"/>
        <w:spacing w:line="480" w:lineRule="auto"/>
        <w:ind w:left="480" w:hangingChars="200" w:hanging="480"/>
        <w:rPr>
          <w:rFonts w:asciiTheme="minorBidi" w:hAnsiTheme="minorBidi" w:cstheme="minorBidi"/>
        </w:rPr>
      </w:pPr>
      <w:r w:rsidRPr="00B718C1">
        <w:rPr>
          <w:rFonts w:asciiTheme="minorBidi" w:hAnsiTheme="minorBidi" w:cstheme="minorBidi"/>
        </w:rPr>
        <w:t>Food Foundation (2024)</w:t>
      </w:r>
      <w:r w:rsidRPr="00B718C1">
        <w:rPr>
          <w:rFonts w:asciiTheme="minorBidi" w:hAnsiTheme="minorBidi" w:cstheme="minorBidi"/>
        </w:rPr>
        <w:t>.</w:t>
      </w:r>
      <w:r>
        <w:t xml:space="preserve"> </w:t>
      </w:r>
      <w:r w:rsidRPr="00B718C1">
        <w:rPr>
          <w:rFonts w:asciiTheme="minorBidi" w:hAnsiTheme="minorBidi" w:cstheme="minorBidi"/>
        </w:rPr>
        <w:t>The State of the Nation’s Food Industry report 2024. [online] Foodfoundation.org.uk. Available at: https://foodfoundation.org.uk/publication/state-nations-food-industry-report-2024.</w:t>
      </w:r>
    </w:p>
    <w:p w14:paraId="68E9B67C" w14:textId="77777777" w:rsidR="00B718C1" w:rsidRPr="00B718C1" w:rsidRDefault="00B718C1" w:rsidP="00B718C1">
      <w:pPr>
        <w:pStyle w:val="a5"/>
        <w:spacing w:line="480" w:lineRule="auto"/>
        <w:ind w:left="480" w:hangingChars="200" w:hanging="480"/>
        <w:rPr>
          <w:rFonts w:asciiTheme="minorBidi" w:hAnsiTheme="minorBidi" w:cstheme="minorBidi"/>
        </w:rPr>
      </w:pPr>
      <w:r w:rsidRPr="00B718C1">
        <w:rPr>
          <w:rFonts w:asciiTheme="minorBidi" w:hAnsiTheme="minorBidi" w:cstheme="minorBidi"/>
        </w:rPr>
        <w:t>Freeman, R.E. (2010). Strategic Management: A Stakeholder Approach. [online] Google Books. Cambridge University Press. Available at: https://books.google.co.uk/books?hl=zh-CN&amp;lr=&amp;id=NpmA_qEiOpkC&amp;oi=fnd&amp;pg=PR5&amp;dq=Freeman.</w:t>
      </w:r>
    </w:p>
    <w:p w14:paraId="690AA3F6" w14:textId="77777777" w:rsidR="00B718C1" w:rsidRPr="00B718C1" w:rsidRDefault="00B718C1" w:rsidP="00B718C1">
      <w:pPr>
        <w:pStyle w:val="a5"/>
        <w:spacing w:line="480" w:lineRule="auto"/>
        <w:ind w:left="480" w:hangingChars="200" w:hanging="480"/>
        <w:rPr>
          <w:rFonts w:asciiTheme="minorBidi" w:hAnsiTheme="minorBidi" w:cstheme="minorBidi"/>
        </w:rPr>
      </w:pPr>
      <w:r w:rsidRPr="00B718C1">
        <w:rPr>
          <w:rFonts w:asciiTheme="minorBidi" w:hAnsiTheme="minorBidi" w:cstheme="minorBidi"/>
        </w:rPr>
        <w:lastRenderedPageBreak/>
        <w:t xml:space="preserve">Friedman, M. (1970). The Social Responsibility of Business Is to Increase Its Profits. In: Corporate Ethics and Corporate Governance. The New York Times Magazine, pp.173–178. </w:t>
      </w:r>
      <w:proofErr w:type="spellStart"/>
      <w:proofErr w:type="gramStart"/>
      <w:r w:rsidRPr="00B718C1">
        <w:rPr>
          <w:rFonts w:asciiTheme="minorBidi" w:hAnsiTheme="minorBidi" w:cstheme="minorBidi"/>
        </w:rPr>
        <w:t>doi:https</w:t>
      </w:r>
      <w:proofErr w:type="spellEnd"/>
      <w:r w:rsidRPr="00B718C1">
        <w:rPr>
          <w:rFonts w:asciiTheme="minorBidi" w:hAnsiTheme="minorBidi" w:cstheme="minorBidi"/>
        </w:rPr>
        <w:t>://doi.org/10.1007/978-3-540-70818-6_14</w:t>
      </w:r>
      <w:proofErr w:type="gramEnd"/>
      <w:r w:rsidRPr="00B718C1">
        <w:rPr>
          <w:rFonts w:asciiTheme="minorBidi" w:hAnsiTheme="minorBidi" w:cstheme="minorBidi"/>
        </w:rPr>
        <w:t>.</w:t>
      </w:r>
    </w:p>
    <w:p w14:paraId="58410A4E" w14:textId="77777777" w:rsidR="00B718C1" w:rsidRDefault="00B718C1" w:rsidP="001E59DA">
      <w:pPr>
        <w:pStyle w:val="a5"/>
        <w:spacing w:line="480" w:lineRule="auto"/>
        <w:ind w:left="480" w:hangingChars="200" w:hanging="480"/>
        <w:rPr>
          <w:rFonts w:asciiTheme="minorBidi" w:hAnsiTheme="minorBidi" w:cstheme="minorBidi"/>
        </w:rPr>
      </w:pPr>
      <w:proofErr w:type="spellStart"/>
      <w:r w:rsidRPr="001E59DA">
        <w:rPr>
          <w:rFonts w:asciiTheme="minorBidi" w:hAnsiTheme="minorBidi" w:cstheme="minorBidi"/>
        </w:rPr>
        <w:t>Heede</w:t>
      </w:r>
      <w:proofErr w:type="spellEnd"/>
      <w:r w:rsidRPr="001E59DA">
        <w:rPr>
          <w:rFonts w:asciiTheme="minorBidi" w:hAnsiTheme="minorBidi" w:cstheme="minorBidi"/>
        </w:rPr>
        <w:t>, R. (2014) Tracing anthropogenic carbon dioxide and methane emissions to fossil fuel and cement producers, 1854–2010, Climatic Change, 122(1–2), pp. 229–241.</w:t>
      </w:r>
    </w:p>
    <w:p w14:paraId="5235286E" w14:textId="77777777" w:rsidR="00B718C1" w:rsidRDefault="00B718C1" w:rsidP="001E59DA">
      <w:pPr>
        <w:pStyle w:val="a5"/>
        <w:spacing w:line="480" w:lineRule="auto"/>
        <w:ind w:left="480" w:hangingChars="200" w:hanging="480"/>
        <w:rPr>
          <w:rFonts w:asciiTheme="minorBidi" w:hAnsiTheme="minorBidi" w:cstheme="minorBidi"/>
        </w:rPr>
      </w:pPr>
      <w:r w:rsidRPr="001E59DA">
        <w:rPr>
          <w:rFonts w:asciiTheme="minorBidi" w:hAnsiTheme="minorBidi" w:cstheme="minorBidi"/>
        </w:rPr>
        <w:t>IPCC (2022) Climate Change 2022: Impacts, Adaptation and Vulnerability. Contribution of Working Group II to the Sixth Assessment Report of the Intergovernmental Panel on Climate Change.</w:t>
      </w:r>
    </w:p>
    <w:p w14:paraId="5C5CD27C" w14:textId="77777777" w:rsidR="00B718C1" w:rsidRPr="00B718C1" w:rsidRDefault="00B718C1" w:rsidP="00B718C1">
      <w:pPr>
        <w:pStyle w:val="a5"/>
        <w:spacing w:line="480" w:lineRule="auto"/>
        <w:ind w:left="480" w:hangingChars="200" w:hanging="480"/>
        <w:rPr>
          <w:rFonts w:asciiTheme="minorBidi" w:hAnsiTheme="minorBidi" w:cstheme="minorBidi"/>
          <w:lang w:val="nl-NL"/>
        </w:rPr>
      </w:pPr>
      <w:r w:rsidRPr="00B718C1">
        <w:rPr>
          <w:rFonts w:asciiTheme="minorBidi" w:hAnsiTheme="minorBidi" w:cstheme="minorBidi"/>
        </w:rPr>
        <w:t>IPCC (2023) </w:t>
      </w:r>
      <w:r w:rsidRPr="00B718C1">
        <w:rPr>
          <w:rFonts w:asciiTheme="minorBidi" w:hAnsiTheme="minorBidi" w:cstheme="minorBidi"/>
          <w:i/>
          <w:iCs/>
        </w:rPr>
        <w:t>AR6 Synthesis Report: Summary for Policymakers</w:t>
      </w:r>
      <w:r w:rsidRPr="00B718C1">
        <w:rPr>
          <w:rFonts w:asciiTheme="minorBidi" w:hAnsiTheme="minorBidi" w:cstheme="minorBidi"/>
        </w:rPr>
        <w:t xml:space="preserve">. </w:t>
      </w:r>
      <w:proofErr w:type="spellStart"/>
      <w:r w:rsidRPr="00B718C1">
        <w:rPr>
          <w:rFonts w:asciiTheme="minorBidi" w:hAnsiTheme="minorBidi" w:cstheme="minorBidi"/>
          <w:lang w:val="nl-NL"/>
        </w:rPr>
        <w:t>Intergovernmental</w:t>
      </w:r>
      <w:proofErr w:type="spellEnd"/>
      <w:r w:rsidRPr="00B718C1">
        <w:rPr>
          <w:rFonts w:asciiTheme="minorBidi" w:hAnsiTheme="minorBidi" w:cstheme="minorBidi"/>
          <w:lang w:val="nl-NL"/>
        </w:rPr>
        <w:t xml:space="preserve"> Panel on </w:t>
      </w:r>
      <w:proofErr w:type="spellStart"/>
      <w:r w:rsidRPr="00B718C1">
        <w:rPr>
          <w:rFonts w:asciiTheme="minorBidi" w:hAnsiTheme="minorBidi" w:cstheme="minorBidi"/>
          <w:lang w:val="nl-NL"/>
        </w:rPr>
        <w:t>Climate</w:t>
      </w:r>
      <w:proofErr w:type="spellEnd"/>
      <w:r w:rsidRPr="00B718C1">
        <w:rPr>
          <w:rFonts w:asciiTheme="minorBidi" w:hAnsiTheme="minorBidi" w:cstheme="minorBidi"/>
          <w:lang w:val="nl-NL"/>
        </w:rPr>
        <w:t xml:space="preserve"> Change. Available at: </w:t>
      </w:r>
      <w:hyperlink r:id="rId9" w:tgtFrame="_new" w:history="1">
        <w:r w:rsidRPr="00B718C1">
          <w:rPr>
            <w:rFonts w:asciiTheme="minorBidi" w:hAnsiTheme="minorBidi" w:cstheme="minorBidi"/>
            <w:lang w:val="nl-NL"/>
          </w:rPr>
          <w:t>https://www.ipcc.ch/report/ar6/syr/</w:t>
        </w:r>
      </w:hyperlink>
    </w:p>
    <w:p w14:paraId="7003C6AC" w14:textId="77777777" w:rsidR="00B718C1" w:rsidRPr="00B718C1" w:rsidRDefault="00B718C1" w:rsidP="00B718C1">
      <w:pPr>
        <w:pStyle w:val="a5"/>
        <w:spacing w:line="480" w:lineRule="auto"/>
        <w:ind w:left="480" w:hangingChars="200" w:hanging="480"/>
        <w:rPr>
          <w:rFonts w:asciiTheme="minorBidi" w:hAnsiTheme="minorBidi" w:cstheme="minorBidi"/>
          <w:lang w:val="nl-NL"/>
        </w:rPr>
      </w:pPr>
      <w:r w:rsidRPr="00B718C1">
        <w:rPr>
          <w:rFonts w:asciiTheme="minorBidi" w:hAnsiTheme="minorBidi" w:cstheme="minorBidi"/>
          <w:lang w:val="nl-NL"/>
        </w:rPr>
        <w:t xml:space="preserve">Kramer, M. R., &amp; Porter, M. (2011). Creating shared </w:t>
      </w:r>
      <w:proofErr w:type="gramStart"/>
      <w:r w:rsidRPr="00B718C1">
        <w:rPr>
          <w:rFonts w:asciiTheme="minorBidi" w:hAnsiTheme="minorBidi" w:cstheme="minorBidi"/>
          <w:lang w:val="nl-NL"/>
        </w:rPr>
        <w:t>value(</w:t>
      </w:r>
      <w:proofErr w:type="gramEnd"/>
      <w:r w:rsidRPr="00B718C1">
        <w:rPr>
          <w:rFonts w:asciiTheme="minorBidi" w:hAnsiTheme="minorBidi" w:cstheme="minorBidi"/>
          <w:lang w:val="nl-NL"/>
        </w:rPr>
        <w:t>Vol. 17). Boston, MA, USA: FSG.</w:t>
      </w:r>
    </w:p>
    <w:p w14:paraId="5BE99657" w14:textId="77777777" w:rsidR="00B718C1" w:rsidRPr="00B718C1" w:rsidRDefault="00B718C1" w:rsidP="00B718C1">
      <w:pPr>
        <w:pStyle w:val="a5"/>
        <w:spacing w:line="480" w:lineRule="auto"/>
        <w:ind w:left="480" w:hangingChars="200" w:hanging="480"/>
        <w:rPr>
          <w:rFonts w:asciiTheme="minorBidi" w:hAnsiTheme="minorBidi" w:cstheme="minorBidi"/>
        </w:rPr>
      </w:pPr>
      <w:r w:rsidRPr="00B718C1">
        <w:rPr>
          <w:rFonts w:asciiTheme="minorBidi" w:hAnsiTheme="minorBidi" w:cstheme="minorBidi"/>
        </w:rPr>
        <w:t xml:space="preserve">Obesity Health Alliance (2024). Less Healthy Advertising Legislation </w:t>
      </w:r>
      <w:proofErr w:type="gramStart"/>
      <w:r w:rsidRPr="00B718C1">
        <w:rPr>
          <w:rFonts w:asciiTheme="minorBidi" w:hAnsiTheme="minorBidi" w:cstheme="minorBidi"/>
        </w:rPr>
        <w:t>To</w:t>
      </w:r>
      <w:proofErr w:type="gramEnd"/>
      <w:r w:rsidRPr="00B718C1">
        <w:rPr>
          <w:rFonts w:asciiTheme="minorBidi" w:hAnsiTheme="minorBidi" w:cstheme="minorBidi"/>
        </w:rPr>
        <w:t xml:space="preserve"> Address Child Health - Obesity Health Alliance. [online] Obesity Health Alliance. Available at: https://obesityhealthalliance.org.uk/2024/12/12/lhfads/.</w:t>
      </w:r>
    </w:p>
    <w:p w14:paraId="2B396A23" w14:textId="77777777" w:rsidR="00B718C1" w:rsidRPr="00B718C1" w:rsidRDefault="00B718C1" w:rsidP="00B718C1">
      <w:pPr>
        <w:pStyle w:val="a5"/>
        <w:spacing w:line="480" w:lineRule="auto"/>
        <w:ind w:left="480" w:hangingChars="200" w:hanging="480"/>
        <w:rPr>
          <w:rFonts w:asciiTheme="minorBidi" w:hAnsiTheme="minorBidi" w:cstheme="minorBidi"/>
        </w:rPr>
      </w:pPr>
      <w:r w:rsidRPr="00B718C1">
        <w:rPr>
          <w:rFonts w:asciiTheme="minorBidi" w:hAnsiTheme="minorBidi" w:cstheme="minorBidi"/>
        </w:rPr>
        <w:lastRenderedPageBreak/>
        <w:t>OECD (2023). OECD Guidelines for Multinational Enterprises on Responsible Business Conduct. [online] OECD. Available at: https://www.oecd.org/en/publications/oecd-guidelines-for-multinational-enterprises-on-responsible-business-conduct_81f92357-en.html.</w:t>
      </w:r>
    </w:p>
    <w:p w14:paraId="54A99515" w14:textId="77777777" w:rsidR="00B718C1" w:rsidRDefault="00B718C1" w:rsidP="001E59DA">
      <w:pPr>
        <w:pStyle w:val="a5"/>
        <w:spacing w:line="480" w:lineRule="auto"/>
        <w:ind w:left="480" w:hangingChars="200" w:hanging="480"/>
        <w:rPr>
          <w:rFonts w:asciiTheme="minorBidi" w:hAnsiTheme="minorBidi" w:cstheme="minorBidi"/>
        </w:rPr>
      </w:pPr>
      <w:r w:rsidRPr="00B718C1">
        <w:rPr>
          <w:rFonts w:asciiTheme="minorBidi" w:hAnsiTheme="minorBidi" w:cstheme="minorBidi"/>
        </w:rPr>
        <w:t>Sen, A. (2014). Development as freedom (1999). The globalization and development reader: Perspectives on development and global change, 525.</w:t>
      </w:r>
    </w:p>
    <w:p w14:paraId="08C934B4" w14:textId="77777777" w:rsidR="00B718C1" w:rsidRDefault="00B718C1" w:rsidP="001E59DA">
      <w:pPr>
        <w:pStyle w:val="a5"/>
        <w:spacing w:line="480" w:lineRule="auto"/>
        <w:ind w:left="480" w:hangingChars="200" w:hanging="480"/>
        <w:rPr>
          <w:rFonts w:asciiTheme="minorBidi" w:hAnsiTheme="minorBidi" w:cstheme="minorBidi"/>
        </w:rPr>
      </w:pPr>
      <w:proofErr w:type="gramStart"/>
      <w:r w:rsidRPr="001E59DA">
        <w:rPr>
          <w:rFonts w:asciiTheme="minorBidi" w:hAnsiTheme="minorBidi" w:cstheme="minorBidi"/>
          <w:lang w:val="nl-NL"/>
        </w:rPr>
        <w:t>van</w:t>
      </w:r>
      <w:proofErr w:type="gramEnd"/>
      <w:r w:rsidRPr="001E59DA">
        <w:rPr>
          <w:rFonts w:asciiTheme="minorBidi" w:hAnsiTheme="minorBidi" w:cstheme="minorBidi"/>
          <w:lang w:val="nl-NL"/>
        </w:rPr>
        <w:t xml:space="preserve"> </w:t>
      </w:r>
      <w:proofErr w:type="spellStart"/>
      <w:r w:rsidRPr="001E59DA">
        <w:rPr>
          <w:rFonts w:asciiTheme="minorBidi" w:hAnsiTheme="minorBidi" w:cstheme="minorBidi"/>
          <w:lang w:val="nl-NL"/>
        </w:rPr>
        <w:t>Schalkwyk</w:t>
      </w:r>
      <w:proofErr w:type="spellEnd"/>
      <w:r w:rsidRPr="001E59DA">
        <w:rPr>
          <w:rFonts w:asciiTheme="minorBidi" w:hAnsiTheme="minorBidi" w:cstheme="minorBidi"/>
          <w:lang w:val="nl-NL"/>
        </w:rPr>
        <w:t xml:space="preserve">, M.C.I. et al. </w:t>
      </w:r>
      <w:r w:rsidRPr="001E59DA">
        <w:rPr>
          <w:rFonts w:asciiTheme="minorBidi" w:hAnsiTheme="minorBidi" w:cstheme="minorBidi"/>
        </w:rPr>
        <w:t>(2021) ‘Public health approach to gambling regulation’, </w:t>
      </w:r>
      <w:r w:rsidRPr="001E59DA">
        <w:rPr>
          <w:rFonts w:asciiTheme="minorBidi" w:hAnsiTheme="minorBidi" w:cstheme="minorBidi"/>
          <w:i/>
          <w:iCs/>
        </w:rPr>
        <w:t>Journal of Public Health Policy</w:t>
      </w:r>
      <w:r w:rsidRPr="001E59DA">
        <w:rPr>
          <w:rFonts w:asciiTheme="minorBidi" w:hAnsiTheme="minorBidi" w:cstheme="minorBidi"/>
        </w:rPr>
        <w:t>.</w:t>
      </w:r>
    </w:p>
    <w:p w14:paraId="29F78A59" w14:textId="77777777" w:rsidR="00B718C1" w:rsidRPr="00B718C1" w:rsidRDefault="00B718C1" w:rsidP="00B718C1">
      <w:pPr>
        <w:pStyle w:val="a5"/>
        <w:spacing w:line="480" w:lineRule="auto"/>
        <w:ind w:left="480" w:hangingChars="200" w:hanging="480"/>
        <w:rPr>
          <w:rFonts w:asciiTheme="minorBidi" w:hAnsiTheme="minorBidi" w:cstheme="minorBidi"/>
        </w:rPr>
      </w:pPr>
      <w:r w:rsidRPr="00B718C1">
        <w:rPr>
          <w:rFonts w:asciiTheme="minorBidi" w:hAnsiTheme="minorBidi" w:cstheme="minorBidi"/>
        </w:rPr>
        <w:t>World Health Organization (WHO) (2023) </w:t>
      </w:r>
      <w:r w:rsidRPr="00B718C1">
        <w:rPr>
          <w:rFonts w:asciiTheme="minorBidi" w:hAnsiTheme="minorBidi" w:cstheme="minorBidi"/>
          <w:i/>
          <w:iCs/>
        </w:rPr>
        <w:t>Commercial determinants of health</w:t>
      </w:r>
      <w:r w:rsidRPr="00B718C1">
        <w:rPr>
          <w:rFonts w:asciiTheme="minorBidi" w:hAnsiTheme="minorBidi" w:cstheme="minorBidi"/>
        </w:rPr>
        <w:t>. Available at: </w:t>
      </w:r>
      <w:hyperlink r:id="rId10" w:tgtFrame="_new" w:history="1">
        <w:r w:rsidRPr="00B718C1">
          <w:rPr>
            <w:rFonts w:asciiTheme="minorBidi" w:hAnsiTheme="minorBidi" w:cstheme="minorBidi"/>
          </w:rPr>
          <w:t>https://www.who.int</w:t>
        </w:r>
      </w:hyperlink>
    </w:p>
    <w:sectPr w:rsidR="00B718C1" w:rsidRPr="00B718C1" w:rsidSect="0038784D">
      <w:footerReference w:type="even" r:id="rId11"/>
      <w:footerReference w:type="default" r:id="rId12"/>
      <w:footerReference w:type="first" r:id="rId13"/>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D6F026" w14:textId="77777777" w:rsidR="0038784D" w:rsidRDefault="0038784D" w:rsidP="007C1906">
      <w:r>
        <w:separator/>
      </w:r>
    </w:p>
  </w:endnote>
  <w:endnote w:type="continuationSeparator" w:id="0">
    <w:p w14:paraId="313FDD12" w14:textId="77777777" w:rsidR="0038784D" w:rsidRDefault="0038784D" w:rsidP="007C19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icrosoft YaHei UI">
    <w:panose1 w:val="020B0503020204020204"/>
    <w:charset w:val="86"/>
    <w:family w:val="swiss"/>
    <w:pitch w:val="variable"/>
    <w:sig w:usb0="80000287" w:usb1="2ACF3C50" w:usb2="00000016" w:usb3="00000000" w:csb0="0004001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正文 CS)">
    <w:altName w:val="宋体"/>
    <w:panose1 w:val="020B0604020202020204"/>
    <w:charset w:val="86"/>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0"/>
      </w:rPr>
      <w:id w:val="1807580772"/>
      <w:docPartObj>
        <w:docPartGallery w:val="Page Numbers (Bottom of Page)"/>
        <w:docPartUnique/>
      </w:docPartObj>
    </w:sdtPr>
    <w:sdtContent>
      <w:p w14:paraId="1EE41727" w14:textId="779017B1" w:rsidR="007C1906" w:rsidRDefault="007C1906" w:rsidP="00CB0AEB">
        <w:pPr>
          <w:pStyle w:val="ae"/>
          <w:framePr w:wrap="none" w:vAnchor="text" w:hAnchor="margin" w:xAlign="right" w:y="1"/>
          <w:rPr>
            <w:rStyle w:val="af0"/>
          </w:rPr>
        </w:pPr>
        <w:r>
          <w:rPr>
            <w:rStyle w:val="af0"/>
          </w:rPr>
          <w:fldChar w:fldCharType="begin"/>
        </w:r>
        <w:r>
          <w:rPr>
            <w:rStyle w:val="af0"/>
          </w:rPr>
          <w:instrText xml:space="preserve"> PAGE </w:instrText>
        </w:r>
        <w:r>
          <w:rPr>
            <w:rStyle w:val="af0"/>
          </w:rPr>
          <w:fldChar w:fldCharType="separate"/>
        </w:r>
        <w:r w:rsidR="00CF1BDA">
          <w:rPr>
            <w:rStyle w:val="af0"/>
            <w:noProof/>
          </w:rPr>
          <w:t>2</w:t>
        </w:r>
        <w:r>
          <w:rPr>
            <w:rStyle w:val="af0"/>
          </w:rPr>
          <w:fldChar w:fldCharType="end"/>
        </w:r>
      </w:p>
    </w:sdtContent>
  </w:sdt>
  <w:p w14:paraId="25BA243C" w14:textId="77777777" w:rsidR="007C1906" w:rsidRDefault="007C1906" w:rsidP="007C1906">
    <w:pPr>
      <w:pStyle w:val="ae"/>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0"/>
      </w:rPr>
      <w:id w:val="1906636617"/>
      <w:docPartObj>
        <w:docPartGallery w:val="Page Numbers (Bottom of Page)"/>
        <w:docPartUnique/>
      </w:docPartObj>
    </w:sdtPr>
    <w:sdtContent>
      <w:p w14:paraId="11C277CC" w14:textId="643C218D" w:rsidR="007C1906" w:rsidRDefault="007C1906" w:rsidP="00CB0AEB">
        <w:pPr>
          <w:pStyle w:val="ae"/>
          <w:framePr w:wrap="none" w:vAnchor="text" w:hAnchor="margin" w:xAlign="right" w:y="1"/>
          <w:rPr>
            <w:rStyle w:val="af0"/>
          </w:rPr>
        </w:pPr>
        <w:r>
          <w:rPr>
            <w:rStyle w:val="af0"/>
          </w:rPr>
          <w:fldChar w:fldCharType="begin"/>
        </w:r>
        <w:r>
          <w:rPr>
            <w:rStyle w:val="af0"/>
          </w:rPr>
          <w:instrText xml:space="preserve"> PAGE </w:instrText>
        </w:r>
        <w:r>
          <w:rPr>
            <w:rStyle w:val="af0"/>
          </w:rPr>
          <w:fldChar w:fldCharType="separate"/>
        </w:r>
        <w:r>
          <w:rPr>
            <w:rStyle w:val="af0"/>
            <w:noProof/>
          </w:rPr>
          <w:t>4</w:t>
        </w:r>
        <w:r>
          <w:rPr>
            <w:rStyle w:val="af0"/>
          </w:rPr>
          <w:fldChar w:fldCharType="end"/>
        </w:r>
      </w:p>
    </w:sdtContent>
  </w:sdt>
  <w:p w14:paraId="14B6408D" w14:textId="77777777" w:rsidR="007C1906" w:rsidRDefault="007C1906" w:rsidP="007C1906">
    <w:pPr>
      <w:pStyle w:val="ae"/>
      <w:ind w:right="360"/>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B26463" w14:textId="77777777" w:rsidR="007C1906" w:rsidRDefault="007C1906" w:rsidP="007C1906">
    <w:pPr>
      <w:pStyle w:val="ae"/>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0F0A34" w14:textId="77777777" w:rsidR="0038784D" w:rsidRDefault="0038784D" w:rsidP="007C1906">
      <w:r>
        <w:separator/>
      </w:r>
    </w:p>
  </w:footnote>
  <w:footnote w:type="continuationSeparator" w:id="0">
    <w:p w14:paraId="707AA9F6" w14:textId="77777777" w:rsidR="0038784D" w:rsidRDefault="0038784D" w:rsidP="007C190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7"/>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AFF"/>
    <w:rsid w:val="00055253"/>
    <w:rsid w:val="000A26A4"/>
    <w:rsid w:val="001C6345"/>
    <w:rsid w:val="001E59DA"/>
    <w:rsid w:val="00210B1B"/>
    <w:rsid w:val="002B5A8C"/>
    <w:rsid w:val="0038784D"/>
    <w:rsid w:val="00461064"/>
    <w:rsid w:val="00580748"/>
    <w:rsid w:val="00617491"/>
    <w:rsid w:val="00631388"/>
    <w:rsid w:val="007102EE"/>
    <w:rsid w:val="007C1906"/>
    <w:rsid w:val="00851528"/>
    <w:rsid w:val="008E6AFF"/>
    <w:rsid w:val="00A611A2"/>
    <w:rsid w:val="00A6642F"/>
    <w:rsid w:val="00AD190C"/>
    <w:rsid w:val="00B52ADA"/>
    <w:rsid w:val="00B718C1"/>
    <w:rsid w:val="00B73DFD"/>
    <w:rsid w:val="00BA73F6"/>
    <w:rsid w:val="00CF1BDA"/>
    <w:rsid w:val="00D5756F"/>
    <w:rsid w:val="00FB0FA8"/>
    <w:rsid w:val="00FC5295"/>
    <w:rsid w:val="00FF4C4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73C07F"/>
  <w15:chartTrackingRefBased/>
  <w15:docId w15:val="{CBD2BD2A-256E-8B4A-80DA-CC46BD21A8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7C1906"/>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B52ADA"/>
    <w:rPr>
      <w:rFonts w:eastAsia="Microsoft YaHei UI"/>
      <w:kern w:val="0"/>
      <w:sz w:val="22"/>
      <w:szCs w:val="22"/>
      <w14:ligatures w14:val="none"/>
    </w:rPr>
  </w:style>
  <w:style w:type="character" w:customStyle="1" w:styleId="a4">
    <w:name w:val="无间隔 字符"/>
    <w:basedOn w:val="a0"/>
    <w:link w:val="a3"/>
    <w:uiPriority w:val="1"/>
    <w:rsid w:val="00B52ADA"/>
    <w:rPr>
      <w:rFonts w:eastAsia="Microsoft YaHei UI"/>
      <w:kern w:val="0"/>
      <w:sz w:val="22"/>
      <w:szCs w:val="22"/>
      <w14:ligatures w14:val="none"/>
    </w:rPr>
  </w:style>
  <w:style w:type="paragraph" w:styleId="a5">
    <w:name w:val="Normal (Web)"/>
    <w:basedOn w:val="a"/>
    <w:uiPriority w:val="99"/>
    <w:unhideWhenUsed/>
    <w:rsid w:val="00B52ADA"/>
    <w:pPr>
      <w:widowControl/>
      <w:spacing w:before="100" w:beforeAutospacing="1" w:after="100" w:afterAutospacing="1"/>
      <w:jc w:val="left"/>
    </w:pPr>
    <w:rPr>
      <w:rFonts w:ascii="宋体" w:eastAsia="宋体" w:hAnsi="宋体" w:cs="宋体"/>
      <w:kern w:val="0"/>
      <w:sz w:val="24"/>
      <w14:ligatures w14:val="none"/>
    </w:rPr>
  </w:style>
  <w:style w:type="character" w:styleId="a6">
    <w:name w:val="Strong"/>
    <w:basedOn w:val="a0"/>
    <w:uiPriority w:val="22"/>
    <w:qFormat/>
    <w:rsid w:val="00B52ADA"/>
    <w:rPr>
      <w:b/>
      <w:bCs/>
    </w:rPr>
  </w:style>
  <w:style w:type="character" w:customStyle="1" w:styleId="apple-converted-space">
    <w:name w:val="apple-converted-space"/>
    <w:basedOn w:val="a0"/>
    <w:rsid w:val="00B52ADA"/>
  </w:style>
  <w:style w:type="character" w:styleId="a7">
    <w:name w:val="Emphasis"/>
    <w:basedOn w:val="a0"/>
    <w:uiPriority w:val="20"/>
    <w:qFormat/>
    <w:rsid w:val="00FB0FA8"/>
    <w:rPr>
      <w:i/>
      <w:iCs/>
    </w:rPr>
  </w:style>
  <w:style w:type="paragraph" w:styleId="a8">
    <w:name w:val="Title"/>
    <w:basedOn w:val="a"/>
    <w:next w:val="a"/>
    <w:link w:val="a9"/>
    <w:uiPriority w:val="10"/>
    <w:qFormat/>
    <w:rsid w:val="00617491"/>
    <w:pPr>
      <w:spacing w:before="240" w:after="60"/>
      <w:jc w:val="left"/>
      <w:outlineLvl w:val="0"/>
    </w:pPr>
    <w:rPr>
      <w:rFonts w:asciiTheme="majorHAnsi" w:eastAsiaTheme="majorEastAsia" w:hAnsiTheme="majorHAnsi" w:cstheme="majorBidi"/>
      <w:b/>
      <w:bCs/>
      <w:sz w:val="36"/>
      <w:szCs w:val="32"/>
    </w:rPr>
  </w:style>
  <w:style w:type="character" w:customStyle="1" w:styleId="a9">
    <w:name w:val="标题 字符"/>
    <w:basedOn w:val="a0"/>
    <w:link w:val="a8"/>
    <w:uiPriority w:val="10"/>
    <w:rsid w:val="00617491"/>
    <w:rPr>
      <w:rFonts w:asciiTheme="majorHAnsi" w:eastAsiaTheme="majorEastAsia" w:hAnsiTheme="majorHAnsi" w:cstheme="majorBidi"/>
      <w:b/>
      <w:bCs/>
      <w:sz w:val="36"/>
      <w:szCs w:val="32"/>
    </w:rPr>
  </w:style>
  <w:style w:type="paragraph" w:styleId="aa">
    <w:name w:val="Subtitle"/>
    <w:basedOn w:val="a"/>
    <w:next w:val="a"/>
    <w:link w:val="ab"/>
    <w:uiPriority w:val="11"/>
    <w:qFormat/>
    <w:rsid w:val="00FB0FA8"/>
    <w:pPr>
      <w:spacing w:before="240" w:after="60" w:line="312" w:lineRule="auto"/>
      <w:jc w:val="center"/>
      <w:outlineLvl w:val="1"/>
    </w:pPr>
    <w:rPr>
      <w:rFonts w:eastAsia="Arial (正文 CS)"/>
      <w:b/>
      <w:bCs/>
      <w:kern w:val="28"/>
      <w:sz w:val="28"/>
      <w:szCs w:val="32"/>
    </w:rPr>
  </w:style>
  <w:style w:type="character" w:customStyle="1" w:styleId="ab">
    <w:name w:val="副标题 字符"/>
    <w:basedOn w:val="a0"/>
    <w:link w:val="aa"/>
    <w:uiPriority w:val="11"/>
    <w:rsid w:val="00FB0FA8"/>
    <w:rPr>
      <w:rFonts w:eastAsia="Arial (正文 CS)"/>
      <w:b/>
      <w:bCs/>
      <w:kern w:val="28"/>
      <w:sz w:val="28"/>
      <w:szCs w:val="32"/>
    </w:rPr>
  </w:style>
  <w:style w:type="paragraph" w:styleId="ac">
    <w:name w:val="header"/>
    <w:basedOn w:val="a"/>
    <w:link w:val="ad"/>
    <w:uiPriority w:val="99"/>
    <w:unhideWhenUsed/>
    <w:rsid w:val="007C1906"/>
    <w:pPr>
      <w:tabs>
        <w:tab w:val="center" w:pos="4153"/>
        <w:tab w:val="right" w:pos="8306"/>
      </w:tabs>
      <w:snapToGrid w:val="0"/>
      <w:jc w:val="center"/>
    </w:pPr>
    <w:rPr>
      <w:sz w:val="18"/>
      <w:szCs w:val="18"/>
    </w:rPr>
  </w:style>
  <w:style w:type="character" w:customStyle="1" w:styleId="ad">
    <w:name w:val="页眉 字符"/>
    <w:basedOn w:val="a0"/>
    <w:link w:val="ac"/>
    <w:uiPriority w:val="99"/>
    <w:rsid w:val="007C1906"/>
    <w:rPr>
      <w:sz w:val="18"/>
      <w:szCs w:val="18"/>
    </w:rPr>
  </w:style>
  <w:style w:type="paragraph" w:styleId="ae">
    <w:name w:val="footer"/>
    <w:basedOn w:val="a"/>
    <w:link w:val="af"/>
    <w:uiPriority w:val="99"/>
    <w:unhideWhenUsed/>
    <w:rsid w:val="007C1906"/>
    <w:pPr>
      <w:tabs>
        <w:tab w:val="center" w:pos="4153"/>
        <w:tab w:val="right" w:pos="8306"/>
      </w:tabs>
      <w:snapToGrid w:val="0"/>
      <w:jc w:val="left"/>
    </w:pPr>
    <w:rPr>
      <w:sz w:val="18"/>
      <w:szCs w:val="18"/>
    </w:rPr>
  </w:style>
  <w:style w:type="character" w:customStyle="1" w:styleId="af">
    <w:name w:val="页脚 字符"/>
    <w:basedOn w:val="a0"/>
    <w:link w:val="ae"/>
    <w:uiPriority w:val="99"/>
    <w:rsid w:val="007C1906"/>
    <w:rPr>
      <w:sz w:val="18"/>
      <w:szCs w:val="18"/>
    </w:rPr>
  </w:style>
  <w:style w:type="character" w:styleId="af0">
    <w:name w:val="page number"/>
    <w:basedOn w:val="a0"/>
    <w:uiPriority w:val="99"/>
    <w:semiHidden/>
    <w:unhideWhenUsed/>
    <w:rsid w:val="007C1906"/>
  </w:style>
  <w:style w:type="character" w:customStyle="1" w:styleId="10">
    <w:name w:val="标题 1 字符"/>
    <w:basedOn w:val="a0"/>
    <w:link w:val="1"/>
    <w:uiPriority w:val="9"/>
    <w:rsid w:val="007C1906"/>
    <w:rPr>
      <w:b/>
      <w:bCs/>
      <w:kern w:val="44"/>
      <w:sz w:val="44"/>
      <w:szCs w:val="44"/>
    </w:rPr>
  </w:style>
  <w:style w:type="paragraph" w:styleId="TOC">
    <w:name w:val="TOC Heading"/>
    <w:basedOn w:val="1"/>
    <w:next w:val="a"/>
    <w:uiPriority w:val="39"/>
    <w:unhideWhenUsed/>
    <w:qFormat/>
    <w:rsid w:val="007C1906"/>
    <w:pPr>
      <w:widowControl/>
      <w:spacing w:before="480" w:after="0" w:line="276" w:lineRule="auto"/>
      <w:jc w:val="left"/>
      <w:outlineLvl w:val="9"/>
    </w:pPr>
    <w:rPr>
      <w:rFonts w:asciiTheme="majorHAnsi" w:eastAsiaTheme="majorEastAsia" w:hAnsiTheme="majorHAnsi" w:cstheme="majorBidi"/>
      <w:color w:val="2F5496" w:themeColor="accent1" w:themeShade="BF"/>
      <w:kern w:val="0"/>
      <w:sz w:val="28"/>
      <w:szCs w:val="28"/>
      <w14:ligatures w14:val="none"/>
    </w:rPr>
  </w:style>
  <w:style w:type="paragraph" w:styleId="TOC1">
    <w:name w:val="toc 1"/>
    <w:basedOn w:val="a"/>
    <w:next w:val="a"/>
    <w:autoRedefine/>
    <w:uiPriority w:val="39"/>
    <w:unhideWhenUsed/>
    <w:rsid w:val="007C1906"/>
    <w:pPr>
      <w:spacing w:before="360" w:after="360"/>
      <w:jc w:val="left"/>
    </w:pPr>
    <w:rPr>
      <w:rFonts w:eastAsiaTheme="minorHAnsi" w:cs="Times New Roman"/>
      <w:b/>
      <w:bCs/>
      <w:caps/>
      <w:sz w:val="22"/>
      <w:szCs w:val="26"/>
      <w:u w:val="single"/>
    </w:rPr>
  </w:style>
  <w:style w:type="paragraph" w:styleId="TOC2">
    <w:name w:val="toc 2"/>
    <w:basedOn w:val="a"/>
    <w:next w:val="a"/>
    <w:autoRedefine/>
    <w:uiPriority w:val="39"/>
    <w:unhideWhenUsed/>
    <w:rsid w:val="007C1906"/>
    <w:pPr>
      <w:jc w:val="left"/>
    </w:pPr>
    <w:rPr>
      <w:rFonts w:eastAsiaTheme="minorHAnsi" w:cs="Times New Roman"/>
      <w:b/>
      <w:bCs/>
      <w:smallCaps/>
      <w:sz w:val="22"/>
      <w:szCs w:val="26"/>
    </w:rPr>
  </w:style>
  <w:style w:type="paragraph" w:styleId="TOC3">
    <w:name w:val="toc 3"/>
    <w:basedOn w:val="a"/>
    <w:next w:val="a"/>
    <w:autoRedefine/>
    <w:uiPriority w:val="39"/>
    <w:unhideWhenUsed/>
    <w:rsid w:val="007C1906"/>
    <w:pPr>
      <w:jc w:val="left"/>
    </w:pPr>
    <w:rPr>
      <w:rFonts w:eastAsiaTheme="minorHAnsi" w:cs="Times New Roman"/>
      <w:smallCaps/>
      <w:sz w:val="22"/>
      <w:szCs w:val="26"/>
    </w:rPr>
  </w:style>
  <w:style w:type="paragraph" w:styleId="TOC4">
    <w:name w:val="toc 4"/>
    <w:basedOn w:val="a"/>
    <w:next w:val="a"/>
    <w:autoRedefine/>
    <w:uiPriority w:val="39"/>
    <w:semiHidden/>
    <w:unhideWhenUsed/>
    <w:rsid w:val="007C1906"/>
    <w:pPr>
      <w:jc w:val="left"/>
    </w:pPr>
    <w:rPr>
      <w:rFonts w:eastAsiaTheme="minorHAnsi" w:cs="Times New Roman"/>
      <w:sz w:val="22"/>
      <w:szCs w:val="26"/>
    </w:rPr>
  </w:style>
  <w:style w:type="paragraph" w:styleId="TOC5">
    <w:name w:val="toc 5"/>
    <w:basedOn w:val="a"/>
    <w:next w:val="a"/>
    <w:autoRedefine/>
    <w:uiPriority w:val="39"/>
    <w:semiHidden/>
    <w:unhideWhenUsed/>
    <w:rsid w:val="007C1906"/>
    <w:pPr>
      <w:jc w:val="left"/>
    </w:pPr>
    <w:rPr>
      <w:rFonts w:eastAsiaTheme="minorHAnsi" w:cs="Times New Roman"/>
      <w:sz w:val="22"/>
      <w:szCs w:val="26"/>
    </w:rPr>
  </w:style>
  <w:style w:type="paragraph" w:styleId="TOC6">
    <w:name w:val="toc 6"/>
    <w:basedOn w:val="a"/>
    <w:next w:val="a"/>
    <w:autoRedefine/>
    <w:uiPriority w:val="39"/>
    <w:semiHidden/>
    <w:unhideWhenUsed/>
    <w:rsid w:val="007C1906"/>
    <w:pPr>
      <w:jc w:val="left"/>
    </w:pPr>
    <w:rPr>
      <w:rFonts w:eastAsiaTheme="minorHAnsi" w:cs="Times New Roman"/>
      <w:sz w:val="22"/>
      <w:szCs w:val="26"/>
    </w:rPr>
  </w:style>
  <w:style w:type="paragraph" w:styleId="TOC7">
    <w:name w:val="toc 7"/>
    <w:basedOn w:val="a"/>
    <w:next w:val="a"/>
    <w:autoRedefine/>
    <w:uiPriority w:val="39"/>
    <w:semiHidden/>
    <w:unhideWhenUsed/>
    <w:rsid w:val="007C1906"/>
    <w:pPr>
      <w:jc w:val="left"/>
    </w:pPr>
    <w:rPr>
      <w:rFonts w:eastAsiaTheme="minorHAnsi" w:cs="Times New Roman"/>
      <w:sz w:val="22"/>
      <w:szCs w:val="26"/>
    </w:rPr>
  </w:style>
  <w:style w:type="paragraph" w:styleId="TOC8">
    <w:name w:val="toc 8"/>
    <w:basedOn w:val="a"/>
    <w:next w:val="a"/>
    <w:autoRedefine/>
    <w:uiPriority w:val="39"/>
    <w:semiHidden/>
    <w:unhideWhenUsed/>
    <w:rsid w:val="007C1906"/>
    <w:pPr>
      <w:jc w:val="left"/>
    </w:pPr>
    <w:rPr>
      <w:rFonts w:eastAsiaTheme="minorHAnsi" w:cs="Times New Roman"/>
      <w:sz w:val="22"/>
      <w:szCs w:val="26"/>
    </w:rPr>
  </w:style>
  <w:style w:type="paragraph" w:styleId="TOC9">
    <w:name w:val="toc 9"/>
    <w:basedOn w:val="a"/>
    <w:next w:val="a"/>
    <w:autoRedefine/>
    <w:uiPriority w:val="39"/>
    <w:semiHidden/>
    <w:unhideWhenUsed/>
    <w:rsid w:val="007C1906"/>
    <w:pPr>
      <w:jc w:val="left"/>
    </w:pPr>
    <w:rPr>
      <w:rFonts w:eastAsiaTheme="minorHAnsi" w:cs="Times New Roman"/>
      <w:sz w:val="22"/>
      <w:szCs w:val="26"/>
    </w:rPr>
  </w:style>
  <w:style w:type="character" w:styleId="af1">
    <w:name w:val="Hyperlink"/>
    <w:basedOn w:val="a0"/>
    <w:uiPriority w:val="99"/>
    <w:unhideWhenUsed/>
    <w:rsid w:val="00CF1BDA"/>
    <w:rPr>
      <w:color w:val="0563C1" w:themeColor="hyperlink"/>
      <w:u w:val="single"/>
    </w:rPr>
  </w:style>
  <w:style w:type="character" w:customStyle="1" w:styleId="ms-1">
    <w:name w:val="ms-1"/>
    <w:basedOn w:val="a0"/>
    <w:rsid w:val="001C6345"/>
  </w:style>
  <w:style w:type="character" w:customStyle="1" w:styleId="max-w-15ch">
    <w:name w:val="max-w-[15ch]"/>
    <w:basedOn w:val="a0"/>
    <w:rsid w:val="001C6345"/>
  </w:style>
  <w:style w:type="character" w:customStyle="1" w:styleId="-me-1">
    <w:name w:val="-me-1"/>
    <w:basedOn w:val="a0"/>
    <w:rsid w:val="001C63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523937">
      <w:bodyDiv w:val="1"/>
      <w:marLeft w:val="0"/>
      <w:marRight w:val="0"/>
      <w:marTop w:val="0"/>
      <w:marBottom w:val="0"/>
      <w:divBdr>
        <w:top w:val="none" w:sz="0" w:space="0" w:color="auto"/>
        <w:left w:val="none" w:sz="0" w:space="0" w:color="auto"/>
        <w:bottom w:val="none" w:sz="0" w:space="0" w:color="auto"/>
        <w:right w:val="none" w:sz="0" w:space="0" w:color="auto"/>
      </w:divBdr>
    </w:div>
    <w:div w:id="192960469">
      <w:bodyDiv w:val="1"/>
      <w:marLeft w:val="0"/>
      <w:marRight w:val="0"/>
      <w:marTop w:val="0"/>
      <w:marBottom w:val="0"/>
      <w:divBdr>
        <w:top w:val="none" w:sz="0" w:space="0" w:color="auto"/>
        <w:left w:val="none" w:sz="0" w:space="0" w:color="auto"/>
        <w:bottom w:val="none" w:sz="0" w:space="0" w:color="auto"/>
        <w:right w:val="none" w:sz="0" w:space="0" w:color="auto"/>
      </w:divBdr>
    </w:div>
    <w:div w:id="239365979">
      <w:bodyDiv w:val="1"/>
      <w:marLeft w:val="0"/>
      <w:marRight w:val="0"/>
      <w:marTop w:val="0"/>
      <w:marBottom w:val="0"/>
      <w:divBdr>
        <w:top w:val="none" w:sz="0" w:space="0" w:color="auto"/>
        <w:left w:val="none" w:sz="0" w:space="0" w:color="auto"/>
        <w:bottom w:val="none" w:sz="0" w:space="0" w:color="auto"/>
        <w:right w:val="none" w:sz="0" w:space="0" w:color="auto"/>
      </w:divBdr>
      <w:divsChild>
        <w:div w:id="329215401">
          <w:marLeft w:val="0"/>
          <w:marRight w:val="0"/>
          <w:marTop w:val="0"/>
          <w:marBottom w:val="0"/>
          <w:divBdr>
            <w:top w:val="none" w:sz="0" w:space="0" w:color="auto"/>
            <w:left w:val="none" w:sz="0" w:space="0" w:color="auto"/>
            <w:bottom w:val="none" w:sz="0" w:space="0" w:color="auto"/>
            <w:right w:val="none" w:sz="0" w:space="0" w:color="auto"/>
          </w:divBdr>
        </w:div>
      </w:divsChild>
    </w:div>
    <w:div w:id="336735586">
      <w:bodyDiv w:val="1"/>
      <w:marLeft w:val="0"/>
      <w:marRight w:val="0"/>
      <w:marTop w:val="0"/>
      <w:marBottom w:val="0"/>
      <w:divBdr>
        <w:top w:val="none" w:sz="0" w:space="0" w:color="auto"/>
        <w:left w:val="none" w:sz="0" w:space="0" w:color="auto"/>
        <w:bottom w:val="none" w:sz="0" w:space="0" w:color="auto"/>
        <w:right w:val="none" w:sz="0" w:space="0" w:color="auto"/>
      </w:divBdr>
      <w:divsChild>
        <w:div w:id="1153722386">
          <w:marLeft w:val="0"/>
          <w:marRight w:val="0"/>
          <w:marTop w:val="0"/>
          <w:marBottom w:val="0"/>
          <w:divBdr>
            <w:top w:val="none" w:sz="0" w:space="0" w:color="auto"/>
            <w:left w:val="none" w:sz="0" w:space="0" w:color="auto"/>
            <w:bottom w:val="none" w:sz="0" w:space="0" w:color="auto"/>
            <w:right w:val="none" w:sz="0" w:space="0" w:color="auto"/>
          </w:divBdr>
          <w:divsChild>
            <w:div w:id="1613128456">
              <w:marLeft w:val="0"/>
              <w:marRight w:val="0"/>
              <w:marTop w:val="0"/>
              <w:marBottom w:val="0"/>
              <w:divBdr>
                <w:top w:val="none" w:sz="0" w:space="0" w:color="auto"/>
                <w:left w:val="none" w:sz="0" w:space="0" w:color="auto"/>
                <w:bottom w:val="none" w:sz="0" w:space="0" w:color="auto"/>
                <w:right w:val="none" w:sz="0" w:space="0" w:color="auto"/>
              </w:divBdr>
              <w:divsChild>
                <w:div w:id="1959985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5803569">
      <w:bodyDiv w:val="1"/>
      <w:marLeft w:val="0"/>
      <w:marRight w:val="0"/>
      <w:marTop w:val="0"/>
      <w:marBottom w:val="0"/>
      <w:divBdr>
        <w:top w:val="none" w:sz="0" w:space="0" w:color="auto"/>
        <w:left w:val="none" w:sz="0" w:space="0" w:color="auto"/>
        <w:bottom w:val="none" w:sz="0" w:space="0" w:color="auto"/>
        <w:right w:val="none" w:sz="0" w:space="0" w:color="auto"/>
      </w:divBdr>
    </w:div>
    <w:div w:id="475145811">
      <w:bodyDiv w:val="1"/>
      <w:marLeft w:val="0"/>
      <w:marRight w:val="0"/>
      <w:marTop w:val="0"/>
      <w:marBottom w:val="0"/>
      <w:divBdr>
        <w:top w:val="none" w:sz="0" w:space="0" w:color="auto"/>
        <w:left w:val="none" w:sz="0" w:space="0" w:color="auto"/>
        <w:bottom w:val="none" w:sz="0" w:space="0" w:color="auto"/>
        <w:right w:val="none" w:sz="0" w:space="0" w:color="auto"/>
      </w:divBdr>
      <w:divsChild>
        <w:div w:id="659387040">
          <w:marLeft w:val="0"/>
          <w:marRight w:val="0"/>
          <w:marTop w:val="0"/>
          <w:marBottom w:val="0"/>
          <w:divBdr>
            <w:top w:val="none" w:sz="0" w:space="0" w:color="auto"/>
            <w:left w:val="none" w:sz="0" w:space="0" w:color="auto"/>
            <w:bottom w:val="none" w:sz="0" w:space="0" w:color="auto"/>
            <w:right w:val="none" w:sz="0" w:space="0" w:color="auto"/>
          </w:divBdr>
        </w:div>
      </w:divsChild>
    </w:div>
    <w:div w:id="529338473">
      <w:bodyDiv w:val="1"/>
      <w:marLeft w:val="0"/>
      <w:marRight w:val="0"/>
      <w:marTop w:val="0"/>
      <w:marBottom w:val="0"/>
      <w:divBdr>
        <w:top w:val="none" w:sz="0" w:space="0" w:color="auto"/>
        <w:left w:val="none" w:sz="0" w:space="0" w:color="auto"/>
        <w:bottom w:val="none" w:sz="0" w:space="0" w:color="auto"/>
        <w:right w:val="none" w:sz="0" w:space="0" w:color="auto"/>
      </w:divBdr>
      <w:divsChild>
        <w:div w:id="351154937">
          <w:marLeft w:val="0"/>
          <w:marRight w:val="0"/>
          <w:marTop w:val="0"/>
          <w:marBottom w:val="0"/>
          <w:divBdr>
            <w:top w:val="none" w:sz="0" w:space="0" w:color="auto"/>
            <w:left w:val="none" w:sz="0" w:space="0" w:color="auto"/>
            <w:bottom w:val="none" w:sz="0" w:space="0" w:color="auto"/>
            <w:right w:val="none" w:sz="0" w:space="0" w:color="auto"/>
          </w:divBdr>
        </w:div>
      </w:divsChild>
    </w:div>
    <w:div w:id="693267539">
      <w:bodyDiv w:val="1"/>
      <w:marLeft w:val="0"/>
      <w:marRight w:val="0"/>
      <w:marTop w:val="0"/>
      <w:marBottom w:val="0"/>
      <w:divBdr>
        <w:top w:val="none" w:sz="0" w:space="0" w:color="auto"/>
        <w:left w:val="none" w:sz="0" w:space="0" w:color="auto"/>
        <w:bottom w:val="none" w:sz="0" w:space="0" w:color="auto"/>
        <w:right w:val="none" w:sz="0" w:space="0" w:color="auto"/>
      </w:divBdr>
      <w:divsChild>
        <w:div w:id="526605883">
          <w:marLeft w:val="0"/>
          <w:marRight w:val="0"/>
          <w:marTop w:val="0"/>
          <w:marBottom w:val="0"/>
          <w:divBdr>
            <w:top w:val="none" w:sz="0" w:space="0" w:color="auto"/>
            <w:left w:val="none" w:sz="0" w:space="0" w:color="auto"/>
            <w:bottom w:val="none" w:sz="0" w:space="0" w:color="auto"/>
            <w:right w:val="none" w:sz="0" w:space="0" w:color="auto"/>
          </w:divBdr>
        </w:div>
      </w:divsChild>
    </w:div>
    <w:div w:id="802424260">
      <w:bodyDiv w:val="1"/>
      <w:marLeft w:val="0"/>
      <w:marRight w:val="0"/>
      <w:marTop w:val="0"/>
      <w:marBottom w:val="0"/>
      <w:divBdr>
        <w:top w:val="none" w:sz="0" w:space="0" w:color="auto"/>
        <w:left w:val="none" w:sz="0" w:space="0" w:color="auto"/>
        <w:bottom w:val="none" w:sz="0" w:space="0" w:color="auto"/>
        <w:right w:val="none" w:sz="0" w:space="0" w:color="auto"/>
      </w:divBdr>
    </w:div>
    <w:div w:id="847406501">
      <w:bodyDiv w:val="1"/>
      <w:marLeft w:val="0"/>
      <w:marRight w:val="0"/>
      <w:marTop w:val="0"/>
      <w:marBottom w:val="0"/>
      <w:divBdr>
        <w:top w:val="none" w:sz="0" w:space="0" w:color="auto"/>
        <w:left w:val="none" w:sz="0" w:space="0" w:color="auto"/>
        <w:bottom w:val="none" w:sz="0" w:space="0" w:color="auto"/>
        <w:right w:val="none" w:sz="0" w:space="0" w:color="auto"/>
      </w:divBdr>
      <w:divsChild>
        <w:div w:id="1671634540">
          <w:marLeft w:val="0"/>
          <w:marRight w:val="0"/>
          <w:marTop w:val="0"/>
          <w:marBottom w:val="0"/>
          <w:divBdr>
            <w:top w:val="none" w:sz="0" w:space="0" w:color="auto"/>
            <w:left w:val="none" w:sz="0" w:space="0" w:color="auto"/>
            <w:bottom w:val="none" w:sz="0" w:space="0" w:color="auto"/>
            <w:right w:val="none" w:sz="0" w:space="0" w:color="auto"/>
          </w:divBdr>
        </w:div>
      </w:divsChild>
    </w:div>
    <w:div w:id="1010832032">
      <w:bodyDiv w:val="1"/>
      <w:marLeft w:val="0"/>
      <w:marRight w:val="0"/>
      <w:marTop w:val="0"/>
      <w:marBottom w:val="0"/>
      <w:divBdr>
        <w:top w:val="none" w:sz="0" w:space="0" w:color="auto"/>
        <w:left w:val="none" w:sz="0" w:space="0" w:color="auto"/>
        <w:bottom w:val="none" w:sz="0" w:space="0" w:color="auto"/>
        <w:right w:val="none" w:sz="0" w:space="0" w:color="auto"/>
      </w:divBdr>
      <w:divsChild>
        <w:div w:id="914362120">
          <w:marLeft w:val="0"/>
          <w:marRight w:val="0"/>
          <w:marTop w:val="0"/>
          <w:marBottom w:val="0"/>
          <w:divBdr>
            <w:top w:val="none" w:sz="0" w:space="0" w:color="auto"/>
            <w:left w:val="none" w:sz="0" w:space="0" w:color="auto"/>
            <w:bottom w:val="none" w:sz="0" w:space="0" w:color="auto"/>
            <w:right w:val="none" w:sz="0" w:space="0" w:color="auto"/>
          </w:divBdr>
          <w:divsChild>
            <w:div w:id="181600881">
              <w:marLeft w:val="0"/>
              <w:marRight w:val="0"/>
              <w:marTop w:val="0"/>
              <w:marBottom w:val="0"/>
              <w:divBdr>
                <w:top w:val="none" w:sz="0" w:space="0" w:color="auto"/>
                <w:left w:val="none" w:sz="0" w:space="0" w:color="auto"/>
                <w:bottom w:val="none" w:sz="0" w:space="0" w:color="auto"/>
                <w:right w:val="none" w:sz="0" w:space="0" w:color="auto"/>
              </w:divBdr>
              <w:divsChild>
                <w:div w:id="1900247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6226714">
      <w:bodyDiv w:val="1"/>
      <w:marLeft w:val="0"/>
      <w:marRight w:val="0"/>
      <w:marTop w:val="0"/>
      <w:marBottom w:val="0"/>
      <w:divBdr>
        <w:top w:val="none" w:sz="0" w:space="0" w:color="auto"/>
        <w:left w:val="none" w:sz="0" w:space="0" w:color="auto"/>
        <w:bottom w:val="none" w:sz="0" w:space="0" w:color="auto"/>
        <w:right w:val="none" w:sz="0" w:space="0" w:color="auto"/>
      </w:divBdr>
      <w:divsChild>
        <w:div w:id="864247316">
          <w:marLeft w:val="0"/>
          <w:marRight w:val="0"/>
          <w:marTop w:val="0"/>
          <w:marBottom w:val="0"/>
          <w:divBdr>
            <w:top w:val="none" w:sz="0" w:space="0" w:color="auto"/>
            <w:left w:val="none" w:sz="0" w:space="0" w:color="auto"/>
            <w:bottom w:val="none" w:sz="0" w:space="0" w:color="auto"/>
            <w:right w:val="none" w:sz="0" w:space="0" w:color="auto"/>
          </w:divBdr>
        </w:div>
      </w:divsChild>
    </w:div>
    <w:div w:id="1360860339">
      <w:bodyDiv w:val="1"/>
      <w:marLeft w:val="0"/>
      <w:marRight w:val="0"/>
      <w:marTop w:val="0"/>
      <w:marBottom w:val="0"/>
      <w:divBdr>
        <w:top w:val="none" w:sz="0" w:space="0" w:color="auto"/>
        <w:left w:val="none" w:sz="0" w:space="0" w:color="auto"/>
        <w:bottom w:val="none" w:sz="0" w:space="0" w:color="auto"/>
        <w:right w:val="none" w:sz="0" w:space="0" w:color="auto"/>
      </w:divBdr>
      <w:divsChild>
        <w:div w:id="1755979887">
          <w:marLeft w:val="0"/>
          <w:marRight w:val="0"/>
          <w:marTop w:val="0"/>
          <w:marBottom w:val="0"/>
          <w:divBdr>
            <w:top w:val="none" w:sz="0" w:space="0" w:color="auto"/>
            <w:left w:val="none" w:sz="0" w:space="0" w:color="auto"/>
            <w:bottom w:val="none" w:sz="0" w:space="0" w:color="auto"/>
            <w:right w:val="none" w:sz="0" w:space="0" w:color="auto"/>
          </w:divBdr>
        </w:div>
      </w:divsChild>
    </w:div>
    <w:div w:id="1364403617">
      <w:bodyDiv w:val="1"/>
      <w:marLeft w:val="0"/>
      <w:marRight w:val="0"/>
      <w:marTop w:val="0"/>
      <w:marBottom w:val="0"/>
      <w:divBdr>
        <w:top w:val="none" w:sz="0" w:space="0" w:color="auto"/>
        <w:left w:val="none" w:sz="0" w:space="0" w:color="auto"/>
        <w:bottom w:val="none" w:sz="0" w:space="0" w:color="auto"/>
        <w:right w:val="none" w:sz="0" w:space="0" w:color="auto"/>
      </w:divBdr>
      <w:divsChild>
        <w:div w:id="943197050">
          <w:marLeft w:val="0"/>
          <w:marRight w:val="0"/>
          <w:marTop w:val="0"/>
          <w:marBottom w:val="0"/>
          <w:divBdr>
            <w:top w:val="none" w:sz="0" w:space="0" w:color="auto"/>
            <w:left w:val="none" w:sz="0" w:space="0" w:color="auto"/>
            <w:bottom w:val="none" w:sz="0" w:space="0" w:color="auto"/>
            <w:right w:val="none" w:sz="0" w:space="0" w:color="auto"/>
          </w:divBdr>
          <w:divsChild>
            <w:div w:id="1251502269">
              <w:marLeft w:val="0"/>
              <w:marRight w:val="0"/>
              <w:marTop w:val="0"/>
              <w:marBottom w:val="0"/>
              <w:divBdr>
                <w:top w:val="none" w:sz="0" w:space="0" w:color="auto"/>
                <w:left w:val="none" w:sz="0" w:space="0" w:color="auto"/>
                <w:bottom w:val="none" w:sz="0" w:space="0" w:color="auto"/>
                <w:right w:val="none" w:sz="0" w:space="0" w:color="auto"/>
              </w:divBdr>
              <w:divsChild>
                <w:div w:id="799764456">
                  <w:marLeft w:val="0"/>
                  <w:marRight w:val="0"/>
                  <w:marTop w:val="0"/>
                  <w:marBottom w:val="0"/>
                  <w:divBdr>
                    <w:top w:val="none" w:sz="0" w:space="0" w:color="auto"/>
                    <w:left w:val="none" w:sz="0" w:space="0" w:color="auto"/>
                    <w:bottom w:val="none" w:sz="0" w:space="0" w:color="auto"/>
                    <w:right w:val="none" w:sz="0" w:space="0" w:color="auto"/>
                  </w:divBdr>
                  <w:divsChild>
                    <w:div w:id="1984194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5908262">
      <w:bodyDiv w:val="1"/>
      <w:marLeft w:val="0"/>
      <w:marRight w:val="0"/>
      <w:marTop w:val="0"/>
      <w:marBottom w:val="0"/>
      <w:divBdr>
        <w:top w:val="none" w:sz="0" w:space="0" w:color="auto"/>
        <w:left w:val="none" w:sz="0" w:space="0" w:color="auto"/>
        <w:bottom w:val="none" w:sz="0" w:space="0" w:color="auto"/>
        <w:right w:val="none" w:sz="0" w:space="0" w:color="auto"/>
      </w:divBdr>
    </w:div>
    <w:div w:id="1490291736">
      <w:bodyDiv w:val="1"/>
      <w:marLeft w:val="0"/>
      <w:marRight w:val="0"/>
      <w:marTop w:val="0"/>
      <w:marBottom w:val="0"/>
      <w:divBdr>
        <w:top w:val="none" w:sz="0" w:space="0" w:color="auto"/>
        <w:left w:val="none" w:sz="0" w:space="0" w:color="auto"/>
        <w:bottom w:val="none" w:sz="0" w:space="0" w:color="auto"/>
        <w:right w:val="none" w:sz="0" w:space="0" w:color="auto"/>
      </w:divBdr>
      <w:divsChild>
        <w:div w:id="869495918">
          <w:marLeft w:val="0"/>
          <w:marRight w:val="0"/>
          <w:marTop w:val="0"/>
          <w:marBottom w:val="0"/>
          <w:divBdr>
            <w:top w:val="none" w:sz="0" w:space="0" w:color="auto"/>
            <w:left w:val="none" w:sz="0" w:space="0" w:color="auto"/>
            <w:bottom w:val="none" w:sz="0" w:space="0" w:color="auto"/>
            <w:right w:val="none" w:sz="0" w:space="0" w:color="auto"/>
          </w:divBdr>
        </w:div>
      </w:divsChild>
    </w:div>
    <w:div w:id="1491866572">
      <w:bodyDiv w:val="1"/>
      <w:marLeft w:val="0"/>
      <w:marRight w:val="0"/>
      <w:marTop w:val="0"/>
      <w:marBottom w:val="0"/>
      <w:divBdr>
        <w:top w:val="none" w:sz="0" w:space="0" w:color="auto"/>
        <w:left w:val="none" w:sz="0" w:space="0" w:color="auto"/>
        <w:bottom w:val="none" w:sz="0" w:space="0" w:color="auto"/>
        <w:right w:val="none" w:sz="0" w:space="0" w:color="auto"/>
      </w:divBdr>
      <w:divsChild>
        <w:div w:id="1125269641">
          <w:marLeft w:val="0"/>
          <w:marRight w:val="0"/>
          <w:marTop w:val="0"/>
          <w:marBottom w:val="0"/>
          <w:divBdr>
            <w:top w:val="none" w:sz="0" w:space="0" w:color="auto"/>
            <w:left w:val="none" w:sz="0" w:space="0" w:color="auto"/>
            <w:bottom w:val="none" w:sz="0" w:space="0" w:color="auto"/>
            <w:right w:val="none" w:sz="0" w:space="0" w:color="auto"/>
          </w:divBdr>
        </w:div>
      </w:divsChild>
    </w:div>
    <w:div w:id="1678387910">
      <w:bodyDiv w:val="1"/>
      <w:marLeft w:val="0"/>
      <w:marRight w:val="0"/>
      <w:marTop w:val="0"/>
      <w:marBottom w:val="0"/>
      <w:divBdr>
        <w:top w:val="none" w:sz="0" w:space="0" w:color="auto"/>
        <w:left w:val="none" w:sz="0" w:space="0" w:color="auto"/>
        <w:bottom w:val="none" w:sz="0" w:space="0" w:color="auto"/>
        <w:right w:val="none" w:sz="0" w:space="0" w:color="auto"/>
      </w:divBdr>
      <w:divsChild>
        <w:div w:id="453601150">
          <w:marLeft w:val="0"/>
          <w:marRight w:val="0"/>
          <w:marTop w:val="0"/>
          <w:marBottom w:val="0"/>
          <w:divBdr>
            <w:top w:val="none" w:sz="0" w:space="0" w:color="auto"/>
            <w:left w:val="none" w:sz="0" w:space="0" w:color="auto"/>
            <w:bottom w:val="none" w:sz="0" w:space="0" w:color="auto"/>
            <w:right w:val="none" w:sz="0" w:space="0" w:color="auto"/>
          </w:divBdr>
        </w:div>
      </w:divsChild>
    </w:div>
    <w:div w:id="1736511482">
      <w:bodyDiv w:val="1"/>
      <w:marLeft w:val="0"/>
      <w:marRight w:val="0"/>
      <w:marTop w:val="0"/>
      <w:marBottom w:val="0"/>
      <w:divBdr>
        <w:top w:val="none" w:sz="0" w:space="0" w:color="auto"/>
        <w:left w:val="none" w:sz="0" w:space="0" w:color="auto"/>
        <w:bottom w:val="none" w:sz="0" w:space="0" w:color="auto"/>
        <w:right w:val="none" w:sz="0" w:space="0" w:color="auto"/>
      </w:divBdr>
      <w:divsChild>
        <w:div w:id="567307991">
          <w:marLeft w:val="0"/>
          <w:marRight w:val="0"/>
          <w:marTop w:val="0"/>
          <w:marBottom w:val="0"/>
          <w:divBdr>
            <w:top w:val="none" w:sz="0" w:space="0" w:color="auto"/>
            <w:left w:val="none" w:sz="0" w:space="0" w:color="auto"/>
            <w:bottom w:val="none" w:sz="0" w:space="0" w:color="auto"/>
            <w:right w:val="none" w:sz="0" w:space="0" w:color="auto"/>
          </w:divBdr>
        </w:div>
      </w:divsChild>
    </w:div>
    <w:div w:id="1926457638">
      <w:bodyDiv w:val="1"/>
      <w:marLeft w:val="0"/>
      <w:marRight w:val="0"/>
      <w:marTop w:val="0"/>
      <w:marBottom w:val="0"/>
      <w:divBdr>
        <w:top w:val="none" w:sz="0" w:space="0" w:color="auto"/>
        <w:left w:val="none" w:sz="0" w:space="0" w:color="auto"/>
        <w:bottom w:val="none" w:sz="0" w:space="0" w:color="auto"/>
        <w:right w:val="none" w:sz="0" w:space="0" w:color="auto"/>
      </w:divBdr>
      <w:divsChild>
        <w:div w:id="1975599712">
          <w:marLeft w:val="0"/>
          <w:marRight w:val="0"/>
          <w:marTop w:val="0"/>
          <w:marBottom w:val="0"/>
          <w:divBdr>
            <w:top w:val="none" w:sz="0" w:space="0" w:color="auto"/>
            <w:left w:val="none" w:sz="0" w:space="0" w:color="auto"/>
            <w:bottom w:val="none" w:sz="0" w:space="0" w:color="auto"/>
            <w:right w:val="none" w:sz="0" w:space="0" w:color="auto"/>
          </w:divBdr>
        </w:div>
      </w:divsChild>
    </w:div>
    <w:div w:id="1929070473">
      <w:bodyDiv w:val="1"/>
      <w:marLeft w:val="0"/>
      <w:marRight w:val="0"/>
      <w:marTop w:val="0"/>
      <w:marBottom w:val="0"/>
      <w:divBdr>
        <w:top w:val="none" w:sz="0" w:space="0" w:color="auto"/>
        <w:left w:val="none" w:sz="0" w:space="0" w:color="auto"/>
        <w:bottom w:val="none" w:sz="0" w:space="0" w:color="auto"/>
        <w:right w:val="none" w:sz="0" w:space="0" w:color="auto"/>
      </w:divBdr>
      <w:divsChild>
        <w:div w:id="7952208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lobal.oup.com/" TargetMode="Externa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cambridge.org/"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who.int/" TargetMode="External"/><Relationship Id="rId4" Type="http://schemas.openxmlformats.org/officeDocument/2006/relationships/webSettings" Target="webSettings.xml"/><Relationship Id="rId9" Type="http://schemas.openxmlformats.org/officeDocument/2006/relationships/hyperlink" Target="https://www.ipcc.ch/report/ar6/syr/" TargetMode="External"/><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2A45AD-4353-114B-AC70-BED4F4EAE7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178</TotalTime>
  <Pages>21</Pages>
  <Words>4081</Words>
  <Characters>23265</Characters>
  <Application>Microsoft Office Word</Application>
  <DocSecurity>0</DocSecurity>
  <Lines>193</Lines>
  <Paragraphs>54</Paragraphs>
  <ScaleCrop>false</ScaleCrop>
  <Company/>
  <LinksUpToDate>false</LinksUpToDate>
  <CharactersWithSpaces>27292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Communication and cultural</dc:title>
  <dc:subject>BMBM6021 International Business Communication</dc:subject>
  <dc:creator>Lecturer: Jaliya de Silva</dc:creator>
  <cp:keywords/>
  <dc:description/>
  <cp:lastModifiedBy>Yuwei Liu (2414567)</cp:lastModifiedBy>
  <cp:revision>12</cp:revision>
  <dcterms:created xsi:type="dcterms:W3CDTF">2025-11-07T14:38:00Z</dcterms:created>
  <dcterms:modified xsi:type="dcterms:W3CDTF">2025-12-13T00:31:00Z</dcterms:modified>
</cp:coreProperties>
</file>