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D298D0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97E49">
              <w:rPr>
                <w:rFonts w:ascii="Times New Roman" w:hAnsi="Times New Roman" w:cs="Times New Roman"/>
                <w:b/>
                <w:color w:val="auto"/>
                <w:sz w:val="48"/>
              </w:rPr>
              <w:t xml:space="preserve">Karma Riddell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88B62" w14:textId="4690D21B" w:rsidR="0095133D" w:rsidRDefault="009C337F" w:rsidP="0095133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133D">
              <w:rPr>
                <w:rFonts w:ascii="Times New Roman" w:hAnsi="Times New Roman" w:cs="Times New Roman"/>
                <w:b/>
                <w:color w:val="auto"/>
                <w:sz w:val="48"/>
              </w:rPr>
              <w:t xml:space="preserve"> </w:t>
            </w:r>
            <w:r w:rsidR="0095133D">
              <w:rPr>
                <w:rFonts w:ascii="Times New Roman" w:hAnsi="Times New Roman" w:cs="Times New Roman"/>
                <w:b/>
                <w:color w:val="auto"/>
                <w:sz w:val="48"/>
              </w:rPr>
              <w:t>2518487@student.uwtsd.ac.uk</w:t>
            </w:r>
          </w:p>
          <w:p w14:paraId="3A6EAAC7" w14:textId="57B7F076"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6EEF10E" w14:textId="1C11E567" w:rsidR="00104A53" w:rsidRPr="005D3F07" w:rsidRDefault="00104A5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2518487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52C60D44" w14:textId="77777777" w:rsidR="00C867D2" w:rsidRDefault="00C867D2" w:rsidP="00C867D2">
      <w:pPr>
        <w:rPr>
          <w:rFonts w:ascii="Times New Roman" w:hAnsi="Times New Roman" w:cs="Times New Roman"/>
          <w:b/>
          <w:color w:val="auto"/>
          <w:sz w:val="48"/>
        </w:rPr>
      </w:pPr>
    </w:p>
    <w:p w14:paraId="5A670606" w14:textId="3DFE9B0B" w:rsidR="00F546D1" w:rsidRPr="00C867D2" w:rsidRDefault="00C867D2" w:rsidP="00C867D2">
      <w:pPr>
        <w:rPr>
          <w:b/>
          <w:sz w:val="24"/>
          <w:szCs w:val="24"/>
        </w:rPr>
      </w:pPr>
      <w:r>
        <w:rPr>
          <w:rFonts w:ascii="Times New Roman" w:hAnsi="Times New Roman" w:cs="Times New Roman"/>
          <w:b/>
          <w:color w:val="auto"/>
          <w:sz w:val="48"/>
        </w:rPr>
        <w:t xml:space="preserve">                                      </w:t>
      </w:r>
      <w:r w:rsidR="007374EF"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39CC1D70" w14:textId="528BB0D9" w:rsidR="00FE56A8" w:rsidRPr="006D6B13" w:rsidRDefault="000B7ED4"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Pr>
                <w:rFonts w:asciiTheme="minorHAnsi" w:hAnsiTheme="minorHAnsi" w:cstheme="minorHAnsi"/>
                <w:color w:val="auto"/>
                <w:sz w:val="22"/>
                <w:szCs w:val="22"/>
              </w:rPr>
              <w:t>For this case study I will be reflection on an assessment</w:t>
            </w:r>
            <w:r w:rsidR="00FE56A8" w:rsidRPr="006D6B13">
              <w:rPr>
                <w:rFonts w:asciiTheme="minorHAnsi" w:hAnsiTheme="minorHAnsi" w:cstheme="minorHAnsi"/>
                <w:color w:val="auto"/>
                <w:sz w:val="22"/>
                <w:szCs w:val="22"/>
              </w:rPr>
              <w:t xml:space="preserve"> undertaken with an 81-year-old woman, referred to as Service User 2, living in her own property within a small Welsh-speaking community in xxx Wales. The assessment was </w:t>
            </w:r>
            <w:r w:rsidR="00FF0B26">
              <w:rPr>
                <w:rFonts w:asciiTheme="minorHAnsi" w:hAnsiTheme="minorHAnsi" w:cstheme="minorHAnsi"/>
                <w:color w:val="auto"/>
                <w:sz w:val="22"/>
                <w:szCs w:val="22"/>
              </w:rPr>
              <w:t>took place</w:t>
            </w:r>
            <w:r w:rsidR="00FE56A8" w:rsidRPr="006D6B13">
              <w:rPr>
                <w:rFonts w:asciiTheme="minorHAnsi" w:hAnsiTheme="minorHAnsi" w:cstheme="minorHAnsi"/>
                <w:color w:val="auto"/>
                <w:sz w:val="22"/>
                <w:szCs w:val="22"/>
              </w:rPr>
              <w:t xml:space="preserve"> following the receipt of a safeguarding concern from children’s services. Service User 2 had care and support needs arising from reduced mobility, a history of falls and hearing impairment. She mobilised using a four-wheeled walker and received support from domiciliary carers four times daily. Following a previous fall on the stairs, her dining room had been converted into a ground-floor bedroom, meaning she no longer had access to an upstairs </w:t>
            </w:r>
            <w:r w:rsidR="004F0D6A">
              <w:rPr>
                <w:rFonts w:asciiTheme="minorHAnsi" w:hAnsiTheme="minorHAnsi" w:cstheme="minorHAnsi"/>
                <w:color w:val="auto"/>
                <w:sz w:val="22"/>
                <w:szCs w:val="22"/>
              </w:rPr>
              <w:t>of her home</w:t>
            </w:r>
            <w:r w:rsidR="00FE56A8" w:rsidRPr="006D6B13">
              <w:rPr>
                <w:rFonts w:asciiTheme="minorHAnsi" w:hAnsiTheme="minorHAnsi" w:cstheme="minorHAnsi"/>
                <w:color w:val="auto"/>
                <w:sz w:val="22"/>
                <w:szCs w:val="22"/>
              </w:rPr>
              <w:t>. Despite these difficulties, she</w:t>
            </w:r>
            <w:r w:rsidR="004001E5">
              <w:rPr>
                <w:rFonts w:asciiTheme="minorHAnsi" w:hAnsiTheme="minorHAnsi" w:cstheme="minorHAnsi"/>
                <w:color w:val="auto"/>
                <w:sz w:val="22"/>
                <w:szCs w:val="22"/>
              </w:rPr>
              <w:t xml:space="preserve"> retained her</w:t>
            </w:r>
            <w:r w:rsidR="00FE56A8" w:rsidRPr="006D6B13">
              <w:rPr>
                <w:rFonts w:asciiTheme="minorHAnsi" w:hAnsiTheme="minorHAnsi" w:cstheme="minorHAnsi"/>
                <w:color w:val="auto"/>
                <w:sz w:val="22"/>
                <w:szCs w:val="22"/>
              </w:rPr>
              <w:t xml:space="preserve"> independence, had strong community connections and </w:t>
            </w:r>
            <w:r w:rsidR="00EF5C03">
              <w:rPr>
                <w:rFonts w:asciiTheme="minorHAnsi" w:hAnsiTheme="minorHAnsi" w:cstheme="minorHAnsi"/>
                <w:color w:val="auto"/>
                <w:sz w:val="22"/>
                <w:szCs w:val="22"/>
              </w:rPr>
              <w:t>happy</w:t>
            </w:r>
            <w:r w:rsidR="00FE56A8" w:rsidRPr="006D6B13">
              <w:rPr>
                <w:rFonts w:asciiTheme="minorHAnsi" w:hAnsiTheme="minorHAnsi" w:cstheme="minorHAnsi"/>
                <w:color w:val="auto"/>
                <w:sz w:val="22"/>
                <w:szCs w:val="22"/>
              </w:rPr>
              <w:t xml:space="preserve"> with her existing care arrangements. The safeguarding concerns </w:t>
            </w:r>
            <w:r w:rsidR="00B80AD1">
              <w:rPr>
                <w:rFonts w:asciiTheme="minorHAnsi" w:hAnsiTheme="minorHAnsi" w:cstheme="minorHAnsi"/>
                <w:color w:val="auto"/>
                <w:sz w:val="22"/>
                <w:szCs w:val="22"/>
              </w:rPr>
              <w:t>were</w:t>
            </w:r>
            <w:r w:rsidR="00FE56A8" w:rsidRPr="006D6B13">
              <w:rPr>
                <w:rFonts w:asciiTheme="minorHAnsi" w:hAnsiTheme="minorHAnsi" w:cstheme="minorHAnsi"/>
                <w:color w:val="auto"/>
                <w:sz w:val="22"/>
                <w:szCs w:val="22"/>
              </w:rPr>
              <w:t xml:space="preserve"> shared by children's services and the police</w:t>
            </w:r>
            <w:r w:rsidR="00AA3D1A">
              <w:rPr>
                <w:rFonts w:asciiTheme="minorHAnsi" w:hAnsiTheme="minorHAnsi" w:cstheme="minorHAnsi"/>
                <w:color w:val="auto"/>
                <w:sz w:val="22"/>
                <w:szCs w:val="22"/>
              </w:rPr>
              <w:t xml:space="preserve">, namely </w:t>
            </w:r>
            <w:r w:rsidR="00FE56A8" w:rsidRPr="006D6B13">
              <w:rPr>
                <w:rFonts w:asciiTheme="minorHAnsi" w:hAnsiTheme="minorHAnsi" w:cstheme="minorHAnsi"/>
                <w:color w:val="auto"/>
                <w:sz w:val="22"/>
                <w:szCs w:val="22"/>
              </w:rPr>
              <w:t xml:space="preserve">that her 17-year-old grandson, Family Member 4, who had recently moved into the property following the sudden death of his mother, Family Member 3, was allegedly involved in drug dealing and smoking cannabis within the home. </w:t>
            </w:r>
          </w:p>
          <w:p w14:paraId="669214E5" w14:textId="6E3CF3DA"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The Social Services and Well-being (Wales) Act 2014</w:t>
            </w:r>
            <w:r w:rsidR="00AA3D1A">
              <w:rPr>
                <w:rFonts w:asciiTheme="minorHAnsi" w:hAnsiTheme="minorHAnsi" w:cstheme="minorHAnsi"/>
                <w:color w:val="auto"/>
                <w:sz w:val="22"/>
                <w:szCs w:val="22"/>
              </w:rPr>
              <w:t xml:space="preserve"> SSWBA</w:t>
            </w:r>
            <w:r w:rsidRPr="006D6B13">
              <w:rPr>
                <w:rFonts w:asciiTheme="minorHAnsi" w:hAnsiTheme="minorHAnsi" w:cstheme="minorHAnsi"/>
                <w:color w:val="auto"/>
                <w:sz w:val="22"/>
                <w:szCs w:val="22"/>
              </w:rPr>
              <w:t xml:space="preserve"> formed the primary legislative framework underpinning the assessment. </w:t>
            </w:r>
            <w:r w:rsidR="00AA3D1A">
              <w:rPr>
                <w:rFonts w:asciiTheme="minorHAnsi" w:hAnsiTheme="minorHAnsi" w:cstheme="minorHAnsi"/>
                <w:color w:val="auto"/>
                <w:sz w:val="22"/>
                <w:szCs w:val="22"/>
              </w:rPr>
              <w:t>SSWBA</w:t>
            </w:r>
            <w:r w:rsidRPr="006D6B13">
              <w:rPr>
                <w:rFonts w:asciiTheme="minorHAnsi" w:hAnsiTheme="minorHAnsi" w:cstheme="minorHAnsi"/>
                <w:color w:val="auto"/>
                <w:sz w:val="22"/>
                <w:szCs w:val="22"/>
              </w:rPr>
              <w:t xml:space="preserve"> places a duty on local authorities to promote wellbeing and to protect adults who may be experiencing abuse or neglect. Section 126 defines an adult at risk as someone who has care and support</w:t>
            </w:r>
            <w:r w:rsidR="006004E6">
              <w:rPr>
                <w:rFonts w:asciiTheme="minorHAnsi" w:hAnsiTheme="minorHAnsi" w:cstheme="minorHAnsi"/>
                <w:color w:val="auto"/>
                <w:sz w:val="22"/>
                <w:szCs w:val="22"/>
              </w:rPr>
              <w:t xml:space="preserve"> needs</w:t>
            </w:r>
            <w:r w:rsidRPr="006D6B13">
              <w:rPr>
                <w:rFonts w:asciiTheme="minorHAnsi" w:hAnsiTheme="minorHAnsi" w:cstheme="minorHAnsi"/>
                <w:color w:val="auto"/>
                <w:sz w:val="22"/>
                <w:szCs w:val="22"/>
              </w:rPr>
              <w:t xml:space="preserve">, is experiencing or at risk of abuse or neglect and, as a result of those needs, is unable to protect themselves. While Service User 2 met the threshold of having care and support needs, the assessment process needed to determine whether there was evidence that she was experiencing abuse, neglect or exploitation. This reflects the key principle within social work that safeguarding should be </w:t>
            </w:r>
            <w:r w:rsidRPr="006D6B13">
              <w:rPr>
                <w:rFonts w:asciiTheme="minorHAnsi" w:hAnsiTheme="minorHAnsi" w:cstheme="minorHAnsi"/>
                <w:color w:val="auto"/>
                <w:sz w:val="22"/>
                <w:szCs w:val="22"/>
              </w:rPr>
              <w:lastRenderedPageBreak/>
              <w:t xml:space="preserve">evidence-based rather than assumption-led. As the Wales Safeguarding Procedures (2019) state, safeguarding requires a coordinated response focused upon identifying and responding proportionately to risk. Therefore, the assessment </w:t>
            </w:r>
            <w:r w:rsidR="00F905F0">
              <w:rPr>
                <w:rFonts w:asciiTheme="minorHAnsi" w:hAnsiTheme="minorHAnsi" w:cstheme="minorHAnsi"/>
                <w:color w:val="auto"/>
                <w:sz w:val="22"/>
                <w:szCs w:val="22"/>
              </w:rPr>
              <w:t>was</w:t>
            </w:r>
            <w:r w:rsidRPr="006D6B13">
              <w:rPr>
                <w:rFonts w:asciiTheme="minorHAnsi" w:hAnsiTheme="minorHAnsi" w:cstheme="minorHAnsi"/>
                <w:color w:val="auto"/>
                <w:sz w:val="22"/>
                <w:szCs w:val="22"/>
              </w:rPr>
              <w:t xml:space="preserve"> to establish whether the allegations created actual harm or risk to Service User 2 rather than assuming vulnerability purely because of her age.</w:t>
            </w:r>
          </w:p>
          <w:p w14:paraId="0D3892C6" w14:textId="1F6809E5" w:rsidR="00FE56A8" w:rsidRPr="006D6B13" w:rsidRDefault="00106B01"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After gathering information it </w:t>
            </w:r>
            <w:r w:rsidR="00B00F35">
              <w:rPr>
                <w:rFonts w:asciiTheme="minorHAnsi" w:hAnsiTheme="minorHAnsi" w:cstheme="minorHAnsi"/>
                <w:color w:val="auto"/>
                <w:sz w:val="22"/>
                <w:szCs w:val="22"/>
              </w:rPr>
              <w:t>became apparenet that the circumstances around case</w:t>
            </w:r>
            <w:r w:rsidR="00FE56A8" w:rsidRPr="006D6B13">
              <w:rPr>
                <w:rFonts w:asciiTheme="minorHAnsi" w:hAnsiTheme="minorHAnsi" w:cstheme="minorHAnsi"/>
                <w:color w:val="auto"/>
                <w:sz w:val="22"/>
                <w:szCs w:val="22"/>
              </w:rPr>
              <w:t xml:space="preserve"> were complex and emotional. Several months earlier, Family Member 3, who had previously provided </w:t>
            </w:r>
            <w:r w:rsidR="00B00F35">
              <w:rPr>
                <w:rFonts w:asciiTheme="minorHAnsi" w:hAnsiTheme="minorHAnsi" w:cstheme="minorHAnsi"/>
                <w:color w:val="auto"/>
                <w:sz w:val="22"/>
                <w:szCs w:val="22"/>
              </w:rPr>
              <w:t>daily</w:t>
            </w:r>
            <w:r w:rsidR="00FE56A8" w:rsidRPr="006D6B13">
              <w:rPr>
                <w:rFonts w:asciiTheme="minorHAnsi" w:hAnsiTheme="minorHAnsi" w:cstheme="minorHAnsi"/>
                <w:color w:val="auto"/>
                <w:sz w:val="22"/>
                <w:szCs w:val="22"/>
              </w:rPr>
              <w:t xml:space="preserve"> support to Service User 2, had died suddenly within the home. Family Member 4 had discovered his mother deceased, causing considerable </w:t>
            </w:r>
            <w:r w:rsidR="007944D1">
              <w:rPr>
                <w:rFonts w:asciiTheme="minorHAnsi" w:hAnsiTheme="minorHAnsi" w:cstheme="minorHAnsi"/>
                <w:color w:val="auto"/>
                <w:sz w:val="22"/>
                <w:szCs w:val="22"/>
              </w:rPr>
              <w:t>upset</w:t>
            </w:r>
            <w:r w:rsidR="00FE56A8" w:rsidRPr="006D6B13">
              <w:rPr>
                <w:rFonts w:asciiTheme="minorHAnsi" w:hAnsiTheme="minorHAnsi" w:cstheme="minorHAnsi"/>
                <w:color w:val="auto"/>
                <w:sz w:val="22"/>
                <w:szCs w:val="22"/>
              </w:rPr>
              <w:t xml:space="preserve"> for both himself and Service User 2. Following this event, Family Member 4 began spending increasing periods of time at the property and eventually moved in. Children's safeguarding services later received reports alleging that he was involved in drug dealing </w:t>
            </w:r>
            <w:r w:rsidR="00FB2B2F">
              <w:rPr>
                <w:rFonts w:asciiTheme="minorHAnsi" w:hAnsiTheme="minorHAnsi" w:cstheme="minorHAnsi"/>
                <w:color w:val="auto"/>
                <w:sz w:val="22"/>
                <w:szCs w:val="22"/>
              </w:rPr>
              <w:t>potentially from the property</w:t>
            </w:r>
            <w:r w:rsidR="00FE56A8" w:rsidRPr="006D6B13">
              <w:rPr>
                <w:rFonts w:asciiTheme="minorHAnsi" w:hAnsiTheme="minorHAnsi" w:cstheme="minorHAnsi"/>
                <w:color w:val="auto"/>
                <w:sz w:val="22"/>
                <w:szCs w:val="22"/>
              </w:rPr>
              <w:t>. Police attended the property on two occasions and located a small quantity of cannabis but found no evidence of drug dealing. However</w:t>
            </w:r>
            <w:r w:rsidR="00D32967">
              <w:rPr>
                <w:rFonts w:asciiTheme="minorHAnsi" w:hAnsiTheme="minorHAnsi" w:cstheme="minorHAnsi"/>
                <w:color w:val="auto"/>
                <w:sz w:val="22"/>
                <w:szCs w:val="22"/>
              </w:rPr>
              <w:t xml:space="preserve"> the concerns were past to social services due to the possibly</w:t>
            </w:r>
            <w:r w:rsidR="00FE56A8" w:rsidRPr="006D6B13">
              <w:rPr>
                <w:rFonts w:asciiTheme="minorHAnsi" w:hAnsiTheme="minorHAnsi" w:cstheme="minorHAnsi"/>
                <w:color w:val="auto"/>
                <w:sz w:val="22"/>
                <w:szCs w:val="22"/>
              </w:rPr>
              <w:t xml:space="preserve"> implications for Service User 2, particularly given her age, mobility difficulties and reliance upon care services.</w:t>
            </w:r>
          </w:p>
          <w:p w14:paraId="4E6379E4" w14:textId="59445A28" w:rsidR="00FE56A8" w:rsidRPr="006D6B13" w:rsidRDefault="00FE56A8" w:rsidP="00FE56A8">
            <w:pPr>
              <w:pStyle w:val="NormalWeb"/>
              <w:spacing w:line="300" w:lineRule="atLeast"/>
              <w:rPr>
                <w:rFonts w:asciiTheme="minorHAnsi" w:hAnsiTheme="minorHAnsi" w:cstheme="minorHAnsi"/>
                <w:sz w:val="22"/>
                <w:szCs w:val="22"/>
              </w:rPr>
            </w:pPr>
            <w:r w:rsidRPr="006D6B13">
              <w:rPr>
                <w:rFonts w:asciiTheme="minorHAnsi" w:hAnsiTheme="minorHAnsi" w:cstheme="minorHAnsi"/>
                <w:sz w:val="22"/>
                <w:szCs w:val="22"/>
              </w:rPr>
              <w:t xml:space="preserve">I reviewed historical records and consulted </w:t>
            </w:r>
            <w:r w:rsidR="00D32967">
              <w:rPr>
                <w:rFonts w:asciiTheme="minorHAnsi" w:hAnsiTheme="minorHAnsi" w:cstheme="minorHAnsi"/>
                <w:sz w:val="22"/>
                <w:szCs w:val="22"/>
              </w:rPr>
              <w:t>the care aganecy</w:t>
            </w:r>
            <w:r w:rsidRPr="006D6B13">
              <w:rPr>
                <w:rFonts w:asciiTheme="minorHAnsi" w:hAnsiTheme="minorHAnsi" w:cstheme="minorHAnsi"/>
                <w:sz w:val="22"/>
                <w:szCs w:val="22"/>
              </w:rPr>
              <w:t xml:space="preserve">. This revealed previous concerns approximately five years earlier that Family Member 3 may have accompanied Service User 2 to the bank to withdraw money. At the time, there were wider concerns that Family Member 3 may herself have been vulnerable to criminal exploitation and potentially associated with individuals involved in county lines activity. These </w:t>
            </w:r>
            <w:r w:rsidR="0080693A">
              <w:rPr>
                <w:rFonts w:asciiTheme="minorHAnsi" w:hAnsiTheme="minorHAnsi" w:cstheme="minorHAnsi"/>
                <w:sz w:val="22"/>
                <w:szCs w:val="22"/>
              </w:rPr>
              <w:t xml:space="preserve">promoted concerns at the time that Service User 2 </w:t>
            </w:r>
            <w:r w:rsidR="00BD4687">
              <w:rPr>
                <w:rFonts w:asciiTheme="minorHAnsi" w:hAnsiTheme="minorHAnsi" w:cstheme="minorHAnsi"/>
                <w:sz w:val="22"/>
                <w:szCs w:val="22"/>
              </w:rPr>
              <w:t>may have been subject to</w:t>
            </w:r>
            <w:r w:rsidRPr="006D6B13">
              <w:rPr>
                <w:rFonts w:asciiTheme="minorHAnsi" w:hAnsiTheme="minorHAnsi" w:cstheme="minorHAnsi"/>
                <w:sz w:val="22"/>
                <w:szCs w:val="22"/>
              </w:rPr>
              <w:t xml:space="preserve"> financial exploitation. However, enquiries undertaken at that time concluded there was no evidence of financial abuse and that Service User 2 had voluntarily provided financial assistance on just one occasion. No criminal offences relating to financial exploitation were identified, and there was insufficient evidence to substantiate concerns that Family Member 4 had taken money without consent.</w:t>
            </w:r>
          </w:p>
          <w:p w14:paraId="5947F000" w14:textId="77777777" w:rsidR="00FE56A8" w:rsidRPr="006D6B13" w:rsidRDefault="00FE56A8" w:rsidP="00FE56A8">
            <w:pPr>
              <w:pStyle w:val="NormalWeb"/>
              <w:spacing w:line="300" w:lineRule="atLeast"/>
              <w:rPr>
                <w:rFonts w:asciiTheme="minorHAnsi" w:hAnsiTheme="minorHAnsi" w:cstheme="minorHAnsi"/>
                <w:sz w:val="22"/>
                <w:szCs w:val="22"/>
              </w:rPr>
            </w:pPr>
          </w:p>
          <w:p w14:paraId="37CF177A" w14:textId="4FB802C5" w:rsidR="00FE56A8" w:rsidRPr="006D6B13" w:rsidRDefault="00FE56A8" w:rsidP="00FE56A8">
            <w:pPr>
              <w:pStyle w:val="NormalWeb"/>
              <w:spacing w:line="300" w:lineRule="atLeast"/>
              <w:rPr>
                <w:rFonts w:asciiTheme="minorHAnsi" w:hAnsiTheme="minorHAnsi" w:cstheme="minorHAnsi"/>
                <w:sz w:val="22"/>
                <w:szCs w:val="22"/>
              </w:rPr>
            </w:pPr>
            <w:r w:rsidRPr="006D6B13">
              <w:rPr>
                <w:rFonts w:asciiTheme="minorHAnsi" w:hAnsiTheme="minorHAnsi" w:cstheme="minorHAnsi"/>
                <w:sz w:val="22"/>
                <w:szCs w:val="22"/>
              </w:rPr>
              <w:t>Reflecting on this information, I felt it was important not to view historical concerns in isolation or allow them to influence the current safeguarding assessment. Whilst allegations linking Family Member 3 to county lines activity raised legitimate questions about potential vulnerability, c</w:t>
            </w:r>
            <w:r w:rsidR="001B533A">
              <w:rPr>
                <w:rFonts w:asciiTheme="minorHAnsi" w:hAnsiTheme="minorHAnsi" w:cstheme="minorHAnsi"/>
                <w:sz w:val="22"/>
                <w:szCs w:val="22"/>
              </w:rPr>
              <w:t>urrent</w:t>
            </w:r>
            <w:r w:rsidRPr="006D6B13">
              <w:rPr>
                <w:rFonts w:asciiTheme="minorHAnsi" w:hAnsiTheme="minorHAnsi" w:cstheme="minorHAnsi"/>
                <w:sz w:val="22"/>
                <w:szCs w:val="22"/>
              </w:rPr>
              <w:t xml:space="preserve"> safeguarding </w:t>
            </w:r>
            <w:r w:rsidR="001B533A">
              <w:rPr>
                <w:rFonts w:asciiTheme="minorHAnsi" w:hAnsiTheme="minorHAnsi" w:cstheme="minorHAnsi"/>
                <w:sz w:val="22"/>
                <w:szCs w:val="22"/>
              </w:rPr>
              <w:t>procedures</w:t>
            </w:r>
            <w:r w:rsidRPr="006D6B13">
              <w:rPr>
                <w:rFonts w:asciiTheme="minorHAnsi" w:hAnsiTheme="minorHAnsi" w:cstheme="minorHAnsi"/>
                <w:sz w:val="22"/>
                <w:szCs w:val="22"/>
              </w:rPr>
              <w:t xml:space="preserve"> recognise that individuals involved in criminal networks may themselves be victims of exploitation. Within the Welsh context, safeguarding practice increasingly recognises county lines and child criminal exploitation as significant safeguarding concerns requiring practitioners to explore both risk and vulnerability. </w:t>
            </w:r>
            <w:r w:rsidR="00A11E0D">
              <w:rPr>
                <w:rFonts w:asciiTheme="minorHAnsi" w:hAnsiTheme="minorHAnsi" w:cstheme="minorHAnsi"/>
                <w:sz w:val="22"/>
                <w:szCs w:val="22"/>
              </w:rPr>
              <w:t xml:space="preserve">It was therefore </w:t>
            </w:r>
            <w:r w:rsidR="00757EDA">
              <w:rPr>
                <w:rFonts w:asciiTheme="minorHAnsi" w:hAnsiTheme="minorHAnsi" w:cstheme="minorHAnsi"/>
                <w:sz w:val="22"/>
                <w:szCs w:val="22"/>
              </w:rPr>
              <w:t>important</w:t>
            </w:r>
            <w:r w:rsidRPr="006D6B13">
              <w:rPr>
                <w:rFonts w:asciiTheme="minorHAnsi" w:hAnsiTheme="minorHAnsi" w:cstheme="minorHAnsi"/>
                <w:sz w:val="22"/>
                <w:szCs w:val="22"/>
              </w:rPr>
              <w:t xml:space="preserve"> to consider </w:t>
            </w:r>
            <w:r w:rsidR="000F1BB3">
              <w:rPr>
                <w:rFonts w:asciiTheme="minorHAnsi" w:hAnsiTheme="minorHAnsi" w:cstheme="minorHAnsi"/>
                <w:sz w:val="22"/>
                <w:szCs w:val="22"/>
              </w:rPr>
              <w:t>the historical concerns during this assessment</w:t>
            </w:r>
            <w:r w:rsidR="00824C9F">
              <w:rPr>
                <w:rFonts w:asciiTheme="minorHAnsi" w:hAnsiTheme="minorHAnsi" w:cstheme="minorHAnsi"/>
                <w:sz w:val="22"/>
                <w:szCs w:val="22"/>
              </w:rPr>
              <w:t>. Following this event Service User 2</w:t>
            </w:r>
            <w:r w:rsidR="00701A9A">
              <w:rPr>
                <w:rFonts w:asciiTheme="minorHAnsi" w:hAnsiTheme="minorHAnsi" w:cstheme="minorHAnsi"/>
                <w:sz w:val="22"/>
                <w:szCs w:val="22"/>
              </w:rPr>
              <w:t xml:space="preserve">’s son, </w:t>
            </w:r>
            <w:r w:rsidR="009E2152">
              <w:rPr>
                <w:rFonts w:asciiTheme="minorHAnsi" w:hAnsiTheme="minorHAnsi" w:cstheme="minorHAnsi"/>
                <w:sz w:val="22"/>
                <w:szCs w:val="22"/>
              </w:rPr>
              <w:t>Family</w:t>
            </w:r>
            <w:r w:rsidR="00701A9A">
              <w:rPr>
                <w:rFonts w:asciiTheme="minorHAnsi" w:hAnsiTheme="minorHAnsi" w:cstheme="minorHAnsi"/>
                <w:sz w:val="22"/>
                <w:szCs w:val="22"/>
              </w:rPr>
              <w:t xml:space="preserve"> member 6 took over management of her bank account and is able to monitor any </w:t>
            </w:r>
            <w:r w:rsidR="009E2152">
              <w:rPr>
                <w:rFonts w:asciiTheme="minorHAnsi" w:hAnsiTheme="minorHAnsi" w:cstheme="minorHAnsi"/>
                <w:sz w:val="22"/>
                <w:szCs w:val="22"/>
              </w:rPr>
              <w:t>withdrawals</w:t>
            </w:r>
            <w:r w:rsidR="00701A9A">
              <w:rPr>
                <w:rFonts w:asciiTheme="minorHAnsi" w:hAnsiTheme="minorHAnsi" w:cstheme="minorHAnsi"/>
                <w:sz w:val="22"/>
                <w:szCs w:val="22"/>
              </w:rPr>
              <w:t xml:space="preserve">. </w:t>
            </w:r>
            <w:r w:rsidR="00714A57">
              <w:rPr>
                <w:rFonts w:asciiTheme="minorHAnsi" w:hAnsiTheme="minorHAnsi" w:cstheme="minorHAnsi"/>
                <w:sz w:val="22"/>
                <w:szCs w:val="22"/>
              </w:rPr>
              <w:t xml:space="preserve">This was significant as we were able to </w:t>
            </w:r>
            <w:r w:rsidR="00704505">
              <w:rPr>
                <w:rFonts w:asciiTheme="minorHAnsi" w:hAnsiTheme="minorHAnsi" w:cstheme="minorHAnsi"/>
                <w:sz w:val="22"/>
                <w:szCs w:val="22"/>
              </w:rPr>
              <w:t xml:space="preserve">include this in the risk assessment </w:t>
            </w:r>
            <w:r w:rsidR="009E2152">
              <w:rPr>
                <w:rFonts w:asciiTheme="minorHAnsi" w:hAnsiTheme="minorHAnsi" w:cstheme="minorHAnsi"/>
                <w:sz w:val="22"/>
                <w:szCs w:val="22"/>
              </w:rPr>
              <w:t xml:space="preserve">and evidence that there was no financial exploitation by Family Member 3. </w:t>
            </w:r>
          </w:p>
          <w:p w14:paraId="1EC4773E" w14:textId="77777777" w:rsidR="00FE56A8" w:rsidRPr="006D6B13" w:rsidRDefault="00FE56A8" w:rsidP="00FE56A8">
            <w:pPr>
              <w:pStyle w:val="NormalWeb"/>
              <w:spacing w:line="300" w:lineRule="atLeast"/>
              <w:rPr>
                <w:rFonts w:asciiTheme="minorHAnsi" w:hAnsiTheme="minorHAnsi" w:cstheme="minorHAnsi"/>
                <w:sz w:val="22"/>
                <w:szCs w:val="22"/>
              </w:rPr>
            </w:pPr>
          </w:p>
          <w:p w14:paraId="721F49C8" w14:textId="3D1E19C7" w:rsidR="00FE56A8" w:rsidRPr="006D6B13" w:rsidRDefault="00FE56A8" w:rsidP="00FE56A8">
            <w:pPr>
              <w:pStyle w:val="NormalWeb"/>
              <w:spacing w:line="300" w:lineRule="atLeast"/>
              <w:rPr>
                <w:rFonts w:asciiTheme="minorHAnsi" w:hAnsiTheme="minorHAnsi" w:cstheme="minorHAnsi"/>
                <w:sz w:val="22"/>
                <w:szCs w:val="22"/>
              </w:rPr>
            </w:pPr>
            <w:r w:rsidRPr="006D6B13">
              <w:rPr>
                <w:rFonts w:asciiTheme="minorHAnsi" w:hAnsiTheme="minorHAnsi" w:cstheme="minorHAnsi"/>
                <w:sz w:val="22"/>
                <w:szCs w:val="22"/>
              </w:rPr>
              <w:t>The Wales Safeguarding Procedures (2019) emphasise the importance of professional curiosity and information sharing when</w:t>
            </w:r>
            <w:r w:rsidR="00A40597">
              <w:rPr>
                <w:rFonts w:asciiTheme="minorHAnsi" w:hAnsiTheme="minorHAnsi" w:cstheme="minorHAnsi"/>
                <w:sz w:val="22"/>
                <w:szCs w:val="22"/>
              </w:rPr>
              <w:t xml:space="preserve"> safeguarding</w:t>
            </w:r>
            <w:r w:rsidRPr="006D6B13">
              <w:rPr>
                <w:rFonts w:asciiTheme="minorHAnsi" w:hAnsiTheme="minorHAnsi" w:cstheme="minorHAnsi"/>
                <w:sz w:val="22"/>
                <w:szCs w:val="22"/>
              </w:rPr>
              <w:t xml:space="preserve"> concerns arise. Looking back on the case, the historical allegations involving Family Member 3 provided important context regarding family experiences of vulnerability and exploitation but did not constitute evidence of current abuse. Braye, Orr and Preston-Shoot (2015) argue that safeguarding assessments must avoid confirmation bias by distinguishing between historical concerns and present-day risk. This required a careful balance between maintaining professional curiosity and ensuring that contemporary safeguarding decisions were based upon current evidence rather than assumptions derived from past events.</w:t>
            </w:r>
          </w:p>
          <w:p w14:paraId="355E69B4" w14:textId="77777777" w:rsidR="00FE56A8" w:rsidRPr="006D6B13" w:rsidRDefault="00FE56A8" w:rsidP="00FE56A8">
            <w:pPr>
              <w:rPr>
                <w:rFonts w:asciiTheme="minorHAnsi" w:hAnsiTheme="minorHAnsi" w:cstheme="minorHAnsi"/>
                <w:sz w:val="22"/>
                <w:szCs w:val="22"/>
              </w:rPr>
            </w:pPr>
          </w:p>
          <w:p w14:paraId="0209F589" w14:textId="2A71E180"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The case </w:t>
            </w:r>
            <w:r w:rsidR="00587B41">
              <w:rPr>
                <w:rFonts w:asciiTheme="minorHAnsi" w:hAnsiTheme="minorHAnsi" w:cstheme="minorHAnsi"/>
                <w:color w:val="auto"/>
                <w:sz w:val="22"/>
                <w:szCs w:val="22"/>
              </w:rPr>
              <w:t>highlighted</w:t>
            </w:r>
            <w:r w:rsidRPr="006D6B13">
              <w:rPr>
                <w:rFonts w:asciiTheme="minorHAnsi" w:hAnsiTheme="minorHAnsi" w:cstheme="minorHAnsi"/>
                <w:color w:val="auto"/>
                <w:sz w:val="22"/>
                <w:szCs w:val="22"/>
              </w:rPr>
              <w:t xml:space="preserve"> the importance of collaborative working. Information was gathered from police, children's safeguarding services, adult safeguarding services, domiciliary care providers</w:t>
            </w:r>
            <w:r w:rsidR="00A51766">
              <w:rPr>
                <w:rFonts w:asciiTheme="minorHAnsi" w:hAnsiTheme="minorHAnsi" w:cstheme="minorHAnsi"/>
                <w:color w:val="auto"/>
                <w:sz w:val="22"/>
                <w:szCs w:val="22"/>
              </w:rPr>
              <w:t>,</w:t>
            </w:r>
            <w:r w:rsidRPr="006D6B13">
              <w:rPr>
                <w:rFonts w:asciiTheme="minorHAnsi" w:hAnsiTheme="minorHAnsi" w:cstheme="minorHAnsi"/>
                <w:color w:val="auto"/>
                <w:sz w:val="22"/>
                <w:szCs w:val="22"/>
              </w:rPr>
              <w:t xml:space="preserve"> family members</w:t>
            </w:r>
            <w:r w:rsidR="00A51766">
              <w:rPr>
                <w:rFonts w:asciiTheme="minorHAnsi" w:hAnsiTheme="minorHAnsi" w:cstheme="minorHAnsi"/>
                <w:color w:val="auto"/>
                <w:sz w:val="22"/>
                <w:szCs w:val="22"/>
              </w:rPr>
              <w:t xml:space="preserve"> and Service User 2 herself</w:t>
            </w:r>
            <w:r w:rsidRPr="006D6B13">
              <w:rPr>
                <w:rFonts w:asciiTheme="minorHAnsi" w:hAnsiTheme="minorHAnsi" w:cstheme="minorHAnsi"/>
                <w:color w:val="auto"/>
                <w:sz w:val="22"/>
                <w:szCs w:val="22"/>
              </w:rPr>
              <w:t xml:space="preserve">. Multi-agency working is central to safeguarding practice because no single professional holds a complete understanding of an individual's circumstances. Throughout the assessment process, communication between agencies provided </w:t>
            </w:r>
            <w:r w:rsidR="00C567C3">
              <w:rPr>
                <w:rFonts w:asciiTheme="minorHAnsi" w:hAnsiTheme="minorHAnsi" w:cstheme="minorHAnsi"/>
                <w:color w:val="auto"/>
                <w:sz w:val="22"/>
                <w:szCs w:val="22"/>
              </w:rPr>
              <w:t>a better</w:t>
            </w:r>
            <w:r w:rsidRPr="006D6B13">
              <w:rPr>
                <w:rFonts w:asciiTheme="minorHAnsi" w:hAnsiTheme="minorHAnsi" w:cstheme="minorHAnsi"/>
                <w:color w:val="auto"/>
                <w:sz w:val="22"/>
                <w:szCs w:val="22"/>
              </w:rPr>
              <w:t xml:space="preserve"> understanding of both risk and protective factors. Importantly, the domiciliary care agency reported that staff attended the property four times per day and had never observed evidence of drug dealing, financial exploitation, neglect or intimidation. They had not witnessed individuals coming and going frequently, nor had they reported smelling cannabis within </w:t>
            </w:r>
            <w:r w:rsidR="005B3E83">
              <w:rPr>
                <w:rFonts w:asciiTheme="minorHAnsi" w:hAnsiTheme="minorHAnsi" w:cstheme="minorHAnsi"/>
                <w:color w:val="auto"/>
                <w:sz w:val="22"/>
                <w:szCs w:val="22"/>
              </w:rPr>
              <w:t>the home.</w:t>
            </w:r>
            <w:r w:rsidRPr="006D6B13">
              <w:rPr>
                <w:rFonts w:asciiTheme="minorHAnsi" w:hAnsiTheme="minorHAnsi" w:cstheme="minorHAnsi"/>
                <w:color w:val="auto"/>
                <w:sz w:val="22"/>
                <w:szCs w:val="22"/>
              </w:rPr>
              <w:t xml:space="preserve"> This information wa</w:t>
            </w:r>
            <w:r w:rsidR="005B3E83">
              <w:rPr>
                <w:rFonts w:asciiTheme="minorHAnsi" w:hAnsiTheme="minorHAnsi" w:cstheme="minorHAnsi"/>
                <w:color w:val="auto"/>
                <w:sz w:val="22"/>
                <w:szCs w:val="22"/>
              </w:rPr>
              <w:t>s</w:t>
            </w:r>
            <w:r w:rsidRPr="006D6B13">
              <w:rPr>
                <w:rFonts w:asciiTheme="minorHAnsi" w:hAnsiTheme="minorHAnsi" w:cstheme="minorHAnsi"/>
                <w:color w:val="auto"/>
                <w:sz w:val="22"/>
                <w:szCs w:val="22"/>
              </w:rPr>
              <w:t xml:space="preserve"> significant because carers had regular access to the property and ongoing opportunities to </w:t>
            </w:r>
            <w:r w:rsidR="00E63CFB">
              <w:rPr>
                <w:rFonts w:asciiTheme="minorHAnsi" w:hAnsiTheme="minorHAnsi" w:cstheme="minorHAnsi"/>
                <w:color w:val="auto"/>
                <w:sz w:val="22"/>
                <w:szCs w:val="22"/>
              </w:rPr>
              <w:t>monitor</w:t>
            </w:r>
            <w:r w:rsidRPr="006D6B13">
              <w:rPr>
                <w:rFonts w:asciiTheme="minorHAnsi" w:hAnsiTheme="minorHAnsi" w:cstheme="minorHAnsi"/>
                <w:color w:val="auto"/>
                <w:sz w:val="22"/>
                <w:szCs w:val="22"/>
              </w:rPr>
              <w:t xml:space="preserve"> changes in behaviour or presentation.</w:t>
            </w:r>
          </w:p>
          <w:p w14:paraId="531D45C3" w14:textId="21863D05"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After reviewing all the information available I contacted the domiciliary care agency, along with the care manager I completed a joint visit to complete </w:t>
            </w:r>
            <w:r w:rsidR="00E63CFB">
              <w:rPr>
                <w:rFonts w:asciiTheme="minorHAnsi" w:hAnsiTheme="minorHAnsi" w:cstheme="minorHAnsi"/>
                <w:color w:val="auto"/>
                <w:sz w:val="22"/>
                <w:szCs w:val="22"/>
              </w:rPr>
              <w:t>a</w:t>
            </w:r>
            <w:r w:rsidRPr="006D6B13">
              <w:rPr>
                <w:rFonts w:asciiTheme="minorHAnsi" w:hAnsiTheme="minorHAnsi" w:cstheme="minorHAnsi"/>
                <w:color w:val="auto"/>
                <w:sz w:val="22"/>
                <w:szCs w:val="22"/>
              </w:rPr>
              <w:t xml:space="preserve"> review and discuss the safeguarding concerns.  Immediately upon entering the property it became apparent that Service User 2's hearing impairment posed a potential barrier to communication. Effective communication is </w:t>
            </w:r>
            <w:r w:rsidR="00D744EA">
              <w:rPr>
                <w:rFonts w:asciiTheme="minorHAnsi" w:hAnsiTheme="minorHAnsi" w:cstheme="minorHAnsi"/>
                <w:color w:val="auto"/>
                <w:sz w:val="22"/>
                <w:szCs w:val="22"/>
              </w:rPr>
              <w:t>essential</w:t>
            </w:r>
            <w:r w:rsidRPr="006D6B13">
              <w:rPr>
                <w:rFonts w:asciiTheme="minorHAnsi" w:hAnsiTheme="minorHAnsi" w:cstheme="minorHAnsi"/>
                <w:color w:val="auto"/>
                <w:sz w:val="22"/>
                <w:szCs w:val="22"/>
              </w:rPr>
              <w:t xml:space="preserve"> to safeguarding because individuals are only able to exercise voice and control when they </w:t>
            </w:r>
            <w:r w:rsidR="00D744EA">
              <w:rPr>
                <w:rFonts w:asciiTheme="minorHAnsi" w:hAnsiTheme="minorHAnsi" w:cstheme="minorHAnsi"/>
                <w:color w:val="auto"/>
                <w:sz w:val="22"/>
                <w:szCs w:val="22"/>
              </w:rPr>
              <w:t xml:space="preserve">are able to engage in the </w:t>
            </w:r>
            <w:r w:rsidR="00E70E62">
              <w:rPr>
                <w:rFonts w:asciiTheme="minorHAnsi" w:hAnsiTheme="minorHAnsi" w:cstheme="minorHAnsi"/>
                <w:color w:val="auto"/>
                <w:sz w:val="22"/>
                <w:szCs w:val="22"/>
              </w:rPr>
              <w:t>conversations and assessment process</w:t>
            </w:r>
            <w:r w:rsidRPr="006D6B13">
              <w:rPr>
                <w:rFonts w:asciiTheme="minorHAnsi" w:hAnsiTheme="minorHAnsi" w:cstheme="minorHAnsi"/>
                <w:color w:val="auto"/>
                <w:sz w:val="22"/>
                <w:szCs w:val="22"/>
              </w:rPr>
              <w:t xml:space="preserve">. Service User 2 identified Welsh as her preferred language. In line with the Welsh Language (Wales) Measure 2011 and the principles outlined in More Than Just Words (Welsh Government, 2022), an Active Offer of Welsh </w:t>
            </w:r>
            <w:r w:rsidR="00C25519" w:rsidRPr="006D6B13">
              <w:rPr>
                <w:rFonts w:asciiTheme="minorHAnsi" w:hAnsiTheme="minorHAnsi" w:cstheme="minorHAnsi"/>
                <w:color w:val="auto"/>
                <w:sz w:val="22"/>
                <w:szCs w:val="22"/>
              </w:rPr>
              <w:t>l</w:t>
            </w:r>
            <w:r w:rsidR="00C25519">
              <w:rPr>
                <w:rFonts w:asciiTheme="minorHAnsi" w:hAnsiTheme="minorHAnsi" w:cstheme="minorHAnsi"/>
                <w:color w:val="auto"/>
                <w:sz w:val="22"/>
                <w:szCs w:val="22"/>
              </w:rPr>
              <w:t>anguage services was provided and</w:t>
            </w:r>
            <w:r w:rsidRPr="006D6B13">
              <w:rPr>
                <w:rFonts w:asciiTheme="minorHAnsi" w:hAnsiTheme="minorHAnsi" w:cstheme="minorHAnsi"/>
                <w:color w:val="auto"/>
                <w:sz w:val="22"/>
                <w:szCs w:val="22"/>
              </w:rPr>
              <w:t xml:space="preserve"> the review was completed in Welsh. The Welsh Government states that individuals should receive services in Welsh "without having to ask for them." </w:t>
            </w:r>
            <w:r w:rsidR="00536DAF">
              <w:rPr>
                <w:rFonts w:asciiTheme="minorHAnsi" w:hAnsiTheme="minorHAnsi" w:cstheme="minorHAnsi"/>
                <w:color w:val="auto"/>
                <w:sz w:val="22"/>
                <w:szCs w:val="22"/>
              </w:rPr>
              <w:t>Being able to c</w:t>
            </w:r>
            <w:r w:rsidRPr="006D6B13">
              <w:rPr>
                <w:rFonts w:asciiTheme="minorHAnsi" w:hAnsiTheme="minorHAnsi" w:cstheme="minorHAnsi"/>
                <w:color w:val="auto"/>
                <w:sz w:val="22"/>
                <w:szCs w:val="22"/>
              </w:rPr>
              <w:t>onduct the assessment in Welsh promoted participation, respected cultural identity and reflected anti-oppressive practice.</w:t>
            </w:r>
          </w:p>
          <w:p w14:paraId="250A1E23" w14:textId="04FA41D8"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Thompson (2021) argues that anti-discriminatory practice requires practitioners to recognise the impact of culture, language and identity on service users' experiences. Looking back on the assessment, using Welsh was</w:t>
            </w:r>
            <w:r w:rsidR="00EB522B">
              <w:rPr>
                <w:rFonts w:asciiTheme="minorHAnsi" w:hAnsiTheme="minorHAnsi" w:cstheme="minorHAnsi"/>
                <w:color w:val="auto"/>
                <w:sz w:val="22"/>
                <w:szCs w:val="22"/>
              </w:rPr>
              <w:t xml:space="preserve"> </w:t>
            </w:r>
            <w:r w:rsidRPr="006D6B13">
              <w:rPr>
                <w:rFonts w:asciiTheme="minorHAnsi" w:hAnsiTheme="minorHAnsi" w:cstheme="minorHAnsi"/>
                <w:color w:val="auto"/>
                <w:sz w:val="22"/>
                <w:szCs w:val="22"/>
              </w:rPr>
              <w:t>an important means of building r</w:t>
            </w:r>
            <w:r w:rsidR="00EB522B">
              <w:rPr>
                <w:rFonts w:asciiTheme="minorHAnsi" w:hAnsiTheme="minorHAnsi" w:cstheme="minorHAnsi"/>
                <w:color w:val="auto"/>
                <w:sz w:val="22"/>
                <w:szCs w:val="22"/>
              </w:rPr>
              <w:t>elationships</w:t>
            </w:r>
            <w:r w:rsidRPr="006D6B13">
              <w:rPr>
                <w:rFonts w:asciiTheme="minorHAnsi" w:hAnsiTheme="minorHAnsi" w:cstheme="minorHAnsi"/>
                <w:color w:val="auto"/>
                <w:sz w:val="22"/>
                <w:szCs w:val="22"/>
              </w:rPr>
              <w:t xml:space="preserve"> and trust. Service User 2 appeared comfortable discussing sensitive matters in Welsh and openly </w:t>
            </w:r>
            <w:r w:rsidR="00EB522B">
              <w:rPr>
                <w:rFonts w:asciiTheme="minorHAnsi" w:hAnsiTheme="minorHAnsi" w:cstheme="minorHAnsi"/>
                <w:color w:val="auto"/>
                <w:sz w:val="22"/>
                <w:szCs w:val="22"/>
              </w:rPr>
              <w:t>discussed</w:t>
            </w:r>
            <w:r w:rsidRPr="006D6B13">
              <w:rPr>
                <w:rFonts w:asciiTheme="minorHAnsi" w:hAnsiTheme="minorHAnsi" w:cstheme="minorHAnsi"/>
                <w:color w:val="auto"/>
                <w:sz w:val="22"/>
                <w:szCs w:val="22"/>
              </w:rPr>
              <w:t xml:space="preserve"> issues relating to grief, family relationships and safeguarding concerns. This </w:t>
            </w:r>
            <w:r w:rsidR="00DF5C0F">
              <w:rPr>
                <w:rFonts w:asciiTheme="minorHAnsi" w:hAnsiTheme="minorHAnsi" w:cstheme="minorHAnsi"/>
                <w:color w:val="auto"/>
                <w:sz w:val="22"/>
                <w:szCs w:val="22"/>
              </w:rPr>
              <w:t>highlighted</w:t>
            </w:r>
            <w:r w:rsidRPr="006D6B13">
              <w:rPr>
                <w:rFonts w:asciiTheme="minorHAnsi" w:hAnsiTheme="minorHAnsi" w:cstheme="minorHAnsi"/>
                <w:color w:val="auto"/>
                <w:sz w:val="22"/>
                <w:szCs w:val="22"/>
              </w:rPr>
              <w:t xml:space="preserve"> the importance of </w:t>
            </w:r>
            <w:r w:rsidR="003867D8">
              <w:rPr>
                <w:rFonts w:asciiTheme="minorHAnsi" w:hAnsiTheme="minorHAnsi" w:cstheme="minorHAnsi"/>
                <w:color w:val="auto"/>
                <w:sz w:val="22"/>
                <w:szCs w:val="22"/>
              </w:rPr>
              <w:t xml:space="preserve">respecting the Welsh Culture as part of Social Work in Wales. </w:t>
            </w:r>
          </w:p>
          <w:p w14:paraId="1032FC76" w14:textId="7A40FE18"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During the assessment, Service User 2 described the night the police attended the property. She stated that officers had attended looking for one of Family Member 4's friends and was surprised that concerns relating to drugs had been raised. She acknowledged that Family Member 4 smoked but was under the impression this occurred outside the property and was only ordinary cigarettes. She stated that he had never asked her for money, never been verbally aggressive, had not damaged the property and had not interfered with her care arrangements. She described him as grieving the loss of his mother and explained that she actively encouraged him to spend time with friends as a source of support. Importantly, she stated that she felt safe in her own home.</w:t>
            </w:r>
          </w:p>
          <w:p w14:paraId="0F0BE2E2" w14:textId="7BA008F3"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Style w:val="normaltextrun"/>
                <w:rFonts w:asciiTheme="minorHAnsi" w:hAnsiTheme="minorHAnsi"/>
                <w:sz w:val="22"/>
                <w:szCs w:val="22"/>
                <w:shd w:val="clear" w:color="auto" w:fill="FFFFFF"/>
                <w:lang w:val="en-US"/>
              </w:rPr>
              <w:t xml:space="preserve">From a strengths-based perspective, the assessment identified several protective factors including consistent domiciliary care, strong family involvement, community support and Service User 2's ongoing ability to make decisions about her own life. Saleebey (2013) argues that social work should focus on individuals' capabilities and resources rather than viewing them primarily through the lens of deficits and risk. Service User 2 had regular support from carers, family oversight regarding finances and access to emergency assistance. These </w:t>
            </w:r>
            <w:r w:rsidRPr="006D6B13">
              <w:rPr>
                <w:rStyle w:val="normaltextrun"/>
                <w:rFonts w:asciiTheme="minorHAnsi" w:hAnsiTheme="minorHAnsi"/>
                <w:sz w:val="22"/>
                <w:szCs w:val="22"/>
                <w:shd w:val="clear" w:color="auto" w:fill="FFFFFF"/>
                <w:lang w:val="en-US"/>
              </w:rPr>
              <w:lastRenderedPageBreak/>
              <w:t xml:space="preserve">factors reduced vulnerability and </w:t>
            </w:r>
            <w:r w:rsidR="00C12F5E">
              <w:rPr>
                <w:rStyle w:val="normaltextrun"/>
                <w:rFonts w:asciiTheme="minorHAnsi" w:hAnsiTheme="minorHAnsi"/>
                <w:sz w:val="22"/>
                <w:szCs w:val="22"/>
                <w:shd w:val="clear" w:color="auto" w:fill="FFFFFF"/>
                <w:lang w:val="en-US"/>
              </w:rPr>
              <w:t xml:space="preserve">highlighted that she was able to </w:t>
            </w:r>
            <w:r w:rsidR="00AD2894">
              <w:rPr>
                <w:rStyle w:val="normaltextrun"/>
                <w:rFonts w:asciiTheme="minorHAnsi" w:hAnsiTheme="minorHAnsi"/>
                <w:sz w:val="22"/>
                <w:szCs w:val="22"/>
                <w:shd w:val="clear" w:color="auto" w:fill="FFFFFF"/>
                <w:lang w:val="en-US"/>
              </w:rPr>
              <w:t xml:space="preserve">make informed decisions inspite of being vulnerable due to her age and physical conditions. </w:t>
            </w:r>
            <w:r w:rsidRPr="006D6B13">
              <w:rPr>
                <w:rFonts w:asciiTheme="minorHAnsi" w:hAnsiTheme="minorHAnsi"/>
                <w:sz w:val="22"/>
                <w:szCs w:val="22"/>
                <w:shd w:val="clear" w:color="auto" w:fill="FFFFFF"/>
              </w:rPr>
              <w:br/>
            </w:r>
            <w:r w:rsidRPr="006D6B13">
              <w:rPr>
                <w:rStyle w:val="scxw100304283"/>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00706DCC">
              <w:rPr>
                <w:rStyle w:val="normaltextrun"/>
                <w:rFonts w:asciiTheme="minorHAnsi" w:hAnsiTheme="minorHAnsi"/>
                <w:sz w:val="22"/>
                <w:szCs w:val="22"/>
                <w:shd w:val="clear" w:color="auto" w:fill="FFFFFF"/>
                <w:lang w:val="en-US"/>
              </w:rPr>
              <w:t xml:space="preserve">Although </w:t>
            </w:r>
            <w:r w:rsidR="002C0BC0">
              <w:rPr>
                <w:rStyle w:val="normaltextrun"/>
                <w:rFonts w:asciiTheme="minorHAnsi" w:hAnsiTheme="minorHAnsi"/>
                <w:sz w:val="22"/>
                <w:szCs w:val="22"/>
                <w:shd w:val="clear" w:color="auto" w:fill="FFFFFF"/>
                <w:lang w:val="en-US"/>
              </w:rPr>
              <w:t xml:space="preserve">the </w:t>
            </w:r>
            <w:r w:rsidRPr="006D6B13">
              <w:rPr>
                <w:rStyle w:val="normaltextrun"/>
                <w:rFonts w:asciiTheme="minorHAnsi" w:hAnsiTheme="minorHAnsi"/>
                <w:sz w:val="22"/>
                <w:szCs w:val="22"/>
                <w:shd w:val="clear" w:color="auto" w:fill="FFFFFF"/>
                <w:lang w:val="en-US"/>
              </w:rPr>
              <w:t xml:space="preserve">safeguarding referral initially </w:t>
            </w:r>
            <w:r w:rsidR="00706DCC">
              <w:rPr>
                <w:rStyle w:val="normaltextrun"/>
                <w:rFonts w:asciiTheme="minorHAnsi" w:hAnsiTheme="minorHAnsi"/>
                <w:sz w:val="22"/>
                <w:szCs w:val="22"/>
                <w:shd w:val="clear" w:color="auto" w:fill="FFFFFF"/>
                <w:lang w:val="en-US"/>
              </w:rPr>
              <w:t>focused</w:t>
            </w:r>
            <w:r w:rsidR="00DD67AE">
              <w:rPr>
                <w:rStyle w:val="normaltextrun"/>
                <w:rFonts w:asciiTheme="minorHAnsi" w:hAnsiTheme="minorHAnsi"/>
                <w:sz w:val="22"/>
                <w:szCs w:val="22"/>
                <w:shd w:val="clear" w:color="auto" w:fill="FFFFFF"/>
                <w:lang w:val="en-US"/>
              </w:rPr>
              <w:t xml:space="preserve"> on the problems</w:t>
            </w:r>
            <w:r w:rsidR="00B310C5">
              <w:rPr>
                <w:rStyle w:val="normaltextrun"/>
                <w:rFonts w:asciiTheme="minorHAnsi" w:hAnsiTheme="minorHAnsi"/>
                <w:sz w:val="22"/>
                <w:szCs w:val="22"/>
                <w:shd w:val="clear" w:color="auto" w:fill="FFFFFF"/>
                <w:lang w:val="en-US"/>
              </w:rPr>
              <w:t xml:space="preserve"> presented by the </w:t>
            </w:r>
            <w:r w:rsidRPr="006D6B13">
              <w:rPr>
                <w:rStyle w:val="normaltextrun"/>
                <w:rFonts w:asciiTheme="minorHAnsi" w:hAnsiTheme="minorHAnsi"/>
                <w:sz w:val="22"/>
                <w:szCs w:val="22"/>
                <w:shd w:val="clear" w:color="auto" w:fill="FFFFFF"/>
                <w:lang w:val="en-US"/>
              </w:rPr>
              <w:t>alleged criminal activity and concerns regarding vulnerability</w:t>
            </w:r>
            <w:r w:rsidR="00B310C5">
              <w:rPr>
                <w:rStyle w:val="normaltextrun"/>
                <w:rFonts w:asciiTheme="minorHAnsi" w:hAnsiTheme="minorHAnsi"/>
                <w:sz w:val="22"/>
                <w:szCs w:val="22"/>
                <w:shd w:val="clear" w:color="auto" w:fill="FFFFFF"/>
                <w:lang w:val="en-US"/>
              </w:rPr>
              <w:t>,</w:t>
            </w:r>
            <w:r w:rsidR="00B310C5" w:rsidRPr="006D6B13">
              <w:rPr>
                <w:rStyle w:val="normaltextrun"/>
                <w:rFonts w:asciiTheme="minorHAnsi" w:hAnsiTheme="minorHAnsi"/>
                <w:sz w:val="22"/>
                <w:szCs w:val="22"/>
                <w:shd w:val="clear" w:color="auto" w:fill="FFFFFF"/>
                <w:lang w:val="en-US"/>
              </w:rPr>
              <w:t xml:space="preserve"> </w:t>
            </w:r>
            <w:r w:rsidR="00B310C5" w:rsidRPr="006D6B13">
              <w:rPr>
                <w:rStyle w:val="normaltextrun"/>
                <w:rFonts w:asciiTheme="minorHAnsi" w:hAnsiTheme="minorHAnsi"/>
                <w:sz w:val="22"/>
                <w:szCs w:val="22"/>
                <w:shd w:val="clear" w:color="auto" w:fill="FFFFFF"/>
                <w:lang w:val="en-US"/>
              </w:rPr>
              <w:t>I found strengths-based practice useful</w:t>
            </w:r>
            <w:r w:rsidR="00B310C5">
              <w:rPr>
                <w:rStyle w:val="normaltextrun"/>
                <w:rFonts w:asciiTheme="minorHAnsi" w:hAnsiTheme="minorHAnsi"/>
                <w:sz w:val="22"/>
                <w:szCs w:val="22"/>
                <w:shd w:val="clear" w:color="auto" w:fill="FFFFFF"/>
                <w:lang w:val="en-US"/>
              </w:rPr>
              <w:t xml:space="preserve"> </w:t>
            </w:r>
            <w:r w:rsidR="00706DCC">
              <w:rPr>
                <w:rStyle w:val="normaltextrun"/>
                <w:rFonts w:asciiTheme="minorHAnsi" w:hAnsiTheme="minorHAnsi"/>
                <w:sz w:val="22"/>
                <w:szCs w:val="22"/>
                <w:shd w:val="clear" w:color="auto" w:fill="FFFFFF"/>
                <w:lang w:val="en-US"/>
              </w:rPr>
              <w:t>here</w:t>
            </w:r>
            <w:r w:rsidRPr="006D6B13">
              <w:rPr>
                <w:rStyle w:val="normaltextrun"/>
                <w:rFonts w:asciiTheme="minorHAnsi" w:hAnsiTheme="minorHAnsi"/>
                <w:sz w:val="22"/>
                <w:szCs w:val="22"/>
                <w:shd w:val="clear" w:color="auto" w:fill="FFFFFF"/>
                <w:lang w:val="en-US"/>
              </w:rPr>
              <w:t xml:space="preserve">. </w:t>
            </w:r>
            <w:r w:rsidR="00C4047E">
              <w:rPr>
                <w:rStyle w:val="normaltextrun"/>
                <w:rFonts w:asciiTheme="minorHAnsi" w:hAnsiTheme="minorHAnsi"/>
                <w:sz w:val="22"/>
                <w:szCs w:val="22"/>
                <w:shd w:val="clear" w:color="auto" w:fill="FFFFFF"/>
                <w:lang w:val="en-US"/>
              </w:rPr>
              <w:t xml:space="preserve">Had I concentrated on the </w:t>
            </w:r>
            <w:r w:rsidR="004E6A8B">
              <w:rPr>
                <w:rStyle w:val="normaltextrun"/>
                <w:rFonts w:asciiTheme="minorHAnsi" w:hAnsiTheme="minorHAnsi"/>
                <w:sz w:val="22"/>
                <w:szCs w:val="22"/>
                <w:shd w:val="clear" w:color="auto" w:fill="FFFFFF"/>
                <w:lang w:val="en-US"/>
              </w:rPr>
              <w:t>rosks and barriers</w:t>
            </w:r>
            <w:r w:rsidRPr="006D6B13">
              <w:rPr>
                <w:rStyle w:val="normaltextrun"/>
                <w:rFonts w:asciiTheme="minorHAnsi" w:hAnsiTheme="minorHAnsi"/>
                <w:sz w:val="22"/>
                <w:szCs w:val="22"/>
                <w:shd w:val="clear" w:color="auto" w:fill="FFFFFF"/>
                <w:lang w:val="en-US"/>
              </w:rPr>
              <w:t xml:space="preserve"> there was </w:t>
            </w:r>
            <w:r w:rsidR="004E6A8B">
              <w:rPr>
                <w:rStyle w:val="normaltextrun"/>
                <w:rFonts w:asciiTheme="minorHAnsi" w:hAnsiTheme="minorHAnsi"/>
                <w:sz w:val="22"/>
                <w:szCs w:val="22"/>
                <w:shd w:val="clear" w:color="auto" w:fill="FFFFFF"/>
                <w:lang w:val="en-US"/>
              </w:rPr>
              <w:t>potential</w:t>
            </w:r>
            <w:r w:rsidRPr="006D6B13">
              <w:rPr>
                <w:rStyle w:val="normaltextrun"/>
                <w:rFonts w:asciiTheme="minorHAnsi" w:hAnsiTheme="minorHAnsi"/>
                <w:sz w:val="22"/>
                <w:szCs w:val="22"/>
                <w:shd w:val="clear" w:color="auto" w:fill="FFFFFF"/>
                <w:lang w:val="en-US"/>
              </w:rPr>
              <w:t xml:space="preserve"> that Service User 2's age, physical frailty and care needs would have overshadowed her resilience, autonomy and existing support networks. The theory enabled me to view her as an active participant in assessment rather than a passive recipient of protection, </w:t>
            </w:r>
            <w:r w:rsidR="00271848">
              <w:rPr>
                <w:rStyle w:val="normaltextrun"/>
                <w:rFonts w:asciiTheme="minorHAnsi" w:hAnsiTheme="minorHAnsi"/>
                <w:sz w:val="22"/>
                <w:szCs w:val="22"/>
                <w:shd w:val="clear" w:color="auto" w:fill="FFFFFF"/>
                <w:lang w:val="en-US"/>
              </w:rPr>
              <w:t>following</w:t>
            </w:r>
            <w:r w:rsidRPr="006D6B13">
              <w:rPr>
                <w:rStyle w:val="normaltextrun"/>
                <w:rFonts w:asciiTheme="minorHAnsi" w:hAnsiTheme="minorHAnsi"/>
                <w:sz w:val="22"/>
                <w:szCs w:val="22"/>
                <w:shd w:val="clear" w:color="auto" w:fill="FFFFFF"/>
                <w:lang w:val="en-US"/>
              </w:rPr>
              <w:t xml:space="preserve"> the principles of voice and control embedded within the Social Services and Well-being (Wales) Act 2014.</w:t>
            </w:r>
            <w:r w:rsidRPr="006D6B13">
              <w:rPr>
                <w:rStyle w:val="scxw100304283"/>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Pr="006D6B13">
              <w:rPr>
                <w:rStyle w:val="scxw100304283"/>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Pr="006D6B13">
              <w:rPr>
                <w:rStyle w:val="normaltextrun"/>
                <w:rFonts w:asciiTheme="minorHAnsi" w:hAnsiTheme="minorHAnsi"/>
                <w:sz w:val="22"/>
                <w:szCs w:val="22"/>
                <w:shd w:val="clear" w:color="auto" w:fill="FFFFFF"/>
                <w:lang w:val="en-US"/>
              </w:rPr>
              <w:t>However</w:t>
            </w:r>
            <w:r w:rsidR="00D2700E">
              <w:rPr>
                <w:rStyle w:val="normaltextrun"/>
                <w:rFonts w:asciiTheme="minorHAnsi" w:hAnsiTheme="minorHAnsi"/>
                <w:sz w:val="22"/>
                <w:szCs w:val="22"/>
                <w:shd w:val="clear" w:color="auto" w:fill="FFFFFF"/>
                <w:lang w:val="en-US"/>
              </w:rPr>
              <w:t xml:space="preserve"> </w:t>
            </w:r>
            <w:r w:rsidRPr="006D6B13">
              <w:rPr>
                <w:rStyle w:val="normaltextrun"/>
                <w:rFonts w:asciiTheme="minorHAnsi" w:hAnsiTheme="minorHAnsi"/>
                <w:sz w:val="22"/>
                <w:szCs w:val="22"/>
                <w:shd w:val="clear" w:color="auto" w:fill="FFFFFF"/>
                <w:lang w:val="en-US"/>
              </w:rPr>
              <w:t>strengths-based practice is not without limitations. Gray (2011) argues that an excessive emphasis on strengths can unintentionally minimise genuine risks. In this case, there remained legitimate concerns regarding cannabis use within the home and the possibility of exploitation. Had I focused upon strengths, I may have underestimated potential safeguarding concerns or accepted reassurance too quickly. I found strengths-based practice most effective when balanced alongside risk assessmen</w:t>
            </w:r>
            <w:r w:rsidR="0010112B">
              <w:rPr>
                <w:rStyle w:val="normaltextrun"/>
                <w:rFonts w:asciiTheme="minorHAnsi" w:hAnsiTheme="minorHAnsi"/>
                <w:sz w:val="22"/>
                <w:szCs w:val="22"/>
                <w:shd w:val="clear" w:color="auto" w:fill="FFFFFF"/>
                <w:lang w:val="en-US"/>
              </w:rPr>
              <w:t>t as</w:t>
            </w:r>
            <w:r w:rsidRPr="006D6B13">
              <w:rPr>
                <w:rStyle w:val="normaltextrun"/>
                <w:rFonts w:asciiTheme="minorHAnsi" w:hAnsiTheme="minorHAnsi"/>
                <w:sz w:val="22"/>
                <w:szCs w:val="22"/>
                <w:shd w:val="clear" w:color="auto" w:fill="FFFFFF"/>
                <w:lang w:val="en-US"/>
              </w:rPr>
              <w:t xml:space="preserve"> it provided a framework through which strengths and vulnerabilities could be explored simultaneously.</w:t>
            </w:r>
            <w:r w:rsidRPr="006D6B13">
              <w:rPr>
                <w:rStyle w:val="scxw100304283"/>
                <w:rFonts w:asciiTheme="minorHAnsi" w:hAnsiTheme="minorHAnsi"/>
                <w:sz w:val="22"/>
                <w:szCs w:val="22"/>
                <w:shd w:val="clear" w:color="auto" w:fill="FFFFFF"/>
              </w:rPr>
              <w:t> </w:t>
            </w:r>
            <w:r w:rsidR="00376D1A">
              <w:rPr>
                <w:rStyle w:val="scxw100304283"/>
                <w:rFonts w:asciiTheme="minorHAnsi" w:hAnsiTheme="minorHAnsi"/>
                <w:sz w:val="22"/>
                <w:szCs w:val="22"/>
                <w:shd w:val="clear" w:color="auto" w:fill="FFFFFF"/>
              </w:rPr>
              <w:t xml:space="preserve">Writing the risk assessment collaboratively </w:t>
            </w:r>
            <w:r w:rsidR="00FC269E">
              <w:rPr>
                <w:rStyle w:val="scxw100304283"/>
                <w:rFonts w:asciiTheme="minorHAnsi" w:hAnsiTheme="minorHAnsi"/>
                <w:sz w:val="22"/>
                <w:szCs w:val="22"/>
                <w:shd w:val="clear" w:color="auto" w:fill="FFFFFF"/>
              </w:rPr>
              <w:t xml:space="preserve">with </w:t>
            </w:r>
            <w:r w:rsidR="0061526C">
              <w:rPr>
                <w:rStyle w:val="scxw100304283"/>
                <w:rFonts w:asciiTheme="minorHAnsi" w:hAnsiTheme="minorHAnsi"/>
                <w:sz w:val="22"/>
                <w:szCs w:val="22"/>
                <w:shd w:val="clear" w:color="auto" w:fill="FFFFFF"/>
              </w:rPr>
              <w:t xml:space="preserve">Service User 2, highlighting the strengths supported in her engagement and coproduction in the assessment, further adding her in making informed decisions. </w:t>
            </w:r>
            <w:r w:rsidRPr="006D6B13">
              <w:rPr>
                <w:rFonts w:asciiTheme="minorHAnsi" w:hAnsiTheme="minorHAnsi"/>
                <w:sz w:val="22"/>
                <w:szCs w:val="22"/>
                <w:shd w:val="clear" w:color="auto" w:fill="FFFFFF"/>
              </w:rPr>
              <w:br/>
            </w:r>
            <w:r w:rsidRPr="006D6B13">
              <w:rPr>
                <w:rStyle w:val="scxw100304283"/>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Pr="006D6B13">
              <w:rPr>
                <w:rStyle w:val="normaltextrun"/>
                <w:rFonts w:asciiTheme="minorHAnsi" w:hAnsiTheme="minorHAnsi"/>
                <w:sz w:val="22"/>
                <w:szCs w:val="22"/>
                <w:shd w:val="clear" w:color="auto" w:fill="FFFFFF"/>
              </w:rPr>
              <w:t xml:space="preserve">At the same time, risk factors were carefully examined. Service User 2's mobility difficulties and hearing impairment potentially reduced her ability to monitor activities within the home and increased vulnerability to abuse or exploitation. However, safeguarding requires practitioners to balance risk against an individual's rights and wishes. Kemshall (2010) argues that risk assessment is not solely about identifying danger but involves balancing protection with empowerment, independence and human rights. This was </w:t>
            </w:r>
            <w:r w:rsidR="00E63F63">
              <w:rPr>
                <w:rStyle w:val="normaltextrun"/>
                <w:rFonts w:asciiTheme="minorHAnsi" w:hAnsiTheme="minorHAnsi"/>
                <w:sz w:val="22"/>
                <w:szCs w:val="22"/>
                <w:shd w:val="clear" w:color="auto" w:fill="FFFFFF"/>
              </w:rPr>
              <w:t>importan</w:t>
            </w:r>
            <w:r w:rsidRPr="006D6B13">
              <w:rPr>
                <w:rStyle w:val="normaltextrun"/>
                <w:rFonts w:asciiTheme="minorHAnsi" w:hAnsiTheme="minorHAnsi"/>
                <w:sz w:val="22"/>
                <w:szCs w:val="22"/>
                <w:shd w:val="clear" w:color="auto" w:fill="FFFFFF"/>
              </w:rPr>
              <w:t xml:space="preserve">t given that Service User 2 </w:t>
            </w:r>
            <w:r w:rsidR="000A5DA0">
              <w:rPr>
                <w:rStyle w:val="normaltextrun"/>
                <w:rFonts w:asciiTheme="minorHAnsi" w:hAnsiTheme="minorHAnsi"/>
                <w:sz w:val="22"/>
                <w:szCs w:val="22"/>
                <w:shd w:val="clear" w:color="auto" w:fill="FFFFFF"/>
              </w:rPr>
              <w:t>wish for</w:t>
            </w:r>
            <w:r w:rsidRPr="006D6B13">
              <w:rPr>
                <w:rStyle w:val="normaltextrun"/>
                <w:rFonts w:asciiTheme="minorHAnsi" w:hAnsiTheme="minorHAnsi"/>
                <w:sz w:val="22"/>
                <w:szCs w:val="22"/>
                <w:shd w:val="clear" w:color="auto" w:fill="FFFFFF"/>
              </w:rPr>
              <w:t xml:space="preserve"> Family Member 4 to remain living at the property.</w:t>
            </w:r>
          </w:p>
          <w:p w14:paraId="560BAB6D" w14:textId="76E581F0"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The Human Rights Act 1998 informed decision-making throughout the assessment. Article 8 provides a right to respect for private and family life, home and correspondence. Service User 2 viewed Family Member 4 as an important source of companionship following the death of her daughter. Intervening to remove him from the property without sufficient evidence of risk </w:t>
            </w:r>
            <w:r w:rsidR="00AA666D">
              <w:rPr>
                <w:rFonts w:asciiTheme="minorHAnsi" w:hAnsiTheme="minorHAnsi" w:cstheme="minorHAnsi"/>
                <w:color w:val="auto"/>
                <w:sz w:val="22"/>
                <w:szCs w:val="22"/>
              </w:rPr>
              <w:t>c</w:t>
            </w:r>
            <w:r w:rsidRPr="006D6B13">
              <w:rPr>
                <w:rFonts w:asciiTheme="minorHAnsi" w:hAnsiTheme="minorHAnsi" w:cstheme="minorHAnsi"/>
                <w:color w:val="auto"/>
                <w:sz w:val="22"/>
                <w:szCs w:val="22"/>
              </w:rPr>
              <w:t xml:space="preserve">ould potentially interfere with both individuals' rights to family life. </w:t>
            </w:r>
            <w:r w:rsidR="008D3566">
              <w:rPr>
                <w:rFonts w:asciiTheme="minorHAnsi" w:hAnsiTheme="minorHAnsi" w:cstheme="minorHAnsi"/>
                <w:color w:val="auto"/>
                <w:sz w:val="22"/>
                <w:szCs w:val="22"/>
              </w:rPr>
              <w:t>A</w:t>
            </w:r>
            <w:r w:rsidRPr="006D6B13">
              <w:rPr>
                <w:rFonts w:asciiTheme="minorHAnsi" w:hAnsiTheme="minorHAnsi" w:cstheme="minorHAnsi"/>
                <w:color w:val="auto"/>
                <w:sz w:val="22"/>
                <w:szCs w:val="22"/>
              </w:rPr>
              <w:t>ny safeguarding response needed to be proportionate and justified by clear evidence</w:t>
            </w:r>
            <w:r w:rsidR="00F012C6">
              <w:rPr>
                <w:rFonts w:asciiTheme="minorHAnsi" w:hAnsiTheme="minorHAnsi" w:cstheme="minorHAnsi"/>
                <w:color w:val="auto"/>
                <w:sz w:val="22"/>
                <w:szCs w:val="22"/>
              </w:rPr>
              <w:t xml:space="preserve"> of risk</w:t>
            </w:r>
            <w:r w:rsidRPr="006D6B13">
              <w:rPr>
                <w:rFonts w:asciiTheme="minorHAnsi" w:hAnsiTheme="minorHAnsi" w:cstheme="minorHAnsi"/>
                <w:color w:val="auto"/>
                <w:sz w:val="22"/>
                <w:szCs w:val="22"/>
              </w:rPr>
              <w:t>.</w:t>
            </w:r>
          </w:p>
          <w:p w14:paraId="18BC5EB3" w14:textId="7289E72C"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The Mental Capacity Act 2005 also informed my decision making. During conversations, Service User 2 demonstrated an understanding of the concerns raised, retained relevant information, weighed potential risks and communicated her decisions clearly. She was able to discuss financial arrangements, explain household routines and express views regarding where Family Member 4's will continue to live. In accordance with the principles of the Act, </w:t>
            </w:r>
            <w:r w:rsidR="00B37DBC">
              <w:rPr>
                <w:rFonts w:asciiTheme="minorHAnsi" w:hAnsiTheme="minorHAnsi" w:cstheme="minorHAnsi"/>
                <w:color w:val="auto"/>
                <w:sz w:val="22"/>
                <w:szCs w:val="22"/>
              </w:rPr>
              <w:t>I had</w:t>
            </w:r>
            <w:r w:rsidRPr="006D6B13">
              <w:rPr>
                <w:rFonts w:asciiTheme="minorHAnsi" w:hAnsiTheme="minorHAnsi" w:cstheme="minorHAnsi"/>
                <w:color w:val="auto"/>
                <w:sz w:val="22"/>
                <w:szCs w:val="22"/>
              </w:rPr>
              <w:t xml:space="preserve"> no basis to challenge her capacity. Respecting autonomy is fundamental within social work practice, and an adult with capacity she has the right to make decisions that others may consider unwise. This</w:t>
            </w:r>
            <w:r w:rsidR="005C4F5B">
              <w:rPr>
                <w:rFonts w:asciiTheme="minorHAnsi" w:hAnsiTheme="minorHAnsi" w:cstheme="minorHAnsi"/>
                <w:color w:val="auto"/>
                <w:sz w:val="22"/>
                <w:szCs w:val="22"/>
              </w:rPr>
              <w:t xml:space="preserve"> can</w:t>
            </w:r>
            <w:r w:rsidRPr="006D6B13">
              <w:rPr>
                <w:rFonts w:asciiTheme="minorHAnsi" w:hAnsiTheme="minorHAnsi" w:cstheme="minorHAnsi"/>
                <w:color w:val="auto"/>
                <w:sz w:val="22"/>
                <w:szCs w:val="22"/>
              </w:rPr>
              <w:t xml:space="preserve"> create  tension between </w:t>
            </w:r>
            <w:r w:rsidR="005C4F5B">
              <w:rPr>
                <w:rFonts w:asciiTheme="minorHAnsi" w:hAnsiTheme="minorHAnsi" w:cstheme="minorHAnsi"/>
                <w:color w:val="auto"/>
                <w:sz w:val="22"/>
                <w:szCs w:val="22"/>
              </w:rPr>
              <w:t>reducing risk</w:t>
            </w:r>
            <w:r w:rsidRPr="006D6B13">
              <w:rPr>
                <w:rFonts w:asciiTheme="minorHAnsi" w:hAnsiTheme="minorHAnsi" w:cstheme="minorHAnsi"/>
                <w:color w:val="auto"/>
                <w:sz w:val="22"/>
                <w:szCs w:val="22"/>
              </w:rPr>
              <w:t xml:space="preserve"> and </w:t>
            </w:r>
            <w:r w:rsidR="005C4F5B">
              <w:rPr>
                <w:rFonts w:asciiTheme="minorHAnsi" w:hAnsiTheme="minorHAnsi" w:cstheme="minorHAnsi"/>
                <w:color w:val="auto"/>
                <w:sz w:val="22"/>
                <w:szCs w:val="22"/>
              </w:rPr>
              <w:t>a</w:t>
            </w:r>
            <w:r w:rsidR="00197A41">
              <w:rPr>
                <w:rFonts w:asciiTheme="minorHAnsi" w:hAnsiTheme="minorHAnsi" w:cstheme="minorHAnsi"/>
                <w:color w:val="auto"/>
                <w:sz w:val="22"/>
                <w:szCs w:val="22"/>
              </w:rPr>
              <w:t>utonomy</w:t>
            </w:r>
            <w:r w:rsidRPr="006D6B13">
              <w:rPr>
                <w:rFonts w:asciiTheme="minorHAnsi" w:hAnsiTheme="minorHAnsi" w:cstheme="minorHAnsi"/>
                <w:color w:val="auto"/>
                <w:sz w:val="22"/>
                <w:szCs w:val="22"/>
              </w:rPr>
              <w:t xml:space="preserve"> that requir</w:t>
            </w:r>
            <w:r w:rsidR="00CF6EA2">
              <w:rPr>
                <w:rFonts w:asciiTheme="minorHAnsi" w:hAnsiTheme="minorHAnsi" w:cstheme="minorHAnsi"/>
                <w:color w:val="auto"/>
                <w:sz w:val="22"/>
                <w:szCs w:val="22"/>
              </w:rPr>
              <w:t xml:space="preserve">es </w:t>
            </w:r>
            <w:r w:rsidRPr="006D6B13">
              <w:rPr>
                <w:rFonts w:asciiTheme="minorHAnsi" w:hAnsiTheme="minorHAnsi" w:cstheme="minorHAnsi"/>
                <w:color w:val="auto"/>
                <w:sz w:val="22"/>
                <w:szCs w:val="22"/>
              </w:rPr>
              <w:t>careful professional judgement.</w:t>
            </w:r>
          </w:p>
          <w:p w14:paraId="0D89B44D" w14:textId="38B71939"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A second visit was undertaken independently to complete a formal risk assessment. Service User 2 was alone in the property and consented to me viewing the upstairs areas. While I noted a faint smell of cannabis near Family Member 4's bedroom, there was no evidence of active drug use</w:t>
            </w:r>
            <w:r w:rsidR="00A21DFE">
              <w:rPr>
                <w:rFonts w:asciiTheme="minorHAnsi" w:hAnsiTheme="minorHAnsi" w:cstheme="minorHAnsi"/>
                <w:color w:val="auto"/>
                <w:sz w:val="22"/>
                <w:szCs w:val="22"/>
              </w:rPr>
              <w:t xml:space="preserve"> within the home</w:t>
            </w:r>
            <w:r w:rsidRPr="006D6B13">
              <w:rPr>
                <w:rFonts w:asciiTheme="minorHAnsi" w:hAnsiTheme="minorHAnsi" w:cstheme="minorHAnsi"/>
                <w:color w:val="auto"/>
                <w:sz w:val="22"/>
                <w:szCs w:val="22"/>
              </w:rPr>
              <w:t xml:space="preserve">. This required </w:t>
            </w:r>
            <w:r w:rsidRPr="006D6B13">
              <w:rPr>
                <w:rFonts w:asciiTheme="minorHAnsi" w:hAnsiTheme="minorHAnsi" w:cstheme="minorHAnsi"/>
                <w:color w:val="auto"/>
                <w:sz w:val="22"/>
                <w:szCs w:val="22"/>
              </w:rPr>
              <w:lastRenderedPageBreak/>
              <w:t>careful interpretation. Taylor (2017) states that professional judgement involves making decisions "in situations of uncertainty where competing values and risks exist." The smell of cannabis increased concern, but it did not constitute evidence that Service User 2 was experiencing abuse, neglect or exploitation</w:t>
            </w:r>
            <w:r w:rsidR="00A21DFE">
              <w:rPr>
                <w:rFonts w:asciiTheme="minorHAnsi" w:hAnsiTheme="minorHAnsi" w:cstheme="minorHAnsi"/>
                <w:color w:val="auto"/>
                <w:sz w:val="22"/>
                <w:szCs w:val="22"/>
              </w:rPr>
              <w:t xml:space="preserve">, or provide evidence that the </w:t>
            </w:r>
            <w:r w:rsidR="003C1770">
              <w:rPr>
                <w:rFonts w:asciiTheme="minorHAnsi" w:hAnsiTheme="minorHAnsi" w:cstheme="minorHAnsi"/>
                <w:color w:val="auto"/>
                <w:sz w:val="22"/>
                <w:szCs w:val="22"/>
              </w:rPr>
              <w:t>cannabis</w:t>
            </w:r>
            <w:r w:rsidR="00A21DFE">
              <w:rPr>
                <w:rFonts w:asciiTheme="minorHAnsi" w:hAnsiTheme="minorHAnsi" w:cstheme="minorHAnsi"/>
                <w:color w:val="auto"/>
                <w:sz w:val="22"/>
                <w:szCs w:val="22"/>
              </w:rPr>
              <w:t xml:space="preserve"> is being smoked within the property</w:t>
            </w:r>
            <w:r w:rsidRPr="006D6B13">
              <w:rPr>
                <w:rFonts w:asciiTheme="minorHAnsi" w:hAnsiTheme="minorHAnsi" w:cstheme="minorHAnsi"/>
                <w:color w:val="auto"/>
                <w:sz w:val="22"/>
                <w:szCs w:val="22"/>
              </w:rPr>
              <w:t xml:space="preserve">. Reflective </w:t>
            </w:r>
            <w:r w:rsidR="00CA1F80">
              <w:rPr>
                <w:rFonts w:asciiTheme="minorHAnsi" w:hAnsiTheme="minorHAnsi" w:cstheme="minorHAnsi"/>
                <w:color w:val="auto"/>
                <w:sz w:val="22"/>
                <w:szCs w:val="22"/>
              </w:rPr>
              <w:t xml:space="preserve">allowed to step back </w:t>
            </w:r>
            <w:r w:rsidR="00997D7B">
              <w:rPr>
                <w:rFonts w:asciiTheme="minorHAnsi" w:hAnsiTheme="minorHAnsi" w:cstheme="minorHAnsi"/>
                <w:color w:val="auto"/>
                <w:sz w:val="22"/>
                <w:szCs w:val="22"/>
              </w:rPr>
              <w:t>to annualise the situation rather than reacting to the situation</w:t>
            </w:r>
            <w:r w:rsidRPr="006D6B13">
              <w:rPr>
                <w:rFonts w:asciiTheme="minorHAnsi" w:hAnsiTheme="minorHAnsi" w:cstheme="minorHAnsi"/>
                <w:color w:val="auto"/>
                <w:sz w:val="22"/>
                <w:szCs w:val="22"/>
              </w:rPr>
              <w:t>.</w:t>
            </w:r>
          </w:p>
          <w:p w14:paraId="76D69515" w14:textId="2EC8A3F8" w:rsidR="00FE56A8" w:rsidRPr="007A68F2" w:rsidRDefault="00FE56A8" w:rsidP="00FE56A8">
            <w:pPr>
              <w:overflowPunct/>
              <w:autoSpaceDE/>
              <w:autoSpaceDN/>
              <w:adjustRightInd/>
              <w:spacing w:line="300" w:lineRule="atLeast"/>
              <w:textAlignment w:val="auto"/>
              <w:rPr>
                <w:rFonts w:ascii="Segoe UI" w:hAnsi="Segoe UI" w:cs="Segoe UI"/>
                <w:color w:val="auto"/>
                <w:sz w:val="21"/>
                <w:szCs w:val="21"/>
              </w:rPr>
            </w:pPr>
            <w:r w:rsidRPr="006D6B13">
              <w:rPr>
                <w:rStyle w:val="normaltextrun"/>
                <w:rFonts w:asciiTheme="minorHAnsi" w:hAnsiTheme="minorHAnsi"/>
                <w:sz w:val="22"/>
                <w:szCs w:val="22"/>
                <w:bdr w:val="none" w:sz="0" w:space="0" w:color="auto" w:frame="1"/>
                <w:lang w:val="en-US"/>
              </w:rPr>
              <w:t xml:space="preserve">Systems Theory informed my understanding of the situation by encouraging consideration of the wider environmental factors </w:t>
            </w:r>
            <w:r w:rsidR="00D97FFB">
              <w:rPr>
                <w:rStyle w:val="normaltextrun"/>
                <w:rFonts w:asciiTheme="minorHAnsi" w:hAnsiTheme="minorHAnsi"/>
                <w:sz w:val="22"/>
                <w:szCs w:val="22"/>
                <w:bdr w:val="none" w:sz="0" w:space="0" w:color="auto" w:frame="1"/>
                <w:lang w:val="en-US"/>
              </w:rPr>
              <w:t>surrounding the family</w:t>
            </w:r>
            <w:r w:rsidRPr="006D6B13">
              <w:rPr>
                <w:rStyle w:val="normaltextrun"/>
                <w:rFonts w:asciiTheme="minorHAnsi" w:hAnsiTheme="minorHAnsi"/>
                <w:sz w:val="22"/>
                <w:szCs w:val="22"/>
                <w:bdr w:val="none" w:sz="0" w:space="0" w:color="auto" w:frame="1"/>
                <w:lang w:val="en-US"/>
              </w:rPr>
              <w:t xml:space="preserve"> the circumstances. Rather than viewing Family Member 4's presence in the home as an isolated safeguarding concern, the theory highlighted how the sudden death of Family Member 3 had disrupted the family system and altered established roles and relationships</w:t>
            </w:r>
            <w:r w:rsidRPr="006D6B13">
              <w:rPr>
                <w:rFonts w:asciiTheme="minorHAnsi" w:hAnsiTheme="minorHAnsi" w:cstheme="minorHAnsi"/>
                <w:color w:val="auto"/>
                <w:sz w:val="22"/>
                <w:szCs w:val="22"/>
              </w:rPr>
              <w:t xml:space="preserve">. Understanding these interacting systems prevented an simplistic </w:t>
            </w:r>
            <w:r w:rsidRPr="007A68F2">
              <w:rPr>
                <w:rFonts w:asciiTheme="minorHAnsi" w:hAnsiTheme="minorHAnsi" w:cstheme="minorHAnsi"/>
                <w:color w:val="auto"/>
                <w:sz w:val="22"/>
                <w:szCs w:val="22"/>
              </w:rPr>
              <w:t>interpretation of events and encouraged consideration of the</w:t>
            </w:r>
            <w:r w:rsidR="00F6294C">
              <w:rPr>
                <w:rFonts w:asciiTheme="minorHAnsi" w:hAnsiTheme="minorHAnsi" w:cstheme="minorHAnsi"/>
                <w:color w:val="auto"/>
                <w:sz w:val="22"/>
                <w:szCs w:val="22"/>
              </w:rPr>
              <w:t xml:space="preserve"> </w:t>
            </w:r>
            <w:r w:rsidRPr="007A68F2">
              <w:rPr>
                <w:rFonts w:asciiTheme="minorHAnsi" w:hAnsiTheme="minorHAnsi" w:cstheme="minorHAnsi"/>
                <w:color w:val="auto"/>
                <w:sz w:val="22"/>
                <w:szCs w:val="22"/>
              </w:rPr>
              <w:t xml:space="preserve">social and emotional context influencing behaviour. </w:t>
            </w:r>
            <w:r w:rsidRPr="007A68F2">
              <w:rPr>
                <w:rFonts w:asciiTheme="minorHAnsi" w:hAnsiTheme="minorHAnsi" w:cs="Segoe UI"/>
                <w:color w:val="auto"/>
                <w:sz w:val="22"/>
                <w:szCs w:val="22"/>
              </w:rPr>
              <w:t xml:space="preserve">Payne (2020) argues that Systems Theory enables practitioners to understand how individuals are influenced by </w:t>
            </w:r>
            <w:r w:rsidR="00391992">
              <w:rPr>
                <w:rFonts w:asciiTheme="minorHAnsi" w:hAnsiTheme="minorHAnsi" w:cs="Segoe UI"/>
                <w:color w:val="auto"/>
                <w:sz w:val="22"/>
                <w:szCs w:val="22"/>
              </w:rPr>
              <w:t xml:space="preserve">wider </w:t>
            </w:r>
            <w:r w:rsidRPr="007A68F2">
              <w:rPr>
                <w:rFonts w:asciiTheme="minorHAnsi" w:hAnsiTheme="minorHAnsi" w:cs="Segoe UI"/>
                <w:color w:val="auto"/>
                <w:sz w:val="22"/>
                <w:szCs w:val="22"/>
              </w:rPr>
              <w:t>social systems, relationships and environments.</w:t>
            </w:r>
          </w:p>
          <w:p w14:paraId="21223FCA" w14:textId="6725DF79"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Theories of grief and loss were also relevant. Worden (2018) suggests that bereavement can significantly influence coping mechanisms, emotional regulation and behaviour. While cannabis use cannot be condoned, it was important to recognise that Family Member 4 had experienced a traumatic loss. Trauma-informed practice encourages social workers to consider "what has happened to a person" rather than merely "what is wrong with them." Reflecting on the case, this perspective helped maintain a balanced and empathetic approach while still addressing safeguarding concerns.</w:t>
            </w:r>
            <w:r w:rsidR="00641515">
              <w:rPr>
                <w:rFonts w:asciiTheme="minorHAnsi" w:hAnsiTheme="minorHAnsi" w:cstheme="minorHAnsi"/>
                <w:color w:val="auto"/>
                <w:sz w:val="22"/>
                <w:szCs w:val="22"/>
              </w:rPr>
              <w:t xml:space="preserve"> Information was provided on how to access </w:t>
            </w:r>
            <w:r w:rsidR="00716585">
              <w:rPr>
                <w:rFonts w:asciiTheme="minorHAnsi" w:hAnsiTheme="minorHAnsi" w:cstheme="minorHAnsi"/>
                <w:color w:val="auto"/>
                <w:sz w:val="22"/>
                <w:szCs w:val="22"/>
              </w:rPr>
              <w:t>bereavement</w:t>
            </w:r>
            <w:r w:rsidR="00641515">
              <w:rPr>
                <w:rFonts w:asciiTheme="minorHAnsi" w:hAnsiTheme="minorHAnsi" w:cstheme="minorHAnsi"/>
                <w:color w:val="auto"/>
                <w:sz w:val="22"/>
                <w:szCs w:val="22"/>
              </w:rPr>
              <w:t xml:space="preserve"> support for all the </w:t>
            </w:r>
            <w:r w:rsidR="00716585">
              <w:rPr>
                <w:rFonts w:asciiTheme="minorHAnsi" w:hAnsiTheme="minorHAnsi" w:cstheme="minorHAnsi"/>
                <w:color w:val="auto"/>
                <w:sz w:val="22"/>
                <w:szCs w:val="22"/>
              </w:rPr>
              <w:t>family</w:t>
            </w:r>
            <w:r w:rsidR="00641515">
              <w:rPr>
                <w:rFonts w:asciiTheme="minorHAnsi" w:hAnsiTheme="minorHAnsi" w:cstheme="minorHAnsi"/>
                <w:color w:val="auto"/>
                <w:sz w:val="22"/>
                <w:szCs w:val="22"/>
              </w:rPr>
              <w:t xml:space="preserve"> should they </w:t>
            </w:r>
            <w:r w:rsidR="00716585">
              <w:rPr>
                <w:rFonts w:asciiTheme="minorHAnsi" w:hAnsiTheme="minorHAnsi" w:cstheme="minorHAnsi"/>
                <w:color w:val="auto"/>
                <w:sz w:val="22"/>
                <w:szCs w:val="22"/>
              </w:rPr>
              <w:t xml:space="preserve">feel it was required. </w:t>
            </w:r>
          </w:p>
          <w:p w14:paraId="39F5F748" w14:textId="1971A11F"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Segoe UI"/>
                <w:color w:val="auto"/>
                <w:sz w:val="22"/>
                <w:szCs w:val="22"/>
              </w:rPr>
            </w:pPr>
            <w:r w:rsidRPr="006D6B13">
              <w:rPr>
                <w:rFonts w:asciiTheme="minorHAnsi" w:hAnsiTheme="minorHAnsi" w:cs="Segoe UI"/>
                <w:color w:val="auto"/>
                <w:sz w:val="22"/>
                <w:szCs w:val="22"/>
              </w:rPr>
              <w:t xml:space="preserve">Critically reflecting upon the use of theory throughout the assessment, I found Systems Theory helpful because it encouraged me </w:t>
            </w:r>
            <w:r w:rsidR="00C16146">
              <w:rPr>
                <w:rFonts w:asciiTheme="minorHAnsi" w:hAnsiTheme="minorHAnsi" w:cs="Segoe UI"/>
                <w:color w:val="auto"/>
                <w:sz w:val="22"/>
                <w:szCs w:val="22"/>
              </w:rPr>
              <w:t>to not just focus on</w:t>
            </w:r>
            <w:r w:rsidRPr="006D6B13">
              <w:rPr>
                <w:rFonts w:asciiTheme="minorHAnsi" w:hAnsiTheme="minorHAnsi" w:cs="Segoe UI"/>
                <w:color w:val="auto"/>
                <w:sz w:val="22"/>
                <w:szCs w:val="22"/>
              </w:rPr>
              <w:t xml:space="preserve"> the safeguarding referral and consider wider family dynamics. Without this perspective, there was a risk that Family Member 4 would have been viewed solely as </w:t>
            </w:r>
            <w:r w:rsidR="007A7476">
              <w:rPr>
                <w:rFonts w:asciiTheme="minorHAnsi" w:hAnsiTheme="minorHAnsi" w:cs="Segoe UI"/>
                <w:color w:val="auto"/>
                <w:sz w:val="22"/>
                <w:szCs w:val="22"/>
              </w:rPr>
              <w:t>problem and not an important part of the support system</w:t>
            </w:r>
            <w:r w:rsidRPr="006D6B13">
              <w:rPr>
                <w:rFonts w:asciiTheme="minorHAnsi" w:hAnsiTheme="minorHAnsi" w:cs="Segoe UI"/>
                <w:color w:val="auto"/>
                <w:sz w:val="22"/>
                <w:szCs w:val="22"/>
              </w:rPr>
              <w:t>. Instead, the theory highlighted the impact of bereavement upon the family system and helped me understand how the death of Family Member 3 had altered roles, relationships and support networks.</w:t>
            </w:r>
          </w:p>
          <w:p w14:paraId="2C1C6943" w14:textId="5674D89D"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Segoe UI"/>
                <w:color w:val="auto"/>
                <w:sz w:val="22"/>
                <w:szCs w:val="22"/>
              </w:rPr>
            </w:pPr>
            <w:r w:rsidRPr="006D6B13">
              <w:rPr>
                <w:rFonts w:asciiTheme="minorHAnsi" w:hAnsiTheme="minorHAnsi" w:cs="Segoe UI"/>
                <w:color w:val="auto"/>
                <w:sz w:val="22"/>
                <w:szCs w:val="22"/>
              </w:rPr>
              <w:t>I also recognised limitations within Systems Theory. Whilst it provided a useful framework for understanding relationships, it offered less guidance regarding power imbalances and wider social factors influencing behaviour. For example, the theory did not fully explain how soci</w:t>
            </w:r>
            <w:r w:rsidR="004B0E6D">
              <w:rPr>
                <w:rFonts w:asciiTheme="minorHAnsi" w:hAnsiTheme="minorHAnsi" w:cs="Segoe UI"/>
                <w:color w:val="auto"/>
                <w:sz w:val="22"/>
                <w:szCs w:val="22"/>
              </w:rPr>
              <w:t>al</w:t>
            </w:r>
            <w:r w:rsidRPr="006D6B13">
              <w:rPr>
                <w:rFonts w:asciiTheme="minorHAnsi" w:hAnsiTheme="minorHAnsi" w:cs="Segoe UI"/>
                <w:color w:val="auto"/>
                <w:sz w:val="22"/>
                <w:szCs w:val="22"/>
              </w:rPr>
              <w:t xml:space="preserve"> attitudes towards older people or assumptions regarding young people involved in substance misuse may influence professional decision-making.</w:t>
            </w:r>
            <w:r w:rsidR="00007B8B">
              <w:rPr>
                <w:rFonts w:asciiTheme="minorHAnsi" w:hAnsiTheme="minorHAnsi" w:cs="Segoe UI"/>
                <w:color w:val="auto"/>
                <w:sz w:val="22"/>
                <w:szCs w:val="22"/>
              </w:rPr>
              <w:t xml:space="preserve"> </w:t>
            </w:r>
            <w:r w:rsidRPr="006D6B13">
              <w:rPr>
                <w:rFonts w:asciiTheme="minorHAnsi" w:hAnsiTheme="minorHAnsi" w:cs="Segoe UI"/>
                <w:color w:val="auto"/>
                <w:sz w:val="22"/>
                <w:szCs w:val="22"/>
              </w:rPr>
              <w:t xml:space="preserve">I </w:t>
            </w:r>
            <w:r w:rsidR="00007B8B">
              <w:rPr>
                <w:rFonts w:asciiTheme="minorHAnsi" w:hAnsiTheme="minorHAnsi" w:cs="Segoe UI"/>
                <w:color w:val="auto"/>
                <w:sz w:val="22"/>
                <w:szCs w:val="22"/>
              </w:rPr>
              <w:t xml:space="preserve">therefore </w:t>
            </w:r>
            <w:r w:rsidRPr="006D6B13">
              <w:rPr>
                <w:rFonts w:asciiTheme="minorHAnsi" w:hAnsiTheme="minorHAnsi" w:cs="Segoe UI"/>
                <w:color w:val="auto"/>
                <w:sz w:val="22"/>
                <w:szCs w:val="22"/>
              </w:rPr>
              <w:t>found that Systems Theory was most effective when used alongside anti-oppressive and rights-based approaches.</w:t>
            </w:r>
          </w:p>
          <w:p w14:paraId="58FEFC97" w14:textId="14F68E73"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Segoe UI"/>
                <w:color w:val="auto"/>
                <w:sz w:val="22"/>
                <w:szCs w:val="22"/>
              </w:rPr>
            </w:pPr>
            <w:r w:rsidRPr="006D6B13">
              <w:rPr>
                <w:rFonts w:asciiTheme="minorHAnsi" w:hAnsiTheme="minorHAnsi" w:cs="Segoe UI"/>
                <w:color w:val="auto"/>
                <w:sz w:val="22"/>
                <w:szCs w:val="22"/>
              </w:rPr>
              <w:t xml:space="preserve">Similarly, strengths-based practice informed my assessment. The theory encouraged recognition of </w:t>
            </w:r>
            <w:r w:rsidR="00C973D9">
              <w:rPr>
                <w:rFonts w:asciiTheme="minorHAnsi" w:hAnsiTheme="minorHAnsi" w:cs="Segoe UI"/>
                <w:color w:val="auto"/>
                <w:sz w:val="22"/>
                <w:szCs w:val="22"/>
              </w:rPr>
              <w:t xml:space="preserve">Service User 2’s </w:t>
            </w:r>
            <w:r w:rsidRPr="006D6B13">
              <w:rPr>
                <w:rFonts w:asciiTheme="minorHAnsi" w:hAnsiTheme="minorHAnsi" w:cs="Segoe UI"/>
                <w:color w:val="auto"/>
                <w:sz w:val="22"/>
                <w:szCs w:val="22"/>
              </w:rPr>
              <w:t xml:space="preserve">resilience, </w:t>
            </w:r>
            <w:r w:rsidR="00C973D9">
              <w:rPr>
                <w:rFonts w:asciiTheme="minorHAnsi" w:hAnsiTheme="minorHAnsi" w:cs="Segoe UI"/>
                <w:color w:val="auto"/>
                <w:sz w:val="22"/>
                <w:szCs w:val="22"/>
              </w:rPr>
              <w:t>support networks</w:t>
            </w:r>
            <w:r w:rsidRPr="006D6B13">
              <w:rPr>
                <w:rFonts w:asciiTheme="minorHAnsi" w:hAnsiTheme="minorHAnsi" w:cs="Segoe UI"/>
                <w:color w:val="auto"/>
                <w:sz w:val="22"/>
                <w:szCs w:val="22"/>
              </w:rPr>
              <w:t xml:space="preserve"> and ability to make informed decisions. This aligned</w:t>
            </w:r>
            <w:r w:rsidR="00D549B5">
              <w:rPr>
                <w:rFonts w:asciiTheme="minorHAnsi" w:hAnsiTheme="minorHAnsi" w:cs="Segoe UI"/>
                <w:color w:val="auto"/>
                <w:sz w:val="22"/>
                <w:szCs w:val="22"/>
              </w:rPr>
              <w:t xml:space="preserve"> </w:t>
            </w:r>
            <w:r w:rsidRPr="006D6B13">
              <w:rPr>
                <w:rFonts w:asciiTheme="minorHAnsi" w:hAnsiTheme="minorHAnsi" w:cs="Segoe UI"/>
                <w:color w:val="auto"/>
                <w:sz w:val="22"/>
                <w:szCs w:val="22"/>
              </w:rPr>
              <w:t xml:space="preserve">with </w:t>
            </w:r>
            <w:r w:rsidR="00D549B5">
              <w:rPr>
                <w:rFonts w:asciiTheme="minorHAnsi" w:hAnsiTheme="minorHAnsi" w:cs="Segoe UI"/>
                <w:color w:val="auto"/>
                <w:sz w:val="22"/>
                <w:szCs w:val="22"/>
              </w:rPr>
              <w:t xml:space="preserve">SSWBA </w:t>
            </w:r>
            <w:r w:rsidRPr="006D6B13">
              <w:rPr>
                <w:rFonts w:asciiTheme="minorHAnsi" w:hAnsiTheme="minorHAnsi" w:cs="Segoe UI"/>
                <w:color w:val="auto"/>
                <w:sz w:val="22"/>
                <w:szCs w:val="22"/>
              </w:rPr>
              <w:t xml:space="preserve">policy principles of voice and control. </w:t>
            </w:r>
            <w:r w:rsidR="00D549B5">
              <w:rPr>
                <w:rFonts w:asciiTheme="minorHAnsi" w:hAnsiTheme="minorHAnsi" w:cs="Segoe UI"/>
                <w:color w:val="auto"/>
                <w:sz w:val="22"/>
                <w:szCs w:val="22"/>
              </w:rPr>
              <w:t>However</w:t>
            </w:r>
            <w:r w:rsidRPr="006D6B13">
              <w:rPr>
                <w:rFonts w:asciiTheme="minorHAnsi" w:hAnsiTheme="minorHAnsi" w:cs="Segoe UI"/>
                <w:color w:val="auto"/>
                <w:sz w:val="22"/>
                <w:szCs w:val="22"/>
              </w:rPr>
              <w:t xml:space="preserve"> I recognise there is a danger that an overreliance upon strengths-based approaches may unintentionally downplay risk. Maintaining a balance between empowerment and protection therefore remained essential throughout the assessment process.</w:t>
            </w:r>
          </w:p>
          <w:p w14:paraId="492D111C" w14:textId="51C0E1E6" w:rsidR="00FE56A8" w:rsidRPr="00067502" w:rsidRDefault="00FE56A8" w:rsidP="00FE56A8">
            <w:pPr>
              <w:overflowPunct/>
              <w:autoSpaceDE/>
              <w:autoSpaceDN/>
              <w:adjustRightInd/>
              <w:spacing w:line="300" w:lineRule="atLeast"/>
              <w:textAlignment w:val="auto"/>
              <w:rPr>
                <w:rFonts w:ascii="Segoe UI" w:hAnsi="Segoe UI" w:cs="Segoe UI"/>
                <w:color w:val="auto"/>
                <w:sz w:val="21"/>
                <w:szCs w:val="21"/>
              </w:rPr>
            </w:pPr>
            <w:r w:rsidRPr="006D6B13">
              <w:rPr>
                <w:rFonts w:asciiTheme="minorHAnsi" w:hAnsiTheme="minorHAnsi" w:cs="Segoe UI"/>
                <w:color w:val="auto"/>
                <w:sz w:val="22"/>
                <w:szCs w:val="22"/>
              </w:rPr>
              <w:t xml:space="preserve">Trauma-informed practice also proved valuable in challenging assumptions regarding Family Member 4. Rather than focusing solely on allegations and behaviours, I was </w:t>
            </w:r>
            <w:r w:rsidR="000C249D">
              <w:rPr>
                <w:rFonts w:asciiTheme="minorHAnsi" w:hAnsiTheme="minorHAnsi" w:cs="Segoe UI"/>
                <w:color w:val="auto"/>
                <w:sz w:val="22"/>
                <w:szCs w:val="22"/>
              </w:rPr>
              <w:t>considered</w:t>
            </w:r>
            <w:r w:rsidRPr="006D6B13">
              <w:rPr>
                <w:rFonts w:asciiTheme="minorHAnsi" w:hAnsiTheme="minorHAnsi" w:cs="Segoe UI"/>
                <w:color w:val="auto"/>
                <w:sz w:val="22"/>
                <w:szCs w:val="22"/>
              </w:rPr>
              <w:t xml:space="preserve"> the impact of discovering his mother deceased and the potential consequences of </w:t>
            </w:r>
            <w:r w:rsidR="000C249D">
              <w:rPr>
                <w:rFonts w:asciiTheme="minorHAnsi" w:hAnsiTheme="minorHAnsi" w:cs="Segoe UI"/>
                <w:color w:val="auto"/>
                <w:sz w:val="22"/>
                <w:szCs w:val="22"/>
              </w:rPr>
              <w:t xml:space="preserve">his </w:t>
            </w:r>
            <w:r w:rsidRPr="006D6B13">
              <w:rPr>
                <w:rFonts w:asciiTheme="minorHAnsi" w:hAnsiTheme="minorHAnsi" w:cs="Segoe UI"/>
                <w:color w:val="auto"/>
                <w:sz w:val="22"/>
                <w:szCs w:val="22"/>
              </w:rPr>
              <w:t xml:space="preserve">grief. However, one limitation of trauma-informed </w:t>
            </w:r>
            <w:r w:rsidRPr="006D6B13">
              <w:rPr>
                <w:rFonts w:asciiTheme="minorHAnsi" w:hAnsiTheme="minorHAnsi" w:cs="Segoe UI"/>
                <w:color w:val="auto"/>
                <w:sz w:val="22"/>
                <w:szCs w:val="22"/>
              </w:rPr>
              <w:lastRenderedPageBreak/>
              <w:t xml:space="preserve">approaches is the potential for practitioners to </w:t>
            </w:r>
            <w:r w:rsidR="00A43841">
              <w:rPr>
                <w:rFonts w:asciiTheme="minorHAnsi" w:hAnsiTheme="minorHAnsi" w:cs="Segoe UI"/>
                <w:color w:val="auto"/>
                <w:sz w:val="22"/>
                <w:szCs w:val="22"/>
              </w:rPr>
              <w:t>focus on expl</w:t>
            </w:r>
            <w:r w:rsidR="001A4242">
              <w:rPr>
                <w:rFonts w:asciiTheme="minorHAnsi" w:hAnsiTheme="minorHAnsi" w:cs="Segoe UI"/>
                <w:color w:val="auto"/>
                <w:sz w:val="22"/>
                <w:szCs w:val="22"/>
              </w:rPr>
              <w:t>anation</w:t>
            </w:r>
            <w:r w:rsidR="00A43841">
              <w:rPr>
                <w:rFonts w:asciiTheme="minorHAnsi" w:hAnsiTheme="minorHAnsi" w:cs="Segoe UI"/>
                <w:color w:val="auto"/>
                <w:sz w:val="22"/>
                <w:szCs w:val="22"/>
              </w:rPr>
              <w:t xml:space="preserve"> and reduce </w:t>
            </w:r>
            <w:r w:rsidR="001A4242">
              <w:rPr>
                <w:rFonts w:asciiTheme="minorHAnsi" w:hAnsiTheme="minorHAnsi" w:cs="Segoe UI"/>
                <w:color w:val="auto"/>
                <w:sz w:val="22"/>
                <w:szCs w:val="22"/>
              </w:rPr>
              <w:t>focus</w:t>
            </w:r>
            <w:r w:rsidR="00A43841">
              <w:rPr>
                <w:rFonts w:asciiTheme="minorHAnsi" w:hAnsiTheme="minorHAnsi" w:cs="Segoe UI"/>
                <w:color w:val="auto"/>
                <w:sz w:val="22"/>
                <w:szCs w:val="22"/>
              </w:rPr>
              <w:t xml:space="preserve"> on</w:t>
            </w:r>
            <w:r w:rsidRPr="006D6B13">
              <w:rPr>
                <w:rFonts w:asciiTheme="minorHAnsi" w:hAnsiTheme="minorHAnsi" w:cs="Segoe UI"/>
                <w:color w:val="auto"/>
                <w:sz w:val="22"/>
                <w:szCs w:val="22"/>
              </w:rPr>
              <w:t xml:space="preserve"> accountability. I therefore remained mindful that understanding behaviour did not remove the need to assess risk objectively.</w:t>
            </w:r>
            <w:r>
              <w:rPr>
                <w:rFonts w:asciiTheme="minorHAnsi" w:hAnsiTheme="minorHAnsi" w:cs="Segoe UI"/>
                <w:color w:val="auto"/>
                <w:sz w:val="22"/>
                <w:szCs w:val="22"/>
              </w:rPr>
              <w:t xml:space="preserve"> </w:t>
            </w:r>
            <w:r w:rsidRPr="00067502">
              <w:rPr>
                <w:rFonts w:ascii="Segoe UI" w:hAnsi="Segoe UI" w:cs="Segoe UI"/>
                <w:color w:val="auto"/>
                <w:sz w:val="21"/>
                <w:szCs w:val="21"/>
              </w:rPr>
              <w:t>Knight (2015) argues that trauma-informed practice requires practitioners to understand how past traumatic experiences influence current behaviour and coping strategies.</w:t>
            </w:r>
          </w:p>
          <w:p w14:paraId="60F63A5C" w14:textId="2038C237"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Segoe UI"/>
                <w:color w:val="auto"/>
                <w:sz w:val="22"/>
                <w:szCs w:val="22"/>
              </w:rPr>
            </w:pPr>
            <w:r w:rsidRPr="006D6B13">
              <w:rPr>
                <w:rFonts w:asciiTheme="minorHAnsi" w:hAnsiTheme="minorHAnsi" w:cs="Segoe UI"/>
                <w:color w:val="auto"/>
                <w:sz w:val="22"/>
                <w:szCs w:val="22"/>
              </w:rPr>
              <w:t xml:space="preserve">Reflecting across the assessment as a whole, I concluded that no single theory explained the complexity of the situation. Instead, professional judgement emerged through integrating theory, legislation, evidence and reflection. This strengthened my </w:t>
            </w:r>
            <w:r w:rsidR="00D53A82">
              <w:rPr>
                <w:rFonts w:asciiTheme="minorHAnsi" w:hAnsiTheme="minorHAnsi" w:cs="Segoe UI"/>
                <w:color w:val="auto"/>
                <w:sz w:val="22"/>
                <w:szCs w:val="22"/>
              </w:rPr>
              <w:t>understanding</w:t>
            </w:r>
            <w:r w:rsidR="001A4242">
              <w:rPr>
                <w:rFonts w:asciiTheme="minorHAnsi" w:hAnsiTheme="minorHAnsi" w:cs="Segoe UI"/>
                <w:color w:val="auto"/>
                <w:sz w:val="22"/>
                <w:szCs w:val="22"/>
              </w:rPr>
              <w:t xml:space="preserve"> that </w:t>
            </w:r>
            <w:r w:rsidR="008D74F8">
              <w:rPr>
                <w:rFonts w:asciiTheme="minorHAnsi" w:hAnsiTheme="minorHAnsi" w:cs="Segoe UI"/>
                <w:color w:val="auto"/>
                <w:sz w:val="22"/>
                <w:szCs w:val="22"/>
              </w:rPr>
              <w:t>critical</w:t>
            </w:r>
            <w:r w:rsidR="00D53A82">
              <w:rPr>
                <w:rFonts w:asciiTheme="minorHAnsi" w:hAnsiTheme="minorHAnsi" w:cs="Segoe UI"/>
                <w:color w:val="auto"/>
                <w:sz w:val="22"/>
                <w:szCs w:val="22"/>
              </w:rPr>
              <w:t xml:space="preserve"> thinking in social work is required </w:t>
            </w:r>
            <w:r w:rsidR="008D74F8">
              <w:rPr>
                <w:rFonts w:asciiTheme="minorHAnsi" w:hAnsiTheme="minorHAnsi" w:cs="Segoe UI"/>
                <w:color w:val="auto"/>
                <w:sz w:val="22"/>
                <w:szCs w:val="22"/>
              </w:rPr>
              <w:t>alongside</w:t>
            </w:r>
            <w:r w:rsidR="00D53A82">
              <w:rPr>
                <w:rFonts w:asciiTheme="minorHAnsi" w:hAnsiTheme="minorHAnsi" w:cs="Segoe UI"/>
                <w:color w:val="auto"/>
                <w:sz w:val="22"/>
                <w:szCs w:val="22"/>
              </w:rPr>
              <w:t xml:space="preserve"> following procedures. </w:t>
            </w:r>
          </w:p>
          <w:p w14:paraId="6129B76F" w14:textId="77777777"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The risk assessment explored concerns relating to financial abuse, neglect, coercion, environmental risk and personal safety. Service User 2 reported that no money or valuables had gone missing, that she had not provided financial support to Family Member 4 and that he had never requested money from her. These statements were supported by Family Member 6, who reported no concerns regarding financial transactions. Care staff similarly identified no evidence of abuse or neglect. The consistency of information across multiple sources strengthened confidence in the assessment findings.</w:t>
            </w:r>
          </w:p>
          <w:p w14:paraId="186EF944" w14:textId="00974EF7"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Professional judgement required </w:t>
            </w:r>
            <w:r w:rsidR="00EC29AB">
              <w:rPr>
                <w:rFonts w:asciiTheme="minorHAnsi" w:hAnsiTheme="minorHAnsi" w:cstheme="minorHAnsi"/>
                <w:color w:val="auto"/>
                <w:sz w:val="22"/>
                <w:szCs w:val="22"/>
              </w:rPr>
              <w:t>obtaining</w:t>
            </w:r>
            <w:r w:rsidRPr="006D6B13">
              <w:rPr>
                <w:rFonts w:asciiTheme="minorHAnsi" w:hAnsiTheme="minorHAnsi" w:cstheme="minorHAnsi"/>
                <w:color w:val="auto"/>
                <w:sz w:val="22"/>
                <w:szCs w:val="22"/>
              </w:rPr>
              <w:t xml:space="preserve"> information from direct observation, agency reports, family views, legislation and theoretical frameworks. Taylor (2017) highlights that high-quality social work assessment requires the integration of evidence, analysis and reflection rather than reliance upon procedural compliance alone. The evidence suggested that although cannabis use may have occurred, there was no evidence that Service User 2 was being abused, neglected, exploited or prevented from exercising choice and control. </w:t>
            </w:r>
            <w:r w:rsidR="00A24F70">
              <w:rPr>
                <w:rFonts w:asciiTheme="minorHAnsi" w:hAnsiTheme="minorHAnsi" w:cstheme="minorHAnsi"/>
                <w:color w:val="auto"/>
                <w:sz w:val="22"/>
                <w:szCs w:val="22"/>
              </w:rPr>
              <w:t>Most importantly</w:t>
            </w:r>
            <w:r w:rsidRPr="006D6B13">
              <w:rPr>
                <w:rFonts w:asciiTheme="minorHAnsi" w:hAnsiTheme="minorHAnsi" w:cstheme="minorHAnsi"/>
                <w:color w:val="auto"/>
                <w:sz w:val="22"/>
                <w:szCs w:val="22"/>
              </w:rPr>
              <w:t xml:space="preserve">, she </w:t>
            </w:r>
            <w:r w:rsidR="00A24F70">
              <w:rPr>
                <w:rFonts w:asciiTheme="minorHAnsi" w:hAnsiTheme="minorHAnsi" w:cstheme="minorHAnsi"/>
                <w:color w:val="auto"/>
                <w:sz w:val="22"/>
                <w:szCs w:val="22"/>
              </w:rPr>
              <w:t>r</w:t>
            </w:r>
            <w:r w:rsidRPr="006D6B13">
              <w:rPr>
                <w:rFonts w:asciiTheme="minorHAnsi" w:hAnsiTheme="minorHAnsi" w:cstheme="minorHAnsi"/>
                <w:color w:val="auto"/>
                <w:sz w:val="22"/>
                <w:szCs w:val="22"/>
              </w:rPr>
              <w:t>eported feeling safe and well supported.</w:t>
            </w:r>
          </w:p>
          <w:p w14:paraId="745D544E" w14:textId="6287C5D2" w:rsidR="00FE56A8" w:rsidRPr="006D6B13" w:rsidRDefault="00FE56A8" w:rsidP="00FE56A8">
            <w:pPr>
              <w:pStyle w:val="paragraph"/>
              <w:spacing w:before="0" w:beforeAutospacing="0" w:after="0" w:afterAutospacing="0"/>
              <w:textAlignment w:val="baseline"/>
              <w:rPr>
                <w:rFonts w:asciiTheme="minorHAnsi" w:hAnsiTheme="minorHAnsi" w:cs="Segoe UI"/>
                <w:sz w:val="22"/>
                <w:szCs w:val="22"/>
              </w:rPr>
            </w:pPr>
            <w:r w:rsidRPr="006D6B13">
              <w:rPr>
                <w:rStyle w:val="normaltextrun"/>
                <w:rFonts w:asciiTheme="minorHAnsi" w:hAnsiTheme="minorHAnsi" w:cs="Segoe UI"/>
                <w:sz w:val="22"/>
                <w:szCs w:val="22"/>
                <w:lang w:val="en-US"/>
              </w:rPr>
              <w:t>The case also prompted reflection regarding the concept of risk within contemporary safeguarding practice. Early in the assessment process, I became aware that the</w:t>
            </w:r>
            <w:r w:rsidR="00BB0628">
              <w:rPr>
                <w:rStyle w:val="normaltextrun"/>
                <w:rFonts w:asciiTheme="minorHAnsi" w:hAnsiTheme="minorHAnsi" w:cs="Segoe UI"/>
                <w:sz w:val="22"/>
                <w:szCs w:val="22"/>
                <w:lang w:val="en-US"/>
              </w:rPr>
              <w:t xml:space="preserve"> past</w:t>
            </w:r>
            <w:r w:rsidRPr="006D6B13">
              <w:rPr>
                <w:rStyle w:val="normaltextrun"/>
                <w:rFonts w:asciiTheme="minorHAnsi" w:hAnsiTheme="minorHAnsi" w:cs="Segoe UI"/>
                <w:sz w:val="22"/>
                <w:szCs w:val="22"/>
                <w:lang w:val="en-US"/>
              </w:rPr>
              <w:t xml:space="preserve"> involvement of police, allegations of drug dealing and references to potential county lines activity carried a risk of influencing professional judgement before all available evidence had been gathered. Taylor (2017) argues that social workers frequently make decisions within contexts characterised by uncertainty, incomplete information and competing perspectives.</w:t>
            </w:r>
            <w:r w:rsidR="005A6D89">
              <w:rPr>
                <w:rStyle w:val="normaltextrun"/>
                <w:rFonts w:asciiTheme="minorHAnsi" w:hAnsiTheme="minorHAnsi" w:cs="Segoe UI"/>
                <w:sz w:val="22"/>
                <w:szCs w:val="22"/>
                <w:lang w:val="en-US"/>
              </w:rPr>
              <w:t xml:space="preserve"> On reflection</w:t>
            </w:r>
            <w:r w:rsidRPr="006D6B13">
              <w:rPr>
                <w:rStyle w:val="normaltextrun"/>
                <w:rFonts w:asciiTheme="minorHAnsi" w:hAnsiTheme="minorHAnsi" w:cs="Segoe UI"/>
                <w:sz w:val="22"/>
                <w:szCs w:val="22"/>
                <w:lang w:val="en-US"/>
              </w:rPr>
              <w:t xml:space="preserve">, I recognised that the initial referral </w:t>
            </w:r>
            <w:r w:rsidR="00437936">
              <w:rPr>
                <w:rStyle w:val="normaltextrun"/>
                <w:rFonts w:asciiTheme="minorHAnsi" w:hAnsiTheme="minorHAnsi" w:cs="Segoe UI"/>
                <w:sz w:val="22"/>
                <w:szCs w:val="22"/>
                <w:lang w:val="en-US"/>
              </w:rPr>
              <w:t>highlighted potential</w:t>
            </w:r>
            <w:r w:rsidRPr="006D6B13">
              <w:rPr>
                <w:rStyle w:val="normaltextrun"/>
                <w:rFonts w:asciiTheme="minorHAnsi" w:hAnsiTheme="minorHAnsi" w:cs="Segoe UI"/>
                <w:sz w:val="22"/>
                <w:szCs w:val="22"/>
                <w:lang w:val="en-US"/>
              </w:rPr>
              <w:t xml:space="preserve"> risk which could easily have led to assumptions regarding the likelihood of abuse or exploitation occurring within the home.</w:t>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normaltextrun"/>
                <w:rFonts w:asciiTheme="minorHAnsi" w:hAnsiTheme="minorHAnsi" w:cs="Segoe UI"/>
                <w:sz w:val="22"/>
                <w:szCs w:val="22"/>
                <w:lang w:val="en-US"/>
              </w:rPr>
              <w:t xml:space="preserve">This experience enhanced my understanding of confirmation bias within safeguarding practice. Munro (2011) suggests that practitioners can become overly focused on information that supports initial concerns whilst paying less attention to information that challenges those assumptions. Looking back, there was potential for the historical allegations involving Family Member 3 and the police involvement relating to Family Member 4 to create a predetermined </w:t>
            </w:r>
            <w:r w:rsidR="00F8067D">
              <w:rPr>
                <w:rStyle w:val="normaltextrun"/>
                <w:rFonts w:asciiTheme="minorHAnsi" w:hAnsiTheme="minorHAnsi" w:cs="Segoe UI"/>
                <w:sz w:val="22"/>
                <w:szCs w:val="22"/>
                <w:lang w:val="en-US"/>
              </w:rPr>
              <w:t>idea</w:t>
            </w:r>
            <w:r w:rsidRPr="006D6B13">
              <w:rPr>
                <w:rStyle w:val="normaltextrun"/>
                <w:rFonts w:asciiTheme="minorHAnsi" w:hAnsiTheme="minorHAnsi" w:cs="Segoe UI"/>
                <w:sz w:val="22"/>
                <w:szCs w:val="22"/>
                <w:lang w:val="en-US"/>
              </w:rPr>
              <w:t xml:space="preserve"> that Service User 2 was experiencing harm. However, the evidence gathered through direct engagement, agency consultation and observation failed to </w:t>
            </w:r>
            <w:r w:rsidR="005B7467">
              <w:rPr>
                <w:rStyle w:val="normaltextrun"/>
                <w:rFonts w:asciiTheme="minorHAnsi" w:hAnsiTheme="minorHAnsi" w:cs="Segoe UI"/>
                <w:sz w:val="22"/>
                <w:szCs w:val="22"/>
                <w:lang w:val="en-US"/>
              </w:rPr>
              <w:t>prove</w:t>
            </w:r>
            <w:r w:rsidRPr="006D6B13">
              <w:rPr>
                <w:rStyle w:val="normaltextrun"/>
                <w:rFonts w:asciiTheme="minorHAnsi" w:hAnsiTheme="minorHAnsi" w:cs="Segoe UI"/>
                <w:sz w:val="22"/>
                <w:szCs w:val="22"/>
                <w:lang w:val="en-US"/>
              </w:rPr>
              <w:t xml:space="preserve"> those concerns. This reinforced the importance of approaching safeguarding assessments with professional curiosity whilst remaining open to alternative explanations.</w:t>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normaltextrun"/>
                <w:rFonts w:asciiTheme="minorHAnsi" w:hAnsiTheme="minorHAnsi" w:cs="Segoe UI"/>
                <w:sz w:val="22"/>
                <w:szCs w:val="22"/>
                <w:lang w:val="en-US"/>
              </w:rPr>
              <w:t xml:space="preserve">I also reflected upon the tension between protection and autonomy throughout the assessment. As a social worker, there can be pressure to act defensively where risk is suggested, particularly when working with older adults who may be perceived as vulnerable. However, Kemshall (2010) argues that effective risk management should not be confused with risk elimination. In this case, removing Family Member 4 from the property or escalating safeguarding concerns without sufficient evidence may have reduced </w:t>
            </w:r>
            <w:r w:rsidR="005B66CD">
              <w:rPr>
                <w:rStyle w:val="normaltextrun"/>
                <w:rFonts w:asciiTheme="minorHAnsi" w:hAnsiTheme="minorHAnsi" w:cs="Segoe UI"/>
                <w:sz w:val="22"/>
                <w:szCs w:val="22"/>
                <w:lang w:val="en-US"/>
              </w:rPr>
              <w:t>alleged</w:t>
            </w:r>
            <w:r w:rsidRPr="006D6B13">
              <w:rPr>
                <w:rStyle w:val="normaltextrun"/>
                <w:rFonts w:asciiTheme="minorHAnsi" w:hAnsiTheme="minorHAnsi" w:cs="Segoe UI"/>
                <w:sz w:val="22"/>
                <w:szCs w:val="22"/>
                <w:lang w:val="en-US"/>
              </w:rPr>
              <w:t xml:space="preserve"> risk but would potentially have undermined Service User 2's rights and wishes.</w:t>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scxw1458773"/>
                <w:rFonts w:asciiTheme="minorHAnsi" w:hAnsiTheme="minorHAnsi" w:cs="Segoe UI"/>
                <w:sz w:val="22"/>
                <w:szCs w:val="22"/>
              </w:rPr>
              <w:lastRenderedPageBreak/>
              <w:t> </w:t>
            </w:r>
            <w:r w:rsidRPr="006D6B13">
              <w:rPr>
                <w:rFonts w:asciiTheme="minorHAnsi" w:hAnsiTheme="minorHAnsi" w:cs="Segoe UI"/>
                <w:sz w:val="22"/>
                <w:szCs w:val="22"/>
              </w:rPr>
              <w:br/>
            </w:r>
            <w:r w:rsidRPr="006D6B13">
              <w:rPr>
                <w:rStyle w:val="normaltextrun"/>
                <w:rFonts w:asciiTheme="minorHAnsi" w:hAnsiTheme="minorHAnsi" w:cs="Segoe UI"/>
                <w:sz w:val="22"/>
                <w:szCs w:val="22"/>
                <w:lang w:val="en-US"/>
              </w:rPr>
              <w:t xml:space="preserve">The assessment also strengthened my understanding of anti-oppressive practice within safeguarding work. Thompson's PCS model highlights how discrimination can occur at personal, cultural and structural levels. Reflecting on the case, I identified several assumptions that required careful consideration. Assumptions associated with ageing and vulnerability could have resulted in Service User 2 being viewed </w:t>
            </w:r>
            <w:r w:rsidR="0069043D">
              <w:rPr>
                <w:rStyle w:val="normaltextrun"/>
                <w:rFonts w:asciiTheme="minorHAnsi" w:hAnsiTheme="minorHAnsi" w:cs="Segoe UI"/>
                <w:sz w:val="22"/>
                <w:szCs w:val="22"/>
                <w:lang w:val="en-US"/>
              </w:rPr>
              <w:t xml:space="preserve">based on the </w:t>
            </w:r>
            <w:r w:rsidR="00216F35">
              <w:rPr>
                <w:rStyle w:val="normaltextrun"/>
                <w:rFonts w:asciiTheme="minorHAnsi" w:hAnsiTheme="minorHAnsi" w:cs="Segoe UI"/>
                <w:sz w:val="22"/>
                <w:szCs w:val="22"/>
                <w:lang w:val="en-US"/>
              </w:rPr>
              <w:t>weaknesses</w:t>
            </w:r>
            <w:r w:rsidRPr="006D6B13">
              <w:rPr>
                <w:rStyle w:val="normaltextrun"/>
                <w:rFonts w:asciiTheme="minorHAnsi" w:hAnsiTheme="minorHAnsi" w:cs="Segoe UI"/>
                <w:sz w:val="22"/>
                <w:szCs w:val="22"/>
                <w:lang w:val="en-US"/>
              </w:rPr>
              <w:t>, whilst assumptions relating to youth and substance misuse may have resulted in Family Member 4 being viewed solely as a risk factor.</w:t>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normaltextrun"/>
                <w:rFonts w:asciiTheme="minorHAnsi" w:hAnsiTheme="minorHAnsi" w:cs="Segoe UI"/>
                <w:sz w:val="22"/>
                <w:szCs w:val="22"/>
                <w:lang w:val="en-US"/>
              </w:rPr>
              <w:t xml:space="preserve">Within the Welsh context, anti-oppressive practice also extended to language and identity. Completing the assessment in Welsh was not </w:t>
            </w:r>
            <w:r w:rsidR="00216F35">
              <w:rPr>
                <w:rStyle w:val="normaltextrun"/>
                <w:rFonts w:asciiTheme="minorHAnsi" w:hAnsiTheme="minorHAnsi" w:cs="Segoe UI"/>
                <w:sz w:val="22"/>
                <w:szCs w:val="22"/>
                <w:lang w:val="en-US"/>
              </w:rPr>
              <w:t>just due to process</w:t>
            </w:r>
            <w:r w:rsidRPr="006D6B13">
              <w:rPr>
                <w:rStyle w:val="normaltextrun"/>
                <w:rFonts w:asciiTheme="minorHAnsi" w:hAnsiTheme="minorHAnsi" w:cs="Segoe UI"/>
                <w:sz w:val="22"/>
                <w:szCs w:val="22"/>
                <w:lang w:val="en-US"/>
              </w:rPr>
              <w:t xml:space="preserve"> but promoted participation, dignity and self-determination. Reflecting on the interaction, I believe communication in Service User 2's preferred language enabled a more authentic exploration of her wishes and views.</w:t>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normaltextrun"/>
                <w:rFonts w:asciiTheme="minorHAnsi" w:hAnsiTheme="minorHAnsi" w:cs="Segoe UI"/>
                <w:sz w:val="22"/>
                <w:szCs w:val="22"/>
                <w:lang w:val="en-US"/>
              </w:rPr>
              <w:t xml:space="preserve">Looking back on the assessment, one of the most significant areas of learning relates to my confidence in applying professional judgement where evidence is limited or inconclusive. Prior to undertaking this assessment, I may have felt more inclined to progress concerns through formal safeguarding processes when criminal allegations were present. However, this experience demonstrated that allegations alone do not necessarily </w:t>
            </w:r>
            <w:r w:rsidR="00AC2B33">
              <w:rPr>
                <w:rStyle w:val="normaltextrun"/>
                <w:rFonts w:asciiTheme="minorHAnsi" w:hAnsiTheme="minorHAnsi" w:cs="Segoe UI"/>
                <w:sz w:val="22"/>
                <w:szCs w:val="22"/>
                <w:lang w:val="en-US"/>
              </w:rPr>
              <w:t>mean there is a</w:t>
            </w:r>
            <w:r w:rsidRPr="006D6B13">
              <w:rPr>
                <w:rStyle w:val="normaltextrun"/>
                <w:rFonts w:asciiTheme="minorHAnsi" w:hAnsiTheme="minorHAnsi" w:cs="Segoe UI"/>
                <w:sz w:val="22"/>
                <w:szCs w:val="22"/>
                <w:lang w:val="en-US"/>
              </w:rPr>
              <w:t xml:space="preserve"> safeguarding risk.</w:t>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normaltextrun"/>
                <w:rFonts w:asciiTheme="minorHAnsi" w:hAnsiTheme="minorHAnsi" w:cs="Segoe UI"/>
                <w:sz w:val="22"/>
                <w:szCs w:val="22"/>
                <w:lang w:val="en-US"/>
              </w:rPr>
              <w:t xml:space="preserve">I have learned that effective safeguarding practice requires the ability to </w:t>
            </w:r>
            <w:r w:rsidR="00CF6D30">
              <w:rPr>
                <w:rStyle w:val="normaltextrun"/>
                <w:rFonts w:asciiTheme="minorHAnsi" w:hAnsiTheme="minorHAnsi" w:cs="Segoe UI"/>
                <w:sz w:val="22"/>
                <w:szCs w:val="22"/>
                <w:lang w:val="en-US"/>
              </w:rPr>
              <w:t>work within</w:t>
            </w:r>
            <w:r w:rsidRPr="006D6B13">
              <w:rPr>
                <w:rStyle w:val="normaltextrun"/>
                <w:rFonts w:asciiTheme="minorHAnsi" w:hAnsiTheme="minorHAnsi" w:cs="Segoe UI"/>
                <w:sz w:val="22"/>
                <w:szCs w:val="22"/>
                <w:lang w:val="en-US"/>
              </w:rPr>
              <w:t xml:space="preserve"> uncertainty whilst continuing to gather evidence and review risk. If faced with a similar situation in the future, one aspect I would approach differently would be seeking more direct engagement with Family Member 4. This may have provided additional insight regarding both risk and protective factors and </w:t>
            </w:r>
            <w:r w:rsidR="00771DC7">
              <w:rPr>
                <w:rStyle w:val="normaltextrun"/>
                <w:rFonts w:asciiTheme="minorHAnsi" w:hAnsiTheme="minorHAnsi" w:cs="Segoe UI"/>
                <w:sz w:val="22"/>
                <w:szCs w:val="22"/>
                <w:lang w:val="en-US"/>
              </w:rPr>
              <w:t>supported</w:t>
            </w:r>
            <w:r w:rsidRPr="006D6B13">
              <w:rPr>
                <w:rStyle w:val="normaltextrun"/>
                <w:rFonts w:asciiTheme="minorHAnsi" w:hAnsiTheme="minorHAnsi" w:cs="Segoe UI"/>
                <w:sz w:val="22"/>
                <w:szCs w:val="22"/>
                <w:lang w:val="en-US"/>
              </w:rPr>
              <w:t xml:space="preserve"> a more holistic understanding of the family system.</w:t>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scxw1458773"/>
                <w:rFonts w:asciiTheme="minorHAnsi" w:hAnsiTheme="minorHAnsi" w:cs="Segoe UI"/>
                <w:sz w:val="22"/>
                <w:szCs w:val="22"/>
              </w:rPr>
              <w:t> </w:t>
            </w:r>
            <w:r w:rsidRPr="006D6B13">
              <w:rPr>
                <w:rFonts w:asciiTheme="minorHAnsi" w:hAnsiTheme="minorHAnsi" w:cs="Segoe UI"/>
                <w:sz w:val="22"/>
                <w:szCs w:val="22"/>
              </w:rPr>
              <w:br/>
            </w:r>
            <w:r w:rsidRPr="006D6B13">
              <w:rPr>
                <w:rStyle w:val="normaltextrun"/>
                <w:rFonts w:asciiTheme="minorHAnsi" w:hAnsiTheme="minorHAnsi" w:cs="Segoe UI"/>
                <w:sz w:val="22"/>
                <w:szCs w:val="22"/>
                <w:lang w:val="en-US"/>
              </w:rPr>
              <w:t>The case ultimately reinforced my belief that safeguarding is not solely about identifying risk but about balancing protection with rights, autonomy and wellbeing. Whilst formal safeguarding procedures were not progressed, the assessment required significant analysis, reflection and professional judgement. These learning points will continue to influence my future social work practice.</w:t>
            </w:r>
            <w:r w:rsidRPr="006D6B13">
              <w:rPr>
                <w:rStyle w:val="eop"/>
                <w:rFonts w:asciiTheme="minorHAnsi" w:hAnsiTheme="minorHAnsi" w:cs="Segoe UI"/>
                <w:sz w:val="22"/>
                <w:szCs w:val="22"/>
              </w:rPr>
              <w:t> </w:t>
            </w:r>
          </w:p>
          <w:p w14:paraId="3B7833CA" w14:textId="5E84BD03"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The case was subsequently discussed through multi-agency safeguarding processes. Police confirmed that no evidence of drug dealing or county lines activity had been identified despite ongoing monitoring. The care agency continued to report positive observations and there were no indications that Service User 2's circumstances had deteriorated. Following discussion, professionals agreed that the threshold for formal safeguarding procedures under Section 126 of the Social Services and Well-being (Wales) Act 2014 had not been met. Instead, ongoing monitoring through routine care management processes was considered a proportionate response.</w:t>
            </w:r>
          </w:p>
          <w:p w14:paraId="0D67A52D" w14:textId="77777777" w:rsidR="00FE56A8" w:rsidRPr="006D6B13" w:rsidRDefault="00FE56A8" w:rsidP="00FE56A8">
            <w:pPr>
              <w:overflowPunct/>
              <w:autoSpaceDE/>
              <w:autoSpaceDN/>
              <w:adjustRightInd/>
              <w:spacing w:line="300" w:lineRule="atLeast"/>
              <w:textAlignment w:val="auto"/>
              <w:rPr>
                <w:rFonts w:asciiTheme="minorHAnsi" w:hAnsiTheme="minorHAnsi" w:cs="Segoe UI"/>
                <w:color w:val="auto"/>
                <w:sz w:val="22"/>
                <w:szCs w:val="22"/>
              </w:rPr>
            </w:pPr>
            <w:r w:rsidRPr="006D6B13">
              <w:rPr>
                <w:rFonts w:asciiTheme="minorHAnsi" w:hAnsiTheme="minorHAnsi" w:cs="Segoe UI"/>
                <w:color w:val="auto"/>
                <w:sz w:val="22"/>
                <w:szCs w:val="22"/>
              </w:rPr>
              <w:t>Building upon these reflections regarding professional judgement, risk and autonomy, the case can also be considered within an international context by comparing safeguarding arrangements in Wales with those operating in Australia.</w:t>
            </w:r>
          </w:p>
          <w:p w14:paraId="5C386C30" w14:textId="77777777" w:rsidR="00FE56A8" w:rsidRPr="006D6B13" w:rsidRDefault="00FE56A8" w:rsidP="00FE56A8">
            <w:pPr>
              <w:overflowPunct/>
              <w:autoSpaceDE/>
              <w:autoSpaceDN/>
              <w:adjustRightInd/>
              <w:spacing w:line="300" w:lineRule="atLeast"/>
              <w:textAlignment w:val="auto"/>
              <w:rPr>
                <w:rFonts w:asciiTheme="minorHAnsi" w:hAnsiTheme="minorHAnsi" w:cs="Segoe UI"/>
                <w:color w:val="auto"/>
                <w:sz w:val="22"/>
                <w:szCs w:val="22"/>
              </w:rPr>
            </w:pPr>
          </w:p>
          <w:p w14:paraId="7B9B5A28" w14:textId="2735E3A4" w:rsidR="00FE56A8" w:rsidRPr="006D6B13" w:rsidRDefault="00FE56A8" w:rsidP="00FE56A8">
            <w:pPr>
              <w:pStyle w:val="NormalWeb"/>
              <w:spacing w:line="300" w:lineRule="atLeast"/>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Whilst both countries seek to protect vulnerable adults from abuse and neglect, Wales </w:t>
            </w:r>
            <w:r w:rsidR="00A86223">
              <w:rPr>
                <w:rFonts w:asciiTheme="minorHAnsi" w:hAnsiTheme="minorHAnsi" w:cstheme="minorHAnsi"/>
                <w:color w:val="auto"/>
                <w:sz w:val="22"/>
                <w:szCs w:val="22"/>
              </w:rPr>
              <w:t>has</w:t>
            </w:r>
            <w:r w:rsidRPr="006D6B13">
              <w:rPr>
                <w:rFonts w:asciiTheme="minorHAnsi" w:hAnsiTheme="minorHAnsi" w:cstheme="minorHAnsi"/>
                <w:color w:val="auto"/>
                <w:sz w:val="22"/>
                <w:szCs w:val="22"/>
              </w:rPr>
              <w:t xml:space="preserve"> a clear framework </w:t>
            </w:r>
            <w:r w:rsidR="00761E8D">
              <w:rPr>
                <w:rFonts w:asciiTheme="minorHAnsi" w:hAnsiTheme="minorHAnsi" w:cstheme="minorHAnsi"/>
                <w:color w:val="auto"/>
                <w:sz w:val="22"/>
                <w:szCs w:val="22"/>
              </w:rPr>
              <w:t>within</w:t>
            </w:r>
            <w:r w:rsidRPr="006D6B13">
              <w:rPr>
                <w:rFonts w:asciiTheme="minorHAnsi" w:hAnsiTheme="minorHAnsi" w:cstheme="minorHAnsi"/>
                <w:color w:val="auto"/>
                <w:sz w:val="22"/>
                <w:szCs w:val="22"/>
              </w:rPr>
              <w:t xml:space="preserve"> the Social Services and Well-being (Wales) Act 2014, which places wellbeing, prevention, voice and control at the centre of practice. Australia does not have a single national adult safeguarding system, with responsibility largely resting with individual states and territories through safeguarding, guardianship and </w:t>
            </w:r>
            <w:r w:rsidRPr="006D6B13">
              <w:rPr>
                <w:rFonts w:asciiTheme="minorHAnsi" w:hAnsiTheme="minorHAnsi" w:cstheme="minorHAnsi"/>
                <w:color w:val="auto"/>
                <w:sz w:val="22"/>
                <w:szCs w:val="22"/>
              </w:rPr>
              <w:lastRenderedPageBreak/>
              <w:t xml:space="preserve">elder abuse legislation. Reforms in Australia have focused on protecting older adults from abuse whilst promoting autonomy and human rights. </w:t>
            </w:r>
          </w:p>
          <w:p w14:paraId="11DE9FE1" w14:textId="05F6B1BC"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Had this case occurred in Australia, there may have been greater emphasis on exploring the potential for elder abuse because concerns centred on a younger family member residing in the home, allegations of drug use and the possibility of financial exploitation. Australian guidance identifies that elder abuse frequently occurs within family relationships and can include financial abuse, psychological abuse, neglect and coercive control. However, similar to Wales, Australian safeguarding approaches recognise that adults with capacity should be supported to make their own decisions wherever possible. The Australian Law Reform Commission argues that safeguarding responses should balance an individual's autonomy with the state's duty to protect those who may be vulnerable to abuse. </w:t>
            </w:r>
          </w:p>
          <w:p w14:paraId="24A82B38" w14:textId="2487B67F"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 xml:space="preserve">In this case, Service User 2 consistently stated that she felt safe, had not experienced financial exploitation, maintained control over her lifestyle and wished for Family Member 4 to remain living in the property. As she demonstrated capacity to make these decisions, it is likely that practitioners in both Wales and Australia would have reached a similar conclusion that the threshold for formal safeguarding intervention had not been met. </w:t>
            </w:r>
            <w:r w:rsidR="0076757F">
              <w:rPr>
                <w:rFonts w:asciiTheme="minorHAnsi" w:hAnsiTheme="minorHAnsi" w:cstheme="minorHAnsi"/>
                <w:color w:val="auto"/>
                <w:sz w:val="22"/>
                <w:szCs w:val="22"/>
              </w:rPr>
              <w:t>However</w:t>
            </w:r>
            <w:r w:rsidRPr="006D6B13">
              <w:rPr>
                <w:rFonts w:asciiTheme="minorHAnsi" w:hAnsiTheme="minorHAnsi" w:cstheme="minorHAnsi"/>
                <w:color w:val="auto"/>
                <w:sz w:val="22"/>
                <w:szCs w:val="22"/>
              </w:rPr>
              <w:t xml:space="preserve">, Australian practitioners may have considered referral to specialist elder abuse services alongside ongoing monitoring and support. This comparison </w:t>
            </w:r>
            <w:r w:rsidR="008D6C9D">
              <w:rPr>
                <w:rFonts w:asciiTheme="minorHAnsi" w:hAnsiTheme="minorHAnsi" w:cstheme="minorHAnsi"/>
                <w:color w:val="auto"/>
                <w:sz w:val="22"/>
                <w:szCs w:val="22"/>
              </w:rPr>
              <w:t>highlights</w:t>
            </w:r>
            <w:r w:rsidRPr="006D6B13">
              <w:rPr>
                <w:rFonts w:asciiTheme="minorHAnsi" w:hAnsiTheme="minorHAnsi" w:cstheme="minorHAnsi"/>
                <w:color w:val="auto"/>
                <w:sz w:val="22"/>
                <w:szCs w:val="22"/>
              </w:rPr>
              <w:t xml:space="preserve"> that despite differing legislative frameworks, both jurisdictions seek to balance protection with </w:t>
            </w:r>
            <w:r w:rsidR="00E12FBD">
              <w:rPr>
                <w:rFonts w:asciiTheme="minorHAnsi" w:hAnsiTheme="minorHAnsi" w:cstheme="minorHAnsi"/>
                <w:color w:val="auto"/>
                <w:sz w:val="22"/>
                <w:szCs w:val="22"/>
              </w:rPr>
              <w:t>a</w:t>
            </w:r>
            <w:r w:rsidR="005D067A">
              <w:rPr>
                <w:rFonts w:asciiTheme="minorHAnsi" w:hAnsiTheme="minorHAnsi" w:cstheme="minorHAnsi"/>
                <w:color w:val="auto"/>
                <w:sz w:val="22"/>
                <w:szCs w:val="22"/>
              </w:rPr>
              <w:t>u</w:t>
            </w:r>
            <w:r w:rsidR="00E12FBD">
              <w:rPr>
                <w:rFonts w:asciiTheme="minorHAnsi" w:hAnsiTheme="minorHAnsi" w:cstheme="minorHAnsi"/>
                <w:color w:val="auto"/>
                <w:sz w:val="22"/>
                <w:szCs w:val="22"/>
              </w:rPr>
              <w:t>tonomy</w:t>
            </w:r>
            <w:r w:rsidRPr="006D6B13">
              <w:rPr>
                <w:rFonts w:asciiTheme="minorHAnsi" w:hAnsiTheme="minorHAnsi" w:cstheme="minorHAnsi"/>
                <w:color w:val="auto"/>
                <w:sz w:val="22"/>
                <w:szCs w:val="22"/>
              </w:rPr>
              <w:t>, dignity and human rights</w:t>
            </w:r>
          </w:p>
          <w:p w14:paraId="628ECAD3" w14:textId="77777777"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Fonts w:asciiTheme="minorHAnsi" w:hAnsiTheme="minorHAnsi" w:cstheme="minorHAnsi"/>
                <w:color w:val="auto"/>
                <w:sz w:val="22"/>
                <w:szCs w:val="22"/>
              </w:rPr>
              <w:t>The case also reinforced the significance of Welsh language provision and culturally responsive practice. By undertaking the assessment in Welsh and recognising the importance of community identity, the process reflected the values underpinning social work in Wales. Most importantly, the case highlighted that safeguarding is not solely about protecting individuals from risk but about supporting them to live safely while maintaining autonomy, dignity and control. As Service User 2 had capacity, strong support networks, effective care arrangements and consistently expressed that she felt safe, the decision not to progress to formal safeguarding procedures was both legally and professionally justified.</w:t>
            </w:r>
          </w:p>
          <w:p w14:paraId="1B07E56F" w14:textId="476F72F9" w:rsidR="00FE56A8" w:rsidRPr="006D6B13" w:rsidRDefault="00FE56A8" w:rsidP="00FE56A8">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2"/>
                <w:szCs w:val="22"/>
              </w:rPr>
            </w:pPr>
            <w:r w:rsidRPr="006D6B13">
              <w:rPr>
                <w:rStyle w:val="normaltextrun"/>
                <w:rFonts w:asciiTheme="minorHAnsi" w:hAnsiTheme="minorHAnsi"/>
                <w:sz w:val="22"/>
                <w:szCs w:val="22"/>
                <w:shd w:val="clear" w:color="auto" w:fill="FFFFFF"/>
                <w:lang w:val="en-US"/>
              </w:rPr>
              <w:t>Whilst there was no evidence that Service User 2 was experiencing abuse or neglect, careful consideration was given to whether the threshold for safeguarding intervention under Section 126 of the Social Services and Well-being (Wales) Act 2014 had been met. As Service User 2 clearly had care and support needs, the assessment focused on whether she was experiencing, or at risk of, abuse or neglect and whether those needs limited her ability to protect herself.</w:t>
            </w:r>
            <w:r w:rsidRPr="006D6B13">
              <w:rPr>
                <w:rStyle w:val="scxw264737598"/>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Pr="006D6B13">
              <w:rPr>
                <w:rStyle w:val="scxw264737598"/>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Pr="006D6B13">
              <w:rPr>
                <w:rStyle w:val="normaltextrun"/>
                <w:rFonts w:asciiTheme="minorHAnsi" w:hAnsiTheme="minorHAnsi"/>
                <w:sz w:val="22"/>
                <w:szCs w:val="22"/>
                <w:shd w:val="clear" w:color="auto" w:fill="FFFFFF"/>
                <w:lang w:val="en-US"/>
              </w:rPr>
              <w:t>Had evidence emerged of abuse, exploitation, coercive control or neglect, a safeguarding enquiry under Part 7 of the Act would have been initiated. This would have involved a multi-agency strategy discussion involving Adult Services, Police, Health, Children's Services and care providers to share information, assess risk and determine necessary protective actions. Potential interventions may have included enhanced monitoring, further police investigation, financial safeguarding enquiries, risk management planning or consideration of alternative accommodation where risks were deemed unmanageable.</w:t>
            </w:r>
            <w:r w:rsidRPr="006D6B13">
              <w:rPr>
                <w:rStyle w:val="scxw264737598"/>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Pr="006D6B13">
              <w:rPr>
                <w:rStyle w:val="scxw264737598"/>
                <w:rFonts w:asciiTheme="minorHAnsi" w:hAnsiTheme="minorHAnsi"/>
                <w:sz w:val="22"/>
                <w:szCs w:val="22"/>
                <w:shd w:val="clear" w:color="auto" w:fill="FFFFFF"/>
              </w:rPr>
              <w:t> </w:t>
            </w:r>
            <w:r w:rsidRPr="006D6B13">
              <w:rPr>
                <w:rFonts w:asciiTheme="minorHAnsi" w:hAnsiTheme="minorHAnsi"/>
                <w:sz w:val="22"/>
                <w:szCs w:val="22"/>
                <w:shd w:val="clear" w:color="auto" w:fill="FFFFFF"/>
              </w:rPr>
              <w:br/>
            </w:r>
            <w:r w:rsidRPr="006D6B13">
              <w:rPr>
                <w:rStyle w:val="normaltextrun"/>
                <w:rFonts w:asciiTheme="minorHAnsi" w:hAnsiTheme="minorHAnsi"/>
                <w:sz w:val="22"/>
                <w:szCs w:val="22"/>
                <w:shd w:val="clear" w:color="auto" w:fill="FFFFFF"/>
                <w:lang w:val="en-US"/>
              </w:rPr>
              <w:t xml:space="preserve">Reflecting on this process strengthened my understanding that safeguarding intervention must remain proportionate, evidence-based and least restrictive. Although concerns existed, the available evidence did not demonstrate that Service User 2 met the statutory definition of an adult at risk. </w:t>
            </w:r>
            <w:r w:rsidR="002F024B">
              <w:rPr>
                <w:rStyle w:val="normaltextrun"/>
                <w:rFonts w:asciiTheme="minorHAnsi" w:hAnsiTheme="minorHAnsi"/>
                <w:sz w:val="22"/>
                <w:szCs w:val="22"/>
                <w:shd w:val="clear" w:color="auto" w:fill="FFFFFF"/>
                <w:lang w:val="en-US"/>
              </w:rPr>
              <w:t>O</w:t>
            </w:r>
            <w:r w:rsidRPr="006D6B13">
              <w:rPr>
                <w:rStyle w:val="normaltextrun"/>
                <w:rFonts w:asciiTheme="minorHAnsi" w:hAnsiTheme="minorHAnsi"/>
                <w:sz w:val="22"/>
                <w:szCs w:val="22"/>
                <w:shd w:val="clear" w:color="auto" w:fill="FFFFFF"/>
                <w:lang w:val="en-US"/>
              </w:rPr>
              <w:t xml:space="preserve">ngoing monitoring </w:t>
            </w:r>
            <w:r w:rsidRPr="006D6B13">
              <w:rPr>
                <w:rStyle w:val="normaltextrun"/>
                <w:rFonts w:asciiTheme="minorHAnsi" w:hAnsiTheme="minorHAnsi"/>
                <w:sz w:val="22"/>
                <w:szCs w:val="22"/>
                <w:shd w:val="clear" w:color="auto" w:fill="FFFFFF"/>
                <w:lang w:val="en-US"/>
              </w:rPr>
              <w:lastRenderedPageBreak/>
              <w:t>through care management processes represented a defensible and proportionate response that balanced safeguarding duties with autonomy and human rights.</w:t>
            </w:r>
          </w:p>
          <w:p w14:paraId="18F99291" w14:textId="702B2CD2" w:rsidR="00FE56A8" w:rsidRPr="006D6B13" w:rsidRDefault="000B65DC" w:rsidP="00FE56A8">
            <w:pPr>
              <w:rPr>
                <w:rFonts w:asciiTheme="minorHAnsi" w:hAnsiTheme="minorHAnsi"/>
                <w:sz w:val="22"/>
                <w:szCs w:val="22"/>
              </w:rPr>
            </w:pPr>
            <w:r>
              <w:rPr>
                <w:rFonts w:asciiTheme="minorHAnsi" w:hAnsiTheme="minorHAnsi"/>
                <w:sz w:val="22"/>
                <w:szCs w:val="22"/>
              </w:rPr>
              <w:t>Word count 4122</w:t>
            </w:r>
          </w:p>
          <w:p w14:paraId="76E5976D" w14:textId="397883D7" w:rsidR="001C4449" w:rsidRPr="001C4449" w:rsidRDefault="001C4449" w:rsidP="00FE56A8">
            <w:pPr>
              <w:pStyle w:val="paragraph"/>
              <w:spacing w:before="0" w:beforeAutospacing="0" w:after="0" w:afterAutospacing="0"/>
              <w:textAlignment w:val="baseline"/>
              <w:rPr>
                <w:rFonts w:ascii="Segoe UI" w:hAnsi="Segoe UI" w:cs="Segoe UI"/>
                <w:sz w:val="21"/>
                <w:szCs w:val="21"/>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A87CA" w14:textId="77777777" w:rsidR="00BA354B" w:rsidRDefault="00BA354B">
      <w:r>
        <w:separator/>
      </w:r>
    </w:p>
  </w:endnote>
  <w:endnote w:type="continuationSeparator" w:id="0">
    <w:p w14:paraId="6E57E7D5" w14:textId="77777777" w:rsidR="00BA354B" w:rsidRDefault="00BA35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65BF66AD" w:rsidR="00A5656A" w:rsidRDefault="00A5656A">
    <w:pPr>
      <w:pStyle w:val="Footer"/>
      <w:jc w:val="right"/>
    </w:pPr>
    <w:r>
      <w:fldChar w:fldCharType="begin"/>
    </w:r>
    <w:r>
      <w:instrText xml:space="preserve"> PAGE   \* MERGEFORMAT </w:instrText>
    </w:r>
    <w:r>
      <w:fldChar w:fldCharType="separate"/>
    </w:r>
    <w:r w:rsidR="00C77A06">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4392A" w14:textId="77777777" w:rsidR="00BA354B" w:rsidRDefault="00BA354B">
      <w:r>
        <w:separator/>
      </w:r>
    </w:p>
  </w:footnote>
  <w:footnote w:type="continuationSeparator" w:id="0">
    <w:p w14:paraId="426C18DA" w14:textId="77777777" w:rsidR="00BA354B" w:rsidRDefault="00BA35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42674718">
    <w:abstractNumId w:val="1"/>
    <w:lvlOverride w:ilvl="0">
      <w:lvl w:ilvl="0">
        <w:start w:val="1"/>
        <w:numFmt w:val="bullet"/>
        <w:lvlText w:val=""/>
        <w:lvlJc w:val="left"/>
        <w:pPr>
          <w:ind w:left="720" w:hanging="360"/>
        </w:pPr>
        <w:rPr>
          <w:rFonts w:ascii="Symbol" w:hAnsi="Symbol" w:hint="default"/>
        </w:rPr>
      </w:lvl>
    </w:lvlOverride>
  </w:num>
  <w:num w:numId="2" w16cid:durableId="2048991137">
    <w:abstractNumId w:val="22"/>
  </w:num>
  <w:num w:numId="3" w16cid:durableId="1454010730">
    <w:abstractNumId w:val="45"/>
  </w:num>
  <w:num w:numId="4" w16cid:durableId="692922852">
    <w:abstractNumId w:val="47"/>
  </w:num>
  <w:num w:numId="5" w16cid:durableId="2003580588">
    <w:abstractNumId w:val="34"/>
  </w:num>
  <w:num w:numId="6" w16cid:durableId="2146123773">
    <w:abstractNumId w:val="32"/>
  </w:num>
  <w:num w:numId="7" w16cid:durableId="834303191">
    <w:abstractNumId w:val="29"/>
  </w:num>
  <w:num w:numId="8" w16cid:durableId="294722511">
    <w:abstractNumId w:val="30"/>
  </w:num>
  <w:num w:numId="9" w16cid:durableId="1931624559">
    <w:abstractNumId w:val="10"/>
  </w:num>
  <w:num w:numId="10" w16cid:durableId="1319504155">
    <w:abstractNumId w:val="33"/>
  </w:num>
  <w:num w:numId="11" w16cid:durableId="1441560858">
    <w:abstractNumId w:val="17"/>
  </w:num>
  <w:num w:numId="12" w16cid:durableId="893807287">
    <w:abstractNumId w:val="16"/>
  </w:num>
  <w:num w:numId="13" w16cid:durableId="2125271083">
    <w:abstractNumId w:val="27"/>
  </w:num>
  <w:num w:numId="14" w16cid:durableId="1257594857">
    <w:abstractNumId w:val="8"/>
  </w:num>
  <w:num w:numId="15" w16cid:durableId="763190012">
    <w:abstractNumId w:val="26"/>
  </w:num>
  <w:num w:numId="16" w16cid:durableId="2033069398">
    <w:abstractNumId w:val="15"/>
  </w:num>
  <w:num w:numId="17" w16cid:durableId="236138698">
    <w:abstractNumId w:val="13"/>
  </w:num>
  <w:num w:numId="18" w16cid:durableId="116057970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24676237">
    <w:abstractNumId w:val="23"/>
  </w:num>
  <w:num w:numId="20" w16cid:durableId="803618337">
    <w:abstractNumId w:val="18"/>
  </w:num>
  <w:num w:numId="21" w16cid:durableId="981495258">
    <w:abstractNumId w:val="14"/>
  </w:num>
  <w:num w:numId="22" w16cid:durableId="516308437">
    <w:abstractNumId w:val="11"/>
  </w:num>
  <w:num w:numId="23" w16cid:durableId="1233202838">
    <w:abstractNumId w:val="28"/>
  </w:num>
  <w:num w:numId="24" w16cid:durableId="1753818561">
    <w:abstractNumId w:val="19"/>
  </w:num>
  <w:num w:numId="25" w16cid:durableId="1469979455">
    <w:abstractNumId w:val="41"/>
  </w:num>
  <w:num w:numId="26" w16cid:durableId="1669626660">
    <w:abstractNumId w:val="35"/>
  </w:num>
  <w:num w:numId="27" w16cid:durableId="440147076">
    <w:abstractNumId w:val="40"/>
  </w:num>
  <w:num w:numId="28" w16cid:durableId="261839982">
    <w:abstractNumId w:val="20"/>
  </w:num>
  <w:num w:numId="29" w16cid:durableId="699748891">
    <w:abstractNumId w:val="43"/>
  </w:num>
  <w:num w:numId="30" w16cid:durableId="1487821657">
    <w:abstractNumId w:val="31"/>
  </w:num>
  <w:num w:numId="31" w16cid:durableId="898831455">
    <w:abstractNumId w:val="12"/>
  </w:num>
  <w:num w:numId="32" w16cid:durableId="1337414910">
    <w:abstractNumId w:val="44"/>
  </w:num>
  <w:num w:numId="33" w16cid:durableId="1567688156">
    <w:abstractNumId w:val="39"/>
  </w:num>
  <w:num w:numId="34" w16cid:durableId="1577785644">
    <w:abstractNumId w:val="5"/>
  </w:num>
  <w:num w:numId="35" w16cid:durableId="1982880642">
    <w:abstractNumId w:val="46"/>
  </w:num>
  <w:num w:numId="36" w16cid:durableId="1278609363">
    <w:abstractNumId w:val="42"/>
  </w:num>
  <w:num w:numId="37" w16cid:durableId="1886604256">
    <w:abstractNumId w:val="36"/>
  </w:num>
  <w:num w:numId="38" w16cid:durableId="1650283858">
    <w:abstractNumId w:val="37"/>
  </w:num>
  <w:num w:numId="39" w16cid:durableId="1568762604">
    <w:abstractNumId w:val="4"/>
  </w:num>
  <w:num w:numId="40" w16cid:durableId="687371826">
    <w:abstractNumId w:val="6"/>
  </w:num>
  <w:num w:numId="41" w16cid:durableId="395784637">
    <w:abstractNumId w:val="25"/>
  </w:num>
  <w:num w:numId="42" w16cid:durableId="641542934">
    <w:abstractNumId w:val="7"/>
  </w:num>
  <w:num w:numId="43" w16cid:durableId="385877185">
    <w:abstractNumId w:val="3"/>
  </w:num>
  <w:num w:numId="44" w16cid:durableId="1827277444">
    <w:abstractNumId w:val="38"/>
  </w:num>
  <w:num w:numId="45" w16cid:durableId="1920433874">
    <w:abstractNumId w:val="0"/>
  </w:num>
  <w:num w:numId="46" w16cid:durableId="1342274555">
    <w:abstractNumId w:val="14"/>
  </w:num>
  <w:num w:numId="47" w16cid:durableId="410657982">
    <w:abstractNumId w:val="48"/>
  </w:num>
  <w:num w:numId="48" w16cid:durableId="180932036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588392169">
    <w:abstractNumId w:val="11"/>
  </w:num>
  <w:num w:numId="50" w16cid:durableId="686298604">
    <w:abstractNumId w:val="28"/>
  </w:num>
  <w:num w:numId="51" w16cid:durableId="828012561">
    <w:abstractNumId w:val="24"/>
  </w:num>
  <w:num w:numId="52" w16cid:durableId="1147742671">
    <w:abstractNumId w:val="21"/>
  </w:num>
  <w:num w:numId="53" w16cid:durableId="515928831">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B8B"/>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0CE"/>
    <w:rsid w:val="00074461"/>
    <w:rsid w:val="000766EC"/>
    <w:rsid w:val="00080E58"/>
    <w:rsid w:val="00083D99"/>
    <w:rsid w:val="00084DA6"/>
    <w:rsid w:val="00085699"/>
    <w:rsid w:val="00090160"/>
    <w:rsid w:val="00091F52"/>
    <w:rsid w:val="000925E7"/>
    <w:rsid w:val="00092970"/>
    <w:rsid w:val="00093720"/>
    <w:rsid w:val="000938E6"/>
    <w:rsid w:val="00093B3C"/>
    <w:rsid w:val="0009488C"/>
    <w:rsid w:val="00095C1B"/>
    <w:rsid w:val="00096DEA"/>
    <w:rsid w:val="00097E49"/>
    <w:rsid w:val="000A4240"/>
    <w:rsid w:val="000A469A"/>
    <w:rsid w:val="000A584A"/>
    <w:rsid w:val="000A5DA0"/>
    <w:rsid w:val="000A5F81"/>
    <w:rsid w:val="000A6458"/>
    <w:rsid w:val="000B0D8B"/>
    <w:rsid w:val="000B65DC"/>
    <w:rsid w:val="000B7ED4"/>
    <w:rsid w:val="000C249D"/>
    <w:rsid w:val="000C378F"/>
    <w:rsid w:val="000C6892"/>
    <w:rsid w:val="000C6FFE"/>
    <w:rsid w:val="000D0BB6"/>
    <w:rsid w:val="000D2ED2"/>
    <w:rsid w:val="000D6653"/>
    <w:rsid w:val="000E0D51"/>
    <w:rsid w:val="000E26B0"/>
    <w:rsid w:val="000E37C2"/>
    <w:rsid w:val="000E38C3"/>
    <w:rsid w:val="000F1599"/>
    <w:rsid w:val="000F1769"/>
    <w:rsid w:val="000F1A97"/>
    <w:rsid w:val="000F1BB3"/>
    <w:rsid w:val="000F42AE"/>
    <w:rsid w:val="000F6196"/>
    <w:rsid w:val="000F6BC3"/>
    <w:rsid w:val="0010112B"/>
    <w:rsid w:val="0010312C"/>
    <w:rsid w:val="00104A53"/>
    <w:rsid w:val="00105026"/>
    <w:rsid w:val="0010662B"/>
    <w:rsid w:val="00106B01"/>
    <w:rsid w:val="00106DC7"/>
    <w:rsid w:val="00112391"/>
    <w:rsid w:val="00114F52"/>
    <w:rsid w:val="00130119"/>
    <w:rsid w:val="00132812"/>
    <w:rsid w:val="001347F8"/>
    <w:rsid w:val="001359EE"/>
    <w:rsid w:val="00136AA7"/>
    <w:rsid w:val="00137BB5"/>
    <w:rsid w:val="00137E05"/>
    <w:rsid w:val="001447F6"/>
    <w:rsid w:val="00147DE3"/>
    <w:rsid w:val="00150794"/>
    <w:rsid w:val="00151DA6"/>
    <w:rsid w:val="001608C4"/>
    <w:rsid w:val="00164832"/>
    <w:rsid w:val="001669E4"/>
    <w:rsid w:val="00171418"/>
    <w:rsid w:val="001772BF"/>
    <w:rsid w:val="001772DE"/>
    <w:rsid w:val="00185DBC"/>
    <w:rsid w:val="0019496C"/>
    <w:rsid w:val="001961CF"/>
    <w:rsid w:val="0019694B"/>
    <w:rsid w:val="00197A41"/>
    <w:rsid w:val="001A4242"/>
    <w:rsid w:val="001A59BB"/>
    <w:rsid w:val="001A607E"/>
    <w:rsid w:val="001A6A51"/>
    <w:rsid w:val="001A76F8"/>
    <w:rsid w:val="001A79C4"/>
    <w:rsid w:val="001B331A"/>
    <w:rsid w:val="001B533A"/>
    <w:rsid w:val="001C0237"/>
    <w:rsid w:val="001C0E74"/>
    <w:rsid w:val="001C4449"/>
    <w:rsid w:val="001C4DB8"/>
    <w:rsid w:val="001C50B8"/>
    <w:rsid w:val="001C73D5"/>
    <w:rsid w:val="001D229F"/>
    <w:rsid w:val="001E2EB6"/>
    <w:rsid w:val="001F0586"/>
    <w:rsid w:val="001F4552"/>
    <w:rsid w:val="002019EB"/>
    <w:rsid w:val="00204B58"/>
    <w:rsid w:val="00205051"/>
    <w:rsid w:val="00211F65"/>
    <w:rsid w:val="00212371"/>
    <w:rsid w:val="00214047"/>
    <w:rsid w:val="00216563"/>
    <w:rsid w:val="00216F35"/>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1848"/>
    <w:rsid w:val="002737A9"/>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BC0"/>
    <w:rsid w:val="002C2536"/>
    <w:rsid w:val="002C256A"/>
    <w:rsid w:val="002C3031"/>
    <w:rsid w:val="002C324F"/>
    <w:rsid w:val="002C4233"/>
    <w:rsid w:val="002C496D"/>
    <w:rsid w:val="002D05EB"/>
    <w:rsid w:val="002D11A8"/>
    <w:rsid w:val="002D2F29"/>
    <w:rsid w:val="002D46C0"/>
    <w:rsid w:val="002D5A92"/>
    <w:rsid w:val="002D65D2"/>
    <w:rsid w:val="002D6B31"/>
    <w:rsid w:val="002E6D17"/>
    <w:rsid w:val="002E7017"/>
    <w:rsid w:val="002E7F2C"/>
    <w:rsid w:val="002F024B"/>
    <w:rsid w:val="002F1FC7"/>
    <w:rsid w:val="002F2185"/>
    <w:rsid w:val="002F2B6D"/>
    <w:rsid w:val="002F4F6E"/>
    <w:rsid w:val="002F72AA"/>
    <w:rsid w:val="003015C3"/>
    <w:rsid w:val="00301743"/>
    <w:rsid w:val="003106DB"/>
    <w:rsid w:val="0031350A"/>
    <w:rsid w:val="00316815"/>
    <w:rsid w:val="003168CA"/>
    <w:rsid w:val="00321255"/>
    <w:rsid w:val="0032230D"/>
    <w:rsid w:val="00322A0B"/>
    <w:rsid w:val="00330881"/>
    <w:rsid w:val="00331CD2"/>
    <w:rsid w:val="00332426"/>
    <w:rsid w:val="003332B3"/>
    <w:rsid w:val="00335C41"/>
    <w:rsid w:val="00335FC5"/>
    <w:rsid w:val="0033771E"/>
    <w:rsid w:val="00337FEF"/>
    <w:rsid w:val="00354B6D"/>
    <w:rsid w:val="00355210"/>
    <w:rsid w:val="00355CFD"/>
    <w:rsid w:val="0036402A"/>
    <w:rsid w:val="00365DF9"/>
    <w:rsid w:val="0037066E"/>
    <w:rsid w:val="00372DB4"/>
    <w:rsid w:val="00373A36"/>
    <w:rsid w:val="0037419E"/>
    <w:rsid w:val="00375AF5"/>
    <w:rsid w:val="003761BD"/>
    <w:rsid w:val="00376D1A"/>
    <w:rsid w:val="00377448"/>
    <w:rsid w:val="00377884"/>
    <w:rsid w:val="003826BD"/>
    <w:rsid w:val="00385414"/>
    <w:rsid w:val="003867D8"/>
    <w:rsid w:val="00390074"/>
    <w:rsid w:val="00391992"/>
    <w:rsid w:val="00392F73"/>
    <w:rsid w:val="00393600"/>
    <w:rsid w:val="0039762B"/>
    <w:rsid w:val="003A0C37"/>
    <w:rsid w:val="003A1B6B"/>
    <w:rsid w:val="003A46C0"/>
    <w:rsid w:val="003A600E"/>
    <w:rsid w:val="003A6513"/>
    <w:rsid w:val="003B16C7"/>
    <w:rsid w:val="003B29BC"/>
    <w:rsid w:val="003B3115"/>
    <w:rsid w:val="003C1770"/>
    <w:rsid w:val="003C19F1"/>
    <w:rsid w:val="003C3C67"/>
    <w:rsid w:val="003C4186"/>
    <w:rsid w:val="003C6185"/>
    <w:rsid w:val="003D0D2D"/>
    <w:rsid w:val="003D1885"/>
    <w:rsid w:val="003D1BC0"/>
    <w:rsid w:val="003D20F1"/>
    <w:rsid w:val="003D4710"/>
    <w:rsid w:val="003D50A9"/>
    <w:rsid w:val="003E16D7"/>
    <w:rsid w:val="003E197E"/>
    <w:rsid w:val="003E4B70"/>
    <w:rsid w:val="003E54CF"/>
    <w:rsid w:val="003E5FBA"/>
    <w:rsid w:val="003F1233"/>
    <w:rsid w:val="003F1AE7"/>
    <w:rsid w:val="003F67A4"/>
    <w:rsid w:val="004001E5"/>
    <w:rsid w:val="00400786"/>
    <w:rsid w:val="00401FDA"/>
    <w:rsid w:val="004046F0"/>
    <w:rsid w:val="0040668F"/>
    <w:rsid w:val="00411EF7"/>
    <w:rsid w:val="00412677"/>
    <w:rsid w:val="00425160"/>
    <w:rsid w:val="00430DE3"/>
    <w:rsid w:val="004348AE"/>
    <w:rsid w:val="004376C0"/>
    <w:rsid w:val="00437936"/>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1A3D"/>
    <w:rsid w:val="00482C17"/>
    <w:rsid w:val="00484CE3"/>
    <w:rsid w:val="00486039"/>
    <w:rsid w:val="004911B4"/>
    <w:rsid w:val="0049196A"/>
    <w:rsid w:val="004923DA"/>
    <w:rsid w:val="00492EEB"/>
    <w:rsid w:val="00493434"/>
    <w:rsid w:val="004968E2"/>
    <w:rsid w:val="004A2A49"/>
    <w:rsid w:val="004A5A64"/>
    <w:rsid w:val="004B0E6D"/>
    <w:rsid w:val="004B5553"/>
    <w:rsid w:val="004B600B"/>
    <w:rsid w:val="004B6822"/>
    <w:rsid w:val="004B69F6"/>
    <w:rsid w:val="004C2D3A"/>
    <w:rsid w:val="004D03C4"/>
    <w:rsid w:val="004D0BF1"/>
    <w:rsid w:val="004D0F4E"/>
    <w:rsid w:val="004D3278"/>
    <w:rsid w:val="004D35A4"/>
    <w:rsid w:val="004D445F"/>
    <w:rsid w:val="004E087B"/>
    <w:rsid w:val="004E44A4"/>
    <w:rsid w:val="004E6A8B"/>
    <w:rsid w:val="004E7B8B"/>
    <w:rsid w:val="004E7BDD"/>
    <w:rsid w:val="004F0D6A"/>
    <w:rsid w:val="004F1966"/>
    <w:rsid w:val="004F1E21"/>
    <w:rsid w:val="004F2542"/>
    <w:rsid w:val="004F4E33"/>
    <w:rsid w:val="004F740D"/>
    <w:rsid w:val="004F7B8F"/>
    <w:rsid w:val="00500748"/>
    <w:rsid w:val="005011D6"/>
    <w:rsid w:val="00502A14"/>
    <w:rsid w:val="00503456"/>
    <w:rsid w:val="005042F1"/>
    <w:rsid w:val="0050481B"/>
    <w:rsid w:val="005113D4"/>
    <w:rsid w:val="0051287D"/>
    <w:rsid w:val="00513C7D"/>
    <w:rsid w:val="00521123"/>
    <w:rsid w:val="00521221"/>
    <w:rsid w:val="0052250B"/>
    <w:rsid w:val="005305C6"/>
    <w:rsid w:val="005365CC"/>
    <w:rsid w:val="00536DAF"/>
    <w:rsid w:val="00540EEC"/>
    <w:rsid w:val="005414F4"/>
    <w:rsid w:val="00545162"/>
    <w:rsid w:val="00546187"/>
    <w:rsid w:val="0054746F"/>
    <w:rsid w:val="00547B11"/>
    <w:rsid w:val="00557D77"/>
    <w:rsid w:val="00562EAA"/>
    <w:rsid w:val="00563A6E"/>
    <w:rsid w:val="00563B58"/>
    <w:rsid w:val="005640C4"/>
    <w:rsid w:val="0056684C"/>
    <w:rsid w:val="00574A0C"/>
    <w:rsid w:val="0057780F"/>
    <w:rsid w:val="00581E0A"/>
    <w:rsid w:val="00583A40"/>
    <w:rsid w:val="00586D89"/>
    <w:rsid w:val="005877C8"/>
    <w:rsid w:val="00587923"/>
    <w:rsid w:val="00587B41"/>
    <w:rsid w:val="0059213A"/>
    <w:rsid w:val="00594F9F"/>
    <w:rsid w:val="005A1B4C"/>
    <w:rsid w:val="005A545C"/>
    <w:rsid w:val="005A6D89"/>
    <w:rsid w:val="005B271A"/>
    <w:rsid w:val="005B3A2D"/>
    <w:rsid w:val="005B3E83"/>
    <w:rsid w:val="005B66CD"/>
    <w:rsid w:val="005B7467"/>
    <w:rsid w:val="005C1567"/>
    <w:rsid w:val="005C28D3"/>
    <w:rsid w:val="005C4F5B"/>
    <w:rsid w:val="005C6CE5"/>
    <w:rsid w:val="005D067A"/>
    <w:rsid w:val="005D3F07"/>
    <w:rsid w:val="005D4A1E"/>
    <w:rsid w:val="005D4F72"/>
    <w:rsid w:val="005E13EA"/>
    <w:rsid w:val="005E17F1"/>
    <w:rsid w:val="005F64AA"/>
    <w:rsid w:val="005F7851"/>
    <w:rsid w:val="006004E6"/>
    <w:rsid w:val="00606E27"/>
    <w:rsid w:val="006108C9"/>
    <w:rsid w:val="00614DF7"/>
    <w:rsid w:val="0061526C"/>
    <w:rsid w:val="006179BB"/>
    <w:rsid w:val="0062158D"/>
    <w:rsid w:val="006223FD"/>
    <w:rsid w:val="006279DB"/>
    <w:rsid w:val="006326D1"/>
    <w:rsid w:val="00632E0A"/>
    <w:rsid w:val="00633165"/>
    <w:rsid w:val="00641515"/>
    <w:rsid w:val="006447DE"/>
    <w:rsid w:val="00644889"/>
    <w:rsid w:val="0065276E"/>
    <w:rsid w:val="00654329"/>
    <w:rsid w:val="00654CEC"/>
    <w:rsid w:val="00655507"/>
    <w:rsid w:val="006579FD"/>
    <w:rsid w:val="006635E3"/>
    <w:rsid w:val="006669F3"/>
    <w:rsid w:val="006712A7"/>
    <w:rsid w:val="00672CED"/>
    <w:rsid w:val="00673D21"/>
    <w:rsid w:val="00674FC2"/>
    <w:rsid w:val="00676E35"/>
    <w:rsid w:val="00677E42"/>
    <w:rsid w:val="00682334"/>
    <w:rsid w:val="00682841"/>
    <w:rsid w:val="00684732"/>
    <w:rsid w:val="00684B16"/>
    <w:rsid w:val="00687016"/>
    <w:rsid w:val="006872A0"/>
    <w:rsid w:val="0069043D"/>
    <w:rsid w:val="0069625A"/>
    <w:rsid w:val="00696A88"/>
    <w:rsid w:val="00696F65"/>
    <w:rsid w:val="00697572"/>
    <w:rsid w:val="006A6ECA"/>
    <w:rsid w:val="006B4496"/>
    <w:rsid w:val="006B5E67"/>
    <w:rsid w:val="006B6612"/>
    <w:rsid w:val="006C1D71"/>
    <w:rsid w:val="006C2EB5"/>
    <w:rsid w:val="006D18A3"/>
    <w:rsid w:val="006D5970"/>
    <w:rsid w:val="006E0A51"/>
    <w:rsid w:val="006E481E"/>
    <w:rsid w:val="006E795F"/>
    <w:rsid w:val="006F0862"/>
    <w:rsid w:val="006F1438"/>
    <w:rsid w:val="006F2A9E"/>
    <w:rsid w:val="006F5ED3"/>
    <w:rsid w:val="00700249"/>
    <w:rsid w:val="00701A9A"/>
    <w:rsid w:val="00704505"/>
    <w:rsid w:val="007069CD"/>
    <w:rsid w:val="00706BB5"/>
    <w:rsid w:val="00706DCC"/>
    <w:rsid w:val="0071231A"/>
    <w:rsid w:val="00712E90"/>
    <w:rsid w:val="00713B7E"/>
    <w:rsid w:val="00714A57"/>
    <w:rsid w:val="00716585"/>
    <w:rsid w:val="0071798A"/>
    <w:rsid w:val="0072678F"/>
    <w:rsid w:val="007276E5"/>
    <w:rsid w:val="00727C4C"/>
    <w:rsid w:val="00730086"/>
    <w:rsid w:val="00734809"/>
    <w:rsid w:val="0073714E"/>
    <w:rsid w:val="007374EF"/>
    <w:rsid w:val="007406E1"/>
    <w:rsid w:val="00743E40"/>
    <w:rsid w:val="00745016"/>
    <w:rsid w:val="00746D02"/>
    <w:rsid w:val="0075031F"/>
    <w:rsid w:val="00750BA1"/>
    <w:rsid w:val="00751263"/>
    <w:rsid w:val="007544FC"/>
    <w:rsid w:val="00755427"/>
    <w:rsid w:val="00756548"/>
    <w:rsid w:val="0075673A"/>
    <w:rsid w:val="0075704F"/>
    <w:rsid w:val="00757EDA"/>
    <w:rsid w:val="00761E8D"/>
    <w:rsid w:val="00763B2D"/>
    <w:rsid w:val="00764C84"/>
    <w:rsid w:val="0076757F"/>
    <w:rsid w:val="007710AD"/>
    <w:rsid w:val="00771DC7"/>
    <w:rsid w:val="00772924"/>
    <w:rsid w:val="0078112D"/>
    <w:rsid w:val="007872F2"/>
    <w:rsid w:val="007873F9"/>
    <w:rsid w:val="007908E0"/>
    <w:rsid w:val="00793EB3"/>
    <w:rsid w:val="00794205"/>
    <w:rsid w:val="0079422A"/>
    <w:rsid w:val="007944D1"/>
    <w:rsid w:val="00795C56"/>
    <w:rsid w:val="007A1F6A"/>
    <w:rsid w:val="007A3B79"/>
    <w:rsid w:val="007A628F"/>
    <w:rsid w:val="007A7476"/>
    <w:rsid w:val="007B0DE3"/>
    <w:rsid w:val="007B1BFD"/>
    <w:rsid w:val="007B7191"/>
    <w:rsid w:val="007C1D94"/>
    <w:rsid w:val="007C556F"/>
    <w:rsid w:val="007C5ABE"/>
    <w:rsid w:val="007C6A87"/>
    <w:rsid w:val="007D0A07"/>
    <w:rsid w:val="007D0F11"/>
    <w:rsid w:val="007D133D"/>
    <w:rsid w:val="007D3EB4"/>
    <w:rsid w:val="007D3F16"/>
    <w:rsid w:val="007D6E57"/>
    <w:rsid w:val="007F10BD"/>
    <w:rsid w:val="007F312E"/>
    <w:rsid w:val="007F3F7E"/>
    <w:rsid w:val="007F4BA4"/>
    <w:rsid w:val="0080693A"/>
    <w:rsid w:val="00813CEC"/>
    <w:rsid w:val="0081534C"/>
    <w:rsid w:val="00816CE7"/>
    <w:rsid w:val="008171E4"/>
    <w:rsid w:val="008208EA"/>
    <w:rsid w:val="00822B44"/>
    <w:rsid w:val="00824C9F"/>
    <w:rsid w:val="00824E67"/>
    <w:rsid w:val="00825A64"/>
    <w:rsid w:val="00826F0F"/>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7DA"/>
    <w:rsid w:val="0085230E"/>
    <w:rsid w:val="008550A1"/>
    <w:rsid w:val="00861038"/>
    <w:rsid w:val="00865B58"/>
    <w:rsid w:val="00866B50"/>
    <w:rsid w:val="00867A63"/>
    <w:rsid w:val="008708F1"/>
    <w:rsid w:val="00871960"/>
    <w:rsid w:val="0087369F"/>
    <w:rsid w:val="00880539"/>
    <w:rsid w:val="008859E8"/>
    <w:rsid w:val="0088737B"/>
    <w:rsid w:val="00891078"/>
    <w:rsid w:val="00891924"/>
    <w:rsid w:val="00892716"/>
    <w:rsid w:val="00893067"/>
    <w:rsid w:val="008933DE"/>
    <w:rsid w:val="00895FCE"/>
    <w:rsid w:val="00897F3E"/>
    <w:rsid w:val="008A21B4"/>
    <w:rsid w:val="008B00EF"/>
    <w:rsid w:val="008B07DE"/>
    <w:rsid w:val="008B1309"/>
    <w:rsid w:val="008B28E7"/>
    <w:rsid w:val="008B67F6"/>
    <w:rsid w:val="008C14C7"/>
    <w:rsid w:val="008C2FFB"/>
    <w:rsid w:val="008C633F"/>
    <w:rsid w:val="008C6EEA"/>
    <w:rsid w:val="008C7770"/>
    <w:rsid w:val="008C79C7"/>
    <w:rsid w:val="008D03B0"/>
    <w:rsid w:val="008D2150"/>
    <w:rsid w:val="008D3566"/>
    <w:rsid w:val="008D48B0"/>
    <w:rsid w:val="008D5813"/>
    <w:rsid w:val="008D5999"/>
    <w:rsid w:val="008D634E"/>
    <w:rsid w:val="008D6C9D"/>
    <w:rsid w:val="008D74F8"/>
    <w:rsid w:val="008D778A"/>
    <w:rsid w:val="008D78C9"/>
    <w:rsid w:val="008E3195"/>
    <w:rsid w:val="008E5A35"/>
    <w:rsid w:val="008F127E"/>
    <w:rsid w:val="008F32D9"/>
    <w:rsid w:val="00902A65"/>
    <w:rsid w:val="00903932"/>
    <w:rsid w:val="00906D2D"/>
    <w:rsid w:val="009079BD"/>
    <w:rsid w:val="00912BD9"/>
    <w:rsid w:val="00916FB2"/>
    <w:rsid w:val="00920E5B"/>
    <w:rsid w:val="00926436"/>
    <w:rsid w:val="00926C53"/>
    <w:rsid w:val="0093018C"/>
    <w:rsid w:val="00940975"/>
    <w:rsid w:val="0094495F"/>
    <w:rsid w:val="0095133D"/>
    <w:rsid w:val="009544C0"/>
    <w:rsid w:val="00954FA4"/>
    <w:rsid w:val="00956AE9"/>
    <w:rsid w:val="00964CC6"/>
    <w:rsid w:val="00967BFA"/>
    <w:rsid w:val="0098262C"/>
    <w:rsid w:val="0098427C"/>
    <w:rsid w:val="00986B43"/>
    <w:rsid w:val="00986C0B"/>
    <w:rsid w:val="00986D46"/>
    <w:rsid w:val="00991FDA"/>
    <w:rsid w:val="00992ACA"/>
    <w:rsid w:val="00996596"/>
    <w:rsid w:val="00997218"/>
    <w:rsid w:val="00997D7B"/>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152"/>
    <w:rsid w:val="009E4D2C"/>
    <w:rsid w:val="009F0978"/>
    <w:rsid w:val="009F3AEC"/>
    <w:rsid w:val="009F6801"/>
    <w:rsid w:val="00A00081"/>
    <w:rsid w:val="00A06422"/>
    <w:rsid w:val="00A10D56"/>
    <w:rsid w:val="00A11E0D"/>
    <w:rsid w:val="00A12AAE"/>
    <w:rsid w:val="00A12F22"/>
    <w:rsid w:val="00A16DD1"/>
    <w:rsid w:val="00A21DFE"/>
    <w:rsid w:val="00A22441"/>
    <w:rsid w:val="00A23F3B"/>
    <w:rsid w:val="00A24406"/>
    <w:rsid w:val="00A24F70"/>
    <w:rsid w:val="00A25F64"/>
    <w:rsid w:val="00A275F6"/>
    <w:rsid w:val="00A303B9"/>
    <w:rsid w:val="00A37416"/>
    <w:rsid w:val="00A40597"/>
    <w:rsid w:val="00A40ED6"/>
    <w:rsid w:val="00A43841"/>
    <w:rsid w:val="00A47621"/>
    <w:rsid w:val="00A479CD"/>
    <w:rsid w:val="00A50CFC"/>
    <w:rsid w:val="00A51766"/>
    <w:rsid w:val="00A53469"/>
    <w:rsid w:val="00A54D67"/>
    <w:rsid w:val="00A55A3F"/>
    <w:rsid w:val="00A5656A"/>
    <w:rsid w:val="00A60103"/>
    <w:rsid w:val="00A652F6"/>
    <w:rsid w:val="00A65861"/>
    <w:rsid w:val="00A732EA"/>
    <w:rsid w:val="00A7489E"/>
    <w:rsid w:val="00A76CB3"/>
    <w:rsid w:val="00A8015F"/>
    <w:rsid w:val="00A85039"/>
    <w:rsid w:val="00A86223"/>
    <w:rsid w:val="00A906AA"/>
    <w:rsid w:val="00A94C5E"/>
    <w:rsid w:val="00AA252C"/>
    <w:rsid w:val="00AA3D1A"/>
    <w:rsid w:val="00AA666D"/>
    <w:rsid w:val="00AA666E"/>
    <w:rsid w:val="00AA7960"/>
    <w:rsid w:val="00AB5518"/>
    <w:rsid w:val="00AC2B33"/>
    <w:rsid w:val="00AC3A0E"/>
    <w:rsid w:val="00AC4A04"/>
    <w:rsid w:val="00AC5679"/>
    <w:rsid w:val="00AD0FC5"/>
    <w:rsid w:val="00AD2894"/>
    <w:rsid w:val="00AD336F"/>
    <w:rsid w:val="00AE134C"/>
    <w:rsid w:val="00AE1868"/>
    <w:rsid w:val="00AE2564"/>
    <w:rsid w:val="00AE301F"/>
    <w:rsid w:val="00AE3302"/>
    <w:rsid w:val="00AE5BA6"/>
    <w:rsid w:val="00AE6231"/>
    <w:rsid w:val="00AE7077"/>
    <w:rsid w:val="00AF61C2"/>
    <w:rsid w:val="00AF6CC6"/>
    <w:rsid w:val="00B00F35"/>
    <w:rsid w:val="00B0296A"/>
    <w:rsid w:val="00B037B0"/>
    <w:rsid w:val="00B03AAF"/>
    <w:rsid w:val="00B07E79"/>
    <w:rsid w:val="00B12295"/>
    <w:rsid w:val="00B137BE"/>
    <w:rsid w:val="00B15998"/>
    <w:rsid w:val="00B17FA0"/>
    <w:rsid w:val="00B221C2"/>
    <w:rsid w:val="00B2292C"/>
    <w:rsid w:val="00B22C3C"/>
    <w:rsid w:val="00B24344"/>
    <w:rsid w:val="00B26769"/>
    <w:rsid w:val="00B2754B"/>
    <w:rsid w:val="00B310C5"/>
    <w:rsid w:val="00B31C91"/>
    <w:rsid w:val="00B3747F"/>
    <w:rsid w:val="00B37DBC"/>
    <w:rsid w:val="00B42E76"/>
    <w:rsid w:val="00B43194"/>
    <w:rsid w:val="00B436BF"/>
    <w:rsid w:val="00B47734"/>
    <w:rsid w:val="00B50FBA"/>
    <w:rsid w:val="00B558EB"/>
    <w:rsid w:val="00B577D3"/>
    <w:rsid w:val="00B60466"/>
    <w:rsid w:val="00B6548F"/>
    <w:rsid w:val="00B71A32"/>
    <w:rsid w:val="00B72C13"/>
    <w:rsid w:val="00B7502A"/>
    <w:rsid w:val="00B77305"/>
    <w:rsid w:val="00B774BD"/>
    <w:rsid w:val="00B80AD1"/>
    <w:rsid w:val="00B82CC2"/>
    <w:rsid w:val="00B843E5"/>
    <w:rsid w:val="00B84A89"/>
    <w:rsid w:val="00B9256C"/>
    <w:rsid w:val="00B92BEF"/>
    <w:rsid w:val="00B94443"/>
    <w:rsid w:val="00B9689A"/>
    <w:rsid w:val="00B97056"/>
    <w:rsid w:val="00B97793"/>
    <w:rsid w:val="00BA354B"/>
    <w:rsid w:val="00BA531E"/>
    <w:rsid w:val="00BA728B"/>
    <w:rsid w:val="00BB0628"/>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687"/>
    <w:rsid w:val="00BE0F7B"/>
    <w:rsid w:val="00BE10C2"/>
    <w:rsid w:val="00BF0D6C"/>
    <w:rsid w:val="00C01D14"/>
    <w:rsid w:val="00C01D97"/>
    <w:rsid w:val="00C025B4"/>
    <w:rsid w:val="00C029EC"/>
    <w:rsid w:val="00C12170"/>
    <w:rsid w:val="00C12F5E"/>
    <w:rsid w:val="00C16146"/>
    <w:rsid w:val="00C161FD"/>
    <w:rsid w:val="00C17C9F"/>
    <w:rsid w:val="00C23F17"/>
    <w:rsid w:val="00C246F2"/>
    <w:rsid w:val="00C24CD2"/>
    <w:rsid w:val="00C25519"/>
    <w:rsid w:val="00C26D0D"/>
    <w:rsid w:val="00C27C95"/>
    <w:rsid w:val="00C300D2"/>
    <w:rsid w:val="00C3270F"/>
    <w:rsid w:val="00C3278B"/>
    <w:rsid w:val="00C33375"/>
    <w:rsid w:val="00C34C23"/>
    <w:rsid w:val="00C368FA"/>
    <w:rsid w:val="00C4047E"/>
    <w:rsid w:val="00C42005"/>
    <w:rsid w:val="00C4664D"/>
    <w:rsid w:val="00C46FA1"/>
    <w:rsid w:val="00C472AA"/>
    <w:rsid w:val="00C50A05"/>
    <w:rsid w:val="00C54AED"/>
    <w:rsid w:val="00C555FC"/>
    <w:rsid w:val="00C55E9B"/>
    <w:rsid w:val="00C567C3"/>
    <w:rsid w:val="00C56D09"/>
    <w:rsid w:val="00C57D24"/>
    <w:rsid w:val="00C604D6"/>
    <w:rsid w:val="00C63CAB"/>
    <w:rsid w:val="00C63D00"/>
    <w:rsid w:val="00C6441B"/>
    <w:rsid w:val="00C65921"/>
    <w:rsid w:val="00C7108B"/>
    <w:rsid w:val="00C75883"/>
    <w:rsid w:val="00C77A06"/>
    <w:rsid w:val="00C77FA5"/>
    <w:rsid w:val="00C8089F"/>
    <w:rsid w:val="00C82901"/>
    <w:rsid w:val="00C835FE"/>
    <w:rsid w:val="00C836CC"/>
    <w:rsid w:val="00C852D6"/>
    <w:rsid w:val="00C867D2"/>
    <w:rsid w:val="00C87A74"/>
    <w:rsid w:val="00C92C71"/>
    <w:rsid w:val="00C93F8F"/>
    <w:rsid w:val="00C97062"/>
    <w:rsid w:val="00C973D9"/>
    <w:rsid w:val="00CA0894"/>
    <w:rsid w:val="00CA1F80"/>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580B"/>
    <w:rsid w:val="00CE7DA2"/>
    <w:rsid w:val="00CF2F8A"/>
    <w:rsid w:val="00CF3DB3"/>
    <w:rsid w:val="00CF6D30"/>
    <w:rsid w:val="00CF6EA2"/>
    <w:rsid w:val="00D0274B"/>
    <w:rsid w:val="00D0503D"/>
    <w:rsid w:val="00D052BC"/>
    <w:rsid w:val="00D054DD"/>
    <w:rsid w:val="00D07026"/>
    <w:rsid w:val="00D146AE"/>
    <w:rsid w:val="00D22C8F"/>
    <w:rsid w:val="00D2700E"/>
    <w:rsid w:val="00D3203C"/>
    <w:rsid w:val="00D32967"/>
    <w:rsid w:val="00D33491"/>
    <w:rsid w:val="00D3442D"/>
    <w:rsid w:val="00D36F00"/>
    <w:rsid w:val="00D44B67"/>
    <w:rsid w:val="00D44F8E"/>
    <w:rsid w:val="00D51FD5"/>
    <w:rsid w:val="00D53A82"/>
    <w:rsid w:val="00D549B5"/>
    <w:rsid w:val="00D55DE0"/>
    <w:rsid w:val="00D565B2"/>
    <w:rsid w:val="00D607EF"/>
    <w:rsid w:val="00D60F88"/>
    <w:rsid w:val="00D646BD"/>
    <w:rsid w:val="00D65558"/>
    <w:rsid w:val="00D71201"/>
    <w:rsid w:val="00D720C7"/>
    <w:rsid w:val="00D744EA"/>
    <w:rsid w:val="00D84841"/>
    <w:rsid w:val="00D876E6"/>
    <w:rsid w:val="00D90958"/>
    <w:rsid w:val="00D97FFB"/>
    <w:rsid w:val="00DA1025"/>
    <w:rsid w:val="00DA22EC"/>
    <w:rsid w:val="00DA2C6B"/>
    <w:rsid w:val="00DA462D"/>
    <w:rsid w:val="00DA5682"/>
    <w:rsid w:val="00DA5860"/>
    <w:rsid w:val="00DA5C0C"/>
    <w:rsid w:val="00DB2767"/>
    <w:rsid w:val="00DC041E"/>
    <w:rsid w:val="00DC1B10"/>
    <w:rsid w:val="00DC2924"/>
    <w:rsid w:val="00DC4729"/>
    <w:rsid w:val="00DD31C5"/>
    <w:rsid w:val="00DD5020"/>
    <w:rsid w:val="00DD63BE"/>
    <w:rsid w:val="00DD67AE"/>
    <w:rsid w:val="00DE4296"/>
    <w:rsid w:val="00DF2469"/>
    <w:rsid w:val="00DF5C0F"/>
    <w:rsid w:val="00DF7899"/>
    <w:rsid w:val="00E0524C"/>
    <w:rsid w:val="00E12FBD"/>
    <w:rsid w:val="00E15751"/>
    <w:rsid w:val="00E17160"/>
    <w:rsid w:val="00E17D41"/>
    <w:rsid w:val="00E231D1"/>
    <w:rsid w:val="00E232AC"/>
    <w:rsid w:val="00E23E05"/>
    <w:rsid w:val="00E3288D"/>
    <w:rsid w:val="00E35112"/>
    <w:rsid w:val="00E35BEC"/>
    <w:rsid w:val="00E41A6A"/>
    <w:rsid w:val="00E50821"/>
    <w:rsid w:val="00E51F91"/>
    <w:rsid w:val="00E5498A"/>
    <w:rsid w:val="00E559CE"/>
    <w:rsid w:val="00E60F42"/>
    <w:rsid w:val="00E63CFB"/>
    <w:rsid w:val="00E63F63"/>
    <w:rsid w:val="00E6746C"/>
    <w:rsid w:val="00E7086E"/>
    <w:rsid w:val="00E70E62"/>
    <w:rsid w:val="00E71248"/>
    <w:rsid w:val="00E7182E"/>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22B"/>
    <w:rsid w:val="00EB62E6"/>
    <w:rsid w:val="00EB695F"/>
    <w:rsid w:val="00EC29AB"/>
    <w:rsid w:val="00EC3A85"/>
    <w:rsid w:val="00EC4B89"/>
    <w:rsid w:val="00EC59A5"/>
    <w:rsid w:val="00EC6E15"/>
    <w:rsid w:val="00ED0581"/>
    <w:rsid w:val="00ED1B30"/>
    <w:rsid w:val="00ED5D03"/>
    <w:rsid w:val="00EE01ED"/>
    <w:rsid w:val="00EE1AC1"/>
    <w:rsid w:val="00EE39D6"/>
    <w:rsid w:val="00EE52AD"/>
    <w:rsid w:val="00EE5BC3"/>
    <w:rsid w:val="00EE6FAB"/>
    <w:rsid w:val="00EF328C"/>
    <w:rsid w:val="00EF5C03"/>
    <w:rsid w:val="00EF68BB"/>
    <w:rsid w:val="00F012C6"/>
    <w:rsid w:val="00F01F92"/>
    <w:rsid w:val="00F030D4"/>
    <w:rsid w:val="00F04053"/>
    <w:rsid w:val="00F06573"/>
    <w:rsid w:val="00F10A08"/>
    <w:rsid w:val="00F15354"/>
    <w:rsid w:val="00F208DE"/>
    <w:rsid w:val="00F22AC5"/>
    <w:rsid w:val="00F254D1"/>
    <w:rsid w:val="00F32B82"/>
    <w:rsid w:val="00F33037"/>
    <w:rsid w:val="00F34C86"/>
    <w:rsid w:val="00F4043E"/>
    <w:rsid w:val="00F41795"/>
    <w:rsid w:val="00F41BBC"/>
    <w:rsid w:val="00F444F0"/>
    <w:rsid w:val="00F446FF"/>
    <w:rsid w:val="00F45521"/>
    <w:rsid w:val="00F50847"/>
    <w:rsid w:val="00F53F27"/>
    <w:rsid w:val="00F546D1"/>
    <w:rsid w:val="00F60281"/>
    <w:rsid w:val="00F6294C"/>
    <w:rsid w:val="00F66272"/>
    <w:rsid w:val="00F709C0"/>
    <w:rsid w:val="00F712F1"/>
    <w:rsid w:val="00F8067D"/>
    <w:rsid w:val="00F81FEC"/>
    <w:rsid w:val="00F905F0"/>
    <w:rsid w:val="00F927A1"/>
    <w:rsid w:val="00F92E4D"/>
    <w:rsid w:val="00F95D08"/>
    <w:rsid w:val="00FA23BD"/>
    <w:rsid w:val="00FA3764"/>
    <w:rsid w:val="00FA41C7"/>
    <w:rsid w:val="00FA4A79"/>
    <w:rsid w:val="00FA56ED"/>
    <w:rsid w:val="00FB05DD"/>
    <w:rsid w:val="00FB0F7C"/>
    <w:rsid w:val="00FB24EA"/>
    <w:rsid w:val="00FB2B2F"/>
    <w:rsid w:val="00FB5FA6"/>
    <w:rsid w:val="00FB72AE"/>
    <w:rsid w:val="00FC025F"/>
    <w:rsid w:val="00FC0334"/>
    <w:rsid w:val="00FC1310"/>
    <w:rsid w:val="00FC269E"/>
    <w:rsid w:val="00FC2FF3"/>
    <w:rsid w:val="00FC3263"/>
    <w:rsid w:val="00FC51F9"/>
    <w:rsid w:val="00FC5B40"/>
    <w:rsid w:val="00FC5FF8"/>
    <w:rsid w:val="00FD0341"/>
    <w:rsid w:val="00FD0566"/>
    <w:rsid w:val="00FD271B"/>
    <w:rsid w:val="00FD3783"/>
    <w:rsid w:val="00FD3D7C"/>
    <w:rsid w:val="00FD4F8F"/>
    <w:rsid w:val="00FE0C16"/>
    <w:rsid w:val="00FE14B1"/>
    <w:rsid w:val="00FE4D97"/>
    <w:rsid w:val="00FE56A8"/>
    <w:rsid w:val="00FE5F90"/>
    <w:rsid w:val="00FF0070"/>
    <w:rsid w:val="00FF07C3"/>
    <w:rsid w:val="00FF0B26"/>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6279DB"/>
    <w:rPr>
      <w:rFonts w:ascii="Times New Roman" w:hAnsi="Times New Roman" w:cs="Times New Roman"/>
      <w:sz w:val="24"/>
      <w:szCs w:val="24"/>
    </w:rPr>
  </w:style>
  <w:style w:type="character" w:customStyle="1" w:styleId="normaltextrun">
    <w:name w:val="normaltextrun"/>
    <w:basedOn w:val="DefaultParagraphFont"/>
    <w:rsid w:val="003D50A9"/>
  </w:style>
  <w:style w:type="character" w:customStyle="1" w:styleId="scxw111536645">
    <w:name w:val="scxw111536645"/>
    <w:basedOn w:val="DefaultParagraphFont"/>
    <w:rsid w:val="003D50A9"/>
  </w:style>
  <w:style w:type="character" w:customStyle="1" w:styleId="scxw100304283">
    <w:name w:val="scxw100304283"/>
    <w:basedOn w:val="DefaultParagraphFont"/>
    <w:rsid w:val="00FD0341"/>
  </w:style>
  <w:style w:type="character" w:customStyle="1" w:styleId="scxw264737598">
    <w:name w:val="scxw264737598"/>
    <w:basedOn w:val="DefaultParagraphFont"/>
    <w:rsid w:val="00682841"/>
  </w:style>
  <w:style w:type="paragraph" w:customStyle="1" w:styleId="paragraph">
    <w:name w:val="paragraph"/>
    <w:basedOn w:val="Normal"/>
    <w:rsid w:val="008D48B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op">
    <w:name w:val="eop"/>
    <w:basedOn w:val="DefaultParagraphFont"/>
    <w:rsid w:val="008D48B0"/>
  </w:style>
  <w:style w:type="character" w:customStyle="1" w:styleId="scxw1458773">
    <w:name w:val="scxw1458773"/>
    <w:basedOn w:val="DefaultParagraphFont"/>
    <w:rsid w:val="008D4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9" ma:contentTypeDescription="Create a new document." ma:contentTypeScope="" ma:versionID="46e15b06097508c144a9f14b42b36766">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fc95c6ea7d79455af962c08c16777490"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DateTaken" minOccurs="0"/>
                <xsd:element ref="ns3:MediaLengthInSeconds"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_activity" ma:index="2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activity xmlns="1b97bfc6-b7f9-4f97-bda1-3491dbcf9c0d"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BD9D4590-338F-4DBD-8491-1478CC904D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55F34F3-03B1-44D1-B533-75BD77F1685A}">
  <ds:schemaRefs>
    <ds:schemaRef ds:uri="http://schemas.openxmlformats.org/officeDocument/2006/bibliography"/>
  </ds:schemaRefs>
</ds:datastoreItem>
</file>

<file path=customXml/itemProps4.xml><?xml version="1.0" encoding="utf-8"?>
<ds:datastoreItem xmlns:ds="http://schemas.openxmlformats.org/officeDocument/2006/customXml" ds:itemID="{06F8F376-3682-4CDE-8F1B-AB7C07409E14}">
  <ds:schemaRefs>
    <ds:schemaRef ds:uri="http://schemas.microsoft.com/office/2006/metadata/properties"/>
    <ds:schemaRef ds:uri="http://schemas.microsoft.com/office/infopath/2007/PartnerControls"/>
    <ds:schemaRef ds:uri="http://schemas.microsoft.com/sharepoint/v3"/>
    <ds:schemaRef ds:uri="1b97bfc6-b7f9-4f97-bda1-3491dbcf9c0d"/>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10</Pages>
  <Words>4541</Words>
  <Characters>25887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Karma Riddell</cp:lastModifiedBy>
  <cp:revision>132</cp:revision>
  <cp:lastPrinted>2020-02-11T19:20:00Z</cp:lastPrinted>
  <dcterms:created xsi:type="dcterms:W3CDTF">2026-10-06T20:28:00Z</dcterms:created>
  <dcterms:modified xsi:type="dcterms:W3CDTF">2026-10-07T07:38:00Z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