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8CC" w:rsidRDefault="003E4A6D">
      <w:pPr>
        <w:spacing w:line="259" w:lineRule="auto"/>
        <w:jc w:val="center"/>
        <w:rPr>
          <w:b/>
          <w:bCs/>
        </w:rPr>
      </w:pPr>
      <w:bookmarkStart w:id="0" w:name="_GoBack"/>
      <w:bookmarkEnd w:id="0"/>
      <w:r>
        <w:rPr>
          <w:b/>
          <w:bCs/>
        </w:rPr>
        <w:t>Managing Marketing Change</w:t>
      </w:r>
    </w:p>
    <w:p w:rsidR="00C548CC" w:rsidRDefault="003E4A6D">
      <w:pPr>
        <w:spacing w:line="259" w:lineRule="auto"/>
        <w:jc w:val="center"/>
        <w:rPr>
          <w:b/>
          <w:bCs/>
        </w:rPr>
      </w:pPr>
      <w:r>
        <w:rPr>
          <w:b/>
          <w:bCs/>
        </w:rPr>
        <w:t>Critical Evaluation of the Role and Activities of the Marketing Department at Tesla</w:t>
      </w:r>
    </w:p>
    <w:p w:rsidR="00C548CC" w:rsidRDefault="00C548CC">
      <w:pPr>
        <w:spacing w:line="259" w:lineRule="auto"/>
        <w:jc w:val="center"/>
      </w:pPr>
    </w:p>
    <w:p w:rsidR="00C548CC" w:rsidRDefault="003E4A6D">
      <w:pPr>
        <w:spacing w:line="259" w:lineRule="auto"/>
        <w:jc w:val="center"/>
      </w:pPr>
      <w:r>
        <w:rPr>
          <w:b/>
          <w:bCs/>
        </w:rPr>
        <w:t>Module Title:</w:t>
      </w:r>
      <w:r>
        <w:t xml:space="preserve"> Managing Marketing Change</w:t>
      </w:r>
      <w:r>
        <w:br/>
      </w:r>
      <w:r>
        <w:rPr>
          <w:b/>
          <w:bCs/>
        </w:rPr>
        <w:t>Module Code:</w:t>
      </w:r>
      <w:r>
        <w:t xml:space="preserve"> BMMB7026</w:t>
      </w:r>
    </w:p>
    <w:p w:rsidR="00C548CC" w:rsidRDefault="003E4A6D">
      <w:pPr>
        <w:spacing w:line="259" w:lineRule="auto"/>
        <w:jc w:val="center"/>
      </w:pPr>
      <w:r>
        <w:rPr>
          <w:b/>
          <w:bCs/>
        </w:rPr>
        <w:t>Assessment:</w:t>
      </w:r>
      <w:r>
        <w:t xml:space="preserve"> Assignment 2 - Individual Report</w:t>
      </w:r>
    </w:p>
    <w:p w:rsidR="00C548CC" w:rsidRDefault="003E4A6D">
      <w:pPr>
        <w:spacing w:line="259" w:lineRule="auto"/>
        <w:jc w:val="center"/>
      </w:pPr>
      <w:r>
        <w:rPr>
          <w:b/>
          <w:bCs/>
        </w:rPr>
        <w:t>Student Name:</w:t>
      </w:r>
      <w:r>
        <w:t xml:space="preserve"> </w:t>
      </w:r>
      <w:r>
        <w:rPr>
          <w:b/>
          <w:bCs/>
        </w:rPr>
        <w:t>Rahat Hossain</w:t>
      </w:r>
      <w:r>
        <w:br/>
      </w:r>
      <w:r>
        <w:rPr>
          <w:b/>
          <w:bCs/>
        </w:rPr>
        <w:t xml:space="preserve">Student ID: 2506481 </w:t>
      </w:r>
    </w:p>
    <w:p w:rsidR="00C548CC" w:rsidRDefault="003E4A6D">
      <w:pPr>
        <w:spacing w:line="259" w:lineRule="auto"/>
        <w:jc w:val="center"/>
      </w:pPr>
      <w:r>
        <w:rPr>
          <w:b/>
          <w:bCs/>
        </w:rPr>
        <w:t>Programme:</w:t>
      </w:r>
      <w:r>
        <w:t xml:space="preserve"> MBA</w:t>
      </w:r>
    </w:p>
    <w:p w:rsidR="00C548CC" w:rsidRDefault="003E4A6D">
      <w:pPr>
        <w:spacing w:line="259" w:lineRule="auto"/>
        <w:jc w:val="center"/>
      </w:pPr>
      <w:r>
        <w:rPr>
          <w:b/>
          <w:bCs/>
        </w:rPr>
        <w:t>Lecturer / Module Leader: Gwyneth Jones</w:t>
      </w:r>
    </w:p>
    <w:p w:rsidR="00C548CC" w:rsidRDefault="003E4A6D">
      <w:pPr>
        <w:spacing w:line="259" w:lineRule="auto"/>
        <w:jc w:val="center"/>
      </w:pPr>
      <w:r>
        <w:rPr>
          <w:b/>
          <w:bCs/>
        </w:rPr>
        <w:t>Submission Date:</w:t>
      </w:r>
    </w:p>
    <w:p w:rsidR="00C548CC" w:rsidRDefault="003E4A6D">
      <w:pPr>
        <w:spacing w:line="259" w:lineRule="auto"/>
        <w:jc w:val="center"/>
      </w:pPr>
      <w:r>
        <w:rPr>
          <w:b/>
          <w:bCs/>
        </w:rPr>
        <w:t>Word Count:</w:t>
      </w:r>
      <w:r>
        <w:t xml:space="preserve"> 3808 words (Excluding Executive Summary, References and Appendices)</w:t>
      </w:r>
    </w:p>
    <w:p w:rsidR="00C548CC" w:rsidRDefault="003E4A6D">
      <w:pPr>
        <w:spacing w:line="259" w:lineRule="auto"/>
        <w:jc w:val="left"/>
      </w:pPr>
      <w:r>
        <w:br w:type="page"/>
      </w:r>
    </w:p>
    <w:p w:rsidR="00C548CC" w:rsidRDefault="003E4A6D">
      <w:pPr>
        <w:pStyle w:val="Heading1"/>
        <w:jc w:val="center"/>
      </w:pPr>
      <w:bookmarkStart w:id="1" w:name="_mvqixji4lm8l" w:colFirst="0" w:colLast="0"/>
      <w:bookmarkEnd w:id="1"/>
      <w:r>
        <w:lastRenderedPageBreak/>
        <w:t>Executive Summary</w:t>
      </w:r>
    </w:p>
    <w:p w:rsidR="00C548CC" w:rsidRDefault="003E4A6D">
      <w:r>
        <w:t>The current report is a critical evaluation of the functions an</w:t>
      </w:r>
      <w:r>
        <w:t>d the achievement of the marketing department at Tesla in the context of a fast-maturing and increasingly competitive electric vehicle (EV) market. Even though Tesla has had the benefit of an unparalleled competitive advantage over the years due to its unu</w:t>
      </w:r>
      <w:r>
        <w:t>sual marketing strategy, characterised by low levels of paid advertising, strong brand advocacy, and a product-led growth strategy, chances are that the strategy no longer fits the current market environment.</w:t>
      </w:r>
    </w:p>
    <w:p w:rsidR="00C548CC" w:rsidRDefault="003E4A6D">
      <w:r>
        <w:t>The strategic models created to analyse the int</w:t>
      </w:r>
      <w:r>
        <w:t>ernal strengths and the external surroundings of Tesla are the SWOT analysis, the Five Forces of Porter, and the Ansoff Matrix. The findings reveal that the sphere of weaknesses in the market segmentation, consistency in targeting, service delivery, and pe</w:t>
      </w:r>
      <w:r>
        <w:t>rformance measurement in marketing is increasing. The excessive reliance on differentiation based on innovation and price-based market penetration implies that Tesla can easily lose its margins, its brand, and its customers.</w:t>
      </w:r>
    </w:p>
    <w:p w:rsidR="00C548CC" w:rsidRDefault="003E4A6D">
      <w:r>
        <w:t>It is concluded in the report t</w:t>
      </w:r>
      <w:r>
        <w:t>hat Tesla's marketing position should be professionalised, customer-oriented and better regulated. The SOSTAC framework recommendations indicate a customer-focused, quantifiable, and systematic marketing strategy to re-establish the strategic focus, improv</w:t>
      </w:r>
      <w:r>
        <w:t>e the competitiveness in the long term, and sustain brand loyalty in a mature EV market.</w:t>
      </w:r>
    </w:p>
    <w:p w:rsidR="00C548CC" w:rsidRDefault="00C548CC"/>
    <w:p w:rsidR="00C548CC" w:rsidRDefault="003E4A6D">
      <w:pPr>
        <w:spacing w:line="259" w:lineRule="auto"/>
        <w:jc w:val="left"/>
      </w:pPr>
      <w:r>
        <w:br w:type="page"/>
      </w:r>
    </w:p>
    <w:p w:rsidR="00C548CC" w:rsidRDefault="003E4A6D">
      <w:pPr>
        <w:keepNext/>
        <w:keepLines/>
        <w:pBdr>
          <w:top w:val="nil"/>
          <w:left w:val="nil"/>
          <w:bottom w:val="nil"/>
          <w:right w:val="nil"/>
          <w:between w:val="nil"/>
        </w:pBdr>
        <w:spacing w:before="240" w:after="0" w:line="259" w:lineRule="auto"/>
        <w:jc w:val="left"/>
        <w:rPr>
          <w:rFonts w:ascii="Calibri" w:eastAsia="Calibri" w:hAnsi="Calibri" w:cs="Calibri"/>
          <w:color w:val="2E75B5"/>
          <w:sz w:val="28"/>
          <w:szCs w:val="28"/>
        </w:rPr>
      </w:pPr>
      <w:r>
        <w:rPr>
          <w:rFonts w:ascii="Calibri" w:eastAsia="Calibri" w:hAnsi="Calibri" w:cs="Calibri"/>
          <w:color w:val="2E75B5"/>
          <w:sz w:val="28"/>
          <w:szCs w:val="28"/>
        </w:rPr>
        <w:lastRenderedPageBreak/>
        <w:t>Table of Contents</w:t>
      </w:r>
    </w:p>
    <w:sdt>
      <w:sdtPr>
        <w:id w:val="-466256678"/>
        <w:docPartObj>
          <w:docPartGallery w:val="Table of Contents"/>
          <w:docPartUnique/>
        </w:docPartObj>
      </w:sdtPr>
      <w:sdtEndPr/>
      <w:sdtContent>
        <w:p w:rsidR="00C548CC" w:rsidRDefault="003E4A6D">
          <w:pPr>
            <w:pBdr>
              <w:top w:val="nil"/>
              <w:left w:val="nil"/>
              <w:bottom w:val="nil"/>
              <w:right w:val="nil"/>
              <w:between w:val="nil"/>
            </w:pBdr>
            <w:tabs>
              <w:tab w:val="righ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mvqixji4lm8l">
            <w:r>
              <w:rPr>
                <w:color w:val="000000"/>
              </w:rPr>
              <w:t>Executive Summary</w:t>
            </w:r>
            <w:r>
              <w:rPr>
                <w:color w:val="000000"/>
              </w:rPr>
              <w:tab/>
              <w:t>2</w:t>
            </w:r>
          </w:hyperlink>
        </w:p>
        <w:p w:rsidR="00C548CC" w:rsidRDefault="003E4A6D">
          <w:pPr>
            <w:pBdr>
              <w:top w:val="nil"/>
              <w:left w:val="nil"/>
              <w:bottom w:val="nil"/>
              <w:right w:val="nil"/>
              <w:between w:val="nil"/>
            </w:pBdr>
            <w:tabs>
              <w:tab w:val="right" w:pos="9350"/>
            </w:tabs>
            <w:spacing w:after="100"/>
            <w:rPr>
              <w:rFonts w:ascii="Calibri" w:eastAsia="Calibri" w:hAnsi="Calibri" w:cs="Calibri"/>
              <w:color w:val="000000"/>
            </w:rPr>
          </w:pPr>
          <w:hyperlink w:anchor="_qgekgv3i5uf2">
            <w:r>
              <w:rPr>
                <w:color w:val="000000"/>
              </w:rPr>
              <w:t>1. Introduction</w:t>
            </w:r>
            <w:r>
              <w:rPr>
                <w:color w:val="000000"/>
              </w:rPr>
              <w:tab/>
              <w:t>4</w:t>
            </w:r>
          </w:hyperlink>
        </w:p>
        <w:p w:rsidR="00C548CC" w:rsidRDefault="003E4A6D">
          <w:pPr>
            <w:pBdr>
              <w:top w:val="nil"/>
              <w:left w:val="nil"/>
              <w:bottom w:val="nil"/>
              <w:right w:val="nil"/>
              <w:between w:val="nil"/>
            </w:pBdr>
            <w:tabs>
              <w:tab w:val="right" w:pos="9350"/>
            </w:tabs>
            <w:spacing w:after="100"/>
            <w:rPr>
              <w:rFonts w:ascii="Calibri" w:eastAsia="Calibri" w:hAnsi="Calibri" w:cs="Calibri"/>
              <w:color w:val="000000"/>
            </w:rPr>
          </w:pPr>
          <w:hyperlink w:anchor="_dxflrl34zbhd">
            <w:r>
              <w:rPr>
                <w:color w:val="000000"/>
              </w:rPr>
              <w:t>2. Marketing Environment Analysis</w:t>
            </w:r>
            <w:r>
              <w:rPr>
                <w:color w:val="000000"/>
              </w:rPr>
              <w:tab/>
              <w:t>4</w:t>
            </w:r>
          </w:hyperlink>
        </w:p>
        <w:p w:rsidR="00C548CC" w:rsidRDefault="003E4A6D">
          <w:pPr>
            <w:pBdr>
              <w:top w:val="nil"/>
              <w:left w:val="nil"/>
              <w:bottom w:val="nil"/>
              <w:right w:val="nil"/>
              <w:between w:val="nil"/>
            </w:pBdr>
            <w:tabs>
              <w:tab w:val="right" w:pos="9350"/>
            </w:tabs>
            <w:spacing w:after="100"/>
            <w:ind w:left="240"/>
            <w:rPr>
              <w:rFonts w:ascii="Calibri" w:eastAsia="Calibri" w:hAnsi="Calibri" w:cs="Calibri"/>
              <w:color w:val="000000"/>
            </w:rPr>
          </w:pPr>
          <w:hyperlink w:anchor="_r3hkpfv6mtc0">
            <w:r>
              <w:rPr>
                <w:color w:val="000000"/>
              </w:rPr>
              <w:t>2.1 Macro and Micro Environment</w:t>
            </w:r>
            <w:r>
              <w:rPr>
                <w:color w:val="000000"/>
              </w:rPr>
              <w:tab/>
              <w:t>4</w:t>
            </w:r>
          </w:hyperlink>
        </w:p>
        <w:p w:rsidR="00C548CC" w:rsidRDefault="003E4A6D">
          <w:pPr>
            <w:pBdr>
              <w:top w:val="nil"/>
              <w:left w:val="nil"/>
              <w:bottom w:val="nil"/>
              <w:right w:val="nil"/>
              <w:between w:val="nil"/>
            </w:pBdr>
            <w:tabs>
              <w:tab w:val="right" w:pos="9350"/>
            </w:tabs>
            <w:spacing w:after="100"/>
            <w:ind w:left="240"/>
            <w:rPr>
              <w:rFonts w:ascii="Calibri" w:eastAsia="Calibri" w:hAnsi="Calibri" w:cs="Calibri"/>
              <w:color w:val="000000"/>
            </w:rPr>
          </w:pPr>
          <w:hyperlink w:anchor="_tzu50c1ghsu2">
            <w:r>
              <w:rPr>
                <w:color w:val="000000"/>
              </w:rPr>
              <w:t>2.2 SWOT Analysis</w:t>
            </w:r>
            <w:r>
              <w:rPr>
                <w:color w:val="000000"/>
              </w:rPr>
              <w:tab/>
              <w:t>5</w:t>
            </w:r>
          </w:hyperlink>
        </w:p>
        <w:p w:rsidR="00C548CC" w:rsidRDefault="003E4A6D">
          <w:pPr>
            <w:pBdr>
              <w:top w:val="nil"/>
              <w:left w:val="nil"/>
              <w:bottom w:val="nil"/>
              <w:right w:val="nil"/>
              <w:between w:val="nil"/>
            </w:pBdr>
            <w:tabs>
              <w:tab w:val="right" w:pos="9350"/>
            </w:tabs>
            <w:spacing w:after="100"/>
            <w:rPr>
              <w:rFonts w:ascii="Calibri" w:eastAsia="Calibri" w:hAnsi="Calibri" w:cs="Calibri"/>
              <w:color w:val="000000"/>
            </w:rPr>
          </w:pPr>
          <w:hyperlink w:anchor="_2976p3llm89g">
            <w:r>
              <w:rPr>
                <w:color w:val="000000"/>
              </w:rPr>
              <w:t>2.3</w:t>
            </w:r>
            <w:r>
              <w:rPr>
                <w:color w:val="000000"/>
              </w:rPr>
              <w:t xml:space="preserve"> Porter’s Five Forces Analysis</w:t>
            </w:r>
            <w:r>
              <w:rPr>
                <w:color w:val="000000"/>
              </w:rPr>
              <w:tab/>
              <w:t>7</w:t>
            </w:r>
          </w:hyperlink>
        </w:p>
        <w:p w:rsidR="00C548CC" w:rsidRDefault="003E4A6D">
          <w:pPr>
            <w:pBdr>
              <w:top w:val="nil"/>
              <w:left w:val="nil"/>
              <w:bottom w:val="nil"/>
              <w:right w:val="nil"/>
              <w:between w:val="nil"/>
            </w:pBdr>
            <w:tabs>
              <w:tab w:val="right" w:pos="9350"/>
            </w:tabs>
            <w:spacing w:after="100"/>
            <w:rPr>
              <w:rFonts w:ascii="Calibri" w:eastAsia="Calibri" w:hAnsi="Calibri" w:cs="Calibri"/>
              <w:color w:val="000000"/>
            </w:rPr>
          </w:pPr>
          <w:hyperlink w:anchor="_94a8u9zcch1c">
            <w:r>
              <w:rPr>
                <w:color w:val="000000"/>
              </w:rPr>
              <w:t>3. Strategic Analysis of Marketing Decisions</w:t>
            </w:r>
            <w:r>
              <w:rPr>
                <w:color w:val="000000"/>
              </w:rPr>
              <w:tab/>
              <w:t>8</w:t>
            </w:r>
          </w:hyperlink>
        </w:p>
        <w:p w:rsidR="00C548CC" w:rsidRDefault="003E4A6D">
          <w:pPr>
            <w:pBdr>
              <w:top w:val="nil"/>
              <w:left w:val="nil"/>
              <w:bottom w:val="nil"/>
              <w:right w:val="nil"/>
              <w:between w:val="nil"/>
            </w:pBdr>
            <w:tabs>
              <w:tab w:val="right" w:pos="9350"/>
            </w:tabs>
            <w:spacing w:after="100"/>
            <w:ind w:left="240"/>
            <w:rPr>
              <w:rFonts w:ascii="Calibri" w:eastAsia="Calibri" w:hAnsi="Calibri" w:cs="Calibri"/>
              <w:color w:val="000000"/>
            </w:rPr>
          </w:pPr>
          <w:hyperlink w:anchor="_cl8wbuyidx0s">
            <w:r>
              <w:rPr>
                <w:color w:val="000000"/>
              </w:rPr>
              <w:t>3.1 Segmentation, Targeting and Positioning</w:t>
            </w:r>
            <w:r>
              <w:rPr>
                <w:color w:val="000000"/>
              </w:rPr>
              <w:tab/>
              <w:t>8</w:t>
            </w:r>
          </w:hyperlink>
        </w:p>
        <w:p w:rsidR="00C548CC" w:rsidRDefault="003E4A6D">
          <w:pPr>
            <w:pBdr>
              <w:top w:val="nil"/>
              <w:left w:val="nil"/>
              <w:bottom w:val="nil"/>
              <w:right w:val="nil"/>
              <w:between w:val="nil"/>
            </w:pBdr>
            <w:tabs>
              <w:tab w:val="right" w:pos="9350"/>
            </w:tabs>
            <w:spacing w:after="100"/>
            <w:ind w:left="240"/>
            <w:rPr>
              <w:rFonts w:ascii="Calibri" w:eastAsia="Calibri" w:hAnsi="Calibri" w:cs="Calibri"/>
              <w:color w:val="000000"/>
            </w:rPr>
          </w:pPr>
          <w:hyperlink w:anchor="_um305jg605k3">
            <w:r>
              <w:rPr>
                <w:color w:val="000000"/>
              </w:rPr>
              <w:t>3.2 Ansoff Matrix: Gro</w:t>
            </w:r>
            <w:r>
              <w:rPr>
                <w:color w:val="000000"/>
              </w:rPr>
              <w:t>wth Strategy Analysis</w:t>
            </w:r>
            <w:r>
              <w:rPr>
                <w:color w:val="000000"/>
              </w:rPr>
              <w:tab/>
              <w:t>10</w:t>
            </w:r>
          </w:hyperlink>
        </w:p>
        <w:p w:rsidR="00C548CC" w:rsidRDefault="003E4A6D">
          <w:pPr>
            <w:pBdr>
              <w:top w:val="nil"/>
              <w:left w:val="nil"/>
              <w:bottom w:val="nil"/>
              <w:right w:val="nil"/>
              <w:between w:val="nil"/>
            </w:pBdr>
            <w:tabs>
              <w:tab w:val="right" w:pos="9350"/>
            </w:tabs>
            <w:spacing w:after="100"/>
            <w:rPr>
              <w:rFonts w:ascii="Calibri" w:eastAsia="Calibri" w:hAnsi="Calibri" w:cs="Calibri"/>
              <w:color w:val="000000"/>
            </w:rPr>
          </w:pPr>
          <w:hyperlink w:anchor="_7vyg3j4ztyjt">
            <w:r>
              <w:rPr>
                <w:color w:val="000000"/>
              </w:rPr>
              <w:t>4. Conclusions</w:t>
            </w:r>
            <w:r>
              <w:rPr>
                <w:color w:val="000000"/>
              </w:rPr>
              <w:tab/>
              <w:t>13</w:t>
            </w:r>
          </w:hyperlink>
        </w:p>
        <w:p w:rsidR="00C548CC" w:rsidRDefault="003E4A6D">
          <w:pPr>
            <w:pBdr>
              <w:top w:val="nil"/>
              <w:left w:val="nil"/>
              <w:bottom w:val="nil"/>
              <w:right w:val="nil"/>
              <w:between w:val="nil"/>
            </w:pBdr>
            <w:tabs>
              <w:tab w:val="right" w:pos="9350"/>
            </w:tabs>
            <w:spacing w:after="100"/>
            <w:rPr>
              <w:rFonts w:ascii="Calibri" w:eastAsia="Calibri" w:hAnsi="Calibri" w:cs="Calibri"/>
              <w:color w:val="000000"/>
            </w:rPr>
          </w:pPr>
          <w:hyperlink w:anchor="_7ew0eurl53ys">
            <w:r>
              <w:rPr>
                <w:color w:val="000000"/>
              </w:rPr>
              <w:t>5. Recommendations</w:t>
            </w:r>
            <w:r>
              <w:rPr>
                <w:color w:val="000000"/>
              </w:rPr>
              <w:tab/>
              <w:t>13</w:t>
            </w:r>
          </w:hyperlink>
        </w:p>
        <w:p w:rsidR="00C548CC" w:rsidRDefault="003E4A6D">
          <w:r>
            <w:fldChar w:fldCharType="end"/>
          </w:r>
        </w:p>
      </w:sdtContent>
    </w:sdt>
    <w:p w:rsidR="00C548CC" w:rsidRDefault="003E4A6D">
      <w:pPr>
        <w:spacing w:line="259" w:lineRule="auto"/>
        <w:jc w:val="left"/>
      </w:pPr>
      <w:r>
        <w:br w:type="page"/>
      </w:r>
    </w:p>
    <w:p w:rsidR="00C548CC" w:rsidRDefault="003E4A6D">
      <w:pPr>
        <w:pStyle w:val="Heading1"/>
      </w:pPr>
      <w:bookmarkStart w:id="2" w:name="_qgekgv3i5uf2" w:colFirst="0" w:colLast="0"/>
      <w:bookmarkEnd w:id="2"/>
      <w:r>
        <w:lastRenderedPageBreak/>
        <w:t>1. Introduction</w:t>
      </w:r>
    </w:p>
    <w:p w:rsidR="00C548CC" w:rsidRDefault="003E4A6D">
      <w:r>
        <w:t>The process of marketing has evolved to be a strategic capability as opposed to a tactical prom</w:t>
      </w:r>
      <w:r>
        <w:t>otion tool where organisational competitiveness, the value creation to customers, and long-term sustainability are built (Kotler and Keller, 2016). Marketing performance in sectors where there are extreme changes in technology and growing competition ought</w:t>
      </w:r>
      <w:r>
        <w:t xml:space="preserve"> to be assessed not just by the short-term outcomes of the performance but also by the strategic suitability with the environment and the organisational strengths (Burnes, 2017).</w:t>
      </w:r>
    </w:p>
    <w:p w:rsidR="00C548CC" w:rsidRDefault="003E4A6D">
      <w:r>
        <w:t>Tesla is one of the most relevant cases due to its unconventional marketing p</w:t>
      </w:r>
      <w:r>
        <w:t>hilosophy, the positive reputation in the sphere of innovation, and domination in the EV market. On the one hand, despite the past high brand equity and dominance in the market, Tesla is now facing a new technological convergence and stronger price sensiti</w:t>
      </w:r>
      <w:r>
        <w:t>vity, as well as tough competition from its old and new competitors (IEA, 2024).</w:t>
      </w:r>
    </w:p>
    <w:p w:rsidR="00C548CC" w:rsidRDefault="003E4A6D">
      <w:r>
        <w:t>The current report is a critical evaluation of the marketing department at Tesla, which is founded on the analysis of its strategic orientation, environmental responsiveness, segmentation and targeting choices, competitive position and its expansion strate</w:t>
      </w:r>
      <w:r>
        <w:t>gy. It is not assumed in the analysis that there was a specific past success as the assurance of future performance, but rather, the fact that Tesla's marketing strategy remains relevant in a competitive mature market of EVs is assessed.</w:t>
      </w:r>
    </w:p>
    <w:p w:rsidR="00C548CC" w:rsidRDefault="003E4A6D">
      <w:pPr>
        <w:pStyle w:val="Heading1"/>
      </w:pPr>
      <w:bookmarkStart w:id="3" w:name="_dxflrl34zbhd" w:colFirst="0" w:colLast="0"/>
      <w:bookmarkEnd w:id="3"/>
      <w:r>
        <w:t>2. Marketing Envir</w:t>
      </w:r>
      <w:r>
        <w:t>onment Analysis</w:t>
      </w:r>
    </w:p>
    <w:p w:rsidR="00C548CC" w:rsidRDefault="003E4A6D">
      <w:pPr>
        <w:pStyle w:val="Heading2"/>
      </w:pPr>
      <w:bookmarkStart w:id="4" w:name="_r3hkpfv6mtc0" w:colFirst="0" w:colLast="0"/>
      <w:bookmarkEnd w:id="4"/>
      <w:r>
        <w:t>2.1 Macro and Micro Environment</w:t>
      </w:r>
    </w:p>
    <w:p w:rsidR="00C548CC" w:rsidRDefault="003E4A6D">
      <w:r>
        <w:t>Government regulation, economic environment, and the perception of the sustainability concept in society are the macro-environmental factors that greatly influence Tesla's marketing strategy. Although regulat</w:t>
      </w:r>
      <w:r>
        <w:t>ory incentives and environmental policies had a traditional bias towards EV adoption, consumer prices have been made sensitive due to the slow removal of subsidies in most markets (IEA, 2024). The demand for high-priced cars has also been economically stra</w:t>
      </w:r>
      <w:r>
        <w:t>ined by inflation and rising interest rates.</w:t>
      </w:r>
    </w:p>
    <w:p w:rsidR="00C548CC" w:rsidRDefault="003E4A6D">
      <w:r>
        <w:t>At the micro level, inter-firm competition has gone up tremendously. The historical dissimilarities that Tesla used to have with some legacy manufacturers and low-cost EV manufacturers have equalised in technolo</w:t>
      </w:r>
      <w:r>
        <w:t xml:space="preserve">gical advancement, and therefore, the company is no longer at a historical </w:t>
      </w:r>
      <w:r>
        <w:lastRenderedPageBreak/>
        <w:t>dissimilarity edge. Moreover, the issue of growing customer needs regarding reliability, quality of services, and after-sales services exposes the weakness of Tesla regarding the pr</w:t>
      </w:r>
      <w:r>
        <w:t>ovision of the customer experience (BCG, 2024).</w:t>
      </w:r>
    </w:p>
    <w:p w:rsidR="00C548CC" w:rsidRDefault="003E4A6D">
      <w:r>
        <w:t xml:space="preserve">Tesla has transformed its environment to be opportunity-based rather than constraint-based. The latter can no longer rely on external tailwinds and technological novelty only, and indulge in value perception </w:t>
      </w:r>
      <w:r>
        <w:t>and customer relationship management (Buchanan and Badham, 2018).</w:t>
      </w:r>
    </w:p>
    <w:p w:rsidR="00C548CC" w:rsidRDefault="003E4A6D">
      <w:pPr>
        <w:pStyle w:val="Heading2"/>
      </w:pPr>
      <w:bookmarkStart w:id="5" w:name="_tzu50c1ghsu2" w:colFirst="0" w:colLast="0"/>
      <w:bookmarkEnd w:id="5"/>
      <w:r>
        <w:t>2.2 SWOT Analysis</w:t>
      </w:r>
    </w:p>
    <w:p w:rsidR="00C548CC" w:rsidRDefault="003E4A6D">
      <w:pPr>
        <w:jc w:val="center"/>
      </w:pPr>
      <w:r>
        <w:rPr>
          <w:noProof/>
          <w:lang w:val="en-US"/>
        </w:rPr>
        <w:drawing>
          <wp:inline distT="0" distB="0" distL="0" distR="0">
            <wp:extent cx="3853910" cy="2208587"/>
            <wp:effectExtent l="0" t="0" r="0" b="0"/>
            <wp:docPr id="1" name="image2.jpg" descr="How To Conduct Your Own SWOT Analysis"/>
            <wp:cNvGraphicFramePr/>
            <a:graphic xmlns:a="http://schemas.openxmlformats.org/drawingml/2006/main">
              <a:graphicData uri="http://schemas.openxmlformats.org/drawingml/2006/picture">
                <pic:pic xmlns:pic="http://schemas.openxmlformats.org/drawingml/2006/picture">
                  <pic:nvPicPr>
                    <pic:cNvPr id="0" name="image2.jpg" descr="How To Conduct Your Own SWOT Analysis"/>
                    <pic:cNvPicPr preferRelativeResize="0"/>
                  </pic:nvPicPr>
                  <pic:blipFill>
                    <a:blip r:embed="rId6"/>
                    <a:srcRect/>
                    <a:stretch>
                      <a:fillRect/>
                    </a:stretch>
                  </pic:blipFill>
                  <pic:spPr>
                    <a:xfrm>
                      <a:off x="0" y="0"/>
                      <a:ext cx="3853910" cy="2208587"/>
                    </a:xfrm>
                    <a:prstGeom prst="rect">
                      <a:avLst/>
                    </a:prstGeom>
                    <a:ln/>
                  </pic:spPr>
                </pic:pic>
              </a:graphicData>
            </a:graphic>
          </wp:inline>
        </w:drawing>
      </w:r>
    </w:p>
    <w:p w:rsidR="00C548CC" w:rsidRDefault="003E4A6D">
      <w:pPr>
        <w:jc w:val="center"/>
      </w:pPr>
      <w:r>
        <w:t>Figure 1: SWOT Analysis theory (Brescia et al., 2023)</w:t>
      </w:r>
    </w:p>
    <w:p w:rsidR="00C548CC" w:rsidRDefault="003E4A6D">
      <w:pPr>
        <w:ind w:left="720"/>
        <w:rPr>
          <w:b/>
          <w:bCs/>
        </w:rPr>
      </w:pPr>
      <w:r>
        <w:rPr>
          <w:b/>
          <w:bCs/>
        </w:rPr>
        <w:t>Strengths</w:t>
      </w:r>
    </w:p>
    <w:p w:rsidR="00C548CC" w:rsidRDefault="003E4A6D">
      <w:r>
        <w:t>A global brand equity, built through the foundation of innovation, sustainability, and technological leadership in the electric vehicle (EV) business, is the greatest internal potential Tesla has (Interbrand, 2024). With the best EV and battery technology,</w:t>
      </w:r>
      <w:r>
        <w:t xml:space="preserve"> the company has previously been capable of differentiating its products and offering them at a premium price, in particular at the early adoption of the EV market (Secinaro et al., 2022). In addition to this, direct-to-consumer distribution of Tesla provi</w:t>
      </w:r>
      <w:r>
        <w:t>des greater pricing, customer data, and brand experience compared to traditional models in the automotive dealership business (McKinsey &amp; Company, 2019). These strengths have helped Tesla to expand at a very high rate without a notable growth in brand reco</w:t>
      </w:r>
      <w:r>
        <w:t>gnition by paying substantial amounts of money on advertising.</w:t>
      </w:r>
    </w:p>
    <w:p w:rsidR="00C548CC" w:rsidRDefault="003E4A6D">
      <w:pPr>
        <w:ind w:left="720"/>
        <w:rPr>
          <w:b/>
          <w:bCs/>
        </w:rPr>
      </w:pPr>
      <w:r>
        <w:rPr>
          <w:b/>
          <w:bCs/>
        </w:rPr>
        <w:t>Weaknesses</w:t>
      </w:r>
    </w:p>
    <w:p w:rsidR="00C548CC" w:rsidRDefault="003E4A6D">
      <w:r>
        <w:lastRenderedPageBreak/>
        <w:t>Despite a good brand and technological strength, Tesla is faced with major internal weaknesses that are linked to its marketing functionality. The absence of formal marketing governa</w:t>
      </w:r>
      <w:r>
        <w:t>nce and structured customer insight mechanisms inhibits the chances of having a structured knowledge of customer needs and reactions to them in the firm (Kotler and Keller, 2016). Additionally, unequal service and after-sales services have also been a well</w:t>
      </w:r>
      <w:r>
        <w:t>-known fact that contributed to the lack of connection between brand promise and the reality that the customer is exposed to at Tesla (Krisher and Condon, 2025). The low emphasis on customer relationship management also compromises retention and loyalty, w</w:t>
      </w:r>
      <w:r>
        <w:t>hich is one of the driving forces of profitability in mature markets (Kumar et al., 2024).</w:t>
      </w:r>
    </w:p>
    <w:p w:rsidR="00C548CC" w:rsidRDefault="003E4A6D">
      <w:pPr>
        <w:ind w:left="720"/>
        <w:rPr>
          <w:b/>
          <w:bCs/>
        </w:rPr>
      </w:pPr>
      <w:r>
        <w:rPr>
          <w:b/>
          <w:bCs/>
        </w:rPr>
        <w:t>Opportunities</w:t>
      </w:r>
    </w:p>
    <w:p w:rsidR="00C548CC" w:rsidRDefault="003E4A6D">
      <w:r>
        <w:t>Externally, Tesla stands a valuable chance because mainstream EV uptake has been intensively developed, and the electric cars no longer exist in the ni</w:t>
      </w:r>
      <w:r>
        <w:t>che sector, but fall under the category of a mass-market product (IEA, 2024). Such a shift exposes the opportunities for Tesla to redefine its value proposition and transcend innovation, and concentrate on reliability, ownership experience, and long-term v</w:t>
      </w:r>
      <w:r>
        <w:t>alue (Ali and Shabn, 2024). Furthermore, the new possibilities of the data-driven and AI-powered marketing presuppose the possibility to target marketing and personalise communications and enhance performance, using quantifiable customer-centric metrics an</w:t>
      </w:r>
      <w:r>
        <w:t>d customer lifetime value and retention rates (Kshetri et al., 2024; Labib, 2024). These strengths can enable Tesla to become a more competitive company when properly exploited without the need to compete on prices.</w:t>
      </w:r>
    </w:p>
    <w:p w:rsidR="00C548CC" w:rsidRDefault="003E4A6D">
      <w:pPr>
        <w:ind w:left="720"/>
        <w:rPr>
          <w:b/>
          <w:bCs/>
        </w:rPr>
      </w:pPr>
      <w:r>
        <w:rPr>
          <w:b/>
          <w:bCs/>
        </w:rPr>
        <w:t>Threats</w:t>
      </w:r>
    </w:p>
    <w:p w:rsidR="00C548CC" w:rsidRDefault="003E4A6D">
      <w:r>
        <w:t xml:space="preserve">Tesla is also confronting quite </w:t>
      </w:r>
      <w:r>
        <w:t xml:space="preserve">an unfriendly competition environment where it is stiffly competing against the existing car makers and new low-value EV players (IEA, 2024). The technological convergence has also enabled the industry to defeat the differentiation advantage of Tesla that </w:t>
      </w:r>
      <w:r>
        <w:t>existed historically to compete based on price, which increases competition, resulting in a margin loss (Statista, 2025). The repeated price cuts, despite their benefits in the short term, are highly risky to the brand equity, as they break the premium pos</w:t>
      </w:r>
      <w:r>
        <w:t>ition of Tesla and create a misunderstanding of the value the customers hold (Foreman et al., 2014). These external forces augment the Tesla strategic risks according to the prevailing marketing strategy (Grewal et al., 2024).</w:t>
      </w:r>
    </w:p>
    <w:p w:rsidR="00C548CC" w:rsidRDefault="003E4A6D">
      <w:r>
        <w:lastRenderedPageBreak/>
        <w:t>Overall, the internal weaknes</w:t>
      </w:r>
      <w:r>
        <w:t xml:space="preserve">ses and external threats of Tesla are distributed unevenly, as weak areas are increasing in number with a decreasing threat. The strength of the firm remains great, but is being neutralised by the fact that competitive parity and mounting customer demands </w:t>
      </w:r>
      <w:r>
        <w:t>are coming into the picture (Cameron and Green, 2024). The situation of external risks is being aggravated, and Tesla has only the opportunity to compete in aspects other than price due to the inability to address service quality, customer relationship man</w:t>
      </w:r>
      <w:r>
        <w:t>agement and formal marketing governance. It could mean that Tesla will have to adjust its strategy to its marketing efforts, as it will have to alter it to be competitive in the long-term and concentrate on the application of a systematic, customer-oriente</w:t>
      </w:r>
      <w:r>
        <w:t>d, and data-driven marketing (Burnes, 2017; Kumar et al., 2024).</w:t>
      </w:r>
    </w:p>
    <w:p w:rsidR="00C548CC" w:rsidRDefault="00C548CC">
      <w:pPr>
        <w:spacing w:after="200" w:line="276" w:lineRule="auto"/>
      </w:pPr>
    </w:p>
    <w:p w:rsidR="00C548CC" w:rsidRDefault="003E4A6D">
      <w:pPr>
        <w:pStyle w:val="Heading2"/>
      </w:pPr>
      <w:bookmarkStart w:id="6" w:name="_2976p3llm89g" w:colFirst="0" w:colLast="0"/>
      <w:bookmarkEnd w:id="6"/>
      <w:r>
        <w:t>2.3 Porter’s Five Forces Analysis</w:t>
      </w:r>
    </w:p>
    <w:p w:rsidR="00C548CC" w:rsidRDefault="003E4A6D">
      <w:pPr>
        <w:jc w:val="center"/>
      </w:pPr>
      <w:r>
        <w:rPr>
          <w:noProof/>
          <w:lang w:val="en-US"/>
        </w:rPr>
        <w:drawing>
          <wp:inline distT="0" distB="0" distL="0" distR="0">
            <wp:extent cx="2229250" cy="2151630"/>
            <wp:effectExtent l="0" t="0" r="0" b="0"/>
            <wp:docPr id="3" name="image4.png" descr="Porter's Five Forces: A Comprehensive Guide to Analyzing Industry  Competition - Visual Paradigm Blog"/>
            <wp:cNvGraphicFramePr/>
            <a:graphic xmlns:a="http://schemas.openxmlformats.org/drawingml/2006/main">
              <a:graphicData uri="http://schemas.openxmlformats.org/drawingml/2006/picture">
                <pic:pic xmlns:pic="http://schemas.openxmlformats.org/drawingml/2006/picture">
                  <pic:nvPicPr>
                    <pic:cNvPr id="0" name="image4.png" descr="Porter's Five Forces: A Comprehensive Guide to Analyzing Industry  Competition - Visual Paradigm Blog"/>
                    <pic:cNvPicPr preferRelativeResize="0"/>
                  </pic:nvPicPr>
                  <pic:blipFill>
                    <a:blip r:embed="rId7"/>
                    <a:srcRect/>
                    <a:stretch>
                      <a:fillRect/>
                    </a:stretch>
                  </pic:blipFill>
                  <pic:spPr>
                    <a:xfrm>
                      <a:off x="0" y="0"/>
                      <a:ext cx="2229250" cy="2151630"/>
                    </a:xfrm>
                    <a:prstGeom prst="rect">
                      <a:avLst/>
                    </a:prstGeom>
                    <a:ln/>
                  </pic:spPr>
                </pic:pic>
              </a:graphicData>
            </a:graphic>
          </wp:inline>
        </w:drawing>
      </w:r>
    </w:p>
    <w:p w:rsidR="00C548CC" w:rsidRDefault="003E4A6D">
      <w:pPr>
        <w:jc w:val="center"/>
      </w:pPr>
      <w:r>
        <w:t>Figure 2: Porter’s Five Forces Analysis Framework (Grewal et al., 2024)</w:t>
      </w:r>
    </w:p>
    <w:p w:rsidR="00C548CC" w:rsidRDefault="003E4A6D">
      <w:pPr>
        <w:ind w:left="720"/>
        <w:rPr>
          <w:b/>
          <w:bCs/>
        </w:rPr>
      </w:pPr>
      <w:r>
        <w:rPr>
          <w:b/>
          <w:bCs/>
        </w:rPr>
        <w:t>Threat of New Entrants - Moderate to High</w:t>
      </w:r>
    </w:p>
    <w:p w:rsidR="00C548CC" w:rsidRDefault="003E4A6D">
      <w:r>
        <w:t>The menace of new entrants into the elec</w:t>
      </w:r>
      <w:r>
        <w:t>tric vehicle (EV) market that Tesla is facing can be discussed as moderate or high due to some structural constraints and industry dynamics alterations. The barriers to entry usually include high capital requirements, technical complexity, and government c</w:t>
      </w:r>
      <w:r>
        <w:t>ompliance, although the government incentives, platform-based manufacturing, and availability of outsourced battery technologies have somewhat alleviated the barriers (IEA, 2024). The entry of newcomers, particularly Chinese, is finding a new avenue to off</w:t>
      </w:r>
      <w:r>
        <w:t xml:space="preserve">er competitively priced EVs with adequate technology performance, hence eroding the first-mover advantages of </w:t>
      </w:r>
      <w:r>
        <w:lastRenderedPageBreak/>
        <w:t>Tesla (Setiawan et al., 2022). The increasing pressure of entry assists in reducing Tesla's ability to focus on marketing differentiation based on</w:t>
      </w:r>
      <w:r>
        <w:t xml:space="preserve"> innovation, and it needs more efficient brand management and customer retention strategies (Brescia et al., 2023).</w:t>
      </w:r>
    </w:p>
    <w:p w:rsidR="00C548CC" w:rsidRDefault="003E4A6D">
      <w:pPr>
        <w:ind w:left="720"/>
        <w:rPr>
          <w:b/>
          <w:bCs/>
        </w:rPr>
      </w:pPr>
      <w:r>
        <w:rPr>
          <w:b/>
          <w:bCs/>
        </w:rPr>
        <w:t>Bargaining Power of Buyers - High</w:t>
      </w:r>
    </w:p>
    <w:p w:rsidR="00C548CC" w:rsidRDefault="003E4A6D">
      <w:r>
        <w:t>The buyer power in the EV industry is extremely high, and it can be attributed to the fact that the produc</w:t>
      </w:r>
      <w:r>
        <w:t>ts are becoming increasingly available, there is a high technological parity and price transparency. The switching costs have reduced since consumers can now benefit from access to a broader range of EVs, and buyers can now exert pressure on prices and val</w:t>
      </w:r>
      <w:r>
        <w:t xml:space="preserve">ue perceptions (Kotler and Keller, 2016). Repeat price reductions in Tesla are also part of the situation in which the enterprise creates expectations of lower prices in the future, compromising brand pricing and reducing customer loyalty (Foreman et al., </w:t>
      </w:r>
      <w:r>
        <w:t>2014). Hence, the Tesla marketing strategy is becoming more exposed to questions regarding the sustenance of the premium value image in the market, with customers growing more price-sensitive and comparison-seeking (Kotter, 2012).</w:t>
      </w:r>
    </w:p>
    <w:p w:rsidR="00C548CC" w:rsidRDefault="003E4A6D">
      <w:pPr>
        <w:ind w:left="720"/>
        <w:rPr>
          <w:b/>
          <w:bCs/>
        </w:rPr>
      </w:pPr>
      <w:r>
        <w:rPr>
          <w:b/>
          <w:bCs/>
        </w:rPr>
        <w:t>Bargaining Power of Suppliers - Moderate</w:t>
      </w:r>
    </w:p>
    <w:p w:rsidR="00C548CC" w:rsidRDefault="003E4A6D">
      <w:r>
        <w:t>Tesla's value chain supplier power is moderate, and it is more dictated by the availability of the raw materials that are critical to this company, such as lithium and semiconductors. Although Tesla has attempted to</w:t>
      </w:r>
      <w:r>
        <w:t xml:space="preserve"> achieve certain advantages of vertical integration and long-term supply agreements to diminish the influence of suppliers, the world supply and geopolitical risks still leave the firm in jeopardy of expenses (McKinsey and Company, 2019). These shortcoming</w:t>
      </w:r>
      <w:r>
        <w:t>s affect marketing indirectly, which limits flexibility in pricing and margin maintenance, particularly at a time when Tesla is competing with other automobile manufacturers on price. As a result, supplier power restricts the strategic options of Tesla and</w:t>
      </w:r>
      <w:r>
        <w:t xml:space="preserve"> outlines the need for marketing to shift the focus from price-based competition to differentiation of values.</w:t>
      </w:r>
    </w:p>
    <w:p w:rsidR="00C548CC" w:rsidRDefault="003E4A6D">
      <w:pPr>
        <w:ind w:left="720"/>
        <w:rPr>
          <w:b/>
          <w:bCs/>
        </w:rPr>
      </w:pPr>
      <w:r>
        <w:rPr>
          <w:b/>
          <w:bCs/>
        </w:rPr>
        <w:t>Threat of Substitutes - Moderate</w:t>
      </w:r>
    </w:p>
    <w:p w:rsidR="00C548CC" w:rsidRDefault="003E4A6D">
      <w:r>
        <w:t>The threat of EV products by Tesla to be substituted is mediocre, principally because of hybrids and better-mile</w:t>
      </w:r>
      <w:r>
        <w:t>age internal combustion engines (ICE) models. These options are competitive in price-sensitive markets; they have lower start-up investment and already have the available refuelling infrastructure (Bryła et al., 2022). Marketing-wise, this option is a chal</w:t>
      </w:r>
      <w:r>
        <w:t xml:space="preserve">lenge to the sustainability-oriented position of Tesla, where individuals can consider hybrids as an alternative </w:t>
      </w:r>
      <w:r>
        <w:lastRenderedPageBreak/>
        <w:t>to EVs as a substitution rather than a full replacement. This supports the view that the marketing messages of Tesla ought to emphasise the ove</w:t>
      </w:r>
      <w:r>
        <w:t>rall cost of ownership, dependability, and long-term value, rather than only emphasising the environmentally friendly advantages.</w:t>
      </w:r>
    </w:p>
    <w:p w:rsidR="00C548CC" w:rsidRDefault="003E4A6D">
      <w:pPr>
        <w:ind w:left="720"/>
        <w:rPr>
          <w:b/>
          <w:bCs/>
        </w:rPr>
      </w:pPr>
      <w:r>
        <w:rPr>
          <w:b/>
          <w:bCs/>
        </w:rPr>
        <w:t>Competitive Rivalry - Very High</w:t>
      </w:r>
    </w:p>
    <w:p w:rsidR="00C548CC" w:rsidRDefault="003E4A6D">
      <w:pPr>
        <w:spacing w:after="200"/>
      </w:pPr>
      <w:r>
        <w:t>Competitive rivalry in the EV industry is high, and it is characterised by high product innova</w:t>
      </w:r>
      <w:r>
        <w:t>tion rates, aggressive pricing techniques and rising marketing expenditure by its competitors. The current speciality EV companies and the future car makers of the past are converging in technological terms, and Tesla is losing its historical differentiati</w:t>
      </w:r>
      <w:r>
        <w:t>on advantage (IEA, 2024). It has intensified price wars that have culminated in loss of margins and strategic instability in the market (Statista, 2025). The presence of strong competition in the case of Tesla represents the vulnerable aspect of the inform</w:t>
      </w:r>
      <w:r>
        <w:t>al and product-oriented marketing strategy, which enhances the strategic necessity of a disciplined marketing governance, better management of customer relationships, and integrated communications to stay afloat in the overwhelmed market.</w:t>
      </w:r>
    </w:p>
    <w:p w:rsidR="00C548CC" w:rsidRDefault="003E4A6D">
      <w:pPr>
        <w:pStyle w:val="Heading1"/>
      </w:pPr>
      <w:bookmarkStart w:id="7" w:name="_94a8u9zcch1c" w:colFirst="0" w:colLast="0"/>
      <w:bookmarkEnd w:id="7"/>
      <w:r>
        <w:t>3. Strategic Anal</w:t>
      </w:r>
      <w:r>
        <w:t>ysis of Marketing Decisions</w:t>
      </w:r>
    </w:p>
    <w:p w:rsidR="00C548CC" w:rsidRDefault="003E4A6D">
      <w:pPr>
        <w:pStyle w:val="Heading2"/>
      </w:pPr>
      <w:bookmarkStart w:id="8" w:name="_cl8wbuyidx0s" w:colFirst="0" w:colLast="0"/>
      <w:bookmarkEnd w:id="8"/>
      <w:r>
        <w:t>3.1 Segmentation, Targeting and Positioning</w:t>
      </w:r>
    </w:p>
    <w:p w:rsidR="00C548CC" w:rsidRDefault="003E4A6D">
      <w:r>
        <w:t>Segmentation, targeting and positioning (STP) has been critical in ensuring that the marketing resources are utilised effectively and a competitive advantage is sustained in the long-t</w:t>
      </w:r>
      <w:r>
        <w:t>erm. In Tesla, STP has driven high growth over the years; however, market experience shows that a perceived strain on consistency and viability of the strategy in the electric vehicle (EV) market is accumulating as the industry is maturing.</w:t>
      </w:r>
    </w:p>
    <w:p w:rsidR="00C548CC" w:rsidRDefault="003E4A6D">
      <w:pPr>
        <w:jc w:val="center"/>
      </w:pPr>
      <w:r>
        <w:rPr>
          <w:noProof/>
          <w:lang w:val="en-US"/>
        </w:rPr>
        <w:drawing>
          <wp:inline distT="0" distB="0" distL="0" distR="0">
            <wp:extent cx="2430547" cy="212491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430547" cy="2124910"/>
                    </a:xfrm>
                    <a:prstGeom prst="rect">
                      <a:avLst/>
                    </a:prstGeom>
                    <a:ln/>
                  </pic:spPr>
                </pic:pic>
              </a:graphicData>
            </a:graphic>
          </wp:inline>
        </w:drawing>
      </w:r>
    </w:p>
    <w:p w:rsidR="00C548CC" w:rsidRDefault="003E4A6D">
      <w:pPr>
        <w:jc w:val="center"/>
      </w:pPr>
      <w:r>
        <w:lastRenderedPageBreak/>
        <w:t>Figure 3: Str</w:t>
      </w:r>
      <w:r>
        <w:t>ategic Evolution and Emerging Tensions in Tesla’s STP Strategy (Author generate)</w:t>
      </w:r>
    </w:p>
    <w:p w:rsidR="00C548CC" w:rsidRDefault="003E4A6D">
      <w:pPr>
        <w:ind w:left="720"/>
        <w:rPr>
          <w:b/>
          <w:bCs/>
        </w:rPr>
      </w:pPr>
      <w:r>
        <w:rPr>
          <w:b/>
          <w:bCs/>
        </w:rPr>
        <w:t>Segmentation</w:t>
      </w:r>
    </w:p>
    <w:p w:rsidR="00C548CC" w:rsidRDefault="003E4A6D">
      <w:r>
        <w:t>Historically, Tesla has divided the market based on psychographics and behavioural grounds, including consumers who have been identified as environmentally respon</w:t>
      </w:r>
      <w:r>
        <w:t xml:space="preserve">sible, technologically adventurous and first movers. This market approach was appropriate in the initial market environment of EV when the concentration of potential consumers was high among the upper-income and innovator groups (Statista, 2025). Industry </w:t>
      </w:r>
      <w:r>
        <w:t>statistics indicate that the early EV buyers were disproportionately concentrated among the affluent and urban population; hence, Tesla uses the segmentation approach. However, the recent market shifts show that the demand for EVs has taken a structural sh</w:t>
      </w:r>
      <w:r>
        <w:t>ift. By 2023, over 14 million units of EVs were sold in the world market, and the sales were not only on the list of early adopters but also became mainstream (IEA, 2024). As the usage of EVs grows, the innovation affinity will not be an effective segmenta</w:t>
      </w:r>
      <w:r>
        <w:t>tion strategy, and Tesla will demonstrate a lack of specific differentiation in its customer policies.</w:t>
      </w:r>
    </w:p>
    <w:p w:rsidR="00C548CC" w:rsidRDefault="003E4A6D">
      <w:pPr>
        <w:ind w:left="720"/>
        <w:rPr>
          <w:b/>
          <w:bCs/>
        </w:rPr>
      </w:pPr>
      <w:r>
        <w:rPr>
          <w:b/>
          <w:bCs/>
        </w:rPr>
        <w:t>Targeting</w:t>
      </w:r>
    </w:p>
    <w:p w:rsidR="00C548CC" w:rsidRDefault="003E4A6D">
      <w:r>
        <w:t>Focus on Tesla has now extended to wide price reductions on core models, which has a record of continuing price cuts in a high-end niche to exp</w:t>
      </w:r>
      <w:r>
        <w:t>ansive market niches in 2023 and 2024 (Xue et al., 2024). These adjustments allowed Tesla to maintain the EV sales leadership in the world, and simultaneously, the shipments of cars fell to new records every year in 2024, the first in over a decade (Claudi</w:t>
      </w:r>
      <w:r>
        <w:t xml:space="preserve">a, 2019). This means that the demand pressure has not been fully addressed by the increased targeting. Also, the mass-market EV customers are more price-sensitive, consider the relevance of reliability and after-sales service less than the early adopters, </w:t>
      </w:r>
      <w:r>
        <w:t>which, in turn, implies that Tesla does not align with its extended target market, the existing value proposition and service provisions (Statista, 2025).</w:t>
      </w:r>
    </w:p>
    <w:p w:rsidR="00C548CC" w:rsidRDefault="003E4A6D">
      <w:pPr>
        <w:ind w:left="720"/>
        <w:rPr>
          <w:b/>
          <w:bCs/>
        </w:rPr>
      </w:pPr>
      <w:r>
        <w:rPr>
          <w:b/>
          <w:bCs/>
        </w:rPr>
        <w:t>Positioning</w:t>
      </w:r>
    </w:p>
    <w:p w:rsidR="00C548CC" w:rsidRDefault="003E4A6D">
      <w:r>
        <w:t>Sustainability and innovation leadership remain the basis of the positioning of Tesla. Ev</w:t>
      </w:r>
      <w:r>
        <w:t>en though this positioning has given the company a good brand equity over the last few years, the competitive benchmarking statistics show that the old players as well as the new players are rapidly bridging technological gaps in areas such as driving rang</w:t>
      </w:r>
      <w:r>
        <w:t xml:space="preserve">e, battery efficiency and software capabilities (Setiawan et al., 2022). This has made innovation-based differentiation weak. Furthermore, regular </w:t>
      </w:r>
      <w:r>
        <w:lastRenderedPageBreak/>
        <w:t>price adjustments will compromise the Tesla signs of luxury brands and will introduce inconsistency between t</w:t>
      </w:r>
      <w:r>
        <w:t>he intended and the actual perception of the company. Tesla is still on the list of the most valuable automotive brands in the world based on brand valuation, despite the declining delivery growth and growing competition. It is possible that Tesla will los</w:t>
      </w:r>
      <w:r>
        <w:t>e its positioning advantage despite its long history of success (HubSpot, 2025).</w:t>
      </w:r>
    </w:p>
    <w:p w:rsidR="00C548CC" w:rsidRDefault="003E4A6D">
      <w:pPr>
        <w:pStyle w:val="Heading2"/>
      </w:pPr>
      <w:bookmarkStart w:id="9" w:name="_um305jg605k3" w:colFirst="0" w:colLast="0"/>
      <w:bookmarkEnd w:id="9"/>
      <w:r>
        <w:t>3.2 Ansoff Matrix: Growth Strategy Analysis</w:t>
      </w:r>
    </w:p>
    <w:p w:rsidR="00C548CC" w:rsidRDefault="003E4A6D">
      <w:r>
        <w:t>Ansoff Matrix is a tactical instrument for evaluating the business growth prospects on the basis of the accessible and novel produc</w:t>
      </w:r>
      <w:r>
        <w:t>ts and markets (Ansoff, 1957). It is possible to use this model to study Tesla and have a logical analysis of how the company has been dealing with growth over the years and whether the strategies apply in an electric vehicle (EV) market that is growing an</w:t>
      </w:r>
      <w:r>
        <w:t>d is becoming increasingly competitive.</w:t>
      </w:r>
    </w:p>
    <w:p w:rsidR="00C548CC" w:rsidRDefault="003E4A6D">
      <w:pPr>
        <w:ind w:left="720"/>
        <w:rPr>
          <w:b/>
          <w:bCs/>
        </w:rPr>
      </w:pPr>
      <w:r>
        <w:rPr>
          <w:b/>
          <w:bCs/>
        </w:rPr>
        <w:t>Market Penetration (Existing Products, Existing Markets)</w:t>
      </w:r>
    </w:p>
    <w:p w:rsidR="00C548CC" w:rsidRDefault="003E4A6D">
      <w:r>
        <w:t>Market penetration, primarily through heavy price reductions in its main vehicle model, has been the most commonly utilised growth strategy that Tesla has impl</w:t>
      </w:r>
      <w:r>
        <w:t>emented within the last few years. That has been an incentive plan of demand spurring and market share protection, and a gauge of mainstream EV adoption in the prevailing geographic regions (Statista, 2025). In the short run, this strategy has increased sa</w:t>
      </w:r>
      <w:r>
        <w:t>les volume and made Tesla the EV leader in the world.</w:t>
      </w:r>
    </w:p>
    <w:p w:rsidR="00C548CC" w:rsidRDefault="003E4A6D">
      <w:r>
        <w:t>However, in market penetration, being overly dependent has significant disadvantages, as far as marketing is concerned. Constant price cuts have led to declining car dealership margins and undermined th</w:t>
      </w:r>
      <w:r>
        <w:t>e brand position of Tesla as a luxury name (Foreman et al., 2014). Moreover, the pricing development means that a firm is at risk of creating a consumer who is conditioned to wait until the product gets a discount, which will destroy the brand equity and p</w:t>
      </w:r>
      <w:r>
        <w:t>ricing power in the long run (Kotler and Keller, 2016). As the competitive rivalry hardens, the penetration of the market ceases to be sustainable in the capital-intensive industry as the differentiation in terms of innovation decreases.</w:t>
      </w:r>
    </w:p>
    <w:p w:rsidR="00C548CC" w:rsidRDefault="003E4A6D">
      <w:pPr>
        <w:ind w:left="720"/>
        <w:rPr>
          <w:b/>
          <w:bCs/>
        </w:rPr>
      </w:pPr>
      <w:r>
        <w:rPr>
          <w:b/>
          <w:bCs/>
        </w:rPr>
        <w:t>Market Development</w:t>
      </w:r>
      <w:r>
        <w:rPr>
          <w:b/>
          <w:bCs/>
        </w:rPr>
        <w:t xml:space="preserve"> (Existing Products, New Markets)</w:t>
      </w:r>
    </w:p>
    <w:p w:rsidR="00C548CC" w:rsidRDefault="003E4A6D">
      <w:r>
        <w:t xml:space="preserve">Market development will involve the diversification of Tesla's current market EV products in new geographic or demographic markets, most of them new emerging economies where EV penetration </w:t>
      </w:r>
      <w:r>
        <w:lastRenderedPageBreak/>
        <w:t>has not yet been fully developed.</w:t>
      </w:r>
      <w:r>
        <w:t xml:space="preserve"> These regions have long-term growth opportunities due to the global sustainability agendas and the rising emission policy (IEA, 2024). New markets, in the case of Tesla, hold the promise of capitalising on its brand image and technology much more than the</w:t>
      </w:r>
      <w:r>
        <w:t xml:space="preserve"> already saturated markets.</w:t>
      </w:r>
    </w:p>
    <w:p w:rsidR="00C548CC" w:rsidRDefault="003E4A6D">
      <w:r>
        <w:t xml:space="preserve">But Tesla has structural weaknesses as well in its marketing and service infrastructure, which is exposed in the market development. It will require a robust after-sales service, frequent management of customer experiences, and </w:t>
      </w:r>
      <w:r>
        <w:t>localisation of marketing communications items with which Tesla has been found wanting (McKinsey and Company, 2019). Culturally and institutionally diversified markets where the marketing governance and service delivery process is not improved have the pot</w:t>
      </w:r>
      <w:r>
        <w:t>ential of market development to destroy brand credibility and customer trust.</w:t>
      </w:r>
    </w:p>
    <w:p w:rsidR="00C548CC" w:rsidRDefault="003E4A6D">
      <w:pPr>
        <w:ind w:left="720"/>
        <w:rPr>
          <w:b/>
          <w:bCs/>
        </w:rPr>
      </w:pPr>
      <w:r>
        <w:rPr>
          <w:b/>
          <w:bCs/>
        </w:rPr>
        <w:t>Product Development (New Products, Existing Markets)</w:t>
      </w:r>
    </w:p>
    <w:p w:rsidR="00C548CC" w:rsidRDefault="003E4A6D">
      <w:r>
        <w:t>Tesla has been founded on a history of product development that has resulted in high product technology in terms of battery technology, software integration, and autonomous driving capabilities that give Tesla a competitive edge. The example of how Tesla c</w:t>
      </w:r>
      <w:r>
        <w:t>an extract value from the extra features of its current consumer base and aid its brand identity based on innovation is the upgrades that it offers in the form of over-the-air software updates (Secinaro et al., 2022).</w:t>
      </w:r>
    </w:p>
    <w:p w:rsidR="00C548CC" w:rsidRDefault="003E4A6D">
      <w:r>
        <w:t>Convergence of technology in the EV industry is, however, limiting the strategic value of product development. Tesla innovations have also been replicated by the competitors in terms of driving range, battery performance, and digital capabilities, and thus</w:t>
      </w:r>
      <w:r>
        <w:t>, the innovations of Tesla do not appear as unique anymore (IEA, 2024). This negatively affects marketing in the sense that it undermines innovation as a value that offers on its own and complementary differentiation in the sense of reliability, experience</w:t>
      </w:r>
      <w:r>
        <w:t xml:space="preserve"> of ownership and customer service. The long-term investment in product development is also linked to large expenses in the field of research and development that may not result in similar returns due to marginal innovations that are not easily noticed by </w:t>
      </w:r>
      <w:r>
        <w:t>consumers (Kumar et al., 2024).</w:t>
      </w:r>
    </w:p>
    <w:p w:rsidR="00C548CC" w:rsidRDefault="003E4A6D">
      <w:pPr>
        <w:ind w:left="720"/>
        <w:rPr>
          <w:b/>
          <w:bCs/>
        </w:rPr>
      </w:pPr>
      <w:r>
        <w:rPr>
          <w:b/>
          <w:bCs/>
        </w:rPr>
        <w:t>Diversification (New Products, New Markets)</w:t>
      </w:r>
    </w:p>
    <w:p w:rsidR="00C548CC" w:rsidRDefault="003E4A6D">
      <w:r>
        <w:t>Tesla does not just focus on manufacturing vehicles through its diversification program, but also includes energy storage, solar engineering, artificial intelligence, and robots. T</w:t>
      </w:r>
      <w:r>
        <w:t xml:space="preserve">he plan will stand a </w:t>
      </w:r>
      <w:r>
        <w:lastRenderedPageBreak/>
        <w:t xml:space="preserve">possibility of diversifying risks and increasing opportunities in the long-term with the reduction of dependence on vehicle sales as one variable (Kshetri et al., 2024). Tactically speaking, diversification correlates with the broader </w:t>
      </w:r>
      <w:r>
        <w:t>mission of Tesla for sustainable energy and technological development.</w:t>
      </w:r>
    </w:p>
    <w:p w:rsidR="00C548CC" w:rsidRDefault="003E4A6D">
      <w:r>
        <w:t>Diversification is also the riskiest strategy in Ansoff. The operation of introducing new products to new markets requires grave managerial issues, financial investment in marketing, an</w:t>
      </w:r>
      <w:r>
        <w:t>d building of the capabilities (Burnes, 2017). In the Tesla case, excess diversification could lead to the firm losing strategic focus and allocating resources to other, less pressing matters in its core EV business, including customer experience and marke</w:t>
      </w:r>
      <w:r>
        <w:t>ting efficiency. The absence of a well-defined and market-driven explanation may result in the diversification that causes the brand to be stretched as thin as paper and causes the disappearance of strategic coherence.</w:t>
      </w:r>
    </w:p>
    <w:p w:rsidR="00C548CC" w:rsidRDefault="003E4A6D">
      <w:pPr>
        <w:rPr>
          <w:b/>
          <w:bCs/>
        </w:rPr>
      </w:pPr>
      <w:r>
        <w:rPr>
          <w:b/>
          <w:bCs/>
        </w:rPr>
        <w:t>Strategic Implications:</w:t>
      </w:r>
    </w:p>
    <w:p w:rsidR="00C548CC" w:rsidRDefault="003E4A6D">
      <w:r>
        <w:t xml:space="preserve">Overall, the </w:t>
      </w:r>
      <w:r>
        <w:t>Ansoff Matrix analysis shows that Tesla has excessively concentrated their growth strategy on the market penetration strategy, which is a very risky strategy in a highly competitive and well-developed market. Despite the fact that product development and s</w:t>
      </w:r>
      <w:r>
        <w:t xml:space="preserve">elective market development are more likely to sustain growth, its success depends on the professionalisation of the marketing position of Tesla and increased customer-centric capacity. The diversification will be pursued cautiously and at a place where a </w:t>
      </w:r>
      <w:r>
        <w:t>good strategic fit and marketing support are assured. This discussion justifies the need to counterbalance the growth strategy by Tesla by moving the price-led growth to value-based, customer-focused and disciplined strategic marketing practices.</w:t>
      </w:r>
    </w:p>
    <w:tbl>
      <w:tblPr>
        <w:tblStyle w:val="a"/>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64"/>
        <w:gridCol w:w="2163"/>
        <w:gridCol w:w="2445"/>
        <w:gridCol w:w="2804"/>
      </w:tblGrid>
      <w:tr w:rsidR="00C548CC">
        <w:tc>
          <w:tcPr>
            <w:tcW w:w="2164" w:type="dxa"/>
          </w:tcPr>
          <w:p w:rsidR="00C548CC" w:rsidRDefault="003E4A6D">
            <w:r>
              <w:t>Strategy</w:t>
            </w:r>
          </w:p>
        </w:tc>
        <w:tc>
          <w:tcPr>
            <w:tcW w:w="2163" w:type="dxa"/>
          </w:tcPr>
          <w:p w:rsidR="00C548CC" w:rsidRDefault="003E4A6D">
            <w:r>
              <w:t>Tesla Application</w:t>
            </w:r>
          </w:p>
        </w:tc>
        <w:tc>
          <w:tcPr>
            <w:tcW w:w="2445" w:type="dxa"/>
          </w:tcPr>
          <w:p w:rsidR="00C548CC" w:rsidRDefault="003E4A6D">
            <w:r>
              <w:t>Advantages</w:t>
            </w:r>
          </w:p>
        </w:tc>
        <w:tc>
          <w:tcPr>
            <w:tcW w:w="2804" w:type="dxa"/>
          </w:tcPr>
          <w:p w:rsidR="00C548CC" w:rsidRDefault="003E4A6D">
            <w:r>
              <w:t>Disadvantages</w:t>
            </w:r>
          </w:p>
        </w:tc>
      </w:tr>
      <w:tr w:rsidR="00C548CC">
        <w:tc>
          <w:tcPr>
            <w:tcW w:w="2164" w:type="dxa"/>
          </w:tcPr>
          <w:p w:rsidR="00C548CC" w:rsidRDefault="003E4A6D">
            <w:r>
              <w:t>Market Penetration</w:t>
            </w:r>
          </w:p>
        </w:tc>
        <w:tc>
          <w:tcPr>
            <w:tcW w:w="2163" w:type="dxa"/>
          </w:tcPr>
          <w:p w:rsidR="00C548CC" w:rsidRDefault="003E4A6D">
            <w:r>
              <w:t>Price reductions</w:t>
            </w:r>
          </w:p>
        </w:tc>
        <w:tc>
          <w:tcPr>
            <w:tcW w:w="2445" w:type="dxa"/>
          </w:tcPr>
          <w:p w:rsidR="00C548CC" w:rsidRDefault="003E4A6D">
            <w:r>
              <w:t>Short-term volume growth</w:t>
            </w:r>
          </w:p>
        </w:tc>
        <w:tc>
          <w:tcPr>
            <w:tcW w:w="2804" w:type="dxa"/>
          </w:tcPr>
          <w:p w:rsidR="00C548CC" w:rsidRDefault="003E4A6D">
            <w:r>
              <w:t>Margin erosion, brand dilution</w:t>
            </w:r>
          </w:p>
        </w:tc>
      </w:tr>
      <w:tr w:rsidR="00C548CC">
        <w:tc>
          <w:tcPr>
            <w:tcW w:w="2164" w:type="dxa"/>
          </w:tcPr>
          <w:p w:rsidR="00C548CC" w:rsidRDefault="003E4A6D">
            <w:r>
              <w:t>Market Development</w:t>
            </w:r>
          </w:p>
        </w:tc>
        <w:tc>
          <w:tcPr>
            <w:tcW w:w="2163" w:type="dxa"/>
          </w:tcPr>
          <w:p w:rsidR="00C548CC" w:rsidRDefault="003E4A6D">
            <w:r>
              <w:t>Entry into new regions</w:t>
            </w:r>
          </w:p>
        </w:tc>
        <w:tc>
          <w:tcPr>
            <w:tcW w:w="2445" w:type="dxa"/>
          </w:tcPr>
          <w:p w:rsidR="00C548CC" w:rsidRDefault="003E4A6D">
            <w:r>
              <w:t>Long-term demand</w:t>
            </w:r>
          </w:p>
        </w:tc>
        <w:tc>
          <w:tcPr>
            <w:tcW w:w="2804" w:type="dxa"/>
          </w:tcPr>
          <w:p w:rsidR="00C548CC" w:rsidRDefault="003E4A6D">
            <w:r>
              <w:t>Service infrastructure strain</w:t>
            </w:r>
          </w:p>
        </w:tc>
      </w:tr>
      <w:tr w:rsidR="00C548CC">
        <w:tc>
          <w:tcPr>
            <w:tcW w:w="2164" w:type="dxa"/>
          </w:tcPr>
          <w:p w:rsidR="00C548CC" w:rsidRDefault="003E4A6D">
            <w:r>
              <w:t>Product Development</w:t>
            </w:r>
          </w:p>
        </w:tc>
        <w:tc>
          <w:tcPr>
            <w:tcW w:w="2163" w:type="dxa"/>
          </w:tcPr>
          <w:p w:rsidR="00C548CC" w:rsidRDefault="003E4A6D">
            <w:r>
              <w:t xml:space="preserve">Software </w:t>
            </w:r>
            <w:r>
              <w:t>&amp; autonomy</w:t>
            </w:r>
          </w:p>
        </w:tc>
        <w:tc>
          <w:tcPr>
            <w:tcW w:w="2445" w:type="dxa"/>
          </w:tcPr>
          <w:p w:rsidR="00C548CC" w:rsidRDefault="003E4A6D">
            <w:r>
              <w:t>Innovation leadership</w:t>
            </w:r>
          </w:p>
        </w:tc>
        <w:tc>
          <w:tcPr>
            <w:tcW w:w="2804" w:type="dxa"/>
          </w:tcPr>
          <w:p w:rsidR="00C548CC" w:rsidRDefault="003E4A6D">
            <w:r>
              <w:t>High cost, diminishing returns</w:t>
            </w:r>
          </w:p>
        </w:tc>
      </w:tr>
      <w:tr w:rsidR="00C548CC">
        <w:tc>
          <w:tcPr>
            <w:tcW w:w="2164" w:type="dxa"/>
          </w:tcPr>
          <w:p w:rsidR="00C548CC" w:rsidRDefault="003E4A6D">
            <w:r>
              <w:t>Diversification</w:t>
            </w:r>
          </w:p>
        </w:tc>
        <w:tc>
          <w:tcPr>
            <w:tcW w:w="2163" w:type="dxa"/>
          </w:tcPr>
          <w:p w:rsidR="00C548CC" w:rsidRDefault="003E4A6D">
            <w:r>
              <w:t>Energy &amp; AI ventures</w:t>
            </w:r>
          </w:p>
        </w:tc>
        <w:tc>
          <w:tcPr>
            <w:tcW w:w="2445" w:type="dxa"/>
          </w:tcPr>
          <w:p w:rsidR="00C548CC" w:rsidRDefault="003E4A6D">
            <w:r>
              <w:t>Risk spreading</w:t>
            </w:r>
          </w:p>
        </w:tc>
        <w:tc>
          <w:tcPr>
            <w:tcW w:w="2804" w:type="dxa"/>
          </w:tcPr>
          <w:p w:rsidR="00C548CC" w:rsidRDefault="003E4A6D">
            <w:r>
              <w:t>Strategic distraction</w:t>
            </w:r>
          </w:p>
        </w:tc>
      </w:tr>
    </w:tbl>
    <w:p w:rsidR="00C548CC" w:rsidRDefault="003E4A6D">
      <w:pPr>
        <w:jc w:val="center"/>
      </w:pPr>
      <w:r>
        <w:t>Table 1: Ansoff Matrix Analysis of Tesla’s Growth Strategies (Self Made)</w:t>
      </w:r>
    </w:p>
    <w:p w:rsidR="00C548CC" w:rsidRDefault="003E4A6D">
      <w:pPr>
        <w:pStyle w:val="Heading1"/>
      </w:pPr>
      <w:bookmarkStart w:id="10" w:name="_7vyg3j4ztyjt" w:colFirst="0" w:colLast="0"/>
      <w:bookmarkEnd w:id="10"/>
      <w:r>
        <w:lastRenderedPageBreak/>
        <w:t>4. Conclusions</w:t>
      </w:r>
    </w:p>
    <w:p w:rsidR="00C548CC" w:rsidRDefault="003E4A6D">
      <w:r>
        <w:t>The position and performance</w:t>
      </w:r>
      <w:r>
        <w:t xml:space="preserve"> of the marketing division at Tesla were critically evaluated in this report within the context of a growing and competitive car market of electric vehicles at a high rate. As has been demonstrated in the discussion, despite Tesla's traditional high brand </w:t>
      </w:r>
      <w:r>
        <w:t>equity, technological innovation and unique marketing strategy, the company is less well-positioned in an environment that is characterised by a lack of competitive advantage, price sensitivity and increasing customer demands. The planning models, includin</w:t>
      </w:r>
      <w:r>
        <w:t>g the SWOT analysis, Porter's Five Forces and the Ansoff Matrix, showed a growing inappropriateness of marketing strategy and market conditions at Tesla, particularly with respect to pricing, customer experience, and performance measurement. According to t</w:t>
      </w:r>
      <w:r>
        <w:t>he results, further competitiveness will be based on the level of professionalisation of the marketing position of Tesla, the strengthened customer-oriented orientation, and more controlled and evidence-based strategic decision-making.</w:t>
      </w:r>
    </w:p>
    <w:p w:rsidR="00C548CC" w:rsidRDefault="003E4A6D">
      <w:pPr>
        <w:pStyle w:val="Heading1"/>
      </w:pPr>
      <w:bookmarkStart w:id="11" w:name="_7ew0eurl53ys" w:colFirst="0" w:colLast="0"/>
      <w:bookmarkEnd w:id="11"/>
      <w:r>
        <w:t>5. Recommendations</w:t>
      </w:r>
    </w:p>
    <w:p w:rsidR="00C548CC" w:rsidRDefault="003E4A6D">
      <w:r>
        <w:t>B</w:t>
      </w:r>
      <w:r>
        <w:t>ased on the results developed in Section 3, one could say that the current marketing approach of Tesla should become more strategically coordinated, customer-focused and analytical to remain in operation when the market of electric vehicles is becoming inc</w:t>
      </w:r>
      <w:r>
        <w:t>reasingly competitive and mature. The SOSTAC framework is presented below in order to make it feasible and clear, and with objectives that are aligned with the organisational objectives (Galpin, 2023).</w:t>
      </w:r>
    </w:p>
    <w:p w:rsidR="00C548CC" w:rsidRDefault="003E4A6D">
      <w:pPr>
        <w:ind w:left="720"/>
        <w:rPr>
          <w:b/>
          <w:bCs/>
        </w:rPr>
      </w:pPr>
      <w:r>
        <w:rPr>
          <w:b/>
          <w:bCs/>
        </w:rPr>
        <w:t>Situation</w:t>
      </w:r>
    </w:p>
    <w:p w:rsidR="00C548CC" w:rsidRDefault="003E4A6D">
      <w:r>
        <w:t>Tesla is facing a mature EV market that is facing growing competition, declining technological differentiation, and price elasticity by consumers. The satisfaction of the high brand equity and innovation potentials is accompanied by the disadvantage of lon</w:t>
      </w:r>
      <w:r>
        <w:t>g-term sustainability, which is the absence of a particular concentration in segmentation, the possibility to offer stable customer experiences and the measures of marketing performance. Marketing should then become more structured and market-responsive, s</w:t>
      </w:r>
      <w:r>
        <w:t>trategic role and less informal and innovation-driven (Claudia, 2019).</w:t>
      </w:r>
    </w:p>
    <w:p w:rsidR="00C548CC" w:rsidRDefault="003E4A6D">
      <w:pPr>
        <w:ind w:left="720"/>
        <w:rPr>
          <w:b/>
          <w:bCs/>
        </w:rPr>
      </w:pPr>
      <w:r>
        <w:rPr>
          <w:b/>
          <w:bCs/>
        </w:rPr>
        <w:t>Objectives</w:t>
      </w:r>
    </w:p>
    <w:p w:rsidR="00C548CC" w:rsidRDefault="003E4A6D">
      <w:r>
        <w:t>Tesla should devise certain, measurable marketing objectives that extend beyond expansion in volume. These would encompass customer retention and customer trust, brand consis</w:t>
      </w:r>
      <w:r>
        <w:t xml:space="preserve">tency across </w:t>
      </w:r>
      <w:r>
        <w:lastRenderedPageBreak/>
        <w:t>the markets and responsiveness in the marketing activities (Xue et al., 2024). The targets should be tied to the customer-oriented performance, such as satisfaction, loyalty and lifetime value, rather than the delivery and revenue measurements</w:t>
      </w:r>
      <w:r>
        <w:t xml:space="preserve"> (Labib, 2024).</w:t>
      </w:r>
    </w:p>
    <w:p w:rsidR="00C548CC" w:rsidRDefault="003E4A6D">
      <w:pPr>
        <w:jc w:val="center"/>
      </w:pPr>
      <w:r>
        <w:rPr>
          <w:noProof/>
          <w:lang w:val="en-US"/>
        </w:rPr>
        <w:drawing>
          <wp:inline distT="0" distB="0" distL="0" distR="0">
            <wp:extent cx="2639920" cy="2323130"/>
            <wp:effectExtent l="0" t="0" r="0" b="0"/>
            <wp:docPr id="4" name="image1.jpg" descr="The SOSTAC® Marketing Planning Model"/>
            <wp:cNvGraphicFramePr/>
            <a:graphic xmlns:a="http://schemas.openxmlformats.org/drawingml/2006/main">
              <a:graphicData uri="http://schemas.openxmlformats.org/drawingml/2006/picture">
                <pic:pic xmlns:pic="http://schemas.openxmlformats.org/drawingml/2006/picture">
                  <pic:nvPicPr>
                    <pic:cNvPr id="0" name="image1.jpg" descr="The SOSTAC® Marketing Planning Model"/>
                    <pic:cNvPicPr preferRelativeResize="0"/>
                  </pic:nvPicPr>
                  <pic:blipFill>
                    <a:blip r:embed="rId9"/>
                    <a:srcRect/>
                    <a:stretch>
                      <a:fillRect/>
                    </a:stretch>
                  </pic:blipFill>
                  <pic:spPr>
                    <a:xfrm>
                      <a:off x="0" y="0"/>
                      <a:ext cx="2639920" cy="2323130"/>
                    </a:xfrm>
                    <a:prstGeom prst="rect">
                      <a:avLst/>
                    </a:prstGeom>
                    <a:ln/>
                  </pic:spPr>
                </pic:pic>
              </a:graphicData>
            </a:graphic>
          </wp:inline>
        </w:drawing>
      </w:r>
    </w:p>
    <w:p w:rsidR="00C548CC" w:rsidRDefault="003E4A6D">
      <w:pPr>
        <w:jc w:val="center"/>
      </w:pPr>
      <w:r>
        <w:t>Figure 4: SOSTAC framework (Cameron and Green, 2024)</w:t>
      </w:r>
    </w:p>
    <w:p w:rsidR="00C548CC" w:rsidRDefault="003E4A6D">
      <w:pPr>
        <w:ind w:left="720"/>
        <w:rPr>
          <w:b/>
          <w:bCs/>
        </w:rPr>
      </w:pPr>
      <w:r>
        <w:rPr>
          <w:b/>
          <w:bCs/>
        </w:rPr>
        <w:t>Strategy</w:t>
      </w:r>
    </w:p>
    <w:p w:rsidR="00C548CC" w:rsidRDefault="003E4A6D">
      <w:r>
        <w:t>Tesla should be more strict in its STP strategy and master the segmentation to reflect more varied customer motivations and expectations. The targeting should be based on segme</w:t>
      </w:r>
      <w:r>
        <w:t>nts that are strategically appealing, and Tesla is able to offer more value rather than targeting a broad marketplace with price-related strategies (Burnes, 2017). The positioning will need to change into a less innovative leadership orientation into a mor</w:t>
      </w:r>
      <w:r>
        <w:t>e balanced value offering that uses reliability, service quality, and ownership experience, along with technological excellence (Krisher and Condon, 2025).</w:t>
      </w:r>
    </w:p>
    <w:p w:rsidR="00C548CC" w:rsidRDefault="003E4A6D">
      <w:pPr>
        <w:ind w:left="720"/>
        <w:rPr>
          <w:b/>
          <w:bCs/>
        </w:rPr>
      </w:pPr>
      <w:r>
        <w:rPr>
          <w:b/>
          <w:bCs/>
        </w:rPr>
        <w:t>Tactics</w:t>
      </w:r>
    </w:p>
    <w:p w:rsidR="00C548CC" w:rsidRDefault="003E4A6D">
      <w:r>
        <w:t>In keeping with this plan, Tesla should re-invent its communication media complex through th</w:t>
      </w:r>
      <w:r>
        <w:t>e inclusion of earned media and selective and strategic, data-based paid and owned media. It has to pay more attention to lifecycle marketing, retention communications and post-purchase communication (Xue et al., 2024). At the same time, the services' touc</w:t>
      </w:r>
      <w:r>
        <w:t>hpoints and processes should be improved to ensure the consistency of brand promises and delivery.</w:t>
      </w:r>
    </w:p>
    <w:p w:rsidR="00C548CC" w:rsidRDefault="003E4A6D">
      <w:pPr>
        <w:ind w:left="720"/>
        <w:rPr>
          <w:b/>
          <w:bCs/>
        </w:rPr>
      </w:pPr>
      <w:r>
        <w:rPr>
          <w:b/>
          <w:bCs/>
        </w:rPr>
        <w:t>Action</w:t>
      </w:r>
    </w:p>
    <w:p w:rsidR="00C548CC" w:rsidRDefault="003E4A6D">
      <w:r>
        <w:lastRenderedPageBreak/>
        <w:t>In order to achieve this, marketing analytics, customer insight architecture and cross-functional liaison between the marketing, sales and service functions will have to be invested in. There should be clarity on the ownership of the marketing governance a</w:t>
      </w:r>
      <w:r>
        <w:t>nd performance reporting in an attempt to enhance accountability and strategic alignment (IEA, 2024).</w:t>
      </w:r>
    </w:p>
    <w:p w:rsidR="00C548CC" w:rsidRDefault="003E4A6D">
      <w:pPr>
        <w:ind w:left="720"/>
        <w:rPr>
          <w:b/>
          <w:bCs/>
        </w:rPr>
      </w:pPr>
      <w:r>
        <w:rPr>
          <w:b/>
          <w:bCs/>
        </w:rPr>
        <w:t>Control</w:t>
      </w:r>
    </w:p>
    <w:p w:rsidR="00C548CC" w:rsidRDefault="003E4A6D">
      <w:r>
        <w:t>Tesla should have an official marketing control system where they have measurements such as customer acquisition cost and customer lifetime value,</w:t>
      </w:r>
      <w:r>
        <w:t xml:space="preserve"> customer retention rate and campaign-based return on investment. The metrics should be regularly checked and used to make additional optimisation decisions and strategy (Kumar et al., 2024).</w:t>
      </w:r>
    </w:p>
    <w:p w:rsidR="00C548CC" w:rsidRDefault="003E4A6D">
      <w:r>
        <w:br w:type="page"/>
      </w:r>
    </w:p>
    <w:p w:rsidR="00C548CC" w:rsidRDefault="003E4A6D">
      <w:pPr>
        <w:rPr>
          <w:b/>
          <w:bCs/>
        </w:rPr>
      </w:pPr>
      <w:r>
        <w:rPr>
          <w:b/>
          <w:bCs/>
        </w:rPr>
        <w:lastRenderedPageBreak/>
        <w:t>Reference list</w:t>
      </w:r>
    </w:p>
    <w:p w:rsidR="00C548CC" w:rsidRDefault="003E4A6D">
      <w:r>
        <w:t>Ali, N. and Shabn, O.S. (2024). Customer lifeti</w:t>
      </w:r>
      <w:r>
        <w:t>me value (CLV) insights for strategic marketing success and its impact on organizational financial performance. Cogent business &amp; management, 11(1). doi:https://doi.org/10.1080/23311975.2024.2361321.</w:t>
      </w:r>
    </w:p>
    <w:p w:rsidR="00C548CC" w:rsidRDefault="003E4A6D">
      <w:r>
        <w:t xml:space="preserve">BCG (2024). BCG’s Most Innovative Companies Report: The </w:t>
      </w:r>
      <w:r>
        <w:t>Collection. [online] BCG Global. Available at: https://www.bcg.com/publications/most-innovative-companies-the-collection [Accessed 29 Dec. 2025].</w:t>
      </w:r>
    </w:p>
    <w:p w:rsidR="00C548CC" w:rsidRDefault="003E4A6D">
      <w:r>
        <w:t>Brescia, V., Degregori, G., Maggi, D. and Hadro, D. (2023). An integrated vision of electric vehicles’ consume</w:t>
      </w:r>
      <w:r>
        <w:t>r behaviour: Mapping the practitioners to consolidate the research agenda. Journal of Cleaner Production, [online] 410. doi:https://doi.org/10.1016/j.jclepro.2023.137210.</w:t>
      </w:r>
    </w:p>
    <w:p w:rsidR="00C548CC" w:rsidRDefault="003E4A6D">
      <w:r>
        <w:t>Bryła, P., Chatterjee, S. and Ciabiada-Bryła, B. (2022). Consumer Adoption of Electri</w:t>
      </w:r>
      <w:r>
        <w:t>c Vehicles: A Systematic Literature Review. Energies, 16(1), p.205. doi:https://doi.org/10.3390/en16010205.</w:t>
      </w:r>
    </w:p>
    <w:p w:rsidR="00C548CC" w:rsidRDefault="003E4A6D">
      <w:r>
        <w:t>Buchanan, D. and Badham, R. (2018). Power, Politics, and Organizational Change. SAGE.</w:t>
      </w:r>
    </w:p>
    <w:p w:rsidR="00C548CC" w:rsidRDefault="003E4A6D">
      <w:r>
        <w:t>Burnes, B. (2017). Managing Change. 7th ed. Harlow: Pearson Ed</w:t>
      </w:r>
      <w:r>
        <w:t>ucation Limited.</w:t>
      </w:r>
    </w:p>
    <w:p w:rsidR="00C548CC" w:rsidRDefault="003E4A6D">
      <w:r>
        <w:t>Cameron, E. and Green, M. (2024). Making Sense of Change Management : a Complete Guide to the models, Tools and Techniques of ... Organizational change. 6th ed. [online] Kogan Page Stylus. Available at: http://www.uop.edu.pk/ocontents/Chan</w:t>
      </w:r>
      <w:r>
        <w:t>ge%20Management%20Book.pdf.</w:t>
      </w:r>
    </w:p>
    <w:p w:rsidR="00C548CC" w:rsidRDefault="003E4A6D">
      <w:r>
        <w:t>Claudia, O. (2019). Some Insights on the World’s Most Innovative Companies and their Defining Characteristics. Studies in Business and Economics, 14(2), pp.88-104. doi:https://doi.org/10.2478/sbe-2019-0027.</w:t>
      </w:r>
    </w:p>
    <w:p w:rsidR="00C548CC" w:rsidRDefault="003E4A6D">
      <w:r>
        <w:t xml:space="preserve">Foreman, J., Donthu, </w:t>
      </w:r>
      <w:r>
        <w:t>N., Henson, S. and Poddar, A. (2014). The Performance Implications of Planning, Implementation, and Evolution of Firms’ Customer and Competitor Orientations. Journal of Marketing Theory and Practice, 22(4), pp.349-366. doi:https://doi.org/10.2753/mtp1069-6</w:t>
      </w:r>
      <w:r>
        <w:t>679220401.</w:t>
      </w:r>
    </w:p>
    <w:p w:rsidR="00C548CC" w:rsidRDefault="003E4A6D">
      <w:r>
        <w:t>Galpin, T. (2023). The Strategist’s Handbook. Oxford University Press.</w:t>
      </w:r>
    </w:p>
    <w:p w:rsidR="00C548CC" w:rsidRDefault="003E4A6D">
      <w:r>
        <w:lastRenderedPageBreak/>
        <w:t>Grewal, D., Satornino, C.B., Davenport, T. and Guha, A. (2024). How generative AI Is shaping the future of marketing. Journal of the Academy of Marketing Science, [online] 53</w:t>
      </w:r>
      <w:r>
        <w:t>, pp.702-722. doi:https://doi.org/10.1007/s11747-024-01064-3.</w:t>
      </w:r>
    </w:p>
    <w:p w:rsidR="00C548CC" w:rsidRDefault="003E4A6D">
      <w:r>
        <w:t>Hubspot (2025). Not Another State of Marketing Report | 2025 Marketing Trends. [online] www.hubspot.com. Available at: https://www.hubspot.com/state-of-marketing [Accessed 29 Dec. 2025].</w:t>
      </w:r>
    </w:p>
    <w:p w:rsidR="00C548CC" w:rsidRDefault="003E4A6D">
      <w:r>
        <w:t>IEA (20</w:t>
      </w:r>
      <w:r>
        <w:t>24). Global EV Outlook 2024. [online] IEA. Available at: https://www.iea.org/reports/global-ev-outlook-2024 [Accessed 29 Dec. 2025].</w:t>
      </w:r>
    </w:p>
    <w:p w:rsidR="00C548CC" w:rsidRDefault="003E4A6D">
      <w:r>
        <w:t>Interbrand (2024). Best global brands 2024. [online] Interbrand. Available at: https://interbrand.com/best-global-brands/ [Accessed 29 Dec. 2025].</w:t>
      </w:r>
    </w:p>
    <w:p w:rsidR="00C548CC" w:rsidRDefault="003E4A6D">
      <w:r>
        <w:t>Kotler, P. and Keller, K.L. (2016). Marketing Management. 15th ed. Pearson.</w:t>
      </w:r>
    </w:p>
    <w:p w:rsidR="00C548CC" w:rsidRDefault="003E4A6D">
      <w:r>
        <w:t>Kotter, J.P. (2012). Leading Chan</w:t>
      </w:r>
      <w:r>
        <w:t>ge. Boston, Massachusetts: Harvard Business Review Press.</w:t>
      </w:r>
    </w:p>
    <w:p w:rsidR="00C548CC" w:rsidRDefault="003E4A6D">
      <w:r>
        <w:t>Krisher, T. and Condon, B. (2025). Tesla’s 2024 sales fall 1.1%, marking first yearly drop since 2011. [online] AP News. Available at: https://apnews.com/article/69af17c4e606625694af8293db25b2f3 [Ac</w:t>
      </w:r>
      <w:r>
        <w:t>cessed 29 Dec. 2025].</w:t>
      </w:r>
    </w:p>
    <w:p w:rsidR="00C548CC" w:rsidRDefault="003E4A6D">
      <w:r>
        <w:t>Kshetri, N., Dwivedi, Y.K., Davenport, T.H. and Panteli, N. (2024). Generative artificial intelligence in marketing: Applications, opportunities, challenges, and research agenda. International Journal of Information Management, 75(1).</w:t>
      </w:r>
      <w:r>
        <w:t xml:space="preserve"> doi:https://doi.org/10.1016/j.ijinfomgt.2023.102716.</w:t>
      </w:r>
    </w:p>
    <w:p w:rsidR="00C548CC" w:rsidRDefault="003E4A6D">
      <w:r>
        <w:t>Kumar, V., Ashraf, A.R. and Nadeem, W. (2024). AI-powered marketing: What, where, and how? International journal of information management, [online] 77(1), pp.102783-102783. doi:https://doi.org/10.1016/</w:t>
      </w:r>
      <w:r>
        <w:t>j.ijinfomgt.2024.102783.</w:t>
      </w:r>
    </w:p>
    <w:p w:rsidR="00C548CC" w:rsidRDefault="003E4A6D">
      <w:r>
        <w:t>Kumar, V., Kotler, P., Gupta, S. and Rajan, B. (2024). Generative AI in Marketing: Promises, Perils, and Public Policy Implications. Journal of Public Policy &amp; Marketing. doi:https://doi.org/10.1177/07439156241286499.</w:t>
      </w:r>
    </w:p>
    <w:p w:rsidR="00C548CC" w:rsidRDefault="003E4A6D">
      <w:r>
        <w:t>Labib, E. (20</w:t>
      </w:r>
      <w:r>
        <w:t>24). Artificial intelligence in marketing: exploring current and future trends. Cogent business &amp; management, 11(1). doi:https://doi.org/10.1080/23311975.2024.2348728.</w:t>
      </w:r>
    </w:p>
    <w:p w:rsidR="00C548CC" w:rsidRDefault="003E4A6D">
      <w:r>
        <w:lastRenderedPageBreak/>
        <w:t>McKinsey &amp; Company (2019). Automotive &amp; Assembly. [online] McKinsey &amp; Company. Available</w:t>
      </w:r>
      <w:r>
        <w:t xml:space="preserve"> at: https://www.mckinsey.com/industries/automotive-and-assembly/our-insights [Accessed 29 Dec. 2025].</w:t>
      </w:r>
    </w:p>
    <w:p w:rsidR="00C548CC" w:rsidRDefault="003E4A6D">
      <w:r>
        <w:t>Robin, J., Kester, A. and German, J.D. (2024). Marketing Strategy and Preference Analysis of Electric Cars in a Developing Country: A Perspective from th</w:t>
      </w:r>
      <w:r>
        <w:t>e Philippines. World Electric Vehicle Journal, 15(3), pp.111-111. doi:https://doi.org/10.3390/wevj15030111.</w:t>
      </w:r>
    </w:p>
    <w:p w:rsidR="00C548CC" w:rsidRDefault="003E4A6D">
      <w:r>
        <w:t xml:space="preserve">Robin, J., Kester, A., Mariz, D., Tricia, I. and Dela, J.C. (2024). Consumer Segmentation and Market Analysis for Sustainable Marketing Strategy of </w:t>
      </w:r>
      <w:r>
        <w:t>Electric Vehicles in the Philippines. World electric vehicle journal, 15(7), pp.301-301. doi:https://doi.org/10.3390/wevj15070301.</w:t>
      </w:r>
    </w:p>
    <w:p w:rsidR="00C548CC" w:rsidRDefault="003E4A6D">
      <w:r>
        <w:t>Secinaro, S., Calandra, D., Lanzalonga, F. and Ferraris, A. (2022). Electric vehicles’ consumer behaviours: Mapping the field</w:t>
      </w:r>
      <w:r>
        <w:t xml:space="preserve"> and providing a research agenda. Journal of Business Research, [online] 150(1), pp.399-416. Available at: https://www.sciencedirect.com/science/article/pii/S0148296322005410 [Accessed 29 Dec. 2025].</w:t>
      </w:r>
    </w:p>
    <w:p w:rsidR="00C548CC" w:rsidRDefault="003E4A6D">
      <w:r>
        <w:t>Setiawan, A.D., Zahari, T.N., Purba, F.J., Moeis, A.O. a</w:t>
      </w:r>
      <w:r>
        <w:t>nd Hidayatno, A. (2022). Investigating policies on increasing the adoption of electric vehicles in Indonesia. Journal of Cleaner Production, 380. doi:https://doi.org/10.1016/j.jclepro.2022.135097.</w:t>
      </w:r>
    </w:p>
    <w:p w:rsidR="00C548CC" w:rsidRDefault="003E4A6D">
      <w:r>
        <w:t>Smith, P.R. (2011). The SOSTAC guide to your perfect digita</w:t>
      </w:r>
      <w:r>
        <w:t>l marketing plan. Great Britain: Pr Smith.</w:t>
      </w:r>
    </w:p>
    <w:p w:rsidR="00C548CC" w:rsidRDefault="003E4A6D">
      <w:r>
        <w:t>Statista (2025). The Statistics Portal. [online] Statista. Available at: https://www.statista.com/markets/418/topic/475/electric-vehicles/ [Accessed 29 Dec. 2025].</w:t>
      </w:r>
    </w:p>
    <w:p w:rsidR="00C548CC" w:rsidRDefault="003E4A6D">
      <w:r>
        <w:t xml:space="preserve">Tesla (2019). SEC Filings | Tesla, Inc. [online] </w:t>
      </w:r>
      <w:r>
        <w:t>Tesla, Inc. Available at: https://ir.tesla.com/sec-filings [Accessed 29 Dec. 2025].</w:t>
      </w:r>
    </w:p>
    <w:p w:rsidR="00C548CC" w:rsidRDefault="003E4A6D">
      <w:r>
        <w:t xml:space="preserve">Xue, Y., Zhang, X., Zhang, Y. and Luo, E. (2024). Understanding the Barriers to Consumer Purchasing of Electric Vehicles: The Innovation Resistance Theory. Sustainability, </w:t>
      </w:r>
      <w:r>
        <w:t>[online] 16(6), pp.2420-2420. doi:https://doi.org/10.3390/su16062420.</w:t>
      </w:r>
    </w:p>
    <w:p w:rsidR="00C548CC" w:rsidRDefault="00C548CC"/>
    <w:sectPr w:rsidR="00C548CC">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4A6D" w:rsidRDefault="003E4A6D">
      <w:pPr>
        <w:spacing w:after="0" w:line="240" w:lineRule="auto"/>
      </w:pPr>
      <w:r>
        <w:separator/>
      </w:r>
    </w:p>
  </w:endnote>
  <w:endnote w:type="continuationSeparator" w:id="0">
    <w:p w:rsidR="003E4A6D" w:rsidRDefault="003E4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451EB3C9-3C0D-43B6-B76F-73CC341703F3}"/>
  </w:font>
  <w:font w:name="Calibri">
    <w:panose1 w:val="020F0502020204030204"/>
    <w:charset w:val="00"/>
    <w:family w:val="swiss"/>
    <w:pitch w:val="variable"/>
    <w:sig w:usb0="E4002EFF" w:usb1="C000247B" w:usb2="00000009" w:usb3="00000000" w:csb0="000001FF" w:csb1="00000000"/>
    <w:embedRegular r:id="rId2" w:fontKey="{519C10E7-730B-4DF6-8B7F-9E3AF86DB0AA}"/>
  </w:font>
  <w:font w:name="Cambria">
    <w:panose1 w:val="02040503050406030204"/>
    <w:charset w:val="00"/>
    <w:family w:val="roman"/>
    <w:pitch w:val="variable"/>
    <w:sig w:usb0="E00006FF" w:usb1="420024FF" w:usb2="02000000" w:usb3="00000000" w:csb0="0000019F" w:csb1="00000000"/>
    <w:embedRegular r:id="rId3" w:fontKey="{F6601C85-E797-4DFA-A9C3-4780CB174DA1}"/>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548CC" w:rsidRDefault="003E4A6D">
    <w:pPr>
      <w:pBdr>
        <w:top w:val="single" w:sz="4" w:space="1" w:color="D9D9D9"/>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sidR="00B02C6D">
      <w:rPr>
        <w:color w:val="000000"/>
      </w:rPr>
      <w:fldChar w:fldCharType="separate"/>
    </w:r>
    <w:r w:rsidR="00B02C6D">
      <w:rPr>
        <w:noProof/>
        <w:color w:val="000000"/>
      </w:rPr>
      <w:t>3</w:t>
    </w:r>
    <w:r>
      <w:rPr>
        <w:color w:val="000000"/>
      </w:rPr>
      <w:fldChar w:fldCharType="end"/>
    </w:r>
    <w:r>
      <w:rPr>
        <w:color w:val="000000"/>
      </w:rPr>
      <w:t xml:space="preserve"> | </w:t>
    </w:r>
    <w:r>
      <w:rPr>
        <w:color w:val="7F7F7F"/>
      </w:rPr>
      <w:t>Page</w:t>
    </w:r>
  </w:p>
  <w:p w:rsidR="00C548CC" w:rsidRDefault="00C548C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4A6D" w:rsidRDefault="003E4A6D">
      <w:pPr>
        <w:spacing w:after="0" w:line="240" w:lineRule="auto"/>
      </w:pPr>
      <w:r>
        <w:separator/>
      </w:r>
    </w:p>
  </w:footnote>
  <w:footnote w:type="continuationSeparator" w:id="0">
    <w:p w:rsidR="003E4A6D" w:rsidRDefault="003E4A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48CC"/>
    <w:rsid w:val="003E4A6D"/>
    <w:rsid w:val="00B02C6D"/>
    <w:rsid w:val="00C548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31C680A-CC2D-478C-ADCA-732E13EED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b/>
      <w:bCs/>
      <w:sz w:val="28"/>
      <w:szCs w:val="28"/>
    </w:rPr>
  </w:style>
  <w:style w:type="paragraph" w:styleId="Heading2">
    <w:name w:val="heading 2"/>
    <w:basedOn w:val="Normal"/>
    <w:next w:val="Normal"/>
    <w:pPr>
      <w:keepNext/>
      <w:keepLines/>
      <w:spacing w:before="40" w:after="0" w:line="480" w:lineRule="auto"/>
      <w:outlineLvl w:val="1"/>
    </w:pPr>
    <w:rPr>
      <w:b/>
      <w:bCs/>
      <w:sz w:val="28"/>
      <w:szCs w:val="28"/>
    </w:rPr>
  </w:style>
  <w:style w:type="paragraph" w:styleId="Heading3">
    <w:name w:val="heading 3"/>
    <w:basedOn w:val="Normal"/>
    <w:next w:val="Normal"/>
    <w:pPr>
      <w:keepNext/>
      <w:keepLines/>
      <w:spacing w:before="40" w:after="0"/>
      <w:outlineLvl w:val="2"/>
    </w:pPr>
    <w:rPr>
      <w:b/>
      <w:bCs/>
    </w:rPr>
  </w:style>
  <w:style w:type="paragraph" w:styleId="Heading4">
    <w:name w:val="heading 4"/>
    <w:basedOn w:val="Normal"/>
    <w:next w:val="Normal"/>
    <w:pPr>
      <w:keepNext/>
      <w:keepLines/>
      <w:spacing w:before="240" w:after="40"/>
      <w:outlineLvl w:val="3"/>
    </w:pPr>
    <w:rPr>
      <w:b/>
      <w:bCs/>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5164</Words>
  <Characters>29439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GADGET</dc:creator>
  <cp:lastModifiedBy>Microsoft account</cp:lastModifiedBy>
  <cp:revision>2</cp:revision>
  <dcterms:created xsi:type="dcterms:W3CDTF">2026-01-07T18:48:00Z</dcterms:created>
  <dcterms:modified xsi:type="dcterms:W3CDTF">2026-01-07T18:48:00Z</dcterms:modified>
</cp:coreProperties>
</file>