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917C0" w14:textId="0FF858CC" w:rsidR="00844F50" w:rsidRPr="00844F50" w:rsidRDefault="00844F50" w:rsidP="00844F50">
      <w:pPr>
        <w:spacing w:before="240" w:after="240"/>
        <w:jc w:val="left"/>
        <w:rPr>
          <w:rFonts w:ascii="Arial" w:hAnsi="Arial" w:cs="Arial"/>
          <w:b/>
          <w:bCs/>
          <w:color w:val="000000" w:themeColor="text1"/>
          <w:sz w:val="22"/>
          <w:szCs w:val="22"/>
        </w:rPr>
      </w:pPr>
      <w:r>
        <w:rPr>
          <w:noProof/>
        </w:rPr>
        <w:drawing>
          <wp:inline distT="0" distB="0" distL="0" distR="0" wp14:anchorId="457348F9" wp14:editId="72C36181">
            <wp:extent cx="1884045" cy="1080770"/>
            <wp:effectExtent l="0" t="0" r="0" b="0"/>
            <wp:docPr id="1788662920" name="image1.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up of a sign&#10;&#10;Description automatically generated"/>
                    <pic:cNvPicPr preferRelativeResize="0"/>
                  </pic:nvPicPr>
                  <pic:blipFill>
                    <a:blip r:embed="rId6"/>
                    <a:srcRect/>
                    <a:stretch>
                      <a:fillRect/>
                    </a:stretch>
                  </pic:blipFill>
                  <pic:spPr>
                    <a:xfrm>
                      <a:off x="0" y="0"/>
                      <a:ext cx="1884045" cy="1080770"/>
                    </a:xfrm>
                    <a:prstGeom prst="rect">
                      <a:avLst/>
                    </a:prstGeom>
                    <a:ln/>
                  </pic:spPr>
                </pic:pic>
              </a:graphicData>
            </a:graphic>
          </wp:inline>
        </w:drawing>
      </w:r>
    </w:p>
    <w:p w14:paraId="3B41066E" w14:textId="77777777" w:rsidR="00844F50" w:rsidRPr="00844F50" w:rsidRDefault="00844F50" w:rsidP="00844F50">
      <w:pPr>
        <w:spacing w:before="240" w:after="240"/>
        <w:jc w:val="left"/>
        <w:rPr>
          <w:rFonts w:ascii="Arial" w:hAnsi="Arial" w:cs="Arial"/>
          <w:b/>
          <w:bCs/>
          <w:color w:val="000000" w:themeColor="text1"/>
          <w:sz w:val="22"/>
          <w:szCs w:val="22"/>
        </w:rPr>
      </w:pPr>
    </w:p>
    <w:p w14:paraId="4DF92328" w14:textId="77777777" w:rsidR="00844F50" w:rsidRPr="00844F50" w:rsidRDefault="00844F50" w:rsidP="00844F50">
      <w:pPr>
        <w:spacing w:before="240" w:after="240"/>
        <w:rPr>
          <w:rFonts w:ascii="Arial" w:hAnsi="Arial" w:cs="Arial"/>
          <w:b/>
          <w:bCs/>
          <w:color w:val="000000" w:themeColor="text1"/>
          <w:sz w:val="40"/>
          <w:szCs w:val="40"/>
        </w:rPr>
      </w:pPr>
    </w:p>
    <w:p w14:paraId="69C69896" w14:textId="77777777" w:rsidR="00844F50" w:rsidRPr="00844F50" w:rsidRDefault="00844F50" w:rsidP="00844F50">
      <w:pPr>
        <w:spacing w:before="240" w:after="240"/>
        <w:jc w:val="center"/>
        <w:rPr>
          <w:rFonts w:ascii="Arial" w:eastAsia="Arial" w:hAnsi="Arial" w:cs="Arial"/>
          <w:b/>
          <w:bCs/>
          <w:color w:val="000000" w:themeColor="text1"/>
          <w:sz w:val="40"/>
          <w:szCs w:val="40"/>
        </w:rPr>
      </w:pPr>
      <w:r w:rsidRPr="00844F50">
        <w:rPr>
          <w:rFonts w:ascii="Arial" w:eastAsia="Arial" w:hAnsi="Arial" w:cs="Arial"/>
          <w:b/>
          <w:bCs/>
          <w:color w:val="000000" w:themeColor="text1"/>
          <w:sz w:val="40"/>
          <w:szCs w:val="40"/>
        </w:rPr>
        <w:t>Health, Wellbeing and Sustainable Development: A Critical Evaluation of SDG 3, SDG 11 and Health Initiatives</w:t>
      </w:r>
    </w:p>
    <w:p w14:paraId="02D89148" w14:textId="77777777" w:rsidR="00844F50" w:rsidRPr="00844F50" w:rsidRDefault="00844F50" w:rsidP="00844F50">
      <w:pPr>
        <w:spacing w:before="240" w:after="240"/>
        <w:jc w:val="left"/>
        <w:rPr>
          <w:rFonts w:ascii="Arial" w:hAnsi="Arial" w:cs="Arial"/>
          <w:b/>
          <w:bCs/>
          <w:color w:val="000000" w:themeColor="text1"/>
          <w:sz w:val="22"/>
          <w:szCs w:val="22"/>
        </w:rPr>
      </w:pPr>
    </w:p>
    <w:p w14:paraId="494A2204" w14:textId="77777777" w:rsidR="00844F50" w:rsidRPr="00844F50" w:rsidRDefault="00844F50" w:rsidP="00844F50">
      <w:pPr>
        <w:spacing w:before="240" w:after="240"/>
        <w:jc w:val="left"/>
        <w:rPr>
          <w:rFonts w:ascii="Arial" w:eastAsia="Arial" w:hAnsi="Arial" w:cs="Arial"/>
          <w:b/>
          <w:bCs/>
          <w:color w:val="000000" w:themeColor="text1"/>
          <w:sz w:val="22"/>
          <w:szCs w:val="22"/>
        </w:rPr>
      </w:pPr>
    </w:p>
    <w:p w14:paraId="3C07C966" w14:textId="77777777" w:rsidR="00844F50" w:rsidRDefault="00844F50" w:rsidP="00844F50">
      <w:pPr>
        <w:spacing w:before="240" w:after="240"/>
        <w:jc w:val="left"/>
        <w:rPr>
          <w:rFonts w:ascii="Arial" w:eastAsia="Arial" w:hAnsi="Arial" w:cs="Arial"/>
          <w:b/>
          <w:bCs/>
          <w:color w:val="000000" w:themeColor="text1"/>
          <w:sz w:val="22"/>
          <w:szCs w:val="22"/>
        </w:rPr>
      </w:pPr>
    </w:p>
    <w:p w14:paraId="23A0561A" w14:textId="77777777" w:rsidR="00844F50" w:rsidRDefault="00844F50" w:rsidP="00844F50">
      <w:pPr>
        <w:spacing w:before="240" w:after="240"/>
        <w:jc w:val="left"/>
        <w:rPr>
          <w:rFonts w:ascii="Arial" w:eastAsia="Arial" w:hAnsi="Arial" w:cs="Arial"/>
          <w:b/>
          <w:bCs/>
          <w:color w:val="000000" w:themeColor="text1"/>
          <w:sz w:val="22"/>
          <w:szCs w:val="22"/>
        </w:rPr>
      </w:pPr>
    </w:p>
    <w:p w14:paraId="69CFA5E7" w14:textId="77777777" w:rsidR="00844F50" w:rsidRPr="00844F50" w:rsidRDefault="00844F50" w:rsidP="00844F50">
      <w:pPr>
        <w:spacing w:before="240" w:after="240"/>
        <w:jc w:val="left"/>
        <w:rPr>
          <w:rFonts w:ascii="Arial" w:eastAsia="Arial" w:hAnsi="Arial" w:cs="Arial"/>
          <w:b/>
          <w:bCs/>
          <w:color w:val="000000" w:themeColor="text1"/>
          <w:sz w:val="22"/>
          <w:szCs w:val="22"/>
        </w:rPr>
      </w:pPr>
    </w:p>
    <w:p w14:paraId="11C625A6" w14:textId="77777777" w:rsidR="00844F50" w:rsidRPr="00844F50" w:rsidRDefault="00844F50" w:rsidP="00844F50">
      <w:pPr>
        <w:spacing w:before="240" w:after="240"/>
        <w:jc w:val="left"/>
        <w:rPr>
          <w:rFonts w:ascii="Arial" w:eastAsia="Arial" w:hAnsi="Arial" w:cs="Arial"/>
          <w:b/>
          <w:bCs/>
          <w:color w:val="000000" w:themeColor="text1"/>
          <w:sz w:val="28"/>
          <w:szCs w:val="28"/>
        </w:rPr>
      </w:pPr>
      <w:r w:rsidRPr="00844F50">
        <w:rPr>
          <w:rFonts w:ascii="Arial" w:eastAsia="Arial" w:hAnsi="Arial" w:cs="Arial"/>
          <w:b/>
          <w:bCs/>
          <w:color w:val="000000" w:themeColor="text1"/>
          <w:sz w:val="28"/>
          <w:szCs w:val="28"/>
        </w:rPr>
        <w:t>Module Name: Health, Wellbeing and Sustainable Development</w:t>
      </w:r>
    </w:p>
    <w:p w14:paraId="799F11BD" w14:textId="77777777" w:rsidR="00844F50" w:rsidRPr="00844F50" w:rsidRDefault="00844F50" w:rsidP="00844F50">
      <w:pPr>
        <w:spacing w:before="240" w:after="240"/>
        <w:jc w:val="left"/>
        <w:rPr>
          <w:rFonts w:ascii="Arial" w:eastAsia="Arial" w:hAnsi="Arial" w:cs="Arial"/>
          <w:b/>
          <w:bCs/>
          <w:color w:val="000000" w:themeColor="text1"/>
          <w:sz w:val="28"/>
          <w:szCs w:val="28"/>
        </w:rPr>
      </w:pPr>
      <w:r w:rsidRPr="00844F50">
        <w:rPr>
          <w:rFonts w:ascii="Arial" w:eastAsia="Arial" w:hAnsi="Arial" w:cs="Arial"/>
          <w:b/>
          <w:bCs/>
          <w:color w:val="000000" w:themeColor="text1"/>
          <w:sz w:val="28"/>
          <w:szCs w:val="28"/>
        </w:rPr>
        <w:t>Module Code: BMHP6030</w:t>
      </w:r>
    </w:p>
    <w:p w14:paraId="667887F4" w14:textId="77777777" w:rsidR="00844F50" w:rsidRPr="00844F50" w:rsidRDefault="00844F50" w:rsidP="00844F50">
      <w:pPr>
        <w:spacing w:before="240" w:after="240"/>
        <w:jc w:val="left"/>
        <w:rPr>
          <w:rFonts w:ascii="Arial" w:eastAsia="Arial" w:hAnsi="Arial" w:cs="Arial"/>
          <w:b/>
          <w:bCs/>
          <w:color w:val="000000" w:themeColor="text1"/>
          <w:sz w:val="28"/>
          <w:szCs w:val="28"/>
        </w:rPr>
      </w:pPr>
      <w:r w:rsidRPr="00844F50">
        <w:rPr>
          <w:rFonts w:ascii="Arial" w:eastAsia="Arial" w:hAnsi="Arial" w:cs="Arial"/>
          <w:b/>
          <w:bCs/>
          <w:color w:val="000000" w:themeColor="text1"/>
          <w:sz w:val="28"/>
          <w:szCs w:val="28"/>
        </w:rPr>
        <w:t>Student Name: Delia Munteanu</w:t>
      </w:r>
    </w:p>
    <w:p w14:paraId="39048511" w14:textId="77777777" w:rsidR="00844F50" w:rsidRPr="00844F50" w:rsidRDefault="00844F50" w:rsidP="00844F50">
      <w:pPr>
        <w:spacing w:before="240" w:after="240"/>
        <w:jc w:val="left"/>
        <w:rPr>
          <w:rFonts w:ascii="Arial" w:eastAsia="Arial" w:hAnsi="Arial" w:cs="Arial"/>
          <w:b/>
          <w:bCs/>
          <w:color w:val="000000" w:themeColor="text1"/>
          <w:sz w:val="28"/>
          <w:szCs w:val="28"/>
        </w:rPr>
      </w:pPr>
      <w:r w:rsidRPr="00844F50">
        <w:rPr>
          <w:rFonts w:ascii="Arial" w:eastAsia="Arial" w:hAnsi="Arial" w:cs="Arial"/>
          <w:b/>
          <w:bCs/>
          <w:color w:val="000000" w:themeColor="text1"/>
          <w:sz w:val="28"/>
          <w:szCs w:val="28"/>
        </w:rPr>
        <w:t>Student ID: 2314055</w:t>
      </w:r>
    </w:p>
    <w:p w14:paraId="7D71A674" w14:textId="77777777" w:rsidR="00844F50" w:rsidRPr="00844F50" w:rsidRDefault="00844F50" w:rsidP="00844F50">
      <w:pPr>
        <w:spacing w:before="240" w:after="240"/>
        <w:jc w:val="left"/>
        <w:rPr>
          <w:rFonts w:ascii="Arial" w:eastAsia="Arial" w:hAnsi="Arial" w:cs="Arial"/>
          <w:b/>
          <w:bCs/>
          <w:color w:val="000000" w:themeColor="text1"/>
          <w:sz w:val="28"/>
          <w:szCs w:val="28"/>
        </w:rPr>
      </w:pPr>
      <w:r w:rsidRPr="00844F50">
        <w:rPr>
          <w:rFonts w:ascii="Arial" w:eastAsia="Arial" w:hAnsi="Arial" w:cs="Arial"/>
          <w:b/>
          <w:bCs/>
          <w:color w:val="000000" w:themeColor="text1"/>
          <w:sz w:val="28"/>
          <w:szCs w:val="28"/>
        </w:rPr>
        <w:t xml:space="preserve">Lecturer’s name: Dr </w:t>
      </w:r>
      <w:proofErr w:type="spellStart"/>
      <w:r w:rsidRPr="00844F50">
        <w:rPr>
          <w:rFonts w:ascii="Arial" w:eastAsia="Arial" w:hAnsi="Arial" w:cs="Arial"/>
          <w:b/>
          <w:bCs/>
          <w:color w:val="000000" w:themeColor="text1"/>
          <w:sz w:val="28"/>
          <w:szCs w:val="28"/>
        </w:rPr>
        <w:t>Itse</w:t>
      </w:r>
      <w:proofErr w:type="spellEnd"/>
      <w:r w:rsidRPr="00844F50">
        <w:rPr>
          <w:rFonts w:ascii="Arial" w:eastAsia="Arial" w:hAnsi="Arial" w:cs="Arial"/>
          <w:b/>
          <w:bCs/>
          <w:color w:val="000000" w:themeColor="text1"/>
          <w:sz w:val="28"/>
          <w:szCs w:val="28"/>
        </w:rPr>
        <w:t xml:space="preserve"> Olaoye</w:t>
      </w:r>
    </w:p>
    <w:p w14:paraId="0C0BA2B6" w14:textId="77777777" w:rsidR="00844F50" w:rsidRPr="00844F50" w:rsidRDefault="00844F50" w:rsidP="00844F50">
      <w:pPr>
        <w:spacing w:before="240" w:after="240"/>
        <w:jc w:val="left"/>
        <w:rPr>
          <w:rFonts w:ascii="Arial" w:hAnsi="Arial" w:cs="Arial"/>
          <w:b/>
          <w:bCs/>
          <w:color w:val="000000" w:themeColor="text1"/>
          <w:sz w:val="22"/>
          <w:szCs w:val="22"/>
        </w:rPr>
      </w:pPr>
      <w:bookmarkStart w:id="0" w:name="_heading=h.y7pvsvi8ewwy" w:colFirst="0" w:colLast="0"/>
      <w:bookmarkEnd w:id="0"/>
      <w:r w:rsidRPr="00844F50">
        <w:rPr>
          <w:rFonts w:ascii="Arial" w:hAnsi="Arial" w:cs="Arial"/>
          <w:color w:val="000000" w:themeColor="text1"/>
          <w:sz w:val="22"/>
          <w:szCs w:val="22"/>
        </w:rPr>
        <w:br w:type="page"/>
      </w:r>
      <w:r w:rsidRPr="00844F50">
        <w:rPr>
          <w:rFonts w:ascii="Arial" w:eastAsia="Arial" w:hAnsi="Arial" w:cs="Arial"/>
          <w:color w:val="000000" w:themeColor="text1"/>
          <w:sz w:val="22"/>
          <w:szCs w:val="22"/>
        </w:rPr>
        <w:lastRenderedPageBreak/>
        <w:t>Table of Contents</w:t>
      </w:r>
    </w:p>
    <w:sdt>
      <w:sdtPr>
        <w:rPr>
          <w:rFonts w:ascii="Arial" w:hAnsi="Arial" w:cs="Arial"/>
          <w:color w:val="000000" w:themeColor="text1"/>
          <w:sz w:val="22"/>
          <w:szCs w:val="22"/>
        </w:rPr>
        <w:id w:val="259206700"/>
        <w:docPartObj>
          <w:docPartGallery w:val="Table of Contents"/>
          <w:docPartUnique/>
        </w:docPartObj>
      </w:sdtPr>
      <w:sdtContent>
        <w:p w14:paraId="4B3B00E7" w14:textId="09BC61AD" w:rsidR="00844F50" w:rsidRDefault="00844F50">
          <w:pPr>
            <w:pStyle w:val="TOC1"/>
            <w:rPr>
              <w:rFonts w:asciiTheme="minorHAnsi" w:eastAsiaTheme="minorEastAsia" w:hAnsiTheme="minorHAnsi" w:cstheme="minorBidi"/>
              <w:noProof/>
              <w:kern w:val="2"/>
              <w:lang w:val="en-GB" w:eastAsia="en-GB"/>
              <w14:ligatures w14:val="standardContextual"/>
            </w:rPr>
          </w:pPr>
          <w:r w:rsidRPr="00844F50">
            <w:rPr>
              <w:rFonts w:ascii="Arial" w:hAnsi="Arial" w:cs="Arial"/>
              <w:color w:val="000000" w:themeColor="text1"/>
              <w:sz w:val="22"/>
              <w:szCs w:val="22"/>
            </w:rPr>
            <w:fldChar w:fldCharType="begin"/>
          </w:r>
          <w:r w:rsidRPr="00844F50">
            <w:rPr>
              <w:rFonts w:ascii="Arial" w:hAnsi="Arial" w:cs="Arial"/>
              <w:color w:val="000000" w:themeColor="text1"/>
              <w:sz w:val="22"/>
              <w:szCs w:val="22"/>
            </w:rPr>
            <w:instrText xml:space="preserve"> TOC \h \u \z \t "Heading 1,1,Heading 2,2,Heading 3,3,Heading 4,4,Heading 5,5,Heading 6,6,"</w:instrText>
          </w:r>
          <w:r w:rsidRPr="00844F50">
            <w:rPr>
              <w:rFonts w:ascii="Arial" w:hAnsi="Arial" w:cs="Arial"/>
              <w:color w:val="000000" w:themeColor="text1"/>
              <w:sz w:val="22"/>
              <w:szCs w:val="22"/>
            </w:rPr>
            <w:fldChar w:fldCharType="separate"/>
          </w:r>
          <w:hyperlink w:anchor="_Toc236944034" w:history="1">
            <w:r w:rsidRPr="009E7262">
              <w:rPr>
                <w:rStyle w:val="Hyperlink"/>
                <w:rFonts w:ascii="Arial" w:eastAsiaTheme="majorEastAsia" w:hAnsi="Arial" w:cs="Arial"/>
                <w:noProof/>
              </w:rPr>
              <w:t>Introduction</w:t>
            </w:r>
            <w:r>
              <w:rPr>
                <w:noProof/>
                <w:webHidden/>
              </w:rPr>
              <w:tab/>
            </w:r>
            <w:r>
              <w:rPr>
                <w:noProof/>
                <w:webHidden/>
              </w:rPr>
              <w:fldChar w:fldCharType="begin"/>
            </w:r>
            <w:r>
              <w:rPr>
                <w:noProof/>
                <w:webHidden/>
              </w:rPr>
              <w:instrText xml:space="preserve"> PAGEREF _Toc236944034 \h </w:instrText>
            </w:r>
            <w:r>
              <w:rPr>
                <w:noProof/>
                <w:webHidden/>
              </w:rPr>
            </w:r>
            <w:r>
              <w:rPr>
                <w:noProof/>
                <w:webHidden/>
              </w:rPr>
              <w:fldChar w:fldCharType="separate"/>
            </w:r>
            <w:r>
              <w:rPr>
                <w:noProof/>
                <w:webHidden/>
              </w:rPr>
              <w:t>3</w:t>
            </w:r>
            <w:r>
              <w:rPr>
                <w:noProof/>
                <w:webHidden/>
              </w:rPr>
              <w:fldChar w:fldCharType="end"/>
            </w:r>
          </w:hyperlink>
        </w:p>
        <w:p w14:paraId="319E7F2D" w14:textId="49C2DDB5" w:rsidR="00844F50" w:rsidRDefault="00844F50">
          <w:pPr>
            <w:pStyle w:val="TOC1"/>
            <w:rPr>
              <w:rFonts w:asciiTheme="minorHAnsi" w:eastAsiaTheme="minorEastAsia" w:hAnsiTheme="minorHAnsi" w:cstheme="minorBidi"/>
              <w:noProof/>
              <w:kern w:val="2"/>
              <w:lang w:val="en-GB" w:eastAsia="en-GB"/>
              <w14:ligatures w14:val="standardContextual"/>
            </w:rPr>
          </w:pPr>
          <w:hyperlink w:anchor="_Toc236944035" w:history="1">
            <w:r w:rsidRPr="009E7262">
              <w:rPr>
                <w:rStyle w:val="Hyperlink"/>
                <w:rFonts w:ascii="Arial" w:eastAsiaTheme="majorEastAsia" w:hAnsi="Arial" w:cs="Arial"/>
                <w:noProof/>
              </w:rPr>
              <w:t>SDG 3: Good Health and Well-Being</w:t>
            </w:r>
            <w:r>
              <w:rPr>
                <w:noProof/>
                <w:webHidden/>
              </w:rPr>
              <w:tab/>
            </w:r>
            <w:r>
              <w:rPr>
                <w:noProof/>
                <w:webHidden/>
              </w:rPr>
              <w:fldChar w:fldCharType="begin"/>
            </w:r>
            <w:r>
              <w:rPr>
                <w:noProof/>
                <w:webHidden/>
              </w:rPr>
              <w:instrText xml:space="preserve"> PAGEREF _Toc236944035 \h </w:instrText>
            </w:r>
            <w:r>
              <w:rPr>
                <w:noProof/>
                <w:webHidden/>
              </w:rPr>
            </w:r>
            <w:r>
              <w:rPr>
                <w:noProof/>
                <w:webHidden/>
              </w:rPr>
              <w:fldChar w:fldCharType="separate"/>
            </w:r>
            <w:r>
              <w:rPr>
                <w:noProof/>
                <w:webHidden/>
              </w:rPr>
              <w:t>3</w:t>
            </w:r>
            <w:r>
              <w:rPr>
                <w:noProof/>
                <w:webHidden/>
              </w:rPr>
              <w:fldChar w:fldCharType="end"/>
            </w:r>
          </w:hyperlink>
        </w:p>
        <w:p w14:paraId="2881B259" w14:textId="0FE4A89F" w:rsidR="00844F50" w:rsidRDefault="00844F50">
          <w:pPr>
            <w:pStyle w:val="TOC1"/>
            <w:rPr>
              <w:rFonts w:asciiTheme="minorHAnsi" w:eastAsiaTheme="minorEastAsia" w:hAnsiTheme="minorHAnsi" w:cstheme="minorBidi"/>
              <w:noProof/>
              <w:kern w:val="2"/>
              <w:lang w:val="en-GB" w:eastAsia="en-GB"/>
              <w14:ligatures w14:val="standardContextual"/>
            </w:rPr>
          </w:pPr>
          <w:hyperlink w:anchor="_Toc236944036" w:history="1">
            <w:r w:rsidRPr="009E7262">
              <w:rPr>
                <w:rStyle w:val="Hyperlink"/>
                <w:rFonts w:ascii="Arial" w:eastAsiaTheme="majorEastAsia" w:hAnsi="Arial" w:cs="Arial"/>
                <w:noProof/>
              </w:rPr>
              <w:t>Sustainable Development Goal 11: Sustainable Cities and Communities</w:t>
            </w:r>
            <w:r>
              <w:rPr>
                <w:noProof/>
                <w:webHidden/>
              </w:rPr>
              <w:tab/>
            </w:r>
            <w:r>
              <w:rPr>
                <w:noProof/>
                <w:webHidden/>
              </w:rPr>
              <w:fldChar w:fldCharType="begin"/>
            </w:r>
            <w:r>
              <w:rPr>
                <w:noProof/>
                <w:webHidden/>
              </w:rPr>
              <w:instrText xml:space="preserve"> PAGEREF _Toc236944036 \h </w:instrText>
            </w:r>
            <w:r>
              <w:rPr>
                <w:noProof/>
                <w:webHidden/>
              </w:rPr>
            </w:r>
            <w:r>
              <w:rPr>
                <w:noProof/>
                <w:webHidden/>
              </w:rPr>
              <w:fldChar w:fldCharType="separate"/>
            </w:r>
            <w:r>
              <w:rPr>
                <w:noProof/>
                <w:webHidden/>
              </w:rPr>
              <w:t>5</w:t>
            </w:r>
            <w:r>
              <w:rPr>
                <w:noProof/>
                <w:webHidden/>
              </w:rPr>
              <w:fldChar w:fldCharType="end"/>
            </w:r>
          </w:hyperlink>
        </w:p>
        <w:p w14:paraId="12A3C15F" w14:textId="0628A682" w:rsidR="00844F50" w:rsidRDefault="00844F50">
          <w:pPr>
            <w:pStyle w:val="TOC1"/>
            <w:rPr>
              <w:rFonts w:asciiTheme="minorHAnsi" w:eastAsiaTheme="minorEastAsia" w:hAnsiTheme="minorHAnsi" w:cstheme="minorBidi"/>
              <w:noProof/>
              <w:kern w:val="2"/>
              <w:lang w:val="en-GB" w:eastAsia="en-GB"/>
              <w14:ligatures w14:val="standardContextual"/>
            </w:rPr>
          </w:pPr>
          <w:hyperlink w:anchor="_Toc236944037" w:history="1">
            <w:r w:rsidRPr="009E7262">
              <w:rPr>
                <w:rStyle w:val="Hyperlink"/>
                <w:rFonts w:eastAsiaTheme="majorEastAsia"/>
                <w:noProof/>
              </w:rPr>
              <w:t>National Wellbeing Initiatives</w:t>
            </w:r>
            <w:r>
              <w:rPr>
                <w:noProof/>
                <w:webHidden/>
              </w:rPr>
              <w:tab/>
            </w:r>
            <w:r>
              <w:rPr>
                <w:noProof/>
                <w:webHidden/>
              </w:rPr>
              <w:fldChar w:fldCharType="begin"/>
            </w:r>
            <w:r>
              <w:rPr>
                <w:noProof/>
                <w:webHidden/>
              </w:rPr>
              <w:instrText xml:space="preserve"> PAGEREF _Toc236944037 \h </w:instrText>
            </w:r>
            <w:r>
              <w:rPr>
                <w:noProof/>
                <w:webHidden/>
              </w:rPr>
            </w:r>
            <w:r>
              <w:rPr>
                <w:noProof/>
                <w:webHidden/>
              </w:rPr>
              <w:fldChar w:fldCharType="separate"/>
            </w:r>
            <w:r>
              <w:rPr>
                <w:noProof/>
                <w:webHidden/>
              </w:rPr>
              <w:t>7</w:t>
            </w:r>
            <w:r>
              <w:rPr>
                <w:noProof/>
                <w:webHidden/>
              </w:rPr>
              <w:fldChar w:fldCharType="end"/>
            </w:r>
          </w:hyperlink>
        </w:p>
        <w:p w14:paraId="2F3E2677" w14:textId="6F755370" w:rsidR="00844F50" w:rsidRDefault="00844F50">
          <w:pPr>
            <w:pStyle w:val="TOC1"/>
            <w:rPr>
              <w:rFonts w:asciiTheme="minorHAnsi" w:eastAsiaTheme="minorEastAsia" w:hAnsiTheme="minorHAnsi" w:cstheme="minorBidi"/>
              <w:noProof/>
              <w:kern w:val="2"/>
              <w:lang w:val="en-GB" w:eastAsia="en-GB"/>
              <w14:ligatures w14:val="standardContextual"/>
            </w:rPr>
          </w:pPr>
          <w:hyperlink w:anchor="_Toc236944038" w:history="1">
            <w:r w:rsidRPr="009E7262">
              <w:rPr>
                <w:rStyle w:val="Hyperlink"/>
                <w:rFonts w:ascii="Arial" w:eastAsiaTheme="majorEastAsia" w:hAnsi="Arial" w:cs="Arial"/>
                <w:noProof/>
              </w:rPr>
              <w:t>Local Wellbeing Initiatives</w:t>
            </w:r>
            <w:r>
              <w:rPr>
                <w:noProof/>
                <w:webHidden/>
              </w:rPr>
              <w:tab/>
            </w:r>
            <w:r>
              <w:rPr>
                <w:noProof/>
                <w:webHidden/>
              </w:rPr>
              <w:fldChar w:fldCharType="begin"/>
            </w:r>
            <w:r>
              <w:rPr>
                <w:noProof/>
                <w:webHidden/>
              </w:rPr>
              <w:instrText xml:space="preserve"> PAGEREF _Toc236944038 \h </w:instrText>
            </w:r>
            <w:r>
              <w:rPr>
                <w:noProof/>
                <w:webHidden/>
              </w:rPr>
            </w:r>
            <w:r>
              <w:rPr>
                <w:noProof/>
                <w:webHidden/>
              </w:rPr>
              <w:fldChar w:fldCharType="separate"/>
            </w:r>
            <w:r>
              <w:rPr>
                <w:noProof/>
                <w:webHidden/>
              </w:rPr>
              <w:t>7</w:t>
            </w:r>
            <w:r>
              <w:rPr>
                <w:noProof/>
                <w:webHidden/>
              </w:rPr>
              <w:fldChar w:fldCharType="end"/>
            </w:r>
          </w:hyperlink>
        </w:p>
        <w:p w14:paraId="7E566B9C" w14:textId="6EF910DE" w:rsidR="00844F50" w:rsidRDefault="00844F50">
          <w:pPr>
            <w:pStyle w:val="TOC1"/>
            <w:rPr>
              <w:rFonts w:asciiTheme="minorHAnsi" w:eastAsiaTheme="minorEastAsia" w:hAnsiTheme="minorHAnsi" w:cstheme="minorBidi"/>
              <w:noProof/>
              <w:kern w:val="2"/>
              <w:lang w:val="en-GB" w:eastAsia="en-GB"/>
              <w14:ligatures w14:val="standardContextual"/>
            </w:rPr>
          </w:pPr>
          <w:hyperlink w:anchor="_Toc236944039" w:history="1">
            <w:r w:rsidRPr="009E7262">
              <w:rPr>
                <w:rStyle w:val="Hyperlink"/>
                <w:rFonts w:ascii="Arial" w:eastAsiaTheme="majorEastAsia" w:hAnsi="Arial" w:cs="Arial"/>
                <w:noProof/>
              </w:rPr>
              <w:t>Recommendation</w:t>
            </w:r>
            <w:r>
              <w:rPr>
                <w:noProof/>
                <w:webHidden/>
              </w:rPr>
              <w:tab/>
            </w:r>
            <w:r>
              <w:rPr>
                <w:noProof/>
                <w:webHidden/>
              </w:rPr>
              <w:fldChar w:fldCharType="begin"/>
            </w:r>
            <w:r>
              <w:rPr>
                <w:noProof/>
                <w:webHidden/>
              </w:rPr>
              <w:instrText xml:space="preserve"> PAGEREF _Toc236944039 \h </w:instrText>
            </w:r>
            <w:r>
              <w:rPr>
                <w:noProof/>
                <w:webHidden/>
              </w:rPr>
            </w:r>
            <w:r>
              <w:rPr>
                <w:noProof/>
                <w:webHidden/>
              </w:rPr>
              <w:fldChar w:fldCharType="separate"/>
            </w:r>
            <w:r>
              <w:rPr>
                <w:noProof/>
                <w:webHidden/>
              </w:rPr>
              <w:t>8</w:t>
            </w:r>
            <w:r>
              <w:rPr>
                <w:noProof/>
                <w:webHidden/>
              </w:rPr>
              <w:fldChar w:fldCharType="end"/>
            </w:r>
          </w:hyperlink>
        </w:p>
        <w:p w14:paraId="546B2B58" w14:textId="471969D8" w:rsidR="00844F50" w:rsidRDefault="00844F50">
          <w:pPr>
            <w:pStyle w:val="TOC1"/>
            <w:rPr>
              <w:rFonts w:asciiTheme="minorHAnsi" w:eastAsiaTheme="minorEastAsia" w:hAnsiTheme="minorHAnsi" w:cstheme="minorBidi"/>
              <w:noProof/>
              <w:kern w:val="2"/>
              <w:lang w:val="en-GB" w:eastAsia="en-GB"/>
              <w14:ligatures w14:val="standardContextual"/>
            </w:rPr>
          </w:pPr>
          <w:hyperlink w:anchor="_Toc236944040" w:history="1">
            <w:r w:rsidRPr="009E7262">
              <w:rPr>
                <w:rStyle w:val="Hyperlink"/>
                <w:rFonts w:ascii="Arial" w:eastAsiaTheme="majorEastAsia" w:hAnsi="Arial" w:cs="Arial"/>
                <w:noProof/>
              </w:rPr>
              <w:t>Conclusion</w:t>
            </w:r>
            <w:r>
              <w:rPr>
                <w:noProof/>
                <w:webHidden/>
              </w:rPr>
              <w:tab/>
            </w:r>
            <w:r>
              <w:rPr>
                <w:noProof/>
                <w:webHidden/>
              </w:rPr>
              <w:fldChar w:fldCharType="begin"/>
            </w:r>
            <w:r>
              <w:rPr>
                <w:noProof/>
                <w:webHidden/>
              </w:rPr>
              <w:instrText xml:space="preserve"> PAGEREF _Toc236944040 \h </w:instrText>
            </w:r>
            <w:r>
              <w:rPr>
                <w:noProof/>
                <w:webHidden/>
              </w:rPr>
            </w:r>
            <w:r>
              <w:rPr>
                <w:noProof/>
                <w:webHidden/>
              </w:rPr>
              <w:fldChar w:fldCharType="separate"/>
            </w:r>
            <w:r>
              <w:rPr>
                <w:noProof/>
                <w:webHidden/>
              </w:rPr>
              <w:t>9</w:t>
            </w:r>
            <w:r>
              <w:rPr>
                <w:noProof/>
                <w:webHidden/>
              </w:rPr>
              <w:fldChar w:fldCharType="end"/>
            </w:r>
          </w:hyperlink>
        </w:p>
        <w:p w14:paraId="2E6AA98F" w14:textId="1E2047EF" w:rsidR="00844F50" w:rsidRDefault="00844F50">
          <w:pPr>
            <w:pStyle w:val="TOC1"/>
            <w:rPr>
              <w:rFonts w:asciiTheme="minorHAnsi" w:eastAsiaTheme="minorEastAsia" w:hAnsiTheme="minorHAnsi" w:cstheme="minorBidi"/>
              <w:noProof/>
              <w:kern w:val="2"/>
              <w:lang w:val="en-GB" w:eastAsia="en-GB"/>
              <w14:ligatures w14:val="standardContextual"/>
            </w:rPr>
          </w:pPr>
          <w:hyperlink w:anchor="_Toc236944041" w:history="1">
            <w:r w:rsidRPr="009E7262">
              <w:rPr>
                <w:rStyle w:val="Hyperlink"/>
                <w:rFonts w:ascii="Arial" w:eastAsiaTheme="majorEastAsia" w:hAnsi="Arial" w:cs="Arial"/>
                <w:noProof/>
              </w:rPr>
              <w:t>References</w:t>
            </w:r>
            <w:r>
              <w:rPr>
                <w:noProof/>
                <w:webHidden/>
              </w:rPr>
              <w:tab/>
            </w:r>
            <w:r>
              <w:rPr>
                <w:noProof/>
                <w:webHidden/>
              </w:rPr>
              <w:fldChar w:fldCharType="begin"/>
            </w:r>
            <w:r>
              <w:rPr>
                <w:noProof/>
                <w:webHidden/>
              </w:rPr>
              <w:instrText xml:space="preserve"> PAGEREF _Toc236944041 \h </w:instrText>
            </w:r>
            <w:r>
              <w:rPr>
                <w:noProof/>
                <w:webHidden/>
              </w:rPr>
            </w:r>
            <w:r>
              <w:rPr>
                <w:noProof/>
                <w:webHidden/>
              </w:rPr>
              <w:fldChar w:fldCharType="separate"/>
            </w:r>
            <w:r>
              <w:rPr>
                <w:noProof/>
                <w:webHidden/>
              </w:rPr>
              <w:t>10</w:t>
            </w:r>
            <w:r>
              <w:rPr>
                <w:noProof/>
                <w:webHidden/>
              </w:rPr>
              <w:fldChar w:fldCharType="end"/>
            </w:r>
          </w:hyperlink>
        </w:p>
        <w:p w14:paraId="0BB58720" w14:textId="4CF79D94" w:rsidR="00844F50" w:rsidRPr="00844F50" w:rsidRDefault="00844F50" w:rsidP="00844F50">
          <w:pPr>
            <w:widowControl w:val="0"/>
            <w:tabs>
              <w:tab w:val="right" w:pos="12000"/>
            </w:tabs>
            <w:spacing w:before="60" w:after="0"/>
            <w:jc w:val="left"/>
            <w:rPr>
              <w:rFonts w:ascii="Arial" w:eastAsia="Arial" w:hAnsi="Arial" w:cs="Arial"/>
              <w:color w:val="000000" w:themeColor="text1"/>
              <w:sz w:val="22"/>
              <w:szCs w:val="22"/>
            </w:rPr>
          </w:pPr>
          <w:r w:rsidRPr="00844F50">
            <w:rPr>
              <w:rFonts w:ascii="Arial" w:hAnsi="Arial" w:cs="Arial"/>
              <w:color w:val="000000" w:themeColor="text1"/>
              <w:sz w:val="22"/>
              <w:szCs w:val="22"/>
            </w:rPr>
            <w:fldChar w:fldCharType="end"/>
          </w:r>
        </w:p>
      </w:sdtContent>
    </w:sdt>
    <w:p w14:paraId="4E0D83A8" w14:textId="77777777" w:rsidR="00844F50" w:rsidRPr="00844F50" w:rsidRDefault="00844F50" w:rsidP="00844F50">
      <w:pPr>
        <w:spacing w:before="240" w:after="240"/>
        <w:jc w:val="left"/>
        <w:rPr>
          <w:rFonts w:ascii="Arial" w:eastAsia="Arial" w:hAnsi="Arial" w:cs="Arial"/>
          <w:color w:val="000000" w:themeColor="text1"/>
          <w:sz w:val="22"/>
          <w:szCs w:val="22"/>
        </w:rPr>
      </w:pPr>
    </w:p>
    <w:p w14:paraId="7780A43C" w14:textId="77777777" w:rsidR="00844F50" w:rsidRPr="00844F50" w:rsidRDefault="00844F50" w:rsidP="00844F50">
      <w:pPr>
        <w:pStyle w:val="Heading1"/>
        <w:spacing w:line="360" w:lineRule="auto"/>
        <w:rPr>
          <w:rFonts w:ascii="Arial" w:hAnsi="Arial" w:cs="Arial"/>
          <w:b/>
          <w:bCs/>
          <w:color w:val="000000" w:themeColor="text1"/>
          <w:sz w:val="22"/>
          <w:szCs w:val="22"/>
        </w:rPr>
      </w:pPr>
      <w:bookmarkStart w:id="1" w:name="_heading=h.g2ztbm3i4pcw" w:colFirst="0" w:colLast="0"/>
      <w:bookmarkEnd w:id="1"/>
      <w:r w:rsidRPr="00844F50">
        <w:rPr>
          <w:rFonts w:ascii="Arial" w:hAnsi="Arial" w:cs="Arial"/>
          <w:color w:val="000000" w:themeColor="text1"/>
          <w:sz w:val="22"/>
          <w:szCs w:val="22"/>
        </w:rPr>
        <w:br w:type="page"/>
      </w:r>
    </w:p>
    <w:p w14:paraId="1D299AB1" w14:textId="77777777" w:rsidR="00844F50" w:rsidRPr="00844F50" w:rsidRDefault="00844F50" w:rsidP="00844F50">
      <w:pPr>
        <w:pStyle w:val="Heading1"/>
        <w:rPr>
          <w:rFonts w:ascii="Arial" w:hAnsi="Arial" w:cs="Arial"/>
        </w:rPr>
      </w:pPr>
      <w:bookmarkStart w:id="2" w:name="_Toc236944034"/>
      <w:r w:rsidRPr="00844F50">
        <w:rPr>
          <w:rFonts w:ascii="Arial" w:hAnsi="Arial" w:cs="Arial"/>
        </w:rPr>
        <w:lastRenderedPageBreak/>
        <w:t>Introduction</w:t>
      </w:r>
      <w:bookmarkEnd w:id="2"/>
    </w:p>
    <w:p w14:paraId="60204CBE" w14:textId="77777777" w:rsidR="00844F50" w:rsidRPr="00844F50" w:rsidRDefault="00844F50" w:rsidP="00844F50">
      <w:pPr>
        <w:pBdr>
          <w:top w:val="nil"/>
          <w:left w:val="nil"/>
          <w:bottom w:val="nil"/>
          <w:right w:val="nil"/>
          <w:between w:val="nil"/>
        </w:pBdr>
        <w:spacing w:before="280" w:after="28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This report critically analyses policies and initiatives that influence citizens’ health and wellbeing from international, national, and local perspectives. It explores the contribution of Sustainable Development Goal (SDG) 3, Good Health and Well-being, and SDG 11, Sustainable Cities and Communities, in addressing global health challenges and promoting sustainable communities. Furthermore, the report evaluates the effectiveness of two national and two local wellbeing initiatives, considering their impact, limitations, and potential contribution to improving population health outcomes. Recommendations are provided throughout, informed by recent peer-reviewed evidence, to identify strategies for strengthening health promotion and supporting sustainable approaches to wellbeing.</w:t>
      </w:r>
    </w:p>
    <w:p w14:paraId="522D0A10" w14:textId="77777777" w:rsidR="00844F50" w:rsidRPr="00844F50" w:rsidRDefault="00844F50" w:rsidP="00844F50">
      <w:pPr>
        <w:pStyle w:val="Heading1"/>
        <w:rPr>
          <w:rFonts w:ascii="Arial" w:hAnsi="Arial" w:cs="Arial"/>
        </w:rPr>
      </w:pPr>
      <w:bookmarkStart w:id="3" w:name="_Toc236944035"/>
      <w:r w:rsidRPr="00844F50">
        <w:rPr>
          <w:rFonts w:ascii="Arial" w:hAnsi="Arial" w:cs="Arial"/>
        </w:rPr>
        <w:t>SDG 3: Good Health and Well-Being</w:t>
      </w:r>
      <w:bookmarkEnd w:id="3"/>
    </w:p>
    <w:p w14:paraId="24E7D704" w14:textId="77777777" w:rsidR="00844F50" w:rsidRPr="00844F50" w:rsidRDefault="00844F50" w:rsidP="00844F50">
      <w:pPr>
        <w:jc w:val="center"/>
        <w:rPr>
          <w:rFonts w:ascii="Arial" w:eastAsia="Arial" w:hAnsi="Arial" w:cs="Arial"/>
          <w:i/>
          <w:iCs/>
          <w:color w:val="000000" w:themeColor="text1"/>
          <w:sz w:val="22"/>
          <w:szCs w:val="22"/>
        </w:rPr>
      </w:pPr>
      <w:r w:rsidRPr="00844F50">
        <w:rPr>
          <w:rFonts w:ascii="Arial" w:eastAsia="Arial" w:hAnsi="Arial" w:cs="Arial"/>
          <w:i/>
          <w:iCs/>
          <w:noProof/>
          <w:color w:val="000000" w:themeColor="text1"/>
          <w:sz w:val="22"/>
          <w:szCs w:val="22"/>
        </w:rPr>
        <w:drawing>
          <wp:inline distT="114300" distB="114300" distL="114300" distR="114300" wp14:anchorId="373605AF" wp14:editId="2E84D355">
            <wp:extent cx="4733925" cy="3829050"/>
            <wp:effectExtent l="12700" t="12700" r="12700" b="12700"/>
            <wp:docPr id="1788662922" name="image2.png" descr="A green background with white text and icon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green background with white text and icons&#10;&#10;AI-generated content may be incorrect."/>
                    <pic:cNvPicPr preferRelativeResize="0"/>
                  </pic:nvPicPr>
                  <pic:blipFill>
                    <a:blip r:embed="rId7"/>
                    <a:srcRect/>
                    <a:stretch>
                      <a:fillRect/>
                    </a:stretch>
                  </pic:blipFill>
                  <pic:spPr>
                    <a:xfrm>
                      <a:off x="0" y="0"/>
                      <a:ext cx="4733925" cy="3829050"/>
                    </a:xfrm>
                    <a:prstGeom prst="rect">
                      <a:avLst/>
                    </a:prstGeom>
                    <a:ln w="12700">
                      <a:solidFill>
                        <a:srgbClr val="000000"/>
                      </a:solidFill>
                      <a:prstDash val="solid"/>
                    </a:ln>
                  </pic:spPr>
                </pic:pic>
              </a:graphicData>
            </a:graphic>
          </wp:inline>
        </w:drawing>
      </w:r>
    </w:p>
    <w:p w14:paraId="6D3067B4" w14:textId="77777777" w:rsidR="00844F50" w:rsidRPr="00844F50" w:rsidRDefault="00844F50" w:rsidP="00844F50">
      <w:pPr>
        <w:jc w:val="center"/>
        <w:rPr>
          <w:rFonts w:ascii="Arial" w:eastAsia="Arial" w:hAnsi="Arial" w:cs="Arial"/>
          <w:b/>
          <w:bCs/>
          <w:color w:val="000000" w:themeColor="text1"/>
          <w:sz w:val="22"/>
          <w:szCs w:val="22"/>
        </w:rPr>
      </w:pPr>
      <w:r w:rsidRPr="00844F50">
        <w:rPr>
          <w:rFonts w:ascii="Arial" w:eastAsia="Arial" w:hAnsi="Arial" w:cs="Arial"/>
          <w:b/>
          <w:bCs/>
          <w:color w:val="000000" w:themeColor="text1"/>
          <w:sz w:val="22"/>
          <w:szCs w:val="22"/>
        </w:rPr>
        <w:t>Figure 1: SDG 3</w:t>
      </w:r>
    </w:p>
    <w:p w14:paraId="75074785" w14:textId="49A8E4F2" w:rsidR="00844F50" w:rsidRPr="00844F50" w:rsidRDefault="00844F50" w:rsidP="00844F50">
      <w:pPr>
        <w:jc w:val="center"/>
        <w:rPr>
          <w:rFonts w:ascii="Arial" w:eastAsia="Arial" w:hAnsi="Arial" w:cs="Arial"/>
          <w:b/>
          <w:bCs/>
          <w:color w:val="000000" w:themeColor="text1"/>
          <w:sz w:val="22"/>
          <w:szCs w:val="22"/>
        </w:rPr>
      </w:pPr>
      <w:r w:rsidRPr="00844F50">
        <w:rPr>
          <w:rFonts w:ascii="Arial" w:eastAsia="Arial" w:hAnsi="Arial" w:cs="Arial"/>
          <w:b/>
          <w:bCs/>
          <w:color w:val="000000" w:themeColor="text1"/>
          <w:sz w:val="22"/>
          <w:szCs w:val="22"/>
        </w:rPr>
        <w:t>Source</w:t>
      </w:r>
      <w:r w:rsidRPr="00844F50">
        <w:rPr>
          <w:rFonts w:ascii="Arial" w:eastAsia="Arial" w:hAnsi="Arial" w:cs="Arial"/>
          <w:b/>
          <w:bCs/>
          <w:color w:val="000000" w:themeColor="text1"/>
          <w:sz w:val="22"/>
          <w:szCs w:val="22"/>
        </w:rPr>
        <w:t>: (</w:t>
      </w:r>
      <w:r w:rsidRPr="00844F50">
        <w:rPr>
          <w:rFonts w:ascii="Arial" w:eastAsia="Arial" w:hAnsi="Arial" w:cs="Arial"/>
          <w:b/>
          <w:bCs/>
          <w:color w:val="000000" w:themeColor="text1"/>
          <w:sz w:val="22"/>
          <w:szCs w:val="22"/>
        </w:rPr>
        <w:t>Raman, Nair and Nedungadi, 2023)</w:t>
      </w:r>
    </w:p>
    <w:p w14:paraId="334F9F25" w14:textId="77777777"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lastRenderedPageBreak/>
        <w:t>SDG 3 is the commitment pledged by UN member States to ‘ensure healthy lives and promote well-being for all at all ages’ by 2030. These 13 targets cover a remarkable range of areas, from the control of maternal and child mortality to the end of epidemics of AIDS, TB, malaria and neglected tropical diseases; reduced premature deaths due to non-communicable diseases by one-third; strengthening prevention of drug and alcohol abuse; halving deaths due to road traffic accidents; achieving universal health coverage; and reducing deaths from dangerous chemicals and air and water and soil pollution; (Raman, Nair and Nedungadi, 2023). Since SDG 3 touches on more of the sustainability research literature than any other SDG, it serves as a benchmark too. A lack of progress on SDG 3 indicates a lack of progress for the rest of the 2030 Agenda.</w:t>
      </w:r>
    </w:p>
    <w:p w14:paraId="10992297" w14:textId="7A920680"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The goal's constructs could be beneficially divided into three groups. The first relates to the control of diseases, morbidity and mortality (including communicable and non-communicable diseases, maternal health and child health and injury prevention). The second is strengthening health systems, which includes working to achieve universal health coverage, strengthening essential medicines coverage and enhancing health workers' capacity (Raman, Nair and Nedungadi, 2023). The third is environmental and </w:t>
      </w:r>
      <w:r w:rsidRPr="00844F50">
        <w:rPr>
          <w:rFonts w:ascii="Arial" w:eastAsia="Arial" w:hAnsi="Arial" w:cs="Arial"/>
          <w:color w:val="000000" w:themeColor="text1"/>
          <w:sz w:val="22"/>
          <w:szCs w:val="22"/>
        </w:rPr>
        <w:t>behavioral</w:t>
      </w:r>
      <w:r w:rsidRPr="00844F50">
        <w:rPr>
          <w:rFonts w:ascii="Arial" w:eastAsia="Arial" w:hAnsi="Arial" w:cs="Arial"/>
          <w:color w:val="000000" w:themeColor="text1"/>
          <w:sz w:val="22"/>
          <w:szCs w:val="22"/>
        </w:rPr>
        <w:t xml:space="preserve"> risk reduction, which includes pollution, tobacco control and road safety. This is why it </w:t>
      </w:r>
      <w:r w:rsidRPr="00844F50">
        <w:rPr>
          <w:rFonts w:ascii="Arial" w:eastAsia="Arial" w:hAnsi="Arial" w:cs="Arial"/>
          <w:color w:val="000000" w:themeColor="text1"/>
          <w:sz w:val="22"/>
          <w:szCs w:val="22"/>
        </w:rPr>
        <w:t>must</w:t>
      </w:r>
      <w:r w:rsidRPr="00844F50">
        <w:rPr>
          <w:rFonts w:ascii="Arial" w:eastAsia="Arial" w:hAnsi="Arial" w:cs="Arial"/>
          <w:color w:val="000000" w:themeColor="text1"/>
          <w:sz w:val="22"/>
          <w:szCs w:val="22"/>
        </w:rPr>
        <w:t xml:space="preserve"> be done in collaboration with other ministries, such as ministries of transport, clean air and water, social protection and other ministries: the structure signals that SDG 3 was never meant to be addressed by ministries of health alone.  </w:t>
      </w:r>
    </w:p>
    <w:p w14:paraId="5DD0ADA8" w14:textId="77777777"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COVID-19 was an unexpected stress test for SDG 3 implementation. For a period of 2019–2021, </w:t>
      </w:r>
      <w:proofErr w:type="spellStart"/>
      <w:r w:rsidRPr="00844F50">
        <w:rPr>
          <w:rFonts w:ascii="Arial" w:eastAsia="Arial" w:hAnsi="Arial" w:cs="Arial"/>
          <w:color w:val="000000" w:themeColor="text1"/>
          <w:sz w:val="22"/>
          <w:szCs w:val="22"/>
        </w:rPr>
        <w:t>Mikuła</w:t>
      </w:r>
      <w:proofErr w:type="spellEnd"/>
      <w:r w:rsidRPr="00844F50">
        <w:rPr>
          <w:rFonts w:ascii="Arial" w:eastAsia="Arial" w:hAnsi="Arial" w:cs="Arial"/>
          <w:color w:val="000000" w:themeColor="text1"/>
          <w:sz w:val="22"/>
          <w:szCs w:val="22"/>
        </w:rPr>
        <w:t>, Raczkowska and Utzig (2024) monitored 26 members of the European Union (EU) with a synthetic indicator that was designed based on Eurostat indicators for self-perceived health, unmet medical need, preventable mortality/death, workplace deaths, and particulate-matter deaths. Sixteen of 26 countries had seen a decline in SDG 3, with the drop seen in Slovakia, Latvia and Lithuania, and the Netherlands and Sweden remained strong due to their health expenditure per capita, low gaps in coverage and ability to withstand the health crisis. More importantly, the performance gap in the study widened from the best to the worst states, meaning that a shock is not just a dent in the average level of health and wellbeing, but it also has a disproportionate impact on the level of inequality experienced between different citizens across the various countries, regions and income categories.</w:t>
      </w:r>
    </w:p>
    <w:p w14:paraId="29A2E5B7" w14:textId="77777777"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SDG 3 is reflected in everyday life for each citizen. Whether a person can access a doctor without having to spend catastrophic amounts of money is defined by the universal health </w:t>
      </w:r>
      <w:r w:rsidRPr="00844F50">
        <w:rPr>
          <w:rFonts w:ascii="Arial" w:eastAsia="Arial" w:hAnsi="Arial" w:cs="Arial"/>
          <w:color w:val="000000" w:themeColor="text1"/>
          <w:sz w:val="22"/>
          <w:szCs w:val="22"/>
        </w:rPr>
        <w:lastRenderedPageBreak/>
        <w:t xml:space="preserve">coverage targets; the universal health coverage targets influence screening and the management of chronic diseases; and whether a person breathes the air and how they consume the water is determined by the environmental health targets. </w:t>
      </w:r>
    </w:p>
    <w:p w14:paraId="69537598" w14:textId="77777777" w:rsidR="00844F50" w:rsidRPr="00844F50" w:rsidRDefault="00844F50" w:rsidP="00844F50">
      <w:pPr>
        <w:pStyle w:val="Heading1"/>
        <w:rPr>
          <w:rFonts w:ascii="Arial" w:hAnsi="Arial" w:cs="Arial"/>
        </w:rPr>
      </w:pPr>
      <w:bookmarkStart w:id="4" w:name="_Toc236944036"/>
      <w:r w:rsidRPr="00844F50">
        <w:rPr>
          <w:rFonts w:ascii="Arial" w:hAnsi="Arial" w:cs="Arial"/>
        </w:rPr>
        <w:t>Sustainable Development Goal 11: Sustainable Cities and Communities</w:t>
      </w:r>
      <w:bookmarkEnd w:id="4"/>
    </w:p>
    <w:p w14:paraId="41D33970" w14:textId="77777777" w:rsidR="00844F50" w:rsidRPr="00844F50" w:rsidRDefault="00844F50" w:rsidP="00844F50">
      <w:pPr>
        <w:jc w:val="center"/>
        <w:rPr>
          <w:rFonts w:ascii="Arial" w:eastAsia="Arial" w:hAnsi="Arial" w:cs="Arial"/>
          <w:b/>
          <w:bCs/>
          <w:i/>
          <w:iCs/>
          <w:color w:val="000000" w:themeColor="text1"/>
          <w:sz w:val="22"/>
          <w:szCs w:val="22"/>
        </w:rPr>
      </w:pPr>
      <w:r w:rsidRPr="00844F50">
        <w:rPr>
          <w:rFonts w:ascii="Arial" w:eastAsia="Arial" w:hAnsi="Arial" w:cs="Arial"/>
          <w:i/>
          <w:iCs/>
          <w:noProof/>
          <w:color w:val="000000" w:themeColor="text1"/>
          <w:sz w:val="22"/>
          <w:szCs w:val="22"/>
        </w:rPr>
        <w:drawing>
          <wp:inline distT="114300" distB="114300" distL="114300" distR="114300" wp14:anchorId="38AC25AB" wp14:editId="3F2DD708">
            <wp:extent cx="5943600" cy="4203700"/>
            <wp:effectExtent l="12700" t="12700" r="12700" b="12700"/>
            <wp:docPr id="1788662921" name="image3.png" descr="A graphic of a char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png" descr="A graphic of a chart&#10;&#10;AI-generated content may be incorrect."/>
                    <pic:cNvPicPr preferRelativeResize="0"/>
                  </pic:nvPicPr>
                  <pic:blipFill>
                    <a:blip r:embed="rId8"/>
                    <a:srcRect/>
                    <a:stretch>
                      <a:fillRect/>
                    </a:stretch>
                  </pic:blipFill>
                  <pic:spPr>
                    <a:xfrm>
                      <a:off x="0" y="0"/>
                      <a:ext cx="5943600" cy="4203700"/>
                    </a:xfrm>
                    <a:prstGeom prst="rect">
                      <a:avLst/>
                    </a:prstGeom>
                    <a:ln w="12700">
                      <a:solidFill>
                        <a:srgbClr val="000000"/>
                      </a:solidFill>
                      <a:prstDash val="solid"/>
                    </a:ln>
                  </pic:spPr>
                </pic:pic>
              </a:graphicData>
            </a:graphic>
          </wp:inline>
        </w:drawing>
      </w:r>
      <w:r w:rsidRPr="00844F50">
        <w:rPr>
          <w:rFonts w:ascii="Arial" w:eastAsia="Arial" w:hAnsi="Arial" w:cs="Arial"/>
          <w:b/>
          <w:bCs/>
          <w:color w:val="000000" w:themeColor="text1"/>
          <w:sz w:val="22"/>
          <w:szCs w:val="22"/>
        </w:rPr>
        <w:t>Figure 2: SDG 11</w:t>
      </w:r>
    </w:p>
    <w:p w14:paraId="5F4F42C5" w14:textId="1CEEAB6F" w:rsidR="00844F50" w:rsidRPr="00844F50" w:rsidRDefault="00844F50" w:rsidP="00844F50">
      <w:pPr>
        <w:jc w:val="center"/>
        <w:rPr>
          <w:rFonts w:ascii="Arial" w:eastAsia="Arial" w:hAnsi="Arial" w:cs="Arial"/>
          <w:b/>
          <w:bCs/>
          <w:i/>
          <w:iCs/>
          <w:color w:val="000000" w:themeColor="text1"/>
          <w:sz w:val="22"/>
          <w:szCs w:val="22"/>
        </w:rPr>
      </w:pPr>
      <w:r w:rsidRPr="00844F50">
        <w:rPr>
          <w:rFonts w:ascii="Arial" w:eastAsia="Arial" w:hAnsi="Arial" w:cs="Arial"/>
          <w:b/>
          <w:bCs/>
          <w:color w:val="000000" w:themeColor="text1"/>
          <w:sz w:val="22"/>
          <w:szCs w:val="22"/>
        </w:rPr>
        <w:t>Source</w:t>
      </w:r>
      <w:r w:rsidRPr="00844F50">
        <w:rPr>
          <w:rFonts w:ascii="Arial" w:eastAsia="Arial" w:hAnsi="Arial" w:cs="Arial"/>
          <w:b/>
          <w:bCs/>
          <w:color w:val="000000" w:themeColor="text1"/>
          <w:sz w:val="22"/>
          <w:szCs w:val="22"/>
        </w:rPr>
        <w:t>: (</w:t>
      </w:r>
      <w:r w:rsidRPr="00844F50">
        <w:rPr>
          <w:rFonts w:ascii="Arial" w:eastAsia="Arial" w:hAnsi="Arial" w:cs="Arial"/>
          <w:b/>
          <w:bCs/>
          <w:color w:val="000000" w:themeColor="text1"/>
          <w:sz w:val="22"/>
          <w:szCs w:val="22"/>
        </w:rPr>
        <w:t>Raman, Nair and Nedungadi, 2023)</w:t>
      </w:r>
    </w:p>
    <w:p w14:paraId="7EC16B89" w14:textId="6365466C"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The objective of SDG 11 to ‘make cities and human settlements inclusive, safe, resilient and sustainable' calls for cities and human settlements to be built for everyone. Its targets call for the development and promotion of safe and affordable housing, accessible transport systems, inclusive and participatory </w:t>
      </w:r>
      <w:proofErr w:type="spellStart"/>
      <w:r w:rsidRPr="00844F50">
        <w:rPr>
          <w:rFonts w:ascii="Arial" w:eastAsia="Arial" w:hAnsi="Arial" w:cs="Arial"/>
          <w:color w:val="000000" w:themeColor="text1"/>
          <w:sz w:val="22"/>
          <w:szCs w:val="22"/>
        </w:rPr>
        <w:t>urbani</w:t>
      </w:r>
      <w:r>
        <w:rPr>
          <w:rFonts w:ascii="Arial" w:eastAsia="Arial" w:hAnsi="Arial" w:cs="Arial"/>
          <w:color w:val="000000" w:themeColor="text1"/>
          <w:sz w:val="22"/>
          <w:szCs w:val="22"/>
        </w:rPr>
        <w:t>s</w:t>
      </w:r>
      <w:r w:rsidRPr="00844F50">
        <w:rPr>
          <w:rFonts w:ascii="Arial" w:eastAsia="Arial" w:hAnsi="Arial" w:cs="Arial"/>
          <w:color w:val="000000" w:themeColor="text1"/>
          <w:sz w:val="22"/>
          <w:szCs w:val="22"/>
        </w:rPr>
        <w:t>ation</w:t>
      </w:r>
      <w:proofErr w:type="spellEnd"/>
      <w:r w:rsidRPr="00844F50">
        <w:rPr>
          <w:rFonts w:ascii="Arial" w:eastAsia="Arial" w:hAnsi="Arial" w:cs="Arial"/>
          <w:color w:val="000000" w:themeColor="text1"/>
          <w:sz w:val="22"/>
          <w:szCs w:val="22"/>
        </w:rPr>
        <w:t xml:space="preserve">, protection of cultural and natural heritage, disaster risk reduction, reduced environmental footprint per capita (air quality and waste management), and universal access to safe, inclusive, green and public spaces. SDG 11 is already firmly at the </w:t>
      </w:r>
      <w:r w:rsidRPr="00844F50">
        <w:rPr>
          <w:rFonts w:ascii="Arial" w:eastAsia="Arial" w:hAnsi="Arial" w:cs="Arial"/>
          <w:color w:val="000000" w:themeColor="text1"/>
          <w:sz w:val="22"/>
          <w:szCs w:val="22"/>
        </w:rPr>
        <w:lastRenderedPageBreak/>
        <w:t>heart, not the edges, of health and wellbeing policy, as it is already more than half of the world's population lives in urban areas, and this is expected to increase further by 2050 (Nabiyeva et al., 2023).</w:t>
      </w:r>
    </w:p>
    <w:p w14:paraId="5D475D28" w14:textId="77777777"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The constructs of the goal can be broken down under three themes. The first one is the built environment, where quality houses, transport facilities and land-use planning are involved. The second relates to environmental performance, including air pollution, waste management and, within the urban boundaries, climate resilience. The third is inclusion and access, which includes vulnerable groups planning access to urban space safely and equitably, including older people, children, people with low income and disabilities. Currently, when conducting their analysis of 336 SDG11 good practice (submitted between 2018–2021), Nabiyeva et al. (2023) have found that only a small proportion (2.6–9.1%) of good practices explicitly referenced equity-related SDG targets, and that good practices from wealthier countries tended to be systemic and technology-focused, while those from developing countries were more likely to imply immediate, day-to-day concerns around waste collection and informal settlement upgrading. This is not yet equitable yet is an asymmetry concerning the ambition of SDG 11.</w:t>
      </w:r>
    </w:p>
    <w:p w14:paraId="15CDA113" w14:textId="77777777"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The effects of SDG 11 on health and wellbeing are clear and well-documented. The explicit goal of the agenda, urban green space, is always and everywhere linked to positive mental wellbeing results. In a review of 22 studies, Xu et al. (2025) identified reliable relationships between natural elements (e.g., vegetation diversity and water features) and improved mental wellbeing, but found mixed evidence on the relationship between the accessibility of natural spaces and mental wellbeing, and need to invest further effort to assess how community amenities attribute to mental wellbeing more reliably and through consistent designs and maintenance standards. In addition to this, Pastore, Parenti and </w:t>
      </w:r>
      <w:proofErr w:type="spellStart"/>
      <w:r w:rsidRPr="00844F50">
        <w:rPr>
          <w:rFonts w:ascii="Arial" w:eastAsia="Arial" w:hAnsi="Arial" w:cs="Arial"/>
          <w:color w:val="000000" w:themeColor="text1"/>
          <w:sz w:val="22"/>
          <w:szCs w:val="22"/>
        </w:rPr>
        <w:t>Patetta</w:t>
      </w:r>
      <w:proofErr w:type="spellEnd"/>
      <w:r w:rsidRPr="00844F50">
        <w:rPr>
          <w:rFonts w:ascii="Arial" w:eastAsia="Arial" w:hAnsi="Arial" w:cs="Arial"/>
          <w:color w:val="000000" w:themeColor="text1"/>
          <w:sz w:val="22"/>
          <w:szCs w:val="22"/>
        </w:rPr>
        <w:t xml:space="preserve"> (2025) conducted a mapping of the accessibility of green spaces of the Milan metropolitan area, showing that only 37% of the residential land has a green space within a 500-meter radius, thus highlighting the disconnection between the envisaged concept of SDG 11 and the concrete experience of many urban residents. Adding another wrinkle, Wicks and her colleagues (2023) found that a psychological sense of connection and not simply the percentage of green space available in one's immediate surroundings was the predictor of reduced depression and stress in residents of the UK during the COVID-19 pandemic, suggesting that urban planning should focus on creating opportunities for meaningful contact with green space and not just its physical presence.</w:t>
      </w:r>
    </w:p>
    <w:p w14:paraId="0CA90BB4" w14:textId="32581543" w:rsidR="00844F50" w:rsidRPr="00844F50" w:rsidRDefault="00844F50" w:rsidP="00844F50">
      <w:pPr>
        <w:pStyle w:val="Heading1"/>
      </w:pPr>
      <w:bookmarkStart w:id="5" w:name="_Toc236944037"/>
      <w:r w:rsidRPr="00844F50">
        <w:lastRenderedPageBreak/>
        <w:t>National Wellbeing Initiatives</w:t>
      </w:r>
      <w:bookmarkEnd w:id="5"/>
      <w:r w:rsidRPr="00844F50">
        <w:t xml:space="preserve"> </w:t>
      </w:r>
    </w:p>
    <w:p w14:paraId="4C32BBE7" w14:textId="783471EB"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Social prescribing link worker </w:t>
      </w:r>
      <w:proofErr w:type="spellStart"/>
      <w:r w:rsidRPr="00844F50">
        <w:rPr>
          <w:rFonts w:ascii="Arial" w:eastAsia="Arial" w:hAnsi="Arial" w:cs="Arial"/>
          <w:color w:val="000000" w:themeColor="text1"/>
          <w:sz w:val="22"/>
          <w:szCs w:val="22"/>
        </w:rPr>
        <w:t>programme</w:t>
      </w:r>
      <w:proofErr w:type="spellEnd"/>
      <w:r w:rsidRPr="00844F50">
        <w:rPr>
          <w:rFonts w:ascii="Arial" w:eastAsia="Arial" w:hAnsi="Arial" w:cs="Arial"/>
          <w:color w:val="000000" w:themeColor="text1"/>
          <w:sz w:val="22"/>
          <w:szCs w:val="22"/>
        </w:rPr>
        <w:t xml:space="preserve"> in the UK: Since it was identified in the NHS Long Term Plan, social prescribing has been used as a key priority for health policy and in the UK</w:t>
      </w:r>
      <w:r>
        <w:rPr>
          <w:rFonts w:ascii="Arial" w:eastAsia="Arial" w:hAnsi="Arial" w:cs="Arial"/>
          <w:color w:val="000000" w:themeColor="text1"/>
          <w:sz w:val="22"/>
          <w:szCs w:val="22"/>
        </w:rPr>
        <w:t>,</w:t>
      </w:r>
      <w:r w:rsidRPr="00844F50">
        <w:rPr>
          <w:rFonts w:ascii="Arial" w:eastAsia="Arial" w:hAnsi="Arial" w:cs="Arial"/>
          <w:color w:val="000000" w:themeColor="text1"/>
          <w:sz w:val="22"/>
          <w:szCs w:val="22"/>
        </w:rPr>
        <w:t xml:space="preserve"> from 2022, every primary care network has link workers in place to link people with non-clinical, community-based services. Wilding et al. (2025) combined a national analysis of the impact of the implementation of link workers in GP networks on population-level outcomes at GP level, using data from the GP Patient Survey from 2018-2023 along with the number of people working as link workers,  the model was found to be one of the first the UK-wide and longitudinal assessments based on more than just a single site. Bu, Hayes, Munford et al. (2026) went further, separate large-scale study of the characteristics of administrative referrals examined wellbeing before and after the referral, based on established scales (SWEMWBS and ONS4 scales) to measure wellbeing, and found consistent improvements in wellbeing months after a social prescribing referral, including mental wellbeing, life satisfaction and happiness. Wilding et al. (2025) note, as in the SDG monitoring of the UK, through routinely collected national data, as with Eurostat, a national rollout of an intervention can be tracked almost in real time which would not be possible from limited local pilots. Its current downfalls are cost and sustainability – in 2022/23 the scheme was estimated to cost the NHS approximately £130m just for itself, while the cost of providing community services for patients referred downstream to services such as GPs, physiotherapists and chiropractors are not included so questions remain about whether funding will be able to scale up to match the size of the rollout. An advised idea is to incorporate a regular nationwide surveillance program with a settlement methodology well established in primary care that caps costs and benchmarks funding choices using gains in wellbeing instead of uptake figures.</w:t>
      </w:r>
    </w:p>
    <w:p w14:paraId="515F59A5" w14:textId="0F03489F" w:rsidR="00844F50" w:rsidRPr="00844F50" w:rsidRDefault="00844F50" w:rsidP="00844F50">
      <w:pPr>
        <w:pStyle w:val="Heading1"/>
        <w:rPr>
          <w:rFonts w:ascii="Arial" w:hAnsi="Arial" w:cs="Arial"/>
        </w:rPr>
      </w:pPr>
      <w:bookmarkStart w:id="6" w:name="_Toc236944038"/>
      <w:r w:rsidRPr="00844F50">
        <w:rPr>
          <w:rFonts w:ascii="Arial" w:hAnsi="Arial" w:cs="Arial"/>
        </w:rPr>
        <w:t>Local Wellbeing Initiatives</w:t>
      </w:r>
      <w:bookmarkEnd w:id="6"/>
      <w:r w:rsidRPr="00844F50">
        <w:rPr>
          <w:rFonts w:ascii="Arial" w:hAnsi="Arial" w:cs="Arial"/>
        </w:rPr>
        <w:t xml:space="preserve"> </w:t>
      </w:r>
    </w:p>
    <w:p w14:paraId="51FEE8C8" w14:textId="3C416478"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London's Low Traffic </w:t>
      </w:r>
      <w:proofErr w:type="spellStart"/>
      <w:r w:rsidRPr="00844F50">
        <w:rPr>
          <w:rFonts w:ascii="Arial" w:eastAsia="Arial" w:hAnsi="Arial" w:cs="Arial"/>
          <w:color w:val="000000" w:themeColor="text1"/>
          <w:sz w:val="22"/>
          <w:szCs w:val="22"/>
        </w:rPr>
        <w:t>Neighbo</w:t>
      </w:r>
      <w:r>
        <w:rPr>
          <w:rFonts w:ascii="Arial" w:eastAsia="Arial" w:hAnsi="Arial" w:cs="Arial"/>
          <w:color w:val="000000" w:themeColor="text1"/>
          <w:sz w:val="22"/>
          <w:szCs w:val="22"/>
        </w:rPr>
        <w:t>u</w:t>
      </w:r>
      <w:r w:rsidRPr="00844F50">
        <w:rPr>
          <w:rFonts w:ascii="Arial" w:eastAsia="Arial" w:hAnsi="Arial" w:cs="Arial"/>
          <w:color w:val="000000" w:themeColor="text1"/>
          <w:sz w:val="22"/>
          <w:szCs w:val="22"/>
        </w:rPr>
        <w:t>rhoods</w:t>
      </w:r>
      <w:proofErr w:type="spellEnd"/>
      <w:r w:rsidRPr="00844F50">
        <w:rPr>
          <w:rFonts w:ascii="Arial" w:eastAsia="Arial" w:hAnsi="Arial" w:cs="Arial"/>
          <w:color w:val="000000" w:themeColor="text1"/>
          <w:sz w:val="22"/>
          <w:szCs w:val="22"/>
        </w:rPr>
        <w:t xml:space="preserve"> (LTNs): In a similar way to Barcelona's Superblocks, low traffic </w:t>
      </w:r>
      <w:proofErr w:type="spellStart"/>
      <w:r w:rsidRPr="00844F50">
        <w:rPr>
          <w:rFonts w:ascii="Arial" w:eastAsia="Arial" w:hAnsi="Arial" w:cs="Arial"/>
          <w:color w:val="000000" w:themeColor="text1"/>
          <w:sz w:val="22"/>
          <w:szCs w:val="22"/>
        </w:rPr>
        <w:t>neighbourhoods</w:t>
      </w:r>
      <w:proofErr w:type="spellEnd"/>
      <w:r w:rsidRPr="00844F50">
        <w:rPr>
          <w:rFonts w:ascii="Arial" w:eastAsia="Arial" w:hAnsi="Arial" w:cs="Arial"/>
          <w:color w:val="000000" w:themeColor="text1"/>
          <w:sz w:val="22"/>
          <w:szCs w:val="22"/>
        </w:rPr>
        <w:t xml:space="preserve"> are implemented in London to make walking, wheeling or cycling safer and more popular by placing a barrier like a modal filter in place to restrict through traffic on residential streets, which makes it the largest testbed for LTNs in the UK. London LTNs </w:t>
      </w:r>
      <w:proofErr w:type="gramStart"/>
      <w:r w:rsidRPr="00844F50">
        <w:rPr>
          <w:rFonts w:ascii="Arial" w:eastAsia="Arial" w:hAnsi="Arial" w:cs="Arial"/>
          <w:color w:val="000000" w:themeColor="text1"/>
          <w:sz w:val="22"/>
          <w:szCs w:val="22"/>
        </w:rPr>
        <w:t>were</w:t>
      </w:r>
      <w:proofErr w:type="gramEnd"/>
      <w:r w:rsidRPr="00844F50">
        <w:rPr>
          <w:rFonts w:ascii="Arial" w:eastAsia="Arial" w:hAnsi="Arial" w:cs="Arial"/>
          <w:color w:val="000000" w:themeColor="text1"/>
          <w:sz w:val="22"/>
          <w:szCs w:val="22"/>
        </w:rPr>
        <w:t xml:space="preserve"> recently </w:t>
      </w:r>
      <w:proofErr w:type="spellStart"/>
      <w:r w:rsidRPr="00844F50">
        <w:rPr>
          <w:rFonts w:ascii="Arial" w:eastAsia="Arial" w:hAnsi="Arial" w:cs="Arial"/>
          <w:color w:val="000000" w:themeColor="text1"/>
          <w:sz w:val="22"/>
          <w:szCs w:val="22"/>
        </w:rPr>
        <w:t>trialled</w:t>
      </w:r>
      <w:proofErr w:type="spellEnd"/>
      <w:r w:rsidRPr="00844F50">
        <w:rPr>
          <w:rFonts w:ascii="Arial" w:eastAsia="Arial" w:hAnsi="Arial" w:cs="Arial"/>
          <w:color w:val="000000" w:themeColor="text1"/>
          <w:sz w:val="22"/>
          <w:szCs w:val="22"/>
        </w:rPr>
        <w:t xml:space="preserve"> in several boroughs with a mixture of methodologies</w:t>
      </w:r>
      <w:r>
        <w:rPr>
          <w:rFonts w:ascii="Arial" w:eastAsia="Arial" w:hAnsi="Arial" w:cs="Arial"/>
          <w:color w:val="000000" w:themeColor="text1"/>
          <w:sz w:val="22"/>
          <w:szCs w:val="22"/>
        </w:rPr>
        <w:t>,</w:t>
      </w:r>
      <w:r w:rsidRPr="00844F50">
        <w:rPr>
          <w:rFonts w:ascii="Arial" w:eastAsia="Arial" w:hAnsi="Arial" w:cs="Arial"/>
          <w:color w:val="000000" w:themeColor="text1"/>
          <w:sz w:val="22"/>
          <w:szCs w:val="22"/>
        </w:rPr>
        <w:t xml:space="preserve"> including resident interviews to get a feel for the scheme, in addition to counting traffic. </w:t>
      </w:r>
      <w:proofErr w:type="spellStart"/>
      <w:r w:rsidRPr="00844F50">
        <w:rPr>
          <w:rFonts w:ascii="Arial" w:eastAsia="Arial" w:hAnsi="Arial" w:cs="Arial"/>
          <w:color w:val="000000" w:themeColor="text1"/>
          <w:sz w:val="22"/>
          <w:szCs w:val="22"/>
        </w:rPr>
        <w:t>Larrington</w:t>
      </w:r>
      <w:proofErr w:type="spellEnd"/>
      <w:r w:rsidRPr="00844F50">
        <w:rPr>
          <w:rFonts w:ascii="Arial" w:eastAsia="Arial" w:hAnsi="Arial" w:cs="Arial"/>
          <w:color w:val="000000" w:themeColor="text1"/>
          <w:sz w:val="22"/>
          <w:szCs w:val="22"/>
        </w:rPr>
        <w:t>-Spencer et al. (2026) carried out a mixed-methods evaluation</w:t>
      </w:r>
      <w:r>
        <w:rPr>
          <w:rFonts w:ascii="Arial" w:eastAsia="Arial" w:hAnsi="Arial" w:cs="Arial"/>
          <w:color w:val="000000" w:themeColor="text1"/>
          <w:sz w:val="22"/>
          <w:szCs w:val="22"/>
        </w:rPr>
        <w:t>;</w:t>
      </w:r>
      <w:r w:rsidRPr="00844F50">
        <w:rPr>
          <w:rFonts w:ascii="Arial" w:eastAsia="Arial" w:hAnsi="Arial" w:cs="Arial"/>
          <w:color w:val="000000" w:themeColor="text1"/>
          <w:sz w:val="22"/>
          <w:szCs w:val="22"/>
        </w:rPr>
        <w:t xml:space="preserve"> a positive feature about the multi-outcome </w:t>
      </w:r>
      <w:r w:rsidRPr="00844F50">
        <w:rPr>
          <w:rFonts w:ascii="Arial" w:eastAsia="Arial" w:hAnsi="Arial" w:cs="Arial"/>
          <w:color w:val="000000" w:themeColor="text1"/>
          <w:sz w:val="22"/>
          <w:szCs w:val="22"/>
        </w:rPr>
        <w:lastRenderedPageBreak/>
        <w:t xml:space="preserve">design, like the Superblocks evidence, is that the multi outcome measures are evaluated, not one outcome measure at a time; the Superblocks evidence also demonstrates how effective LTNs were, even though you can only take the effects of one thing at a time. Across all of the London evidence there is a recurring issue of inequality of impact and reception: residents living on boundary roads have very often been impacted by higher traffic exposure as a consequence of boundary roads closing, whilst the qualitative evidence confirms that LTNs have had a </w:t>
      </w:r>
      <w:proofErr w:type="spellStart"/>
      <w:r w:rsidRPr="00844F50">
        <w:rPr>
          <w:rFonts w:ascii="Arial" w:eastAsia="Arial" w:hAnsi="Arial" w:cs="Arial"/>
          <w:color w:val="000000" w:themeColor="text1"/>
          <w:sz w:val="22"/>
          <w:szCs w:val="22"/>
        </w:rPr>
        <w:t>polarising</w:t>
      </w:r>
      <w:proofErr w:type="spellEnd"/>
      <w:r w:rsidRPr="00844F50">
        <w:rPr>
          <w:rFonts w:ascii="Arial" w:eastAsia="Arial" w:hAnsi="Arial" w:cs="Arial"/>
          <w:color w:val="000000" w:themeColor="text1"/>
          <w:sz w:val="22"/>
          <w:szCs w:val="22"/>
        </w:rPr>
        <w:t xml:space="preserve"> effect on meeting community cohesion, with support and opposition equally distributed, potentially along socio-economic boundaries. </w:t>
      </w:r>
      <w:proofErr w:type="spellStart"/>
      <w:r w:rsidRPr="00844F50">
        <w:rPr>
          <w:rFonts w:ascii="Arial" w:eastAsia="Arial" w:hAnsi="Arial" w:cs="Arial"/>
          <w:color w:val="000000" w:themeColor="text1"/>
          <w:sz w:val="22"/>
          <w:szCs w:val="22"/>
        </w:rPr>
        <w:t>Larrington</w:t>
      </w:r>
      <w:proofErr w:type="spellEnd"/>
      <w:r w:rsidRPr="00844F50">
        <w:rPr>
          <w:rFonts w:ascii="Arial" w:eastAsia="Arial" w:hAnsi="Arial" w:cs="Arial"/>
          <w:color w:val="000000" w:themeColor="text1"/>
          <w:sz w:val="22"/>
          <w:szCs w:val="22"/>
        </w:rPr>
        <w:t>-Spencer et al. (2026), the recommendation aligns with recommendations for Barcelona: sequencing and consultation are relevant, schemes are more likely to be effective and even accepted as fair if priority is given to deprived and high pollution zones and boundary-road impacts are actively managed and not an afterthought (</w:t>
      </w:r>
      <w:proofErr w:type="spellStart"/>
      <w:r w:rsidRPr="00844F50">
        <w:rPr>
          <w:rFonts w:ascii="Arial" w:eastAsia="Arial" w:hAnsi="Arial" w:cs="Arial"/>
          <w:color w:val="000000" w:themeColor="text1"/>
          <w:sz w:val="22"/>
          <w:szCs w:val="22"/>
        </w:rPr>
        <w:t>Handayani</w:t>
      </w:r>
      <w:proofErr w:type="spellEnd"/>
      <w:r w:rsidRPr="00844F50">
        <w:rPr>
          <w:rFonts w:ascii="Arial" w:eastAsia="Arial" w:hAnsi="Arial" w:cs="Arial"/>
          <w:color w:val="000000" w:themeColor="text1"/>
          <w:sz w:val="22"/>
          <w:szCs w:val="22"/>
        </w:rPr>
        <w:t>, Wanat and Tierney, 2025).</w:t>
      </w:r>
    </w:p>
    <w:p w14:paraId="3B351254" w14:textId="37B91FED" w:rsidR="00844F50" w:rsidRPr="00844F50" w:rsidRDefault="00844F50" w:rsidP="00844F50">
      <w:pPr>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UK local green space and nature connection </w:t>
      </w:r>
      <w:proofErr w:type="spellStart"/>
      <w:r w:rsidRPr="00844F50">
        <w:rPr>
          <w:rFonts w:ascii="Arial" w:eastAsia="Arial" w:hAnsi="Arial" w:cs="Arial"/>
          <w:color w:val="000000" w:themeColor="text1"/>
          <w:sz w:val="22"/>
          <w:szCs w:val="22"/>
        </w:rPr>
        <w:t>programmes</w:t>
      </w:r>
      <w:proofErr w:type="spellEnd"/>
      <w:r w:rsidRPr="00844F50">
        <w:rPr>
          <w:rFonts w:ascii="Arial" w:eastAsia="Arial" w:hAnsi="Arial" w:cs="Arial"/>
          <w:color w:val="000000" w:themeColor="text1"/>
          <w:sz w:val="22"/>
          <w:szCs w:val="22"/>
        </w:rPr>
        <w:t>: This study by Wicks et al. (2023) examines the mental health impact that local green space and nature connection ha</w:t>
      </w:r>
      <w:r>
        <w:rPr>
          <w:rFonts w:ascii="Arial" w:eastAsia="Arial" w:hAnsi="Arial" w:cs="Arial"/>
          <w:color w:val="000000" w:themeColor="text1"/>
          <w:sz w:val="22"/>
          <w:szCs w:val="22"/>
        </w:rPr>
        <w:t>ve</w:t>
      </w:r>
      <w:r w:rsidRPr="00844F50">
        <w:rPr>
          <w:rFonts w:ascii="Arial" w:eastAsia="Arial" w:hAnsi="Arial" w:cs="Arial"/>
          <w:color w:val="000000" w:themeColor="text1"/>
          <w:sz w:val="22"/>
          <w:szCs w:val="22"/>
        </w:rPr>
        <w:t xml:space="preserve"> had on the population in the UK before and during COVID-19. The key thing that emerged from the project is that there was a measurable difference between interventions which focused on active engagement with nature versus passive proximity to nature, with goals of reduced depression and stress levels and higher wellbeing scores. It implies that provision of green spaces may be more effective on its own if accompanied by other local initiatives like community gardening schemes, nature connectedness walking groups and outdoor social prescription.</w:t>
      </w:r>
    </w:p>
    <w:p w14:paraId="7E0CF9E7" w14:textId="77777777" w:rsidR="00844F50" w:rsidRPr="00844F50" w:rsidRDefault="00844F50" w:rsidP="00844F50">
      <w:pPr>
        <w:pStyle w:val="Heading1"/>
        <w:rPr>
          <w:rFonts w:ascii="Arial" w:hAnsi="Arial" w:cs="Arial"/>
        </w:rPr>
      </w:pPr>
      <w:bookmarkStart w:id="7" w:name="_heading=h.pufji8miz12q" w:colFirst="0" w:colLast="0"/>
      <w:bookmarkStart w:id="8" w:name="_Toc236944039"/>
      <w:bookmarkEnd w:id="7"/>
      <w:r w:rsidRPr="00844F50">
        <w:rPr>
          <w:rFonts w:ascii="Arial" w:hAnsi="Arial" w:cs="Arial"/>
        </w:rPr>
        <w:t>Recommendation</w:t>
      </w:r>
      <w:bookmarkEnd w:id="8"/>
    </w:p>
    <w:p w14:paraId="52DC0781" w14:textId="368299DF" w:rsidR="00844F50" w:rsidRPr="00844F50" w:rsidRDefault="00844F50" w:rsidP="00844F50">
      <w:pPr>
        <w:jc w:val="left"/>
        <w:rPr>
          <w:rFonts w:ascii="Arial" w:hAnsi="Arial" w:cs="Arial"/>
          <w:color w:val="000000" w:themeColor="text1"/>
          <w:sz w:val="22"/>
          <w:szCs w:val="22"/>
        </w:rPr>
      </w:pPr>
      <w:r w:rsidRPr="00844F50">
        <w:rPr>
          <w:rFonts w:ascii="Arial" w:hAnsi="Arial" w:cs="Arial"/>
          <w:color w:val="000000" w:themeColor="text1"/>
          <w:sz w:val="22"/>
          <w:szCs w:val="22"/>
        </w:rPr>
        <w:t>All these initiatives in the UK offer a clear and consistent message: national framework and local delivery need to go hand in hand. Nationally</w:t>
      </w:r>
      <w:r>
        <w:rPr>
          <w:rFonts w:ascii="Arial" w:hAnsi="Arial" w:cs="Arial"/>
          <w:color w:val="000000" w:themeColor="text1"/>
          <w:sz w:val="22"/>
          <w:szCs w:val="22"/>
        </w:rPr>
        <w:t>,</w:t>
      </w:r>
      <w:r w:rsidRPr="00844F50">
        <w:rPr>
          <w:rFonts w:ascii="Arial" w:hAnsi="Arial" w:cs="Arial"/>
          <w:color w:val="000000" w:themeColor="text1"/>
          <w:sz w:val="22"/>
          <w:szCs w:val="22"/>
        </w:rPr>
        <w:t xml:space="preserve"> there needs to be greater clarity on the costing, enforcement and audit of funding for social prescribing, planning health needs and the Well-being of Future Generations Act for ambition to turn to consequence. Locally, the success of LTNs, green space and community-level social prescribing schemes relies on a focus on deprived and high pollution areas, attention to the impacts on the boundary and broader samples representing an increased participant population in the evaluation. Therefore, Local monitoring needs to be </w:t>
      </w:r>
      <w:proofErr w:type="spellStart"/>
      <w:r w:rsidRPr="00844F50">
        <w:rPr>
          <w:rFonts w:ascii="Arial" w:hAnsi="Arial" w:cs="Arial"/>
          <w:color w:val="000000" w:themeColor="text1"/>
          <w:sz w:val="22"/>
          <w:szCs w:val="22"/>
        </w:rPr>
        <w:t>standardised</w:t>
      </w:r>
      <w:proofErr w:type="spellEnd"/>
      <w:r w:rsidRPr="00844F50">
        <w:rPr>
          <w:rFonts w:ascii="Arial" w:hAnsi="Arial" w:cs="Arial"/>
          <w:color w:val="000000" w:themeColor="text1"/>
          <w:sz w:val="22"/>
          <w:szCs w:val="22"/>
        </w:rPr>
        <w:t xml:space="preserve"> and comparable where a national monitoring mechanism is implemented, uptake needs to be ring-fenced with a link to demonstrated wellbeing outcomes, and there should be a wider geographical range of localities where there is </w:t>
      </w:r>
      <w:r w:rsidRPr="00844F50">
        <w:rPr>
          <w:rFonts w:ascii="Arial" w:hAnsi="Arial" w:cs="Arial"/>
          <w:color w:val="000000" w:themeColor="text1"/>
          <w:sz w:val="22"/>
          <w:szCs w:val="22"/>
        </w:rPr>
        <w:lastRenderedPageBreak/>
        <w:t>coordination of case-study and SROI evaluation. This would mean that policymakers across different regions can now compare what is happening in their region</w:t>
      </w:r>
      <w:r>
        <w:rPr>
          <w:rFonts w:ascii="Arial" w:hAnsi="Arial" w:cs="Arial"/>
          <w:color w:val="000000" w:themeColor="text1"/>
          <w:sz w:val="22"/>
          <w:szCs w:val="22"/>
        </w:rPr>
        <w:t>,</w:t>
      </w:r>
      <w:r w:rsidRPr="00844F50">
        <w:rPr>
          <w:rFonts w:ascii="Arial" w:hAnsi="Arial" w:cs="Arial"/>
          <w:color w:val="000000" w:themeColor="text1"/>
          <w:sz w:val="22"/>
          <w:szCs w:val="22"/>
        </w:rPr>
        <w:t xml:space="preserve"> </w:t>
      </w:r>
      <w:proofErr w:type="gramStart"/>
      <w:r w:rsidRPr="00844F50">
        <w:rPr>
          <w:rFonts w:ascii="Arial" w:hAnsi="Arial" w:cs="Arial"/>
          <w:color w:val="000000" w:themeColor="text1"/>
          <w:sz w:val="22"/>
          <w:szCs w:val="22"/>
        </w:rPr>
        <w:t>similar to</w:t>
      </w:r>
      <w:proofErr w:type="gramEnd"/>
      <w:r w:rsidRPr="00844F50">
        <w:rPr>
          <w:rFonts w:ascii="Arial" w:hAnsi="Arial" w:cs="Arial"/>
          <w:color w:val="000000" w:themeColor="text1"/>
          <w:sz w:val="22"/>
          <w:szCs w:val="22"/>
        </w:rPr>
        <w:t xml:space="preserve"> how Eurostat's SDG 3 monitoring can be done across the 28 EU member countries and maintain th</w:t>
      </w:r>
      <w:r>
        <w:rPr>
          <w:rFonts w:ascii="Arial" w:hAnsi="Arial" w:cs="Arial"/>
          <w:color w:val="000000" w:themeColor="text1"/>
          <w:sz w:val="22"/>
          <w:szCs w:val="22"/>
        </w:rPr>
        <w:t>e</w:t>
      </w:r>
      <w:r w:rsidRPr="00844F50">
        <w:rPr>
          <w:rFonts w:ascii="Arial" w:hAnsi="Arial" w:cs="Arial"/>
          <w:color w:val="000000" w:themeColor="text1"/>
          <w:sz w:val="22"/>
          <w:szCs w:val="22"/>
        </w:rPr>
        <w:t xml:space="preserve"> flexibility that place-based delivery demands to work.</w:t>
      </w:r>
    </w:p>
    <w:p w14:paraId="5E18D1FA" w14:textId="77777777" w:rsidR="00844F50" w:rsidRPr="00844F50" w:rsidRDefault="00844F50" w:rsidP="00844F50">
      <w:pPr>
        <w:pStyle w:val="Heading1"/>
        <w:rPr>
          <w:rFonts w:ascii="Arial" w:hAnsi="Arial" w:cs="Arial"/>
        </w:rPr>
      </w:pPr>
      <w:bookmarkStart w:id="9" w:name="_Toc236944040"/>
      <w:r w:rsidRPr="00844F50">
        <w:rPr>
          <w:rFonts w:ascii="Arial" w:hAnsi="Arial" w:cs="Arial"/>
        </w:rPr>
        <w:t>Conclusion</w:t>
      </w:r>
      <w:bookmarkEnd w:id="9"/>
    </w:p>
    <w:p w14:paraId="793C5628" w14:textId="77777777" w:rsidR="00844F50" w:rsidRPr="00844F50" w:rsidRDefault="00844F50" w:rsidP="00844F50">
      <w:pPr>
        <w:jc w:val="left"/>
        <w:rPr>
          <w:rFonts w:ascii="Arial" w:eastAsia="Arial" w:hAnsi="Arial" w:cs="Arial"/>
          <w:color w:val="000000" w:themeColor="text1"/>
          <w:sz w:val="22"/>
          <w:szCs w:val="22"/>
        </w:rPr>
      </w:pPr>
      <w:bookmarkStart w:id="10" w:name="_heading=h.fcgny8au0s8t" w:colFirst="0" w:colLast="0"/>
      <w:bookmarkEnd w:id="10"/>
      <w:r w:rsidRPr="00844F50">
        <w:rPr>
          <w:rFonts w:ascii="Arial" w:eastAsia="Arial" w:hAnsi="Arial" w:cs="Arial"/>
          <w:color w:val="000000" w:themeColor="text1"/>
          <w:sz w:val="22"/>
          <w:szCs w:val="22"/>
        </w:rPr>
        <w:t xml:space="preserve">It has been demonstrated during this report that there are synergies between SDG 3 and SDG 11: Health is essential for functioning health systems, and functioning health systems are essential for well-designed, equitable cities. While clear and comparable national-level data, like the EU-wide SDG monitoring and Thailand's health sustainability benchmarking, show the benefit of such data, such data in isolation will not drive equitable outcomes without sufficient investment and governance authority. Barcelona's Superblocks and Green-space </w:t>
      </w:r>
      <w:proofErr w:type="spellStart"/>
      <w:r w:rsidRPr="00844F50">
        <w:rPr>
          <w:rFonts w:ascii="Arial" w:eastAsia="Arial" w:hAnsi="Arial" w:cs="Arial"/>
          <w:color w:val="000000" w:themeColor="text1"/>
          <w:sz w:val="22"/>
          <w:szCs w:val="22"/>
        </w:rPr>
        <w:t>programmes</w:t>
      </w:r>
      <w:proofErr w:type="spellEnd"/>
      <w:r w:rsidRPr="00844F50">
        <w:rPr>
          <w:rFonts w:ascii="Arial" w:eastAsia="Arial" w:hAnsi="Arial" w:cs="Arial"/>
          <w:color w:val="000000" w:themeColor="text1"/>
          <w:sz w:val="22"/>
          <w:szCs w:val="22"/>
        </w:rPr>
        <w:t xml:space="preserve"> in the UK demonstrate that a well-designed and inclusive approach towards interventions can provide tangible health benefits when they are taken up consistently to first reach the most deprived communities in society. Mandating outcome evaluation, ensuring resources are distributed fairly or "fairly + more," and improving interactions between health and environmental and urban planning policy should be </w:t>
      </w:r>
      <w:proofErr w:type="spellStart"/>
      <w:r w:rsidRPr="00844F50">
        <w:rPr>
          <w:rFonts w:ascii="Arial" w:eastAsia="Arial" w:hAnsi="Arial" w:cs="Arial"/>
          <w:color w:val="000000" w:themeColor="text1"/>
          <w:sz w:val="22"/>
          <w:szCs w:val="22"/>
        </w:rPr>
        <w:t>emphasised</w:t>
      </w:r>
      <w:proofErr w:type="spellEnd"/>
      <w:r w:rsidRPr="00844F50">
        <w:rPr>
          <w:rFonts w:ascii="Arial" w:eastAsia="Arial" w:hAnsi="Arial" w:cs="Arial"/>
          <w:color w:val="000000" w:themeColor="text1"/>
          <w:sz w:val="22"/>
          <w:szCs w:val="22"/>
        </w:rPr>
        <w:t xml:space="preserve"> in future policy.</w:t>
      </w:r>
    </w:p>
    <w:p w14:paraId="1AC243C8" w14:textId="77777777" w:rsidR="00844F50" w:rsidRPr="00844F50" w:rsidRDefault="00844F50" w:rsidP="00844F50">
      <w:pPr>
        <w:jc w:val="left"/>
        <w:rPr>
          <w:rFonts w:ascii="Arial" w:eastAsia="Arial" w:hAnsi="Arial" w:cs="Arial"/>
          <w:color w:val="000000" w:themeColor="text1"/>
          <w:sz w:val="22"/>
          <w:szCs w:val="22"/>
        </w:rPr>
      </w:pPr>
      <w:r w:rsidRPr="00844F50">
        <w:rPr>
          <w:rFonts w:ascii="Arial" w:hAnsi="Arial" w:cs="Arial"/>
          <w:color w:val="000000" w:themeColor="text1"/>
          <w:sz w:val="22"/>
          <w:szCs w:val="22"/>
        </w:rPr>
        <w:br w:type="page"/>
      </w:r>
    </w:p>
    <w:p w14:paraId="29AEFDE4" w14:textId="77777777" w:rsidR="00844F50" w:rsidRPr="00844F50" w:rsidRDefault="00844F50" w:rsidP="00844F50">
      <w:pPr>
        <w:pStyle w:val="Heading1"/>
        <w:rPr>
          <w:rFonts w:ascii="Arial" w:hAnsi="Arial" w:cs="Arial"/>
        </w:rPr>
      </w:pPr>
      <w:bookmarkStart w:id="11" w:name="_Toc236944041"/>
      <w:r w:rsidRPr="00844F50">
        <w:rPr>
          <w:rFonts w:ascii="Arial" w:hAnsi="Arial" w:cs="Arial"/>
        </w:rPr>
        <w:lastRenderedPageBreak/>
        <w:t>References</w:t>
      </w:r>
      <w:bookmarkEnd w:id="11"/>
      <w:r w:rsidRPr="00844F50">
        <w:rPr>
          <w:rFonts w:ascii="Arial" w:hAnsi="Arial" w:cs="Arial"/>
        </w:rPr>
        <w:t xml:space="preserve"> </w:t>
      </w:r>
    </w:p>
    <w:p w14:paraId="394ECA14" w14:textId="77777777"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Ali, S.M., </w:t>
      </w:r>
      <w:proofErr w:type="spellStart"/>
      <w:r w:rsidRPr="00844F50">
        <w:rPr>
          <w:rFonts w:ascii="Arial" w:eastAsia="Arial" w:hAnsi="Arial" w:cs="Arial"/>
          <w:color w:val="000000" w:themeColor="text1"/>
          <w:sz w:val="22"/>
          <w:szCs w:val="22"/>
        </w:rPr>
        <w:t>Appolloni</w:t>
      </w:r>
      <w:proofErr w:type="spellEnd"/>
      <w:r w:rsidRPr="00844F50">
        <w:rPr>
          <w:rFonts w:ascii="Arial" w:eastAsia="Arial" w:hAnsi="Arial" w:cs="Arial"/>
          <w:color w:val="000000" w:themeColor="text1"/>
          <w:sz w:val="22"/>
          <w:szCs w:val="22"/>
        </w:rPr>
        <w:t xml:space="preserve">, A., Cavallaro, F. </w:t>
      </w:r>
      <w:r w:rsidRPr="00844F50">
        <w:rPr>
          <w:rFonts w:ascii="Arial" w:eastAsia="Arial" w:hAnsi="Arial" w:cs="Arial"/>
          <w:i/>
          <w:iCs/>
          <w:color w:val="000000" w:themeColor="text1"/>
          <w:sz w:val="22"/>
          <w:szCs w:val="22"/>
        </w:rPr>
        <w:t>et al.</w:t>
      </w:r>
      <w:r w:rsidRPr="00844F50">
        <w:rPr>
          <w:rFonts w:ascii="Arial" w:eastAsia="Arial" w:hAnsi="Arial" w:cs="Arial"/>
          <w:color w:val="000000" w:themeColor="text1"/>
          <w:sz w:val="22"/>
          <w:szCs w:val="22"/>
        </w:rPr>
        <w:t xml:space="preserve"> (2023) ‘Development goals towards sustainability’, </w:t>
      </w:r>
      <w:r w:rsidRPr="00844F50">
        <w:rPr>
          <w:rFonts w:ascii="Arial" w:eastAsia="Arial" w:hAnsi="Arial" w:cs="Arial"/>
          <w:i/>
          <w:iCs/>
          <w:color w:val="000000" w:themeColor="text1"/>
          <w:sz w:val="22"/>
          <w:szCs w:val="22"/>
        </w:rPr>
        <w:t>Sustainability</w:t>
      </w:r>
      <w:r w:rsidRPr="00844F50">
        <w:rPr>
          <w:rFonts w:ascii="Arial" w:eastAsia="Arial" w:hAnsi="Arial" w:cs="Arial"/>
          <w:color w:val="000000" w:themeColor="text1"/>
          <w:sz w:val="22"/>
          <w:szCs w:val="22"/>
        </w:rPr>
        <w:t xml:space="preserve">, </w:t>
      </w:r>
      <w:r w:rsidRPr="00844F50">
        <w:rPr>
          <w:rFonts w:ascii="Arial" w:eastAsia="Arial" w:hAnsi="Arial" w:cs="Arial"/>
          <w:i/>
          <w:iCs/>
          <w:color w:val="000000" w:themeColor="text1"/>
          <w:sz w:val="22"/>
          <w:szCs w:val="22"/>
        </w:rPr>
        <w:t>15</w:t>
      </w:r>
      <w:r w:rsidRPr="00844F50">
        <w:rPr>
          <w:rFonts w:ascii="Arial" w:eastAsia="Arial" w:hAnsi="Arial" w:cs="Arial"/>
          <w:color w:val="000000" w:themeColor="text1"/>
          <w:sz w:val="22"/>
          <w:szCs w:val="22"/>
        </w:rPr>
        <w:t>(12), p. 9443. Available at:</w:t>
      </w:r>
      <w:hyperlink r:id="rId9">
        <w:r w:rsidRPr="00844F50">
          <w:rPr>
            <w:rFonts w:ascii="Arial" w:eastAsia="Arial" w:hAnsi="Arial" w:cs="Arial"/>
            <w:color w:val="000000" w:themeColor="text1"/>
            <w:sz w:val="22"/>
            <w:szCs w:val="22"/>
          </w:rPr>
          <w:t xml:space="preserve"> </w:t>
        </w:r>
      </w:hyperlink>
      <w:hyperlink r:id="rId10">
        <w:r w:rsidRPr="00844F50">
          <w:rPr>
            <w:rFonts w:ascii="Arial" w:eastAsia="Arial" w:hAnsi="Arial" w:cs="Arial"/>
            <w:color w:val="000000" w:themeColor="text1"/>
            <w:sz w:val="22"/>
            <w:szCs w:val="22"/>
            <w:u w:val="single"/>
          </w:rPr>
          <w:t>https://doi.org/10.3390/su15129443</w:t>
        </w:r>
      </w:hyperlink>
      <w:r w:rsidRPr="00844F50">
        <w:rPr>
          <w:rFonts w:ascii="Arial" w:eastAsia="Arial" w:hAnsi="Arial" w:cs="Arial"/>
          <w:color w:val="000000" w:themeColor="text1"/>
          <w:sz w:val="22"/>
          <w:szCs w:val="22"/>
        </w:rPr>
        <w:t xml:space="preserve"> (Accessed: 17 July 2026).</w:t>
      </w:r>
    </w:p>
    <w:p w14:paraId="1EAB283A" w14:textId="32F412F5"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Bu, F., Hayes, D., Munford, L. et al. (2026) 'The impact of social prescribing on well-being outcomes in a nationwide analysis', </w:t>
      </w:r>
      <w:r w:rsidRPr="00844F50">
        <w:rPr>
          <w:rFonts w:ascii="Arial" w:eastAsia="Arial" w:hAnsi="Arial" w:cs="Arial"/>
          <w:i/>
          <w:iCs/>
          <w:color w:val="000000" w:themeColor="text1"/>
          <w:sz w:val="22"/>
          <w:szCs w:val="22"/>
        </w:rPr>
        <w:t>Nature Health</w:t>
      </w:r>
      <w:r w:rsidRPr="00844F50">
        <w:rPr>
          <w:rFonts w:ascii="Arial" w:eastAsia="Arial" w:hAnsi="Arial" w:cs="Arial"/>
          <w:color w:val="000000" w:themeColor="text1"/>
          <w:sz w:val="22"/>
          <w:szCs w:val="22"/>
        </w:rPr>
        <w:t>, 1, pp. 737–744. Available at:</w:t>
      </w:r>
      <w:hyperlink r:id="rId11">
        <w:r w:rsidRPr="00844F50">
          <w:rPr>
            <w:rFonts w:ascii="Arial" w:eastAsia="Arial" w:hAnsi="Arial" w:cs="Arial"/>
            <w:color w:val="000000" w:themeColor="text1"/>
            <w:sz w:val="22"/>
            <w:szCs w:val="22"/>
          </w:rPr>
          <w:t xml:space="preserve"> </w:t>
        </w:r>
      </w:hyperlink>
      <w:hyperlink r:id="rId12" w:history="1">
        <w:r w:rsidRPr="005762EC">
          <w:rPr>
            <w:rStyle w:val="Hyperlink"/>
            <w:rFonts w:ascii="Arial" w:eastAsia="Arial" w:hAnsi="Arial" w:cs="Arial"/>
            <w:sz w:val="22"/>
            <w:szCs w:val="22"/>
          </w:rPr>
          <w:t>https://www.nature.com/articles/s44360-026-00099-w</w:t>
        </w:r>
        <w:r w:rsidRPr="005762EC">
          <w:rPr>
            <w:rStyle w:val="Hyperlink"/>
            <w:rFonts w:ascii="Arial" w:hAnsi="Arial" w:cs="Arial"/>
            <w:sz w:val="22"/>
            <w:szCs w:val="22"/>
          </w:rPr>
          <w:t>/</w:t>
        </w:r>
      </w:hyperlink>
      <w:r>
        <w:rPr>
          <w:rFonts w:ascii="Arial" w:hAnsi="Arial" w:cs="Arial"/>
          <w:color w:val="000000" w:themeColor="text1"/>
          <w:sz w:val="22"/>
          <w:szCs w:val="22"/>
        </w:rPr>
        <w:t xml:space="preserve"> </w:t>
      </w:r>
      <w:r w:rsidRPr="00844F50">
        <w:rPr>
          <w:rFonts w:ascii="Arial" w:eastAsia="Arial" w:hAnsi="Arial" w:cs="Arial"/>
          <w:color w:val="000000" w:themeColor="text1"/>
          <w:sz w:val="22"/>
          <w:szCs w:val="22"/>
        </w:rPr>
        <w:t xml:space="preserve"> (Accessed: 6 August 2026).</w:t>
      </w:r>
    </w:p>
    <w:p w14:paraId="2732ED13" w14:textId="1006A767" w:rsidR="00844F50" w:rsidRPr="00844F50" w:rsidRDefault="00844F50" w:rsidP="00844F50">
      <w:pPr>
        <w:spacing w:before="240" w:after="240"/>
        <w:jc w:val="left"/>
        <w:rPr>
          <w:rFonts w:ascii="Arial" w:eastAsia="Arial" w:hAnsi="Arial" w:cs="Arial"/>
          <w:color w:val="000000" w:themeColor="text1"/>
          <w:sz w:val="22"/>
          <w:szCs w:val="22"/>
        </w:rPr>
      </w:pPr>
      <w:proofErr w:type="spellStart"/>
      <w:r w:rsidRPr="00844F50">
        <w:rPr>
          <w:rFonts w:ascii="Arial" w:eastAsia="Arial" w:hAnsi="Arial" w:cs="Arial"/>
          <w:color w:val="000000" w:themeColor="text1"/>
          <w:sz w:val="22"/>
          <w:szCs w:val="22"/>
        </w:rPr>
        <w:t>Callway</w:t>
      </w:r>
      <w:proofErr w:type="spellEnd"/>
      <w:r w:rsidRPr="00844F50">
        <w:rPr>
          <w:rFonts w:ascii="Arial" w:eastAsia="Arial" w:hAnsi="Arial" w:cs="Arial"/>
          <w:color w:val="000000" w:themeColor="text1"/>
          <w:sz w:val="22"/>
          <w:szCs w:val="22"/>
        </w:rPr>
        <w:t xml:space="preserve">, R., Le </w:t>
      </w:r>
      <w:proofErr w:type="spellStart"/>
      <w:r w:rsidRPr="00844F50">
        <w:rPr>
          <w:rFonts w:ascii="Arial" w:eastAsia="Arial" w:hAnsi="Arial" w:cs="Arial"/>
          <w:color w:val="000000" w:themeColor="text1"/>
          <w:sz w:val="22"/>
          <w:szCs w:val="22"/>
        </w:rPr>
        <w:t>Gouais</w:t>
      </w:r>
      <w:proofErr w:type="spellEnd"/>
      <w:r w:rsidRPr="00844F50">
        <w:rPr>
          <w:rFonts w:ascii="Arial" w:eastAsia="Arial" w:hAnsi="Arial" w:cs="Arial"/>
          <w:color w:val="000000" w:themeColor="text1"/>
          <w:sz w:val="22"/>
          <w:szCs w:val="22"/>
        </w:rPr>
        <w:t xml:space="preserve">, A., Bird, E.L., Chang, M. and Kidger, J. (2023) 'Integrating health into local plans: a comparative review of health requirements for urban development in seven local planning authorities in England', </w:t>
      </w:r>
      <w:r w:rsidRPr="00844F50">
        <w:rPr>
          <w:rFonts w:ascii="Arial" w:eastAsia="Arial" w:hAnsi="Arial" w:cs="Arial"/>
          <w:i/>
          <w:iCs/>
          <w:color w:val="000000" w:themeColor="text1"/>
          <w:sz w:val="22"/>
          <w:szCs w:val="22"/>
        </w:rPr>
        <w:t>International Journal of Environmental Research and Public Health</w:t>
      </w:r>
      <w:r w:rsidRPr="00844F50">
        <w:rPr>
          <w:rFonts w:ascii="Arial" w:eastAsia="Arial" w:hAnsi="Arial" w:cs="Arial"/>
          <w:color w:val="000000" w:themeColor="text1"/>
          <w:sz w:val="22"/>
          <w:szCs w:val="22"/>
        </w:rPr>
        <w:t>, 20(5), 4079. Available at:</w:t>
      </w:r>
      <w:hyperlink r:id="rId13">
        <w:r w:rsidRPr="00844F50">
          <w:rPr>
            <w:rFonts w:ascii="Arial" w:eastAsia="Arial" w:hAnsi="Arial" w:cs="Arial"/>
            <w:color w:val="000000" w:themeColor="text1"/>
            <w:sz w:val="22"/>
            <w:szCs w:val="22"/>
          </w:rPr>
          <w:t xml:space="preserve"> </w:t>
        </w:r>
      </w:hyperlink>
      <w:hyperlink r:id="rId14" w:history="1">
        <w:r w:rsidRPr="005762EC">
          <w:rPr>
            <w:rStyle w:val="Hyperlink"/>
            <w:rFonts w:ascii="Arial" w:eastAsia="Arial" w:hAnsi="Arial" w:cs="Arial"/>
            <w:sz w:val="22"/>
            <w:szCs w:val="22"/>
          </w:rPr>
          <w:t>https://doi.org/10.3390/ijerph20054079</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6 August 2026).</w:t>
      </w:r>
    </w:p>
    <w:p w14:paraId="67BDA7A0" w14:textId="7F640B3B"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Fernández-Aguilar, C., </w:t>
      </w:r>
      <w:proofErr w:type="spellStart"/>
      <w:r w:rsidRPr="00844F50">
        <w:rPr>
          <w:rFonts w:ascii="Arial" w:eastAsia="Arial" w:hAnsi="Arial" w:cs="Arial"/>
          <w:color w:val="000000" w:themeColor="text1"/>
          <w:sz w:val="22"/>
          <w:szCs w:val="22"/>
        </w:rPr>
        <w:t>Brosed</w:t>
      </w:r>
      <w:proofErr w:type="spellEnd"/>
      <w:r w:rsidRPr="00844F50">
        <w:rPr>
          <w:rFonts w:ascii="Arial" w:eastAsia="Arial" w:hAnsi="Arial" w:cs="Arial"/>
          <w:color w:val="000000" w:themeColor="text1"/>
          <w:sz w:val="22"/>
          <w:szCs w:val="22"/>
        </w:rPr>
        <w:t>-Lázaro, M. and Carmona-</w:t>
      </w:r>
      <w:proofErr w:type="spellStart"/>
      <w:r w:rsidRPr="00844F50">
        <w:rPr>
          <w:rFonts w:ascii="Arial" w:eastAsia="Arial" w:hAnsi="Arial" w:cs="Arial"/>
          <w:color w:val="000000" w:themeColor="text1"/>
          <w:sz w:val="22"/>
          <w:szCs w:val="22"/>
        </w:rPr>
        <w:t>Derqui</w:t>
      </w:r>
      <w:proofErr w:type="spellEnd"/>
      <w:r w:rsidRPr="00844F50">
        <w:rPr>
          <w:rFonts w:ascii="Arial" w:eastAsia="Arial" w:hAnsi="Arial" w:cs="Arial"/>
          <w:color w:val="000000" w:themeColor="text1"/>
          <w:sz w:val="22"/>
          <w:szCs w:val="22"/>
        </w:rPr>
        <w:t xml:space="preserve">, D. (2023) ‘Effectiveness of mobility and urban sustainability measures in improving citizen health: A scoping review’, </w:t>
      </w:r>
      <w:r w:rsidRPr="00844F50">
        <w:rPr>
          <w:rFonts w:ascii="Arial" w:eastAsia="Arial" w:hAnsi="Arial" w:cs="Arial"/>
          <w:i/>
          <w:iCs/>
          <w:color w:val="000000" w:themeColor="text1"/>
          <w:sz w:val="22"/>
          <w:szCs w:val="22"/>
        </w:rPr>
        <w:t>International Journal of Environmental Research and Public Health</w:t>
      </w:r>
      <w:r w:rsidRPr="00844F50">
        <w:rPr>
          <w:rFonts w:ascii="Arial" w:eastAsia="Arial" w:hAnsi="Arial" w:cs="Arial"/>
          <w:color w:val="000000" w:themeColor="text1"/>
          <w:sz w:val="22"/>
          <w:szCs w:val="22"/>
        </w:rPr>
        <w:t xml:space="preserve">, </w:t>
      </w:r>
      <w:r w:rsidRPr="00844F50">
        <w:rPr>
          <w:rFonts w:ascii="Arial" w:eastAsia="Arial" w:hAnsi="Arial" w:cs="Arial"/>
          <w:i/>
          <w:iCs/>
          <w:color w:val="000000" w:themeColor="text1"/>
          <w:sz w:val="22"/>
          <w:szCs w:val="22"/>
        </w:rPr>
        <w:t>20</w:t>
      </w:r>
      <w:r w:rsidRPr="00844F50">
        <w:rPr>
          <w:rFonts w:ascii="Arial" w:eastAsia="Arial" w:hAnsi="Arial" w:cs="Arial"/>
          <w:color w:val="000000" w:themeColor="text1"/>
          <w:sz w:val="22"/>
          <w:szCs w:val="22"/>
        </w:rPr>
        <w:t>(3), p. 2649. Available at:</w:t>
      </w:r>
      <w:hyperlink r:id="rId15">
        <w:r w:rsidRPr="00844F50">
          <w:rPr>
            <w:rFonts w:ascii="Arial" w:eastAsia="Arial" w:hAnsi="Arial" w:cs="Arial"/>
            <w:color w:val="000000" w:themeColor="text1"/>
            <w:sz w:val="22"/>
            <w:szCs w:val="22"/>
          </w:rPr>
          <w:t xml:space="preserve"> </w:t>
        </w:r>
      </w:hyperlink>
      <w:hyperlink r:id="rId16" w:history="1">
        <w:r w:rsidRPr="005762EC">
          <w:rPr>
            <w:rStyle w:val="Hyperlink"/>
            <w:rFonts w:ascii="Arial" w:eastAsia="Arial" w:hAnsi="Arial" w:cs="Arial"/>
            <w:sz w:val="22"/>
            <w:szCs w:val="22"/>
          </w:rPr>
          <w:t>https://doi.org/10.3390/ijerph20032649</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17 July 2026).</w:t>
      </w:r>
    </w:p>
    <w:p w14:paraId="71D48807" w14:textId="5E9CC612" w:rsidR="00844F50" w:rsidRPr="00844F50" w:rsidRDefault="00844F50" w:rsidP="00844F50">
      <w:pPr>
        <w:spacing w:before="240" w:after="240"/>
        <w:jc w:val="left"/>
        <w:rPr>
          <w:rFonts w:ascii="Arial" w:eastAsia="Arial" w:hAnsi="Arial" w:cs="Arial"/>
          <w:color w:val="000000" w:themeColor="text1"/>
          <w:sz w:val="22"/>
          <w:szCs w:val="22"/>
        </w:rPr>
      </w:pPr>
      <w:proofErr w:type="spellStart"/>
      <w:r w:rsidRPr="00844F50">
        <w:rPr>
          <w:rFonts w:ascii="Arial" w:eastAsia="Arial" w:hAnsi="Arial" w:cs="Arial"/>
          <w:color w:val="000000" w:themeColor="text1"/>
          <w:sz w:val="22"/>
          <w:szCs w:val="22"/>
        </w:rPr>
        <w:t>Handayani</w:t>
      </w:r>
      <w:proofErr w:type="spellEnd"/>
      <w:r w:rsidRPr="00844F50">
        <w:rPr>
          <w:rFonts w:ascii="Arial" w:eastAsia="Arial" w:hAnsi="Arial" w:cs="Arial"/>
          <w:color w:val="000000" w:themeColor="text1"/>
          <w:sz w:val="22"/>
          <w:szCs w:val="22"/>
        </w:rPr>
        <w:t xml:space="preserve">, N.H., Wanat, M. and Tierney, S. (2025) 'Experiences of social prescribing in the UK: a qualitative systematic review', </w:t>
      </w:r>
      <w:r w:rsidRPr="00844F50">
        <w:rPr>
          <w:rFonts w:ascii="Arial" w:eastAsia="Arial" w:hAnsi="Arial" w:cs="Arial"/>
          <w:i/>
          <w:iCs/>
          <w:color w:val="000000" w:themeColor="text1"/>
          <w:sz w:val="22"/>
          <w:szCs w:val="22"/>
        </w:rPr>
        <w:t>British Journal of General Practice</w:t>
      </w:r>
      <w:r w:rsidRPr="00844F50">
        <w:rPr>
          <w:rFonts w:ascii="Arial" w:eastAsia="Arial" w:hAnsi="Arial" w:cs="Arial"/>
          <w:color w:val="000000" w:themeColor="text1"/>
          <w:sz w:val="22"/>
          <w:szCs w:val="22"/>
        </w:rPr>
        <w:t>, 75(752), pp. e203–e210. Available at:</w:t>
      </w:r>
      <w:hyperlink r:id="rId17">
        <w:r w:rsidRPr="00844F50">
          <w:rPr>
            <w:rFonts w:ascii="Arial" w:eastAsia="Arial" w:hAnsi="Arial" w:cs="Arial"/>
            <w:color w:val="000000" w:themeColor="text1"/>
            <w:sz w:val="22"/>
            <w:szCs w:val="22"/>
          </w:rPr>
          <w:t xml:space="preserve"> </w:t>
        </w:r>
      </w:hyperlink>
      <w:hyperlink r:id="rId18" w:history="1">
        <w:r w:rsidRPr="005762EC">
          <w:rPr>
            <w:rStyle w:val="Hyperlink"/>
            <w:rFonts w:ascii="Arial" w:eastAsia="Arial" w:hAnsi="Arial" w:cs="Arial"/>
            <w:sz w:val="22"/>
            <w:szCs w:val="22"/>
          </w:rPr>
          <w:t>https://bjgp.org/conten</w:t>
        </w:r>
        <w:r w:rsidRPr="005762EC">
          <w:rPr>
            <w:rStyle w:val="Hyperlink"/>
            <w:rFonts w:ascii="Arial" w:eastAsia="Arial" w:hAnsi="Arial" w:cs="Arial"/>
            <w:sz w:val="22"/>
            <w:szCs w:val="22"/>
          </w:rPr>
          <w:t>t</w:t>
        </w:r>
        <w:r w:rsidRPr="005762EC">
          <w:rPr>
            <w:rStyle w:val="Hyperlink"/>
            <w:rFonts w:ascii="Arial" w:eastAsia="Arial" w:hAnsi="Arial" w:cs="Arial"/>
            <w:sz w:val="22"/>
            <w:szCs w:val="22"/>
          </w:rPr>
          <w:t>/75/752/e203</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6 August 2026).</w:t>
      </w:r>
    </w:p>
    <w:p w14:paraId="01736BC2" w14:textId="1AE1765A" w:rsidR="00844F50" w:rsidRPr="00844F50" w:rsidRDefault="00844F50" w:rsidP="00844F50">
      <w:pPr>
        <w:spacing w:before="240" w:after="240"/>
        <w:jc w:val="left"/>
        <w:rPr>
          <w:rFonts w:ascii="Arial" w:eastAsia="Arial" w:hAnsi="Arial" w:cs="Arial"/>
          <w:color w:val="000000" w:themeColor="text1"/>
          <w:sz w:val="22"/>
          <w:szCs w:val="22"/>
        </w:rPr>
      </w:pPr>
      <w:proofErr w:type="spellStart"/>
      <w:r w:rsidRPr="00844F50">
        <w:rPr>
          <w:rFonts w:ascii="Arial" w:eastAsia="Arial" w:hAnsi="Arial" w:cs="Arial"/>
          <w:color w:val="000000" w:themeColor="text1"/>
          <w:sz w:val="22"/>
          <w:szCs w:val="22"/>
        </w:rPr>
        <w:t>Larrington</w:t>
      </w:r>
      <w:proofErr w:type="spellEnd"/>
      <w:r w:rsidRPr="00844F50">
        <w:rPr>
          <w:rFonts w:ascii="Arial" w:eastAsia="Arial" w:hAnsi="Arial" w:cs="Arial"/>
          <w:color w:val="000000" w:themeColor="text1"/>
          <w:sz w:val="22"/>
          <w:szCs w:val="22"/>
        </w:rPr>
        <w:t xml:space="preserve">-Spencer, H.M., </w:t>
      </w:r>
      <w:proofErr w:type="spellStart"/>
      <w:r w:rsidRPr="00844F50">
        <w:rPr>
          <w:rFonts w:ascii="Arial" w:eastAsia="Arial" w:hAnsi="Arial" w:cs="Arial"/>
          <w:color w:val="000000" w:themeColor="text1"/>
          <w:sz w:val="22"/>
          <w:szCs w:val="22"/>
        </w:rPr>
        <w:t>Verlinghieri</w:t>
      </w:r>
      <w:proofErr w:type="spellEnd"/>
      <w:r w:rsidRPr="00844F50">
        <w:rPr>
          <w:rFonts w:ascii="Arial" w:eastAsia="Arial" w:hAnsi="Arial" w:cs="Arial"/>
          <w:color w:val="000000" w:themeColor="text1"/>
          <w:sz w:val="22"/>
          <w:szCs w:val="22"/>
        </w:rPr>
        <w:t xml:space="preserve">, E., Aldred, R., Lawlor, E. and Furlong, J. (2026) 'Resident experience of new Low Traffic </w:t>
      </w:r>
      <w:proofErr w:type="spellStart"/>
      <w:r w:rsidRPr="00844F50">
        <w:rPr>
          <w:rFonts w:ascii="Arial" w:eastAsia="Arial" w:hAnsi="Arial" w:cs="Arial"/>
          <w:color w:val="000000" w:themeColor="text1"/>
          <w:sz w:val="22"/>
          <w:szCs w:val="22"/>
        </w:rPr>
        <w:t>Neighbourhoods</w:t>
      </w:r>
      <w:proofErr w:type="spellEnd"/>
      <w:r w:rsidRPr="00844F50">
        <w:rPr>
          <w:rFonts w:ascii="Arial" w:eastAsia="Arial" w:hAnsi="Arial" w:cs="Arial"/>
          <w:color w:val="000000" w:themeColor="text1"/>
          <w:sz w:val="22"/>
          <w:szCs w:val="22"/>
        </w:rPr>
        <w:t xml:space="preserve"> in London: qualitative insights from a mixed methods study', </w:t>
      </w:r>
      <w:r w:rsidRPr="00844F50">
        <w:rPr>
          <w:rFonts w:ascii="Arial" w:eastAsia="Arial" w:hAnsi="Arial" w:cs="Arial"/>
          <w:i/>
          <w:iCs/>
          <w:color w:val="000000" w:themeColor="text1"/>
          <w:sz w:val="22"/>
          <w:szCs w:val="22"/>
        </w:rPr>
        <w:t>Public Health Research</w:t>
      </w:r>
      <w:r w:rsidRPr="00844F50">
        <w:rPr>
          <w:rFonts w:ascii="Arial" w:eastAsia="Arial" w:hAnsi="Arial" w:cs="Arial"/>
          <w:color w:val="000000" w:themeColor="text1"/>
          <w:sz w:val="22"/>
          <w:szCs w:val="22"/>
        </w:rPr>
        <w:t>. Available at:</w:t>
      </w:r>
      <w:hyperlink r:id="rId19">
        <w:r w:rsidRPr="00844F50">
          <w:rPr>
            <w:rFonts w:ascii="Arial" w:eastAsia="Arial" w:hAnsi="Arial" w:cs="Arial"/>
            <w:color w:val="000000" w:themeColor="text1"/>
            <w:sz w:val="22"/>
            <w:szCs w:val="22"/>
          </w:rPr>
          <w:t xml:space="preserve"> </w:t>
        </w:r>
      </w:hyperlink>
      <w:hyperlink r:id="rId20" w:history="1">
        <w:r w:rsidRPr="005762EC">
          <w:rPr>
            <w:rStyle w:val="Hyperlink"/>
            <w:rFonts w:ascii="Arial" w:eastAsia="Arial" w:hAnsi="Arial" w:cs="Arial"/>
            <w:sz w:val="22"/>
            <w:szCs w:val="22"/>
          </w:rPr>
          <w:t>https://doi.org/10.3310/GJEV0805</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6 August 2026).</w:t>
      </w:r>
    </w:p>
    <w:p w14:paraId="43F9A4A7" w14:textId="1AA070E2" w:rsidR="00844F50" w:rsidRPr="00844F50" w:rsidRDefault="00844F50" w:rsidP="00844F50">
      <w:pPr>
        <w:spacing w:before="240" w:after="240"/>
        <w:jc w:val="left"/>
        <w:rPr>
          <w:rFonts w:ascii="Arial" w:eastAsia="Arial" w:hAnsi="Arial" w:cs="Arial"/>
          <w:color w:val="000000" w:themeColor="text1"/>
          <w:sz w:val="22"/>
          <w:szCs w:val="22"/>
        </w:rPr>
      </w:pPr>
      <w:proofErr w:type="spellStart"/>
      <w:r w:rsidRPr="00844F50">
        <w:rPr>
          <w:rFonts w:ascii="Arial" w:eastAsia="Arial" w:hAnsi="Arial" w:cs="Arial"/>
          <w:color w:val="000000" w:themeColor="text1"/>
          <w:sz w:val="22"/>
          <w:szCs w:val="22"/>
        </w:rPr>
        <w:t>Makanjuola</w:t>
      </w:r>
      <w:proofErr w:type="spellEnd"/>
      <w:r w:rsidRPr="00844F50">
        <w:rPr>
          <w:rFonts w:ascii="Arial" w:eastAsia="Arial" w:hAnsi="Arial" w:cs="Arial"/>
          <w:color w:val="000000" w:themeColor="text1"/>
          <w:sz w:val="22"/>
          <w:szCs w:val="22"/>
        </w:rPr>
        <w:t xml:space="preserve">, A., Lynch, M., Hartfiel, N., Cuthbert, A., Wheeler, H.T. and Edwards, R.T. (2022) 'A social return on investment evaluation of the pilot social prescribing </w:t>
      </w:r>
      <w:proofErr w:type="spellStart"/>
      <w:r w:rsidRPr="00844F50">
        <w:rPr>
          <w:rFonts w:ascii="Arial" w:eastAsia="Arial" w:hAnsi="Arial" w:cs="Arial"/>
          <w:color w:val="000000" w:themeColor="text1"/>
          <w:sz w:val="22"/>
          <w:szCs w:val="22"/>
        </w:rPr>
        <w:t>EmotionMind</w:t>
      </w:r>
      <w:proofErr w:type="spellEnd"/>
      <w:r w:rsidRPr="00844F50">
        <w:rPr>
          <w:rFonts w:ascii="Arial" w:eastAsia="Arial" w:hAnsi="Arial" w:cs="Arial"/>
          <w:color w:val="000000" w:themeColor="text1"/>
          <w:sz w:val="22"/>
          <w:szCs w:val="22"/>
        </w:rPr>
        <w:t xml:space="preserve"> Dynamic coaching </w:t>
      </w:r>
      <w:proofErr w:type="spellStart"/>
      <w:r w:rsidRPr="00844F50">
        <w:rPr>
          <w:rFonts w:ascii="Arial" w:eastAsia="Arial" w:hAnsi="Arial" w:cs="Arial"/>
          <w:color w:val="000000" w:themeColor="text1"/>
          <w:sz w:val="22"/>
          <w:szCs w:val="22"/>
        </w:rPr>
        <w:t>programme</w:t>
      </w:r>
      <w:proofErr w:type="spellEnd"/>
      <w:r w:rsidRPr="00844F50">
        <w:rPr>
          <w:rFonts w:ascii="Arial" w:eastAsia="Arial" w:hAnsi="Arial" w:cs="Arial"/>
          <w:color w:val="000000" w:themeColor="text1"/>
          <w:sz w:val="22"/>
          <w:szCs w:val="22"/>
        </w:rPr>
        <w:t xml:space="preserve"> to improve mental wellbeing and self-confidence', </w:t>
      </w:r>
      <w:r w:rsidRPr="00844F50">
        <w:rPr>
          <w:rFonts w:ascii="Arial" w:eastAsia="Arial" w:hAnsi="Arial" w:cs="Arial"/>
          <w:i/>
          <w:iCs/>
          <w:color w:val="000000" w:themeColor="text1"/>
          <w:sz w:val="22"/>
          <w:szCs w:val="22"/>
        </w:rPr>
        <w:t>International Journal of Environmental Research and Public Health</w:t>
      </w:r>
      <w:r w:rsidRPr="00844F50">
        <w:rPr>
          <w:rFonts w:ascii="Arial" w:eastAsia="Arial" w:hAnsi="Arial" w:cs="Arial"/>
          <w:color w:val="000000" w:themeColor="text1"/>
          <w:sz w:val="22"/>
          <w:szCs w:val="22"/>
        </w:rPr>
        <w:t>, 19(17), 10658. Available at:</w:t>
      </w:r>
      <w:hyperlink r:id="rId21">
        <w:r w:rsidRPr="00844F50">
          <w:rPr>
            <w:rFonts w:ascii="Arial" w:eastAsia="Arial" w:hAnsi="Arial" w:cs="Arial"/>
            <w:color w:val="000000" w:themeColor="text1"/>
            <w:sz w:val="22"/>
            <w:szCs w:val="22"/>
          </w:rPr>
          <w:t xml:space="preserve"> </w:t>
        </w:r>
      </w:hyperlink>
      <w:hyperlink r:id="rId22" w:history="1">
        <w:r w:rsidRPr="005762EC">
          <w:rPr>
            <w:rStyle w:val="Hyperlink"/>
            <w:rFonts w:ascii="Arial" w:eastAsia="Arial" w:hAnsi="Arial" w:cs="Arial"/>
            <w:sz w:val="22"/>
            <w:szCs w:val="22"/>
          </w:rPr>
          <w:t>https://doi.org/10.3390/ijerph191710658</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6 August 2026).</w:t>
      </w:r>
    </w:p>
    <w:p w14:paraId="5B2E76D4" w14:textId="0A501AF7"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lastRenderedPageBreak/>
        <w:t xml:space="preserve">Meier, B.M., </w:t>
      </w:r>
      <w:proofErr w:type="spellStart"/>
      <w:r w:rsidRPr="00844F50">
        <w:rPr>
          <w:rFonts w:ascii="Arial" w:eastAsia="Arial" w:hAnsi="Arial" w:cs="Arial"/>
          <w:color w:val="000000" w:themeColor="text1"/>
          <w:sz w:val="22"/>
          <w:szCs w:val="22"/>
        </w:rPr>
        <w:t>Bustreo</w:t>
      </w:r>
      <w:proofErr w:type="spellEnd"/>
      <w:r w:rsidRPr="00844F50">
        <w:rPr>
          <w:rFonts w:ascii="Arial" w:eastAsia="Arial" w:hAnsi="Arial" w:cs="Arial"/>
          <w:color w:val="000000" w:themeColor="text1"/>
          <w:sz w:val="22"/>
          <w:szCs w:val="22"/>
        </w:rPr>
        <w:t xml:space="preserve">, F. and Gostin, L.O. (2022) ‘Climate change, public health and human rights’, </w:t>
      </w:r>
      <w:r w:rsidRPr="00844F50">
        <w:rPr>
          <w:rFonts w:ascii="Arial" w:eastAsia="Arial" w:hAnsi="Arial" w:cs="Arial"/>
          <w:i/>
          <w:iCs/>
          <w:color w:val="000000" w:themeColor="text1"/>
          <w:sz w:val="22"/>
          <w:szCs w:val="22"/>
        </w:rPr>
        <w:t>International Journal of Environmental Research and Public Health</w:t>
      </w:r>
      <w:r w:rsidRPr="00844F50">
        <w:rPr>
          <w:rFonts w:ascii="Arial" w:eastAsia="Arial" w:hAnsi="Arial" w:cs="Arial"/>
          <w:color w:val="000000" w:themeColor="text1"/>
          <w:sz w:val="22"/>
          <w:szCs w:val="22"/>
        </w:rPr>
        <w:t xml:space="preserve">, </w:t>
      </w:r>
      <w:r w:rsidRPr="00844F50">
        <w:rPr>
          <w:rFonts w:ascii="Arial" w:eastAsia="Arial" w:hAnsi="Arial" w:cs="Arial"/>
          <w:i/>
          <w:iCs/>
          <w:color w:val="000000" w:themeColor="text1"/>
          <w:sz w:val="22"/>
          <w:szCs w:val="22"/>
        </w:rPr>
        <w:t>19</w:t>
      </w:r>
      <w:r w:rsidRPr="00844F50">
        <w:rPr>
          <w:rFonts w:ascii="Arial" w:eastAsia="Arial" w:hAnsi="Arial" w:cs="Arial"/>
          <w:color w:val="000000" w:themeColor="text1"/>
          <w:sz w:val="22"/>
          <w:szCs w:val="22"/>
        </w:rPr>
        <w:t>(21), p. 13744. Available at:</w:t>
      </w:r>
      <w:hyperlink r:id="rId23">
        <w:r w:rsidRPr="00844F50">
          <w:rPr>
            <w:rFonts w:ascii="Arial" w:eastAsia="Arial" w:hAnsi="Arial" w:cs="Arial"/>
            <w:color w:val="000000" w:themeColor="text1"/>
            <w:sz w:val="22"/>
            <w:szCs w:val="22"/>
          </w:rPr>
          <w:t xml:space="preserve"> </w:t>
        </w:r>
      </w:hyperlink>
      <w:hyperlink r:id="rId24" w:history="1">
        <w:r w:rsidRPr="005762EC">
          <w:rPr>
            <w:rStyle w:val="Hyperlink"/>
            <w:rFonts w:ascii="Arial" w:eastAsia="Arial" w:hAnsi="Arial" w:cs="Arial"/>
            <w:sz w:val="22"/>
            <w:szCs w:val="22"/>
          </w:rPr>
          <w:t>https://doi.org/10.3390/ijerph192113744</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17 July 2026).</w:t>
      </w:r>
    </w:p>
    <w:p w14:paraId="2091985B" w14:textId="7BFD4540" w:rsidR="00844F50" w:rsidRPr="00844F50" w:rsidRDefault="00844F50" w:rsidP="00844F50">
      <w:pPr>
        <w:spacing w:before="240" w:after="240"/>
        <w:jc w:val="left"/>
        <w:rPr>
          <w:rFonts w:ascii="Arial" w:eastAsia="Arial" w:hAnsi="Arial" w:cs="Arial"/>
          <w:color w:val="000000" w:themeColor="text1"/>
          <w:sz w:val="22"/>
          <w:szCs w:val="22"/>
        </w:rPr>
      </w:pPr>
      <w:proofErr w:type="spellStart"/>
      <w:r w:rsidRPr="00844F50">
        <w:rPr>
          <w:rFonts w:ascii="Arial" w:eastAsia="Arial" w:hAnsi="Arial" w:cs="Arial"/>
          <w:color w:val="000000" w:themeColor="text1"/>
          <w:sz w:val="22"/>
          <w:szCs w:val="22"/>
        </w:rPr>
        <w:t>Mikuła</w:t>
      </w:r>
      <w:proofErr w:type="spellEnd"/>
      <w:r w:rsidRPr="00844F50">
        <w:rPr>
          <w:rFonts w:ascii="Arial" w:eastAsia="Arial" w:hAnsi="Arial" w:cs="Arial"/>
          <w:color w:val="000000" w:themeColor="text1"/>
          <w:sz w:val="22"/>
          <w:szCs w:val="22"/>
        </w:rPr>
        <w:t xml:space="preserve">, A., Raczkowska, M. and Utzig, M. (2024) ‘Implementation of Sustainable Development Goal 3: Good health and well-being in European Union countries in the context of the COVID-19 pandemic’, </w:t>
      </w:r>
      <w:r w:rsidRPr="00844F50">
        <w:rPr>
          <w:rFonts w:ascii="Arial" w:eastAsia="Arial" w:hAnsi="Arial" w:cs="Arial"/>
          <w:i/>
          <w:iCs/>
          <w:color w:val="000000" w:themeColor="text1"/>
          <w:sz w:val="22"/>
          <w:szCs w:val="22"/>
        </w:rPr>
        <w:t>Sustainability</w:t>
      </w:r>
      <w:r w:rsidRPr="00844F50">
        <w:rPr>
          <w:rFonts w:ascii="Arial" w:eastAsia="Arial" w:hAnsi="Arial" w:cs="Arial"/>
          <w:color w:val="000000" w:themeColor="text1"/>
          <w:sz w:val="22"/>
          <w:szCs w:val="22"/>
        </w:rPr>
        <w:t xml:space="preserve">, </w:t>
      </w:r>
      <w:r w:rsidRPr="00844F50">
        <w:rPr>
          <w:rFonts w:ascii="Arial" w:eastAsia="Arial" w:hAnsi="Arial" w:cs="Arial"/>
          <w:i/>
          <w:iCs/>
          <w:color w:val="000000" w:themeColor="text1"/>
          <w:sz w:val="22"/>
          <w:szCs w:val="22"/>
        </w:rPr>
        <w:t>16</w:t>
      </w:r>
      <w:r w:rsidRPr="00844F50">
        <w:rPr>
          <w:rFonts w:ascii="Arial" w:eastAsia="Arial" w:hAnsi="Arial" w:cs="Arial"/>
          <w:color w:val="000000" w:themeColor="text1"/>
          <w:sz w:val="22"/>
          <w:szCs w:val="22"/>
        </w:rPr>
        <w:t>(18), p. 7921. Available at:</w:t>
      </w:r>
      <w:hyperlink r:id="rId25">
        <w:r w:rsidRPr="00844F50">
          <w:rPr>
            <w:rFonts w:ascii="Arial" w:eastAsia="Arial" w:hAnsi="Arial" w:cs="Arial"/>
            <w:color w:val="000000" w:themeColor="text1"/>
            <w:sz w:val="22"/>
            <w:szCs w:val="22"/>
          </w:rPr>
          <w:t xml:space="preserve"> </w:t>
        </w:r>
      </w:hyperlink>
      <w:hyperlink r:id="rId26" w:history="1">
        <w:r w:rsidRPr="005762EC">
          <w:rPr>
            <w:rStyle w:val="Hyperlink"/>
            <w:rFonts w:ascii="Arial" w:eastAsia="Arial" w:hAnsi="Arial" w:cs="Arial"/>
            <w:sz w:val="22"/>
            <w:szCs w:val="22"/>
          </w:rPr>
          <w:t>https://doi.org/10.3390/su16187921</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17 July 2026).</w:t>
      </w:r>
    </w:p>
    <w:p w14:paraId="0C8E9FC5" w14:textId="6815DD6A"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Nabiyeva, G.N., Wheeler, S.M., London, J.K. and Brazil, N. (2023) ‘Implementation of Sustainable Development Goal 11 (Sustainable cities and communities): Initial good practices data’, </w:t>
      </w:r>
      <w:r w:rsidRPr="00844F50">
        <w:rPr>
          <w:rFonts w:ascii="Arial" w:eastAsia="Arial" w:hAnsi="Arial" w:cs="Arial"/>
          <w:i/>
          <w:iCs/>
          <w:color w:val="000000" w:themeColor="text1"/>
          <w:sz w:val="22"/>
          <w:szCs w:val="22"/>
        </w:rPr>
        <w:t>Sustainability</w:t>
      </w:r>
      <w:r w:rsidRPr="00844F50">
        <w:rPr>
          <w:rFonts w:ascii="Arial" w:eastAsia="Arial" w:hAnsi="Arial" w:cs="Arial"/>
          <w:color w:val="000000" w:themeColor="text1"/>
          <w:sz w:val="22"/>
          <w:szCs w:val="22"/>
        </w:rPr>
        <w:t xml:space="preserve">, </w:t>
      </w:r>
      <w:r w:rsidRPr="00844F50">
        <w:rPr>
          <w:rFonts w:ascii="Arial" w:eastAsia="Arial" w:hAnsi="Arial" w:cs="Arial"/>
          <w:i/>
          <w:iCs/>
          <w:color w:val="000000" w:themeColor="text1"/>
          <w:sz w:val="22"/>
          <w:szCs w:val="22"/>
        </w:rPr>
        <w:t>15</w:t>
      </w:r>
      <w:r w:rsidRPr="00844F50">
        <w:rPr>
          <w:rFonts w:ascii="Arial" w:eastAsia="Arial" w:hAnsi="Arial" w:cs="Arial"/>
          <w:color w:val="000000" w:themeColor="text1"/>
          <w:sz w:val="22"/>
          <w:szCs w:val="22"/>
        </w:rPr>
        <w:t>(20), p. 14810. Available at:</w:t>
      </w:r>
      <w:hyperlink r:id="rId27">
        <w:r w:rsidRPr="00844F50">
          <w:rPr>
            <w:rFonts w:ascii="Arial" w:eastAsia="Arial" w:hAnsi="Arial" w:cs="Arial"/>
            <w:color w:val="000000" w:themeColor="text1"/>
            <w:sz w:val="22"/>
            <w:szCs w:val="22"/>
          </w:rPr>
          <w:t xml:space="preserve"> </w:t>
        </w:r>
      </w:hyperlink>
      <w:hyperlink r:id="rId28" w:history="1">
        <w:r w:rsidRPr="005762EC">
          <w:rPr>
            <w:rStyle w:val="Hyperlink"/>
            <w:rFonts w:ascii="Arial" w:eastAsia="Arial" w:hAnsi="Arial" w:cs="Arial"/>
            <w:sz w:val="22"/>
            <w:szCs w:val="22"/>
          </w:rPr>
          <w:t>https://doi.org/10.3390/su152014810</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17 July 2026).</w:t>
      </w:r>
    </w:p>
    <w:p w14:paraId="569411B2" w14:textId="7A7F84BD"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Pastore, M.C., Parenti, C.I.M. and </w:t>
      </w:r>
      <w:proofErr w:type="spellStart"/>
      <w:r w:rsidRPr="00844F50">
        <w:rPr>
          <w:rFonts w:ascii="Arial" w:eastAsia="Arial" w:hAnsi="Arial" w:cs="Arial"/>
          <w:color w:val="000000" w:themeColor="text1"/>
          <w:sz w:val="22"/>
          <w:szCs w:val="22"/>
        </w:rPr>
        <w:t>Patetta</w:t>
      </w:r>
      <w:proofErr w:type="spellEnd"/>
      <w:r w:rsidRPr="00844F50">
        <w:rPr>
          <w:rFonts w:ascii="Arial" w:eastAsia="Arial" w:hAnsi="Arial" w:cs="Arial"/>
          <w:color w:val="000000" w:themeColor="text1"/>
          <w:sz w:val="22"/>
          <w:szCs w:val="22"/>
        </w:rPr>
        <w:t xml:space="preserve">, C. (2025) ‘Measuring accessibility of green spaces for the health and wellbeing of inhabitants of the Milan metropolitan area’, </w:t>
      </w:r>
      <w:r w:rsidRPr="00844F50">
        <w:rPr>
          <w:rFonts w:ascii="Arial" w:eastAsia="Arial" w:hAnsi="Arial" w:cs="Arial"/>
          <w:i/>
          <w:iCs/>
          <w:color w:val="000000" w:themeColor="text1"/>
          <w:sz w:val="22"/>
          <w:szCs w:val="22"/>
        </w:rPr>
        <w:t>Land</w:t>
      </w:r>
      <w:r w:rsidRPr="00844F50">
        <w:rPr>
          <w:rFonts w:ascii="Arial" w:eastAsia="Arial" w:hAnsi="Arial" w:cs="Arial"/>
          <w:color w:val="000000" w:themeColor="text1"/>
          <w:sz w:val="22"/>
          <w:szCs w:val="22"/>
        </w:rPr>
        <w:t xml:space="preserve">, </w:t>
      </w:r>
      <w:r w:rsidRPr="00844F50">
        <w:rPr>
          <w:rFonts w:ascii="Arial" w:eastAsia="Arial" w:hAnsi="Arial" w:cs="Arial"/>
          <w:i/>
          <w:iCs/>
          <w:color w:val="000000" w:themeColor="text1"/>
          <w:sz w:val="22"/>
          <w:szCs w:val="22"/>
        </w:rPr>
        <w:t>14</w:t>
      </w:r>
      <w:r w:rsidRPr="00844F50">
        <w:rPr>
          <w:rFonts w:ascii="Arial" w:eastAsia="Arial" w:hAnsi="Arial" w:cs="Arial"/>
          <w:color w:val="000000" w:themeColor="text1"/>
          <w:sz w:val="22"/>
          <w:szCs w:val="22"/>
        </w:rPr>
        <w:t>(1), p. 97. Available at:</w:t>
      </w:r>
      <w:hyperlink r:id="rId29">
        <w:r w:rsidRPr="00844F50">
          <w:rPr>
            <w:rFonts w:ascii="Arial" w:eastAsia="Arial" w:hAnsi="Arial" w:cs="Arial"/>
            <w:color w:val="000000" w:themeColor="text1"/>
            <w:sz w:val="22"/>
            <w:szCs w:val="22"/>
          </w:rPr>
          <w:t xml:space="preserve"> </w:t>
        </w:r>
      </w:hyperlink>
      <w:hyperlink r:id="rId30" w:history="1">
        <w:r w:rsidRPr="005762EC">
          <w:rPr>
            <w:rStyle w:val="Hyperlink"/>
            <w:rFonts w:ascii="Arial" w:eastAsia="Arial" w:hAnsi="Arial" w:cs="Arial"/>
            <w:sz w:val="22"/>
            <w:szCs w:val="22"/>
          </w:rPr>
          <w:t>https://doi.org/10.3390/land14010097</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17 July 2026).</w:t>
      </w:r>
    </w:p>
    <w:p w14:paraId="0977BE4C" w14:textId="349C7E17"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Raman, R., Nair, V.K. and Nedungadi, P. (2023) ‘Discrepancies in mapping Sustainable Development Goal 3 (Good health and well-being) research: A comparative analysis of Scopus and Dimensions databases’, </w:t>
      </w:r>
      <w:r w:rsidRPr="00844F50">
        <w:rPr>
          <w:rFonts w:ascii="Arial" w:eastAsia="Arial" w:hAnsi="Arial" w:cs="Arial"/>
          <w:i/>
          <w:iCs/>
          <w:color w:val="000000" w:themeColor="text1"/>
          <w:sz w:val="22"/>
          <w:szCs w:val="22"/>
        </w:rPr>
        <w:t>Sustainability</w:t>
      </w:r>
      <w:r w:rsidRPr="00844F50">
        <w:rPr>
          <w:rFonts w:ascii="Arial" w:eastAsia="Arial" w:hAnsi="Arial" w:cs="Arial"/>
          <w:color w:val="000000" w:themeColor="text1"/>
          <w:sz w:val="22"/>
          <w:szCs w:val="22"/>
        </w:rPr>
        <w:t xml:space="preserve">, </w:t>
      </w:r>
      <w:r w:rsidRPr="00844F50">
        <w:rPr>
          <w:rFonts w:ascii="Arial" w:eastAsia="Arial" w:hAnsi="Arial" w:cs="Arial"/>
          <w:i/>
          <w:iCs/>
          <w:color w:val="000000" w:themeColor="text1"/>
          <w:sz w:val="22"/>
          <w:szCs w:val="22"/>
        </w:rPr>
        <w:t>15</w:t>
      </w:r>
      <w:r w:rsidRPr="00844F50">
        <w:rPr>
          <w:rFonts w:ascii="Arial" w:eastAsia="Arial" w:hAnsi="Arial" w:cs="Arial"/>
          <w:color w:val="000000" w:themeColor="text1"/>
          <w:sz w:val="22"/>
          <w:szCs w:val="22"/>
        </w:rPr>
        <w:t>(23), p. 16413. Available at:</w:t>
      </w:r>
      <w:hyperlink r:id="rId31">
        <w:r w:rsidRPr="00844F50">
          <w:rPr>
            <w:rFonts w:ascii="Arial" w:eastAsia="Arial" w:hAnsi="Arial" w:cs="Arial"/>
            <w:color w:val="000000" w:themeColor="text1"/>
            <w:sz w:val="22"/>
            <w:szCs w:val="22"/>
          </w:rPr>
          <w:t xml:space="preserve"> </w:t>
        </w:r>
      </w:hyperlink>
      <w:hyperlink r:id="rId32" w:history="1">
        <w:r w:rsidRPr="005762EC">
          <w:rPr>
            <w:rStyle w:val="Hyperlink"/>
            <w:rFonts w:ascii="Arial" w:eastAsia="Arial" w:hAnsi="Arial" w:cs="Arial"/>
            <w:sz w:val="22"/>
            <w:szCs w:val="22"/>
          </w:rPr>
          <w:t>https://doi.org/10.3390/su152316413</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17 July 2026).</w:t>
      </w:r>
    </w:p>
    <w:p w14:paraId="51CC1AE9" w14:textId="7F75C94E" w:rsidR="00844F50" w:rsidRPr="00844F50" w:rsidRDefault="00844F50" w:rsidP="00844F50">
      <w:pPr>
        <w:spacing w:before="240" w:after="240"/>
        <w:jc w:val="left"/>
        <w:rPr>
          <w:rFonts w:ascii="Arial" w:eastAsia="Arial" w:hAnsi="Arial" w:cs="Arial"/>
          <w:color w:val="000000" w:themeColor="text1"/>
          <w:sz w:val="22"/>
          <w:szCs w:val="22"/>
        </w:rPr>
      </w:pPr>
      <w:proofErr w:type="spellStart"/>
      <w:r w:rsidRPr="00844F50">
        <w:rPr>
          <w:rFonts w:ascii="Arial" w:eastAsia="Arial" w:hAnsi="Arial" w:cs="Arial"/>
          <w:color w:val="000000" w:themeColor="text1"/>
          <w:sz w:val="22"/>
          <w:szCs w:val="22"/>
        </w:rPr>
        <w:t>Ritmak</w:t>
      </w:r>
      <w:proofErr w:type="spellEnd"/>
      <w:r w:rsidRPr="00844F50">
        <w:rPr>
          <w:rFonts w:ascii="Arial" w:eastAsia="Arial" w:hAnsi="Arial" w:cs="Arial"/>
          <w:color w:val="000000" w:themeColor="text1"/>
          <w:sz w:val="22"/>
          <w:szCs w:val="22"/>
        </w:rPr>
        <w:t xml:space="preserve">, N., </w:t>
      </w:r>
      <w:proofErr w:type="spellStart"/>
      <w:r w:rsidRPr="00844F50">
        <w:rPr>
          <w:rFonts w:ascii="Arial" w:eastAsia="Arial" w:hAnsi="Arial" w:cs="Arial"/>
          <w:color w:val="000000" w:themeColor="text1"/>
          <w:sz w:val="22"/>
          <w:szCs w:val="22"/>
        </w:rPr>
        <w:t>Rattanawong</w:t>
      </w:r>
      <w:proofErr w:type="spellEnd"/>
      <w:r w:rsidRPr="00844F50">
        <w:rPr>
          <w:rFonts w:ascii="Arial" w:eastAsia="Arial" w:hAnsi="Arial" w:cs="Arial"/>
          <w:color w:val="000000" w:themeColor="text1"/>
          <w:sz w:val="22"/>
          <w:szCs w:val="22"/>
        </w:rPr>
        <w:t xml:space="preserve">, W. and </w:t>
      </w:r>
      <w:proofErr w:type="spellStart"/>
      <w:r w:rsidRPr="00844F50">
        <w:rPr>
          <w:rFonts w:ascii="Arial" w:eastAsia="Arial" w:hAnsi="Arial" w:cs="Arial"/>
          <w:color w:val="000000" w:themeColor="text1"/>
          <w:sz w:val="22"/>
          <w:szCs w:val="22"/>
        </w:rPr>
        <w:t>Vongmanee</w:t>
      </w:r>
      <w:proofErr w:type="spellEnd"/>
      <w:r w:rsidRPr="00844F50">
        <w:rPr>
          <w:rFonts w:ascii="Arial" w:eastAsia="Arial" w:hAnsi="Arial" w:cs="Arial"/>
          <w:color w:val="000000" w:themeColor="text1"/>
          <w:sz w:val="22"/>
          <w:szCs w:val="22"/>
        </w:rPr>
        <w:t xml:space="preserve">, V. (2023) ‘The dynamic evaluation model of health sustainability under MCDM benchmarking health indicator standards’, </w:t>
      </w:r>
      <w:r w:rsidRPr="00844F50">
        <w:rPr>
          <w:rFonts w:ascii="Arial" w:eastAsia="Arial" w:hAnsi="Arial" w:cs="Arial"/>
          <w:i/>
          <w:iCs/>
          <w:color w:val="000000" w:themeColor="text1"/>
          <w:sz w:val="22"/>
          <w:szCs w:val="22"/>
        </w:rPr>
        <w:t>International Journal of Environmental Research and Public Health</w:t>
      </w:r>
      <w:r w:rsidRPr="00844F50">
        <w:rPr>
          <w:rFonts w:ascii="Arial" w:eastAsia="Arial" w:hAnsi="Arial" w:cs="Arial"/>
          <w:color w:val="000000" w:themeColor="text1"/>
          <w:sz w:val="22"/>
          <w:szCs w:val="22"/>
        </w:rPr>
        <w:t xml:space="preserve">, </w:t>
      </w:r>
      <w:r w:rsidRPr="00844F50">
        <w:rPr>
          <w:rFonts w:ascii="Arial" w:eastAsia="Arial" w:hAnsi="Arial" w:cs="Arial"/>
          <w:i/>
          <w:iCs/>
          <w:color w:val="000000" w:themeColor="text1"/>
          <w:sz w:val="22"/>
          <w:szCs w:val="22"/>
        </w:rPr>
        <w:t>20</w:t>
      </w:r>
      <w:r w:rsidRPr="00844F50">
        <w:rPr>
          <w:rFonts w:ascii="Arial" w:eastAsia="Arial" w:hAnsi="Arial" w:cs="Arial"/>
          <w:color w:val="000000" w:themeColor="text1"/>
          <w:sz w:val="22"/>
          <w:szCs w:val="22"/>
        </w:rPr>
        <w:t>(1), p. 259. Available at:</w:t>
      </w:r>
      <w:hyperlink r:id="rId33">
        <w:r w:rsidRPr="00844F50">
          <w:rPr>
            <w:rFonts w:ascii="Arial" w:eastAsia="Arial" w:hAnsi="Arial" w:cs="Arial"/>
            <w:color w:val="000000" w:themeColor="text1"/>
            <w:sz w:val="22"/>
            <w:szCs w:val="22"/>
          </w:rPr>
          <w:t xml:space="preserve"> </w:t>
        </w:r>
      </w:hyperlink>
      <w:hyperlink r:id="rId34" w:history="1">
        <w:r w:rsidRPr="005762EC">
          <w:rPr>
            <w:rStyle w:val="Hyperlink"/>
            <w:rFonts w:ascii="Arial" w:eastAsia="Arial" w:hAnsi="Arial" w:cs="Arial"/>
            <w:sz w:val="22"/>
            <w:szCs w:val="22"/>
          </w:rPr>
          <w:t>https://doi.org/10.3390/ijerph20010259</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17 July 2026).</w:t>
      </w:r>
    </w:p>
    <w:p w14:paraId="1E314A6B" w14:textId="45313775"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Skinner, A., Hartfiel, N., Lynch, M., Jones, A.W. and Edwards, R.T. (2023) 'Social return on investment of social prescribing via a diabetes technician for preventing type 2 diabetes progression', </w:t>
      </w:r>
      <w:r w:rsidRPr="00844F50">
        <w:rPr>
          <w:rFonts w:ascii="Arial" w:eastAsia="Arial" w:hAnsi="Arial" w:cs="Arial"/>
          <w:i/>
          <w:iCs/>
          <w:color w:val="000000" w:themeColor="text1"/>
          <w:sz w:val="22"/>
          <w:szCs w:val="22"/>
        </w:rPr>
        <w:t>International Journal of Environmental Research and Public Health</w:t>
      </w:r>
      <w:r w:rsidRPr="00844F50">
        <w:rPr>
          <w:rFonts w:ascii="Arial" w:eastAsia="Arial" w:hAnsi="Arial" w:cs="Arial"/>
          <w:color w:val="000000" w:themeColor="text1"/>
          <w:sz w:val="22"/>
          <w:szCs w:val="22"/>
        </w:rPr>
        <w:t>, 20(12), 6074. Available at:</w:t>
      </w:r>
      <w:hyperlink r:id="rId35">
        <w:r w:rsidRPr="00844F50">
          <w:rPr>
            <w:rFonts w:ascii="Arial" w:eastAsia="Arial" w:hAnsi="Arial" w:cs="Arial"/>
            <w:color w:val="000000" w:themeColor="text1"/>
            <w:sz w:val="22"/>
            <w:szCs w:val="22"/>
          </w:rPr>
          <w:t xml:space="preserve"> </w:t>
        </w:r>
      </w:hyperlink>
      <w:hyperlink r:id="rId36" w:history="1">
        <w:r w:rsidRPr="005762EC">
          <w:rPr>
            <w:rStyle w:val="Hyperlink"/>
            <w:rFonts w:ascii="Arial" w:eastAsia="Arial" w:hAnsi="Arial" w:cs="Arial"/>
            <w:sz w:val="22"/>
            <w:szCs w:val="22"/>
          </w:rPr>
          <w:t>https://doi.org/10.3390/ijerph20126074</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6 August 2026).</w:t>
      </w:r>
    </w:p>
    <w:p w14:paraId="6400A251" w14:textId="679E7573"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Stokes, E. and Smyth, C. (2024) 'Hope-bearing legislation? The Well-being of Future Generations (Wales) Act 2015', </w:t>
      </w:r>
      <w:r w:rsidRPr="00844F50">
        <w:rPr>
          <w:rFonts w:ascii="Arial" w:eastAsia="Arial" w:hAnsi="Arial" w:cs="Arial"/>
          <w:i/>
          <w:iCs/>
          <w:color w:val="000000" w:themeColor="text1"/>
          <w:sz w:val="22"/>
          <w:szCs w:val="22"/>
        </w:rPr>
        <w:t>Transnational Environmental Law</w:t>
      </w:r>
      <w:r w:rsidRPr="00844F50">
        <w:rPr>
          <w:rFonts w:ascii="Arial" w:eastAsia="Arial" w:hAnsi="Arial" w:cs="Arial"/>
          <w:color w:val="000000" w:themeColor="text1"/>
          <w:sz w:val="22"/>
          <w:szCs w:val="22"/>
        </w:rPr>
        <w:t>, 13(3), pp. 569–587. Available at:</w:t>
      </w:r>
      <w:hyperlink r:id="rId37">
        <w:r w:rsidRPr="00844F50">
          <w:rPr>
            <w:rFonts w:ascii="Arial" w:eastAsia="Arial" w:hAnsi="Arial" w:cs="Arial"/>
            <w:color w:val="000000" w:themeColor="text1"/>
            <w:sz w:val="22"/>
            <w:szCs w:val="22"/>
          </w:rPr>
          <w:t xml:space="preserve"> </w:t>
        </w:r>
      </w:hyperlink>
      <w:hyperlink r:id="rId38" w:history="1">
        <w:r w:rsidRPr="005762EC">
          <w:rPr>
            <w:rStyle w:val="Hyperlink"/>
            <w:rFonts w:ascii="Arial" w:eastAsia="Arial" w:hAnsi="Arial" w:cs="Arial"/>
            <w:sz w:val="22"/>
            <w:szCs w:val="22"/>
          </w:rPr>
          <w:t>https://doi.org/10.1017/S2047102524000219</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6 August 2026).</w:t>
      </w:r>
    </w:p>
    <w:p w14:paraId="075FE727" w14:textId="48FB5EB0"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lastRenderedPageBreak/>
        <w:t xml:space="preserve">Sun, Q., Loveday, M., Nwe, S., Morris, N. and Boxall, E. (2023) 'Green social prescribing in practice: a case study of Walsall, UK', </w:t>
      </w:r>
      <w:r w:rsidRPr="00844F50">
        <w:rPr>
          <w:rFonts w:ascii="Arial" w:eastAsia="Arial" w:hAnsi="Arial" w:cs="Arial"/>
          <w:i/>
          <w:iCs/>
          <w:color w:val="000000" w:themeColor="text1"/>
          <w:sz w:val="22"/>
          <w:szCs w:val="22"/>
        </w:rPr>
        <w:t>International Journal of Environmental Research and Public Health</w:t>
      </w:r>
      <w:r w:rsidRPr="00844F50">
        <w:rPr>
          <w:rFonts w:ascii="Arial" w:eastAsia="Arial" w:hAnsi="Arial" w:cs="Arial"/>
          <w:color w:val="000000" w:themeColor="text1"/>
          <w:sz w:val="22"/>
          <w:szCs w:val="22"/>
        </w:rPr>
        <w:t>, 20(17), 6708. Available at:</w:t>
      </w:r>
      <w:hyperlink r:id="rId39">
        <w:r w:rsidRPr="00844F50">
          <w:rPr>
            <w:rFonts w:ascii="Arial" w:eastAsia="Arial" w:hAnsi="Arial" w:cs="Arial"/>
            <w:color w:val="000000" w:themeColor="text1"/>
            <w:sz w:val="22"/>
            <w:szCs w:val="22"/>
          </w:rPr>
          <w:t xml:space="preserve"> </w:t>
        </w:r>
      </w:hyperlink>
      <w:hyperlink r:id="rId40" w:history="1">
        <w:r w:rsidRPr="005762EC">
          <w:rPr>
            <w:rStyle w:val="Hyperlink"/>
            <w:rFonts w:ascii="Arial" w:eastAsia="Arial" w:hAnsi="Arial" w:cs="Arial"/>
            <w:sz w:val="22"/>
            <w:szCs w:val="22"/>
          </w:rPr>
          <w:t>https://doi.org/10.3390/ijerph20176708</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6 August 2026).</w:t>
      </w:r>
    </w:p>
    <w:p w14:paraId="053381F6" w14:textId="47357953"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Whelan, I., </w:t>
      </w:r>
      <w:proofErr w:type="spellStart"/>
      <w:r w:rsidRPr="00844F50">
        <w:rPr>
          <w:rFonts w:ascii="Arial" w:eastAsia="Arial" w:hAnsi="Arial" w:cs="Arial"/>
          <w:color w:val="000000" w:themeColor="text1"/>
          <w:sz w:val="22"/>
          <w:szCs w:val="22"/>
        </w:rPr>
        <w:t>Luiu</w:t>
      </w:r>
      <w:proofErr w:type="spellEnd"/>
      <w:r w:rsidRPr="00844F50">
        <w:rPr>
          <w:rFonts w:ascii="Arial" w:eastAsia="Arial" w:hAnsi="Arial" w:cs="Arial"/>
          <w:color w:val="000000" w:themeColor="text1"/>
          <w:sz w:val="22"/>
          <w:szCs w:val="22"/>
        </w:rPr>
        <w:t xml:space="preserve">, C. and Pope, F.D. (2024) 'Assessing the </w:t>
      </w:r>
      <w:proofErr w:type="spellStart"/>
      <w:r w:rsidRPr="00844F50">
        <w:rPr>
          <w:rFonts w:ascii="Arial" w:eastAsia="Arial" w:hAnsi="Arial" w:cs="Arial"/>
          <w:color w:val="000000" w:themeColor="text1"/>
          <w:sz w:val="22"/>
          <w:szCs w:val="22"/>
        </w:rPr>
        <w:t>polarising</w:t>
      </w:r>
      <w:proofErr w:type="spellEnd"/>
      <w:r w:rsidRPr="00844F50">
        <w:rPr>
          <w:rFonts w:ascii="Arial" w:eastAsia="Arial" w:hAnsi="Arial" w:cs="Arial"/>
          <w:color w:val="000000" w:themeColor="text1"/>
          <w:sz w:val="22"/>
          <w:szCs w:val="22"/>
        </w:rPr>
        <w:t xml:space="preserve"> impacts of low-traffic </w:t>
      </w:r>
      <w:proofErr w:type="spellStart"/>
      <w:r w:rsidRPr="00844F50">
        <w:rPr>
          <w:rFonts w:ascii="Arial" w:eastAsia="Arial" w:hAnsi="Arial" w:cs="Arial"/>
          <w:color w:val="000000" w:themeColor="text1"/>
          <w:sz w:val="22"/>
          <w:szCs w:val="22"/>
        </w:rPr>
        <w:t>neighbourhoods</w:t>
      </w:r>
      <w:proofErr w:type="spellEnd"/>
      <w:r w:rsidRPr="00844F50">
        <w:rPr>
          <w:rFonts w:ascii="Arial" w:eastAsia="Arial" w:hAnsi="Arial" w:cs="Arial"/>
          <w:color w:val="000000" w:themeColor="text1"/>
          <w:sz w:val="22"/>
          <w:szCs w:val="22"/>
        </w:rPr>
        <w:t xml:space="preserve">: a community perspective from Birmingham, UK', </w:t>
      </w:r>
      <w:r w:rsidRPr="00844F50">
        <w:rPr>
          <w:rFonts w:ascii="Arial" w:eastAsia="Arial" w:hAnsi="Arial" w:cs="Arial"/>
          <w:i/>
          <w:iCs/>
          <w:color w:val="000000" w:themeColor="text1"/>
          <w:sz w:val="22"/>
          <w:szCs w:val="22"/>
        </w:rPr>
        <w:t>International Journal of Environmental Research and Public Health</w:t>
      </w:r>
      <w:r w:rsidRPr="00844F50">
        <w:rPr>
          <w:rFonts w:ascii="Arial" w:eastAsia="Arial" w:hAnsi="Arial" w:cs="Arial"/>
          <w:color w:val="000000" w:themeColor="text1"/>
          <w:sz w:val="22"/>
          <w:szCs w:val="22"/>
        </w:rPr>
        <w:t>, 21(12), 1638. Available at:</w:t>
      </w:r>
      <w:hyperlink r:id="rId41">
        <w:r w:rsidRPr="00844F50">
          <w:rPr>
            <w:rFonts w:ascii="Arial" w:eastAsia="Arial" w:hAnsi="Arial" w:cs="Arial"/>
            <w:color w:val="000000" w:themeColor="text1"/>
            <w:sz w:val="22"/>
            <w:szCs w:val="22"/>
          </w:rPr>
          <w:t xml:space="preserve"> </w:t>
        </w:r>
      </w:hyperlink>
      <w:hyperlink r:id="rId42" w:history="1">
        <w:r w:rsidRPr="005762EC">
          <w:rPr>
            <w:rStyle w:val="Hyperlink"/>
            <w:rFonts w:ascii="Arial" w:eastAsia="Arial" w:hAnsi="Arial" w:cs="Arial"/>
            <w:sz w:val="22"/>
            <w:szCs w:val="22"/>
          </w:rPr>
          <w:t>https://www.mdpi.com/1660-4601/21/12/1638</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6 August 2026).</w:t>
      </w:r>
    </w:p>
    <w:p w14:paraId="240D7616" w14:textId="3ACD9F92" w:rsidR="00844F50" w:rsidRDefault="00844F50" w:rsidP="00844F50">
      <w:pPr>
        <w:spacing w:before="240" w:after="240"/>
        <w:jc w:val="left"/>
        <w:rPr>
          <w:rFonts w:ascii="Arial" w:eastAsia="Arial" w:hAnsi="Arial" w:cs="Arial"/>
          <w:sz w:val="22"/>
          <w:szCs w:val="22"/>
        </w:rPr>
      </w:pPr>
      <w:r>
        <w:rPr>
          <w:rFonts w:ascii="Arial" w:eastAsia="Arial" w:hAnsi="Arial" w:cs="Arial"/>
          <w:sz w:val="22"/>
          <w:szCs w:val="22"/>
        </w:rPr>
        <w:t xml:space="preserve">Wicks, C.L., Barton, J.L., Andrews, L., Orbell, S., Sandercock, G. and Wood, C.J. (2023) ‘The impact of the coronavirus pandemic on the contribution of local green space and nature connection to mental health’, </w:t>
      </w:r>
      <w:r>
        <w:rPr>
          <w:rFonts w:ascii="Arial" w:eastAsia="Arial" w:hAnsi="Arial" w:cs="Arial"/>
          <w:i/>
          <w:iCs/>
          <w:sz w:val="22"/>
          <w:szCs w:val="22"/>
        </w:rPr>
        <w:t>International Journal of Environmental Research and Public Health</w:t>
      </w:r>
      <w:r>
        <w:rPr>
          <w:rFonts w:ascii="Arial" w:eastAsia="Arial" w:hAnsi="Arial" w:cs="Arial"/>
          <w:sz w:val="22"/>
          <w:szCs w:val="22"/>
        </w:rPr>
        <w:t xml:space="preserve">, </w:t>
      </w:r>
      <w:r>
        <w:rPr>
          <w:rFonts w:ascii="Arial" w:eastAsia="Arial" w:hAnsi="Arial" w:cs="Arial"/>
          <w:i/>
          <w:iCs/>
          <w:sz w:val="22"/>
          <w:szCs w:val="22"/>
        </w:rPr>
        <w:t>20</w:t>
      </w:r>
      <w:r>
        <w:rPr>
          <w:rFonts w:ascii="Arial" w:eastAsia="Arial" w:hAnsi="Arial" w:cs="Arial"/>
          <w:sz w:val="22"/>
          <w:szCs w:val="22"/>
        </w:rPr>
        <w:t>(6), p. 5083. Available at:</w:t>
      </w:r>
      <w:hyperlink r:id="rId43">
        <w:r>
          <w:rPr>
            <w:rFonts w:ascii="Arial" w:eastAsia="Arial" w:hAnsi="Arial" w:cs="Arial"/>
            <w:sz w:val="22"/>
            <w:szCs w:val="22"/>
          </w:rPr>
          <w:t xml:space="preserve"> </w:t>
        </w:r>
      </w:hyperlink>
      <w:hyperlink r:id="rId44" w:history="1">
        <w:r w:rsidRPr="005762EC">
          <w:rPr>
            <w:rStyle w:val="Hyperlink"/>
            <w:rFonts w:ascii="Arial" w:eastAsia="Arial" w:hAnsi="Arial" w:cs="Arial"/>
            <w:sz w:val="22"/>
            <w:szCs w:val="22"/>
          </w:rPr>
          <w:t>https://doi.org/10.3390/ijerph20065083</w:t>
        </w:r>
        <w:r w:rsidRPr="005762EC">
          <w:rPr>
            <w:rStyle w:val="Hyperlink"/>
            <w:rFonts w:ascii="Arial" w:eastAsia="Arial" w:hAnsi="Arial" w:cs="Arial"/>
            <w:sz w:val="22"/>
            <w:szCs w:val="22"/>
          </w:rPr>
          <w:t>/</w:t>
        </w:r>
      </w:hyperlink>
      <w:r>
        <w:rPr>
          <w:rFonts w:ascii="Arial" w:eastAsia="Arial" w:hAnsi="Arial" w:cs="Arial"/>
          <w:sz w:val="22"/>
          <w:szCs w:val="22"/>
        </w:rPr>
        <w:t xml:space="preserve"> </w:t>
      </w:r>
      <w:r>
        <w:rPr>
          <w:rFonts w:ascii="Arial" w:eastAsia="Arial" w:hAnsi="Arial" w:cs="Arial"/>
          <w:sz w:val="22"/>
          <w:szCs w:val="22"/>
        </w:rPr>
        <w:t>(Accessed: 17 July 2026).</w:t>
      </w:r>
    </w:p>
    <w:p w14:paraId="3377FAEA" w14:textId="5F0EB5DD" w:rsidR="00844F50" w:rsidRPr="00844F50" w:rsidRDefault="00844F50" w:rsidP="00844F50">
      <w:pPr>
        <w:spacing w:before="240" w:after="240"/>
        <w:jc w:val="left"/>
        <w:rPr>
          <w:rFonts w:ascii="Arial" w:eastAsia="Arial" w:hAnsi="Arial" w:cs="Arial"/>
          <w:color w:val="000000" w:themeColor="text1"/>
          <w:sz w:val="22"/>
          <w:szCs w:val="22"/>
        </w:rPr>
      </w:pPr>
      <w:r w:rsidRPr="00844F50">
        <w:rPr>
          <w:rFonts w:ascii="Arial" w:eastAsia="Arial" w:hAnsi="Arial" w:cs="Arial"/>
          <w:color w:val="000000" w:themeColor="text1"/>
          <w:sz w:val="22"/>
          <w:szCs w:val="22"/>
        </w:rPr>
        <w:t xml:space="preserve">Wilding, A., </w:t>
      </w:r>
      <w:proofErr w:type="spellStart"/>
      <w:r w:rsidRPr="00844F50">
        <w:rPr>
          <w:rFonts w:ascii="Arial" w:eastAsia="Arial" w:hAnsi="Arial" w:cs="Arial"/>
          <w:color w:val="000000" w:themeColor="text1"/>
          <w:sz w:val="22"/>
          <w:szCs w:val="22"/>
        </w:rPr>
        <w:t>Agboraw</w:t>
      </w:r>
      <w:proofErr w:type="spellEnd"/>
      <w:r w:rsidRPr="00844F50">
        <w:rPr>
          <w:rFonts w:ascii="Arial" w:eastAsia="Arial" w:hAnsi="Arial" w:cs="Arial"/>
          <w:color w:val="000000" w:themeColor="text1"/>
          <w:sz w:val="22"/>
          <w:szCs w:val="22"/>
        </w:rPr>
        <w:t xml:space="preserve">, E., Munford, L., Sutton, M., Mercer, S.W., Salisbury, C., Beeson, M., Wildman, J. and Wilson, P. (2025) 'Impact of the rollout of the national social prescribing link worker </w:t>
      </w:r>
      <w:proofErr w:type="spellStart"/>
      <w:r w:rsidRPr="00844F50">
        <w:rPr>
          <w:rFonts w:ascii="Arial" w:eastAsia="Arial" w:hAnsi="Arial" w:cs="Arial"/>
          <w:color w:val="000000" w:themeColor="text1"/>
          <w:sz w:val="22"/>
          <w:szCs w:val="22"/>
        </w:rPr>
        <w:t>programme</w:t>
      </w:r>
      <w:proofErr w:type="spellEnd"/>
      <w:r w:rsidRPr="00844F50">
        <w:rPr>
          <w:rFonts w:ascii="Arial" w:eastAsia="Arial" w:hAnsi="Arial" w:cs="Arial"/>
          <w:color w:val="000000" w:themeColor="text1"/>
          <w:sz w:val="22"/>
          <w:szCs w:val="22"/>
        </w:rPr>
        <w:t xml:space="preserve"> on population outcomes: evidence from a repeated cross-sectional survey', </w:t>
      </w:r>
      <w:r w:rsidRPr="00844F50">
        <w:rPr>
          <w:rFonts w:ascii="Arial" w:eastAsia="Arial" w:hAnsi="Arial" w:cs="Arial"/>
          <w:i/>
          <w:iCs/>
          <w:color w:val="000000" w:themeColor="text1"/>
          <w:sz w:val="22"/>
          <w:szCs w:val="22"/>
        </w:rPr>
        <w:t>British Journal of General Practice</w:t>
      </w:r>
      <w:r w:rsidRPr="00844F50">
        <w:rPr>
          <w:rFonts w:ascii="Arial" w:eastAsia="Arial" w:hAnsi="Arial" w:cs="Arial"/>
          <w:color w:val="000000" w:themeColor="text1"/>
          <w:sz w:val="22"/>
          <w:szCs w:val="22"/>
        </w:rPr>
        <w:t>, 75(761), pp. e880–e888. Available at:</w:t>
      </w:r>
      <w:hyperlink r:id="rId45">
        <w:r w:rsidRPr="00844F50">
          <w:rPr>
            <w:rFonts w:ascii="Arial" w:eastAsia="Arial" w:hAnsi="Arial" w:cs="Arial"/>
            <w:color w:val="000000" w:themeColor="text1"/>
            <w:sz w:val="22"/>
            <w:szCs w:val="22"/>
          </w:rPr>
          <w:t xml:space="preserve"> </w:t>
        </w:r>
      </w:hyperlink>
      <w:hyperlink r:id="rId46" w:history="1">
        <w:r w:rsidRPr="005762EC">
          <w:rPr>
            <w:rStyle w:val="Hyperlink"/>
            <w:rFonts w:ascii="Arial" w:eastAsia="Arial" w:hAnsi="Arial" w:cs="Arial"/>
            <w:sz w:val="22"/>
            <w:szCs w:val="22"/>
          </w:rPr>
          <w:t>https://bjgp.org/content/75/761/e880</w:t>
        </w:r>
        <w:r w:rsidRPr="005762EC">
          <w:rPr>
            <w:rStyle w:val="Hyperlink"/>
            <w:rFonts w:ascii="Arial" w:eastAsia="Arial" w:hAnsi="Arial" w:cs="Arial"/>
            <w:sz w:val="22"/>
            <w:szCs w:val="22"/>
          </w:rPr>
          <w:t>/</w:t>
        </w:r>
      </w:hyperlink>
      <w:r>
        <w:rPr>
          <w:rFonts w:ascii="Arial" w:eastAsia="Arial" w:hAnsi="Arial" w:cs="Arial"/>
          <w:color w:val="000000" w:themeColor="text1"/>
          <w:sz w:val="22"/>
          <w:szCs w:val="22"/>
        </w:rPr>
        <w:t xml:space="preserve"> </w:t>
      </w:r>
      <w:r w:rsidRPr="00844F50">
        <w:rPr>
          <w:rFonts w:ascii="Arial" w:eastAsia="Arial" w:hAnsi="Arial" w:cs="Arial"/>
          <w:color w:val="000000" w:themeColor="text1"/>
          <w:sz w:val="22"/>
          <w:szCs w:val="22"/>
        </w:rPr>
        <w:t>(Accessed: 6 August 2026).</w:t>
      </w:r>
    </w:p>
    <w:p w14:paraId="1CE1C371" w14:textId="426AE365" w:rsidR="00844F50" w:rsidRDefault="00844F50" w:rsidP="00844F50">
      <w:pPr>
        <w:spacing w:before="240" w:after="240"/>
        <w:jc w:val="left"/>
        <w:rPr>
          <w:rFonts w:ascii="Arial" w:eastAsia="Arial" w:hAnsi="Arial" w:cs="Arial"/>
          <w:sz w:val="22"/>
          <w:szCs w:val="22"/>
        </w:rPr>
      </w:pPr>
      <w:r>
        <w:rPr>
          <w:rFonts w:ascii="Arial" w:eastAsia="Arial" w:hAnsi="Arial" w:cs="Arial"/>
          <w:sz w:val="22"/>
          <w:szCs w:val="22"/>
        </w:rPr>
        <w:t xml:space="preserve">Xu, Z., Marini, S., Mauro, M., Maietta Latessa, P. and </w:t>
      </w:r>
      <w:proofErr w:type="spellStart"/>
      <w:r>
        <w:rPr>
          <w:rFonts w:ascii="Arial" w:eastAsia="Arial" w:hAnsi="Arial" w:cs="Arial"/>
          <w:sz w:val="22"/>
          <w:szCs w:val="22"/>
        </w:rPr>
        <w:t>Grigoletto</w:t>
      </w:r>
      <w:proofErr w:type="spellEnd"/>
      <w:r>
        <w:rPr>
          <w:rFonts w:ascii="Arial" w:eastAsia="Arial" w:hAnsi="Arial" w:cs="Arial"/>
          <w:sz w:val="22"/>
          <w:szCs w:val="22"/>
        </w:rPr>
        <w:t xml:space="preserve">, A. (2025) ‘Associations between urban green space quality and mental wellbeing: Systematic review’, </w:t>
      </w:r>
      <w:r>
        <w:rPr>
          <w:rFonts w:ascii="Arial" w:eastAsia="Arial" w:hAnsi="Arial" w:cs="Arial"/>
          <w:i/>
          <w:iCs/>
          <w:sz w:val="22"/>
          <w:szCs w:val="22"/>
        </w:rPr>
        <w:t>Land</w:t>
      </w:r>
      <w:r>
        <w:rPr>
          <w:rFonts w:ascii="Arial" w:eastAsia="Arial" w:hAnsi="Arial" w:cs="Arial"/>
          <w:sz w:val="22"/>
          <w:szCs w:val="22"/>
        </w:rPr>
        <w:t xml:space="preserve">, </w:t>
      </w:r>
      <w:r>
        <w:rPr>
          <w:rFonts w:ascii="Arial" w:eastAsia="Arial" w:hAnsi="Arial" w:cs="Arial"/>
          <w:i/>
          <w:iCs/>
          <w:sz w:val="22"/>
          <w:szCs w:val="22"/>
        </w:rPr>
        <w:t>14</w:t>
      </w:r>
      <w:r>
        <w:rPr>
          <w:rFonts w:ascii="Arial" w:eastAsia="Arial" w:hAnsi="Arial" w:cs="Arial"/>
          <w:sz w:val="22"/>
          <w:szCs w:val="22"/>
        </w:rPr>
        <w:t>(2), p. 381. Available at:</w:t>
      </w:r>
      <w:hyperlink r:id="rId47">
        <w:r>
          <w:rPr>
            <w:rFonts w:ascii="Arial" w:eastAsia="Arial" w:hAnsi="Arial" w:cs="Arial"/>
            <w:sz w:val="22"/>
            <w:szCs w:val="22"/>
          </w:rPr>
          <w:t xml:space="preserve"> </w:t>
        </w:r>
      </w:hyperlink>
      <w:hyperlink r:id="rId48" w:history="1">
        <w:r w:rsidRPr="005762EC">
          <w:rPr>
            <w:rStyle w:val="Hyperlink"/>
            <w:rFonts w:ascii="Arial" w:eastAsia="Arial" w:hAnsi="Arial" w:cs="Arial"/>
            <w:sz w:val="22"/>
            <w:szCs w:val="22"/>
          </w:rPr>
          <w:t>https://doi.org/10.3390/land14020381</w:t>
        </w:r>
        <w:r w:rsidRPr="005762EC">
          <w:rPr>
            <w:rStyle w:val="Hyperlink"/>
            <w:rFonts w:ascii="Arial" w:eastAsia="Arial" w:hAnsi="Arial" w:cs="Arial"/>
            <w:sz w:val="22"/>
            <w:szCs w:val="22"/>
          </w:rPr>
          <w:t>/</w:t>
        </w:r>
      </w:hyperlink>
      <w:r>
        <w:rPr>
          <w:rFonts w:ascii="Arial" w:eastAsia="Arial" w:hAnsi="Arial" w:cs="Arial"/>
          <w:sz w:val="22"/>
          <w:szCs w:val="22"/>
        </w:rPr>
        <w:t xml:space="preserve"> </w:t>
      </w:r>
      <w:r>
        <w:rPr>
          <w:rFonts w:ascii="Arial" w:eastAsia="Arial" w:hAnsi="Arial" w:cs="Arial"/>
          <w:sz w:val="22"/>
          <w:szCs w:val="22"/>
        </w:rPr>
        <w:t>(Accessed: 17 July 2026).</w:t>
      </w:r>
    </w:p>
    <w:p w14:paraId="1C139720" w14:textId="77777777" w:rsidR="00844F50" w:rsidRDefault="00844F50" w:rsidP="00844F50">
      <w:pPr>
        <w:jc w:val="left"/>
        <w:rPr>
          <w:rFonts w:ascii="Arial" w:eastAsia="Arial" w:hAnsi="Arial" w:cs="Arial"/>
          <w:color w:val="FF0000"/>
          <w:sz w:val="22"/>
          <w:szCs w:val="22"/>
        </w:rPr>
      </w:pPr>
    </w:p>
    <w:p w14:paraId="36996EA2" w14:textId="77777777" w:rsidR="00844F50" w:rsidRDefault="00844F50" w:rsidP="00844F50">
      <w:pPr>
        <w:jc w:val="left"/>
        <w:rPr>
          <w:rFonts w:ascii="Arial" w:eastAsia="Arial" w:hAnsi="Arial" w:cs="Arial"/>
        </w:rPr>
      </w:pPr>
    </w:p>
    <w:p w14:paraId="52EC7AB9" w14:textId="77777777" w:rsidR="001D2F2A" w:rsidRPr="000E11A6" w:rsidRDefault="001D2F2A" w:rsidP="000E11A6">
      <w:pPr>
        <w:jc w:val="left"/>
        <w:rPr>
          <w:rFonts w:ascii="Arial" w:hAnsi="Arial" w:cs="Arial"/>
        </w:rPr>
      </w:pPr>
    </w:p>
    <w:sectPr w:rsidR="001D2F2A" w:rsidRPr="000E11A6" w:rsidSect="008A1A6E">
      <w:footerReference w:type="default" r:id="rId49"/>
      <w:headerReference w:type="first" r:id="rId50"/>
      <w:footerReference w:type="first" r:id="rId5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7FE22" w14:textId="77777777" w:rsidR="00B25825" w:rsidRDefault="00B25825">
      <w:pPr>
        <w:spacing w:before="0" w:after="0" w:line="240" w:lineRule="auto"/>
      </w:pPr>
      <w:r>
        <w:separator/>
      </w:r>
    </w:p>
  </w:endnote>
  <w:endnote w:type="continuationSeparator" w:id="0">
    <w:p w14:paraId="55E63E0D" w14:textId="77777777" w:rsidR="00B25825" w:rsidRDefault="00B258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E07DF" w14:textId="77777777" w:rsidR="008A1A6E" w:rsidRDefault="008A1A6E">
    <w:pPr>
      <w:jc w:val="center"/>
    </w:pPr>
    <w:r>
      <w:fldChar w:fldCharType="begin"/>
    </w:r>
    <w:r>
      <w:instrText>PAGE</w:instrText>
    </w:r>
    <w:r>
      <w:fldChar w:fldCharType="separate"/>
    </w:r>
    <w:r>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F7A6B" w14:textId="77777777" w:rsidR="008A1A6E" w:rsidRDefault="008A1A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356A7" w14:textId="77777777" w:rsidR="00B25825" w:rsidRDefault="00B25825">
      <w:pPr>
        <w:spacing w:before="0" w:after="0" w:line="240" w:lineRule="auto"/>
      </w:pPr>
      <w:r>
        <w:separator/>
      </w:r>
    </w:p>
  </w:footnote>
  <w:footnote w:type="continuationSeparator" w:id="0">
    <w:p w14:paraId="72A8F6C7" w14:textId="77777777" w:rsidR="00B25825" w:rsidRDefault="00B2582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6C490" w14:textId="77777777" w:rsidR="008A1A6E" w:rsidRDefault="008A1A6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A6E"/>
    <w:rsid w:val="000861AF"/>
    <w:rsid w:val="000C3B7A"/>
    <w:rsid w:val="000E11A6"/>
    <w:rsid w:val="001805B6"/>
    <w:rsid w:val="001D2F2A"/>
    <w:rsid w:val="001D4693"/>
    <w:rsid w:val="00351F77"/>
    <w:rsid w:val="00396E62"/>
    <w:rsid w:val="003B5FD1"/>
    <w:rsid w:val="00566FCA"/>
    <w:rsid w:val="00580BF4"/>
    <w:rsid w:val="0073504F"/>
    <w:rsid w:val="00844F50"/>
    <w:rsid w:val="00885E57"/>
    <w:rsid w:val="008A1A6E"/>
    <w:rsid w:val="009319D7"/>
    <w:rsid w:val="00940E2F"/>
    <w:rsid w:val="009E44FB"/>
    <w:rsid w:val="00A362C3"/>
    <w:rsid w:val="00A52697"/>
    <w:rsid w:val="00B25825"/>
    <w:rsid w:val="00B97A7F"/>
    <w:rsid w:val="00BA0A9E"/>
    <w:rsid w:val="00BB20CC"/>
    <w:rsid w:val="00BD5950"/>
    <w:rsid w:val="00CA74F7"/>
    <w:rsid w:val="00D77767"/>
    <w:rsid w:val="00FD4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7ABAF9"/>
  <w15:chartTrackingRefBased/>
  <w15:docId w15:val="{CF9FA278-E1FC-EE48-BCC2-D7CBE1296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A1A6E"/>
    <w:pPr>
      <w:spacing w:before="200" w:after="200" w:line="360" w:lineRule="auto"/>
      <w:jc w:val="both"/>
    </w:pPr>
    <w:rPr>
      <w:rFonts w:ascii="Times New Roman" w:eastAsia="Times New Roman" w:hAnsi="Times New Roman" w:cs="Times New Roman"/>
      <w:kern w:val="0"/>
      <w:lang w:val="en" w:eastAsia="en-IN"/>
      <w14:ligatures w14:val="none"/>
    </w:rPr>
  </w:style>
  <w:style w:type="paragraph" w:styleId="Heading1">
    <w:name w:val="heading 1"/>
    <w:basedOn w:val="Normal"/>
    <w:next w:val="Normal"/>
    <w:link w:val="Heading1Char"/>
    <w:qFormat/>
    <w:rsid w:val="008A1A6E"/>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Subtitle"/>
    <w:next w:val="Normal"/>
    <w:link w:val="Heading2Char"/>
    <w:rsid w:val="001D2F2A"/>
    <w:pPr>
      <w:keepNext/>
      <w:keepLines/>
      <w:numPr>
        <w:ilvl w:val="0"/>
      </w:numPr>
      <w:spacing w:after="320" w:line="360" w:lineRule="auto"/>
      <w:jc w:val="both"/>
      <w:outlineLvl w:val="1"/>
    </w:pPr>
    <w:rPr>
      <w:rFonts w:ascii="Arial" w:eastAsia="Arial" w:hAnsi="Arial" w:cs="Arial"/>
      <w:b/>
      <w:color w:val="666666"/>
      <w:spacing w:val="0"/>
      <w:kern w:val="0"/>
      <w:sz w:val="24"/>
      <w:szCs w:val="24"/>
      <w:lang w:val="en-US"/>
      <w14:ligatures w14:val="none"/>
    </w:rPr>
  </w:style>
  <w:style w:type="paragraph" w:styleId="Heading3">
    <w:name w:val="heading 3"/>
    <w:basedOn w:val="Normal"/>
    <w:next w:val="Normal"/>
    <w:link w:val="Heading3Char"/>
    <w:uiPriority w:val="9"/>
    <w:semiHidden/>
    <w:unhideWhenUsed/>
    <w:qFormat/>
    <w:rsid w:val="008A1A6E"/>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8A1A6E"/>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8A1A6E"/>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8A1A6E"/>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8A1A6E"/>
    <w:pPr>
      <w:keepNext/>
      <w:keepLines/>
      <w:spacing w:before="40" w:after="0" w:line="278" w:lineRule="auto"/>
      <w:jc w:val="left"/>
      <w:outlineLvl w:val="6"/>
    </w:pPr>
    <w:rPr>
      <w:rFonts w:asciiTheme="minorHAnsi" w:eastAsiaTheme="majorEastAsia" w:hAnsiTheme="minorHAnsi"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8A1A6E"/>
    <w:pPr>
      <w:keepNext/>
      <w:keepLines/>
      <w:spacing w:before="0" w:after="0" w:line="278" w:lineRule="auto"/>
      <w:jc w:val="left"/>
      <w:outlineLvl w:val="7"/>
    </w:pPr>
    <w:rPr>
      <w:rFonts w:asciiTheme="minorHAnsi" w:eastAsiaTheme="majorEastAsia" w:hAnsiTheme="minorHAnsi"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8A1A6E"/>
    <w:pPr>
      <w:keepNext/>
      <w:keepLines/>
      <w:spacing w:before="0" w:after="0" w:line="278" w:lineRule="auto"/>
      <w:jc w:val="left"/>
      <w:outlineLvl w:val="8"/>
    </w:pPr>
    <w:rPr>
      <w:rFonts w:asciiTheme="minorHAnsi" w:eastAsiaTheme="majorEastAsia" w:hAnsiTheme="minorHAnsi"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F2A"/>
    <w:rPr>
      <w:rFonts w:ascii="Arial" w:eastAsia="Arial" w:hAnsi="Arial" w:cs="Arial"/>
      <w:b/>
      <w:color w:val="666666"/>
      <w:kern w:val="0"/>
      <w:lang w:val="en-US"/>
      <w14:ligatures w14:val="none"/>
    </w:rPr>
  </w:style>
  <w:style w:type="paragraph" w:styleId="Subtitle">
    <w:name w:val="Subtitle"/>
    <w:basedOn w:val="Normal"/>
    <w:next w:val="Normal"/>
    <w:link w:val="SubtitleChar"/>
    <w:uiPriority w:val="11"/>
    <w:qFormat/>
    <w:rsid w:val="001D2F2A"/>
    <w:pPr>
      <w:numPr>
        <w:ilvl w:val="1"/>
      </w:numPr>
      <w:spacing w:before="0" w:after="160" w:line="278" w:lineRule="auto"/>
      <w:jc w:val="left"/>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1D2F2A"/>
    <w:rPr>
      <w:rFonts w:eastAsiaTheme="majorEastAsia" w:cstheme="majorBidi"/>
      <w:color w:val="595959" w:themeColor="text1" w:themeTint="A6"/>
      <w:spacing w:val="15"/>
      <w:sz w:val="28"/>
      <w:szCs w:val="28"/>
    </w:rPr>
  </w:style>
  <w:style w:type="character" w:customStyle="1" w:styleId="Heading1Char">
    <w:name w:val="Heading 1 Char"/>
    <w:basedOn w:val="DefaultParagraphFont"/>
    <w:link w:val="Heading1"/>
    <w:uiPriority w:val="9"/>
    <w:rsid w:val="008A1A6E"/>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8A1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1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1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1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A6E"/>
    <w:rPr>
      <w:rFonts w:eastAsiaTheme="majorEastAsia" w:cstheme="majorBidi"/>
      <w:color w:val="272727" w:themeColor="text1" w:themeTint="D8"/>
    </w:rPr>
  </w:style>
  <w:style w:type="paragraph" w:styleId="Title">
    <w:name w:val="Title"/>
    <w:basedOn w:val="Normal"/>
    <w:next w:val="Normal"/>
    <w:link w:val="TitleChar"/>
    <w:uiPriority w:val="10"/>
    <w:qFormat/>
    <w:rsid w:val="008A1A6E"/>
    <w:pPr>
      <w:spacing w:before="0" w:after="80" w:line="240" w:lineRule="auto"/>
      <w:contextualSpacing/>
      <w:jc w:val="left"/>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8A1A6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8A1A6E"/>
    <w:pPr>
      <w:spacing w:before="160" w:after="160" w:line="278" w:lineRule="auto"/>
      <w:jc w:val="center"/>
    </w:pPr>
    <w:rPr>
      <w:rFonts w:asciiTheme="minorHAnsi" w:eastAsiaTheme="minorHAnsi" w:hAnsiTheme="minorHAnsi" w:cstheme="minorBid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8A1A6E"/>
    <w:rPr>
      <w:i/>
      <w:iCs/>
      <w:color w:val="404040" w:themeColor="text1" w:themeTint="BF"/>
    </w:rPr>
  </w:style>
  <w:style w:type="paragraph" w:styleId="ListParagraph">
    <w:name w:val="List Paragraph"/>
    <w:basedOn w:val="Normal"/>
    <w:uiPriority w:val="34"/>
    <w:qFormat/>
    <w:rsid w:val="008A1A6E"/>
    <w:pPr>
      <w:spacing w:before="0" w:after="160" w:line="278" w:lineRule="auto"/>
      <w:ind w:left="720"/>
      <w:contextualSpacing/>
      <w:jc w:val="left"/>
    </w:pPr>
    <w:rPr>
      <w:rFonts w:asciiTheme="minorHAnsi" w:eastAsiaTheme="minorHAnsi" w:hAnsiTheme="minorHAnsi" w:cstheme="minorBidi"/>
      <w:kern w:val="2"/>
      <w:lang w:val="en-GB" w:eastAsia="en-US"/>
      <w14:ligatures w14:val="standardContextual"/>
    </w:rPr>
  </w:style>
  <w:style w:type="character" w:styleId="IntenseEmphasis">
    <w:name w:val="Intense Emphasis"/>
    <w:basedOn w:val="DefaultParagraphFont"/>
    <w:uiPriority w:val="21"/>
    <w:qFormat/>
    <w:rsid w:val="008A1A6E"/>
    <w:rPr>
      <w:i/>
      <w:iCs/>
      <w:color w:val="0F4761" w:themeColor="accent1" w:themeShade="BF"/>
    </w:rPr>
  </w:style>
  <w:style w:type="paragraph" w:styleId="IntenseQuote">
    <w:name w:val="Intense Quote"/>
    <w:basedOn w:val="Normal"/>
    <w:next w:val="Normal"/>
    <w:link w:val="IntenseQuoteChar"/>
    <w:uiPriority w:val="30"/>
    <w:qFormat/>
    <w:rsid w:val="008A1A6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8A1A6E"/>
    <w:rPr>
      <w:i/>
      <w:iCs/>
      <w:color w:val="0F4761" w:themeColor="accent1" w:themeShade="BF"/>
    </w:rPr>
  </w:style>
  <w:style w:type="character" w:styleId="IntenseReference">
    <w:name w:val="Intense Reference"/>
    <w:basedOn w:val="DefaultParagraphFont"/>
    <w:uiPriority w:val="32"/>
    <w:qFormat/>
    <w:rsid w:val="008A1A6E"/>
    <w:rPr>
      <w:b/>
      <w:bCs/>
      <w:smallCaps/>
      <w:color w:val="0F4761" w:themeColor="accent1" w:themeShade="BF"/>
      <w:spacing w:val="5"/>
    </w:rPr>
  </w:style>
  <w:style w:type="paragraph" w:styleId="TOC1">
    <w:name w:val="toc 1"/>
    <w:basedOn w:val="Normal"/>
    <w:next w:val="Normal"/>
    <w:autoRedefine/>
    <w:uiPriority w:val="39"/>
    <w:unhideWhenUsed/>
    <w:rsid w:val="00A52697"/>
    <w:pPr>
      <w:tabs>
        <w:tab w:val="right" w:leader="dot" w:pos="9350"/>
      </w:tabs>
      <w:spacing w:after="100"/>
      <w:jc w:val="left"/>
    </w:pPr>
  </w:style>
  <w:style w:type="character" w:styleId="Hyperlink">
    <w:name w:val="Hyperlink"/>
    <w:basedOn w:val="DefaultParagraphFont"/>
    <w:uiPriority w:val="99"/>
    <w:unhideWhenUsed/>
    <w:rsid w:val="008A1A6E"/>
    <w:rPr>
      <w:color w:val="467886" w:themeColor="hyperlink"/>
      <w:u w:val="single"/>
    </w:rPr>
  </w:style>
  <w:style w:type="character" w:styleId="Emphasis">
    <w:name w:val="Emphasis"/>
    <w:basedOn w:val="DefaultParagraphFont"/>
    <w:uiPriority w:val="20"/>
    <w:qFormat/>
    <w:rsid w:val="00A52697"/>
    <w:rPr>
      <w:i/>
      <w:iCs/>
    </w:rPr>
  </w:style>
  <w:style w:type="paragraph" w:styleId="NormalWeb">
    <w:name w:val="Normal (Web)"/>
    <w:basedOn w:val="Normal"/>
    <w:uiPriority w:val="99"/>
    <w:unhideWhenUsed/>
    <w:rsid w:val="00A52697"/>
    <w:pPr>
      <w:spacing w:before="100" w:beforeAutospacing="1" w:after="100" w:afterAutospacing="1" w:line="240" w:lineRule="auto"/>
      <w:jc w:val="left"/>
    </w:pPr>
    <w:rPr>
      <w:lang w:val="en-GB" w:eastAsia="en-GB"/>
    </w:rPr>
  </w:style>
  <w:style w:type="character" w:styleId="UnresolvedMention">
    <w:name w:val="Unresolved Mention"/>
    <w:basedOn w:val="DefaultParagraphFont"/>
    <w:uiPriority w:val="99"/>
    <w:semiHidden/>
    <w:unhideWhenUsed/>
    <w:rsid w:val="00A52697"/>
    <w:rPr>
      <w:color w:val="605E5C"/>
      <w:shd w:val="clear" w:color="auto" w:fill="E1DFDD"/>
    </w:rPr>
  </w:style>
  <w:style w:type="paragraph" w:customStyle="1" w:styleId="isselectedend">
    <w:name w:val="isselectedend"/>
    <w:basedOn w:val="Normal"/>
    <w:rsid w:val="00A52697"/>
    <w:pPr>
      <w:spacing w:before="100" w:beforeAutospacing="1" w:after="100" w:afterAutospacing="1" w:line="240" w:lineRule="auto"/>
      <w:jc w:val="left"/>
    </w:pPr>
    <w:rPr>
      <w:lang w:val="en-GB" w:eastAsia="en-GB"/>
    </w:rPr>
  </w:style>
  <w:style w:type="character" w:styleId="FollowedHyperlink">
    <w:name w:val="FollowedHyperlink"/>
    <w:basedOn w:val="DefaultParagraphFont"/>
    <w:uiPriority w:val="99"/>
    <w:semiHidden/>
    <w:unhideWhenUsed/>
    <w:rsid w:val="00844F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ijerph20054079" TargetMode="External"/><Relationship Id="rId18" Type="http://schemas.openxmlformats.org/officeDocument/2006/relationships/hyperlink" Target="https://bjgp.org/content/75/752/e203/" TargetMode="External"/><Relationship Id="rId26" Type="http://schemas.openxmlformats.org/officeDocument/2006/relationships/hyperlink" Target="https://doi.org/10.3390/su16187921/" TargetMode="External"/><Relationship Id="rId39" Type="http://schemas.openxmlformats.org/officeDocument/2006/relationships/hyperlink" Target="https://doi.org/10.3390/ijerph20176708" TargetMode="External"/><Relationship Id="rId21" Type="http://schemas.openxmlformats.org/officeDocument/2006/relationships/hyperlink" Target="https://doi.org/10.3390/ijerph191710658" TargetMode="External"/><Relationship Id="rId34" Type="http://schemas.openxmlformats.org/officeDocument/2006/relationships/hyperlink" Target="https://doi.org/10.3390/ijerph20010259/" TargetMode="External"/><Relationship Id="rId42" Type="http://schemas.openxmlformats.org/officeDocument/2006/relationships/hyperlink" Target="https://www.mdpi.com/1660-4601/21/12/1638/" TargetMode="External"/><Relationship Id="rId47" Type="http://schemas.openxmlformats.org/officeDocument/2006/relationships/hyperlink" Target="https://doi.org/10.3390/land14020381" TargetMode="External"/><Relationship Id="rId50" Type="http://schemas.openxmlformats.org/officeDocument/2006/relationships/header" Target="head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doi.org/10.3390/ijerph20032649/" TargetMode="External"/><Relationship Id="rId29" Type="http://schemas.openxmlformats.org/officeDocument/2006/relationships/hyperlink" Target="https://doi.org/10.3390/land14010097" TargetMode="External"/><Relationship Id="rId11" Type="http://schemas.openxmlformats.org/officeDocument/2006/relationships/hyperlink" Target="https://www.nature.com/articles/s44360-026-00099-w" TargetMode="External"/><Relationship Id="rId24" Type="http://schemas.openxmlformats.org/officeDocument/2006/relationships/hyperlink" Target="https://doi.org/10.3390/ijerph192113744/" TargetMode="External"/><Relationship Id="rId32" Type="http://schemas.openxmlformats.org/officeDocument/2006/relationships/hyperlink" Target="https://doi.org/10.3390/su152316413/" TargetMode="External"/><Relationship Id="rId37" Type="http://schemas.openxmlformats.org/officeDocument/2006/relationships/hyperlink" Target="https://doi.org/10.1017/S2047102524000219" TargetMode="External"/><Relationship Id="rId40" Type="http://schemas.openxmlformats.org/officeDocument/2006/relationships/hyperlink" Target="https://doi.org/10.3390/ijerph20176708/" TargetMode="External"/><Relationship Id="rId45" Type="http://schemas.openxmlformats.org/officeDocument/2006/relationships/hyperlink" Target="https://bjgp.org/content/75/761/e880" TargetMode="External"/><Relationship Id="rId53"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hyperlink" Target="https://doi.org/10.3390/su15129443" TargetMode="External"/><Relationship Id="rId19" Type="http://schemas.openxmlformats.org/officeDocument/2006/relationships/hyperlink" Target="https://doi.org/10.3310/GJEV0805" TargetMode="External"/><Relationship Id="rId31" Type="http://schemas.openxmlformats.org/officeDocument/2006/relationships/hyperlink" Target="https://doi.org/10.3390/su152316413" TargetMode="External"/><Relationship Id="rId44" Type="http://schemas.openxmlformats.org/officeDocument/2006/relationships/hyperlink" Target="https://doi.org/10.3390/ijerph20065083/"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3390/su15129443" TargetMode="External"/><Relationship Id="rId14" Type="http://schemas.openxmlformats.org/officeDocument/2006/relationships/hyperlink" Target="https://doi.org/10.3390/ijerph20054079/" TargetMode="External"/><Relationship Id="rId22" Type="http://schemas.openxmlformats.org/officeDocument/2006/relationships/hyperlink" Target="https://doi.org/10.3390/ijerph191710658/" TargetMode="External"/><Relationship Id="rId27" Type="http://schemas.openxmlformats.org/officeDocument/2006/relationships/hyperlink" Target="https://doi.org/10.3390/su152014810" TargetMode="External"/><Relationship Id="rId30" Type="http://schemas.openxmlformats.org/officeDocument/2006/relationships/hyperlink" Target="https://doi.org/10.3390/land14010097/" TargetMode="External"/><Relationship Id="rId35" Type="http://schemas.openxmlformats.org/officeDocument/2006/relationships/hyperlink" Target="https://doi.org/10.3390/ijerph20126074" TargetMode="External"/><Relationship Id="rId43" Type="http://schemas.openxmlformats.org/officeDocument/2006/relationships/hyperlink" Target="https://doi.org/10.3390/ijerph20065083" TargetMode="External"/><Relationship Id="rId48" Type="http://schemas.openxmlformats.org/officeDocument/2006/relationships/hyperlink" Target="https://doi.org/10.3390/land14020381/" TargetMode="External"/><Relationship Id="rId8" Type="http://schemas.openxmlformats.org/officeDocument/2006/relationships/image" Target="media/image3.png"/><Relationship Id="rId51" Type="http://schemas.openxmlformats.org/officeDocument/2006/relationships/footer" Target="footer2.xml"/><Relationship Id="rId3" Type="http://schemas.openxmlformats.org/officeDocument/2006/relationships/webSettings" Target="webSettings.xml"/><Relationship Id="rId12" Type="http://schemas.openxmlformats.org/officeDocument/2006/relationships/hyperlink" Target="https://www.nature.com/articles/s44360-026-00099-w/" TargetMode="External"/><Relationship Id="rId17" Type="http://schemas.openxmlformats.org/officeDocument/2006/relationships/hyperlink" Target="https://bjgp.org/content/75/752/e203" TargetMode="External"/><Relationship Id="rId25" Type="http://schemas.openxmlformats.org/officeDocument/2006/relationships/hyperlink" Target="https://doi.org/10.3390/su16187921" TargetMode="External"/><Relationship Id="rId33" Type="http://schemas.openxmlformats.org/officeDocument/2006/relationships/hyperlink" Target="https://doi.org/10.3390/ijerph20010259" TargetMode="External"/><Relationship Id="rId38" Type="http://schemas.openxmlformats.org/officeDocument/2006/relationships/hyperlink" Target="https://doi.org/10.1017/S2047102524000219/" TargetMode="External"/><Relationship Id="rId46" Type="http://schemas.openxmlformats.org/officeDocument/2006/relationships/hyperlink" Target="https://bjgp.org/content/75/761/e880/" TargetMode="External"/><Relationship Id="rId20" Type="http://schemas.openxmlformats.org/officeDocument/2006/relationships/hyperlink" Target="https://doi.org/10.3310/GJEV0805/" TargetMode="External"/><Relationship Id="rId41" Type="http://schemas.openxmlformats.org/officeDocument/2006/relationships/hyperlink" Target="https://www.mdpi.com/1660-4601/21/12/1638"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doi.org/10.3390/ijerph20032649" TargetMode="External"/><Relationship Id="rId23" Type="http://schemas.openxmlformats.org/officeDocument/2006/relationships/hyperlink" Target="https://doi.org/10.3390/ijerph192113744" TargetMode="External"/><Relationship Id="rId28" Type="http://schemas.openxmlformats.org/officeDocument/2006/relationships/hyperlink" Target="https://doi.org/10.3390/su152014810/" TargetMode="External"/><Relationship Id="rId36" Type="http://schemas.openxmlformats.org/officeDocument/2006/relationships/hyperlink" Target="https://doi.org/10.3390/ijerph20126074/"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12</Pages>
  <Words>3556</Words>
  <Characters>20270</Characters>
  <Application>Microsoft Office Word</Application>
  <DocSecurity>0</DocSecurity>
  <Lines>168</Lines>
  <Paragraphs>47</Paragraphs>
  <ScaleCrop>false</ScaleCrop>
  <Company/>
  <LinksUpToDate>false</LinksUpToDate>
  <CharactersWithSpaces>23779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Delia Munteanu (2314055)</dc:creator>
  <cp:keywords/>
  <dc:description/>
  <cp:lastModifiedBy>Delia Munteanu (2314055)</cp:lastModifiedBy>
  <cp:revision>8</cp:revision>
  <dcterms:created xsi:type="dcterms:W3CDTF">2026-08-04T13:15:00Z</dcterms:created>
  <dcterms:modified xsi:type="dcterms:W3CDTF">2026-08-06T20:27:00Z</dcterms:modified>
</cp:coreProperties>
</file>