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D99A5" w14:textId="79F2160F" w:rsidR="000F6C5F" w:rsidRPr="00306DF6" w:rsidRDefault="000F6C5F" w:rsidP="00306DF6">
      <w:pPr>
        <w:jc w:val="both"/>
        <w:rPr>
          <w:rFonts w:hint="eastAsia"/>
          <w:sz w:val="20"/>
          <w:szCs w:val="20"/>
        </w:rPr>
      </w:pPr>
      <w:r w:rsidRPr="00306DF6">
        <w:rPr>
          <w:sz w:val="20"/>
          <w:szCs w:val="20"/>
        </w:rPr>
        <w:t>Q1</w:t>
      </w:r>
      <w:r w:rsidRPr="00306DF6">
        <w:rPr>
          <w:rFonts w:hint="eastAsia"/>
          <w:sz w:val="20"/>
          <w:szCs w:val="20"/>
        </w:rPr>
        <w:t xml:space="preserve"> </w:t>
      </w:r>
      <w:r w:rsidRPr="00306DF6">
        <w:rPr>
          <w:sz w:val="20"/>
          <w:szCs w:val="20"/>
        </w:rPr>
        <w:t>Porter’s Five Forces</w:t>
      </w:r>
      <w:bookmarkStart w:id="0" w:name="OLE_LINK1"/>
      <w:r w:rsidR="004154F9" w:rsidRPr="00306DF6">
        <w:rPr>
          <w:rFonts w:hint="eastAsia"/>
          <w:sz w:val="20"/>
          <w:szCs w:val="20"/>
        </w:rPr>
        <w:t xml:space="preserve"> </w:t>
      </w:r>
      <w:r w:rsidRPr="00306DF6">
        <w:rPr>
          <w:sz w:val="20"/>
          <w:szCs w:val="20"/>
        </w:rPr>
        <w:t xml:space="preserve">Porter’s Five Forces examines industry attractiveness </w:t>
      </w:r>
      <w:proofErr w:type="spellStart"/>
      <w:proofErr w:type="gramStart"/>
      <w:r w:rsidRPr="00306DF6">
        <w:rPr>
          <w:sz w:val="20"/>
          <w:szCs w:val="20"/>
        </w:rPr>
        <w:t>through:new</w:t>
      </w:r>
      <w:proofErr w:type="spellEnd"/>
      <w:proofErr w:type="gramEnd"/>
      <w:r w:rsidRPr="00306DF6">
        <w:rPr>
          <w:sz w:val="20"/>
          <w:szCs w:val="20"/>
        </w:rPr>
        <w:t xml:space="preserve"> entrants, supplier power, buyer power, substitutes, and </w:t>
      </w:r>
      <w:proofErr w:type="spellStart"/>
      <w:proofErr w:type="gramStart"/>
      <w:r w:rsidRPr="00306DF6">
        <w:rPr>
          <w:sz w:val="20"/>
          <w:szCs w:val="20"/>
        </w:rPr>
        <w:t>rivalry.Useful</w:t>
      </w:r>
      <w:proofErr w:type="spellEnd"/>
      <w:proofErr w:type="gramEnd"/>
      <w:r w:rsidRPr="00306DF6">
        <w:rPr>
          <w:sz w:val="20"/>
          <w:szCs w:val="20"/>
        </w:rPr>
        <w:t xml:space="preserve"> for </w:t>
      </w:r>
      <w:proofErr w:type="spellStart"/>
      <w:r w:rsidRPr="00306DF6">
        <w:rPr>
          <w:sz w:val="20"/>
          <w:szCs w:val="20"/>
        </w:rPr>
        <w:t>analysing</w:t>
      </w:r>
      <w:proofErr w:type="spellEnd"/>
      <w:r w:rsidRPr="00306DF6">
        <w:rPr>
          <w:sz w:val="20"/>
          <w:szCs w:val="20"/>
        </w:rPr>
        <w:t xml:space="preserve"> external pressure before major strategic </w:t>
      </w:r>
      <w:proofErr w:type="spellStart"/>
      <w:proofErr w:type="gramStart"/>
      <w:r w:rsidRPr="00306DF6">
        <w:rPr>
          <w:sz w:val="20"/>
          <w:szCs w:val="20"/>
        </w:rPr>
        <w:t>decisions.IKEA</w:t>
      </w:r>
      <w:proofErr w:type="spellEnd"/>
      <w:proofErr w:type="gramEnd"/>
      <w:r w:rsidRPr="00306DF6">
        <w:rPr>
          <w:sz w:val="20"/>
          <w:szCs w:val="20"/>
        </w:rPr>
        <w:t xml:space="preserve"> </w:t>
      </w:r>
      <w:proofErr w:type="spellStart"/>
      <w:proofErr w:type="gramStart"/>
      <w:r w:rsidRPr="00306DF6">
        <w:rPr>
          <w:sz w:val="20"/>
          <w:szCs w:val="20"/>
        </w:rPr>
        <w:t>application:Furniture</w:t>
      </w:r>
      <w:proofErr w:type="spellEnd"/>
      <w:proofErr w:type="gramEnd"/>
      <w:r w:rsidRPr="00306DF6">
        <w:rPr>
          <w:sz w:val="20"/>
          <w:szCs w:val="20"/>
        </w:rPr>
        <w:t xml:space="preserve"> retail is highly competitive. Buyers are price-sensitive, especially during inflation and cost-of-living pressure. Substitutes include online furniture retailers, second-hand furniture, local homeware stores and DIY solutions. Supplier power matters because IKEA depends on global sourcing, raw materials, logistics and sustainable materials. Rivalry is intense because competitors can copy low-price furniture, but IKEA’s scale and brand reduce this </w:t>
      </w:r>
      <w:proofErr w:type="spellStart"/>
      <w:proofErr w:type="gramStart"/>
      <w:r w:rsidRPr="00306DF6">
        <w:rPr>
          <w:sz w:val="20"/>
          <w:szCs w:val="20"/>
        </w:rPr>
        <w:t>pressure.Strategic</w:t>
      </w:r>
      <w:proofErr w:type="spellEnd"/>
      <w:proofErr w:type="gramEnd"/>
      <w:r w:rsidRPr="00306DF6">
        <w:rPr>
          <w:sz w:val="20"/>
          <w:szCs w:val="20"/>
        </w:rPr>
        <w:t xml:space="preserve"> </w:t>
      </w:r>
      <w:proofErr w:type="spellStart"/>
      <w:proofErr w:type="gramStart"/>
      <w:r w:rsidRPr="00306DF6">
        <w:rPr>
          <w:sz w:val="20"/>
          <w:szCs w:val="20"/>
        </w:rPr>
        <w:t>insight:IKEA</w:t>
      </w:r>
      <w:proofErr w:type="spellEnd"/>
      <w:proofErr w:type="gramEnd"/>
      <w:r w:rsidRPr="00306DF6">
        <w:rPr>
          <w:sz w:val="20"/>
          <w:szCs w:val="20"/>
        </w:rPr>
        <w:t xml:space="preserve"> should protect its hybrid position: low price + good perceived </w:t>
      </w:r>
      <w:proofErr w:type="spellStart"/>
      <w:proofErr w:type="gramStart"/>
      <w:r w:rsidRPr="00306DF6">
        <w:rPr>
          <w:sz w:val="20"/>
          <w:szCs w:val="20"/>
        </w:rPr>
        <w:t>value.It</w:t>
      </w:r>
      <w:proofErr w:type="spellEnd"/>
      <w:proofErr w:type="gramEnd"/>
      <w:r w:rsidRPr="00306DF6">
        <w:rPr>
          <w:sz w:val="20"/>
          <w:szCs w:val="20"/>
        </w:rPr>
        <w:t xml:space="preserve"> should respond by improving supply chain efficiency, expanding online / small-format stores, strengthening affordability, and developing sustainable / circular services.</w:t>
      </w:r>
      <w:r w:rsidR="00306DF6" w:rsidRPr="00306DF6">
        <w:t xml:space="preserve"> </w:t>
      </w:r>
      <w:r w:rsidR="00306DF6" w:rsidRPr="00306DF6">
        <w:rPr>
          <w:sz w:val="20"/>
          <w:szCs w:val="20"/>
        </w:rPr>
        <w:t>IKEA should not only defend low price; it should use scale, brand and sustainability to maintain value for money in a changing market.</w:t>
      </w:r>
    </w:p>
    <w:bookmarkEnd w:id="0"/>
    <w:p w14:paraId="10530815" w14:textId="64B3853D" w:rsidR="000F6C5F" w:rsidRPr="00306DF6" w:rsidRDefault="000F6C5F" w:rsidP="00306DF6">
      <w:pPr>
        <w:jc w:val="both"/>
        <w:rPr>
          <w:rFonts w:hint="eastAsia"/>
          <w:sz w:val="20"/>
          <w:szCs w:val="20"/>
        </w:rPr>
      </w:pPr>
      <w:r w:rsidRPr="00306DF6">
        <w:rPr>
          <w:sz w:val="20"/>
          <w:szCs w:val="20"/>
        </w:rPr>
        <w:t>Q2 RBV / VRIO + Value Chain</w:t>
      </w:r>
      <w:r w:rsidR="004154F9" w:rsidRPr="00306DF6">
        <w:rPr>
          <w:rFonts w:hint="eastAsia"/>
          <w:sz w:val="20"/>
          <w:szCs w:val="20"/>
        </w:rPr>
        <w:t xml:space="preserve"> </w:t>
      </w:r>
      <w:r w:rsidRPr="00306DF6">
        <w:rPr>
          <w:sz w:val="20"/>
          <w:szCs w:val="20"/>
        </w:rPr>
        <w:t xml:space="preserve">RBV / VRIO argues that firms gain sustained competitive advantage from resources and capabilities that are valuable, rare, hard to imitate, and well </w:t>
      </w:r>
      <w:proofErr w:type="spellStart"/>
      <w:r w:rsidRPr="00306DF6">
        <w:rPr>
          <w:sz w:val="20"/>
          <w:szCs w:val="20"/>
        </w:rPr>
        <w:t>organised.IKEA</w:t>
      </w:r>
      <w:proofErr w:type="spellEnd"/>
      <w:r w:rsidRPr="00306DF6">
        <w:rPr>
          <w:sz w:val="20"/>
          <w:szCs w:val="20"/>
        </w:rPr>
        <w:t xml:space="preserve"> resources and </w:t>
      </w:r>
      <w:proofErr w:type="spellStart"/>
      <w:r w:rsidRPr="00306DF6">
        <w:rPr>
          <w:sz w:val="20"/>
          <w:szCs w:val="20"/>
        </w:rPr>
        <w:t>capabilities:Tangible</w:t>
      </w:r>
      <w:proofErr w:type="spellEnd"/>
      <w:r w:rsidRPr="00306DF6">
        <w:rPr>
          <w:sz w:val="20"/>
          <w:szCs w:val="20"/>
        </w:rPr>
        <w:t xml:space="preserve">: global stores, warehouses, logistics network, product range, supply chain </w:t>
      </w:r>
      <w:proofErr w:type="spellStart"/>
      <w:r w:rsidRPr="00306DF6">
        <w:rPr>
          <w:sz w:val="20"/>
          <w:szCs w:val="20"/>
        </w:rPr>
        <w:t>scale.Intangible</w:t>
      </w:r>
      <w:proofErr w:type="spellEnd"/>
      <w:r w:rsidRPr="00306DF6">
        <w:rPr>
          <w:sz w:val="20"/>
          <w:szCs w:val="20"/>
        </w:rPr>
        <w:t xml:space="preserve">: brand reputation, design knowledge, </w:t>
      </w:r>
      <w:proofErr w:type="spellStart"/>
      <w:r w:rsidRPr="00306DF6">
        <w:rPr>
          <w:sz w:val="20"/>
          <w:szCs w:val="20"/>
        </w:rPr>
        <w:t>organisational</w:t>
      </w:r>
      <w:proofErr w:type="spellEnd"/>
      <w:r w:rsidRPr="00306DF6">
        <w:rPr>
          <w:sz w:val="20"/>
          <w:szCs w:val="20"/>
        </w:rPr>
        <w:t xml:space="preserve"> culture, sustainability know-how, customer </w:t>
      </w:r>
      <w:proofErr w:type="spellStart"/>
      <w:r w:rsidRPr="00306DF6">
        <w:rPr>
          <w:sz w:val="20"/>
          <w:szCs w:val="20"/>
        </w:rPr>
        <w:t>trust.VRIO</w:t>
      </w:r>
      <w:proofErr w:type="spellEnd"/>
      <w:r w:rsidRPr="00306DF6">
        <w:rPr>
          <w:sz w:val="20"/>
          <w:szCs w:val="20"/>
        </w:rPr>
        <w:t xml:space="preserve"> </w:t>
      </w:r>
      <w:proofErr w:type="spellStart"/>
      <w:r w:rsidRPr="00306DF6">
        <w:rPr>
          <w:sz w:val="20"/>
          <w:szCs w:val="20"/>
        </w:rPr>
        <w:t>application:Valuable</w:t>
      </w:r>
      <w:proofErr w:type="spellEnd"/>
      <w:r w:rsidRPr="00306DF6">
        <w:rPr>
          <w:sz w:val="20"/>
          <w:szCs w:val="20"/>
        </w:rPr>
        <w:t xml:space="preserve">: flat-pack design reduces cost and supports customer </w:t>
      </w:r>
      <w:proofErr w:type="spellStart"/>
      <w:r w:rsidRPr="00306DF6">
        <w:rPr>
          <w:sz w:val="20"/>
          <w:szCs w:val="20"/>
        </w:rPr>
        <w:t>convenience.Rare</w:t>
      </w:r>
      <w:proofErr w:type="spellEnd"/>
      <w:r w:rsidRPr="00306DF6">
        <w:rPr>
          <w:sz w:val="20"/>
          <w:szCs w:val="20"/>
        </w:rPr>
        <w:t xml:space="preserve">: IKEA’s full system of design + sourcing + logistics + brand + store experience is difficult to find in </w:t>
      </w:r>
      <w:proofErr w:type="spellStart"/>
      <w:r w:rsidRPr="00306DF6">
        <w:rPr>
          <w:sz w:val="20"/>
          <w:szCs w:val="20"/>
        </w:rPr>
        <w:t>competitors.Inimitable</w:t>
      </w:r>
      <w:proofErr w:type="spellEnd"/>
      <w:r w:rsidRPr="00306DF6">
        <w:rPr>
          <w:sz w:val="20"/>
          <w:szCs w:val="20"/>
        </w:rPr>
        <w:t xml:space="preserve">: individual features can be copied, but the whole operating model is difficult to </w:t>
      </w:r>
      <w:proofErr w:type="spellStart"/>
      <w:r w:rsidRPr="00306DF6">
        <w:rPr>
          <w:sz w:val="20"/>
          <w:szCs w:val="20"/>
        </w:rPr>
        <w:t>replicate.Organised</w:t>
      </w:r>
      <w:proofErr w:type="spellEnd"/>
      <w:r w:rsidRPr="00306DF6">
        <w:rPr>
          <w:sz w:val="20"/>
          <w:szCs w:val="20"/>
        </w:rPr>
        <w:t xml:space="preserve">: IKEA is structured around cost efficiency, </w:t>
      </w:r>
      <w:proofErr w:type="spellStart"/>
      <w:r w:rsidRPr="00306DF6">
        <w:rPr>
          <w:sz w:val="20"/>
          <w:szCs w:val="20"/>
        </w:rPr>
        <w:t>standardised</w:t>
      </w:r>
      <w:proofErr w:type="spellEnd"/>
      <w:r w:rsidRPr="00306DF6">
        <w:rPr>
          <w:sz w:val="20"/>
          <w:szCs w:val="20"/>
        </w:rPr>
        <w:t xml:space="preserve"> design, self-service, global sourcing and democratic </w:t>
      </w:r>
      <w:proofErr w:type="spellStart"/>
      <w:r w:rsidRPr="00306DF6">
        <w:rPr>
          <w:sz w:val="20"/>
          <w:szCs w:val="20"/>
        </w:rPr>
        <w:t>design.Value</w:t>
      </w:r>
      <w:proofErr w:type="spellEnd"/>
      <w:r w:rsidRPr="00306DF6">
        <w:rPr>
          <w:sz w:val="20"/>
          <w:szCs w:val="20"/>
        </w:rPr>
        <w:t xml:space="preserve"> Chain examines how activities create value and reduce cost.</w:t>
      </w:r>
      <w:r w:rsidR="00306DF6" w:rsidRPr="00306DF6">
        <w:t xml:space="preserve"> </w:t>
      </w:r>
      <w:r w:rsidR="00306DF6" w:rsidRPr="00306DF6">
        <w:rPr>
          <w:sz w:val="20"/>
          <w:szCs w:val="20"/>
        </w:rPr>
        <w:t xml:space="preserve">Value Chain examines how activities create value and reduce </w:t>
      </w:r>
      <w:proofErr w:type="spellStart"/>
      <w:proofErr w:type="gramStart"/>
      <w:r w:rsidR="00306DF6" w:rsidRPr="00306DF6">
        <w:rPr>
          <w:sz w:val="20"/>
          <w:szCs w:val="20"/>
        </w:rPr>
        <w:t>cost.Design</w:t>
      </w:r>
      <w:proofErr w:type="spellEnd"/>
      <w:proofErr w:type="gramEnd"/>
      <w:r w:rsidR="00306DF6" w:rsidRPr="00306DF6">
        <w:rPr>
          <w:sz w:val="20"/>
          <w:szCs w:val="20"/>
        </w:rPr>
        <w:t xml:space="preserve"> → sourcing → manufacturing → flat-pack logistics → store layout → self-service warehouse → online planning → delivery / collection → repair / spare parts.</w:t>
      </w:r>
      <w:r w:rsidR="00306DF6" w:rsidRPr="00306DF6">
        <w:t xml:space="preserve"> </w:t>
      </w:r>
      <w:r w:rsidR="00306DF6" w:rsidRPr="00306DF6">
        <w:rPr>
          <w:sz w:val="20"/>
          <w:szCs w:val="20"/>
        </w:rPr>
        <w:t xml:space="preserve">IKEA’s advantage is not only low price. It comes from the </w:t>
      </w:r>
      <w:proofErr w:type="gramStart"/>
      <w:r w:rsidR="00306DF6" w:rsidRPr="00306DF6">
        <w:rPr>
          <w:sz w:val="20"/>
          <w:szCs w:val="20"/>
        </w:rPr>
        <w:t>fit</w:t>
      </w:r>
      <w:proofErr w:type="gramEnd"/>
      <w:r w:rsidR="00306DF6" w:rsidRPr="00306DF6">
        <w:rPr>
          <w:sz w:val="20"/>
          <w:szCs w:val="20"/>
        </w:rPr>
        <w:t xml:space="preserve"> between design, logistics, scale, brand and customer experience. This supports a hybrid strategy: affordable but still distinctive.</w:t>
      </w:r>
      <w:r w:rsidR="00306DF6" w:rsidRPr="00306DF6">
        <w:t xml:space="preserve"> </w:t>
      </w:r>
      <w:r w:rsidR="00306DF6" w:rsidRPr="00306DF6">
        <w:rPr>
          <w:sz w:val="20"/>
          <w:szCs w:val="20"/>
        </w:rPr>
        <w:t>IKEA also needs to reconfigure capabilities in response to digital retail, sustainability pressure and changing customer lifestyles.</w:t>
      </w:r>
    </w:p>
    <w:p w14:paraId="30FB464A" w14:textId="799EE4D4" w:rsidR="000F6C5F" w:rsidRPr="00306DF6" w:rsidRDefault="000F6C5F" w:rsidP="00306DF6">
      <w:pPr>
        <w:jc w:val="both"/>
        <w:rPr>
          <w:sz w:val="20"/>
          <w:szCs w:val="20"/>
        </w:rPr>
      </w:pPr>
      <w:r w:rsidRPr="00306DF6">
        <w:rPr>
          <w:sz w:val="20"/>
          <w:szCs w:val="20"/>
        </w:rPr>
        <w:t>Q3 Strategy Clock + 4Ps</w:t>
      </w:r>
      <w:r w:rsidR="004154F9" w:rsidRPr="00306DF6">
        <w:rPr>
          <w:rFonts w:hint="eastAsia"/>
          <w:sz w:val="20"/>
          <w:szCs w:val="20"/>
        </w:rPr>
        <w:t xml:space="preserve"> </w:t>
      </w:r>
      <w:r w:rsidRPr="00306DF6">
        <w:rPr>
          <w:sz w:val="20"/>
          <w:szCs w:val="20"/>
        </w:rPr>
        <w:t xml:space="preserve">Strategy Clock analyses competitive positioning through price and perceived value. Customers judge value for money by comparing price with product / service </w:t>
      </w:r>
      <w:proofErr w:type="spellStart"/>
      <w:r w:rsidRPr="00306DF6">
        <w:rPr>
          <w:sz w:val="20"/>
          <w:szCs w:val="20"/>
        </w:rPr>
        <w:t>benefits.IKEA</w:t>
      </w:r>
      <w:proofErr w:type="spellEnd"/>
      <w:r w:rsidRPr="00306DF6">
        <w:rPr>
          <w:sz w:val="20"/>
          <w:szCs w:val="20"/>
        </w:rPr>
        <w:t xml:space="preserve"> fits a hybrid strategy: relatively low price + relatively high perceived </w:t>
      </w:r>
      <w:proofErr w:type="spellStart"/>
      <w:r w:rsidRPr="00306DF6">
        <w:rPr>
          <w:sz w:val="20"/>
          <w:szCs w:val="20"/>
        </w:rPr>
        <w:t>value.It</w:t>
      </w:r>
      <w:proofErr w:type="spellEnd"/>
      <w:r w:rsidRPr="00306DF6">
        <w:rPr>
          <w:sz w:val="20"/>
          <w:szCs w:val="20"/>
        </w:rPr>
        <w:t xml:space="preserve"> does not compete only as “cheap furniture”; it combines affordability, design, function, quality, sustainability and brand experience.4Ps </w:t>
      </w:r>
      <w:proofErr w:type="spellStart"/>
      <w:r w:rsidRPr="00306DF6">
        <w:rPr>
          <w:sz w:val="20"/>
          <w:szCs w:val="20"/>
        </w:rPr>
        <w:t>application:Product</w:t>
      </w:r>
      <w:proofErr w:type="spellEnd"/>
      <w:r w:rsidRPr="00306DF6">
        <w:rPr>
          <w:sz w:val="20"/>
          <w:szCs w:val="20"/>
        </w:rPr>
        <w:t xml:space="preserve">: flat-pack furniture, modular storage, small-space solutions, sustainable </w:t>
      </w:r>
      <w:proofErr w:type="spellStart"/>
      <w:r w:rsidRPr="00306DF6">
        <w:rPr>
          <w:sz w:val="20"/>
          <w:szCs w:val="20"/>
        </w:rPr>
        <w:t>ranges.Price</w:t>
      </w:r>
      <w:proofErr w:type="spellEnd"/>
      <w:r w:rsidRPr="00306DF6">
        <w:rPr>
          <w:sz w:val="20"/>
          <w:szCs w:val="20"/>
        </w:rPr>
        <w:t xml:space="preserve">: low-price / affordability strategy, value for </w:t>
      </w:r>
      <w:proofErr w:type="spellStart"/>
      <w:r w:rsidRPr="00306DF6">
        <w:rPr>
          <w:sz w:val="20"/>
          <w:szCs w:val="20"/>
        </w:rPr>
        <w:t>money.Place</w:t>
      </w:r>
      <w:proofErr w:type="spellEnd"/>
      <w:r w:rsidRPr="00306DF6">
        <w:rPr>
          <w:sz w:val="20"/>
          <w:szCs w:val="20"/>
        </w:rPr>
        <w:t xml:space="preserve">: large stores, city stores, online channels, planning services, delivery and </w:t>
      </w:r>
      <w:proofErr w:type="spellStart"/>
      <w:r w:rsidRPr="00306DF6">
        <w:rPr>
          <w:sz w:val="20"/>
          <w:szCs w:val="20"/>
        </w:rPr>
        <w:t>collection.Promotion</w:t>
      </w:r>
      <w:proofErr w:type="spellEnd"/>
      <w:r w:rsidRPr="00306DF6">
        <w:rPr>
          <w:sz w:val="20"/>
          <w:szCs w:val="20"/>
        </w:rPr>
        <w:t xml:space="preserve">: democratic design, home lifestyle, family identity, sustainability, practical </w:t>
      </w:r>
      <w:proofErr w:type="spellStart"/>
      <w:r w:rsidRPr="00306DF6">
        <w:rPr>
          <w:sz w:val="20"/>
          <w:szCs w:val="20"/>
        </w:rPr>
        <w:t>living.Innovation:Flat-pack</w:t>
      </w:r>
      <w:proofErr w:type="spellEnd"/>
      <w:r w:rsidRPr="00306DF6">
        <w:rPr>
          <w:sz w:val="20"/>
          <w:szCs w:val="20"/>
        </w:rPr>
        <w:t xml:space="preserve"> furniture, digital planning, circular services, repair / spare parts, sustainable </w:t>
      </w:r>
      <w:proofErr w:type="spellStart"/>
      <w:r w:rsidRPr="00306DF6">
        <w:rPr>
          <w:sz w:val="20"/>
          <w:szCs w:val="20"/>
        </w:rPr>
        <w:t>materials.Communication:IKEA</w:t>
      </w:r>
      <w:proofErr w:type="spellEnd"/>
      <w:r w:rsidRPr="00306DF6">
        <w:rPr>
          <w:sz w:val="20"/>
          <w:szCs w:val="20"/>
        </w:rPr>
        <w:t xml:space="preserve"> communicates not only product features but a lifestyle: affordable better living at home. This strengthens emotional and practical customer value.</w:t>
      </w:r>
    </w:p>
    <w:p w14:paraId="7DCCA22E" w14:textId="4E10F29B" w:rsidR="000F6C5F" w:rsidRDefault="000F6C5F" w:rsidP="00306DF6">
      <w:pPr>
        <w:jc w:val="both"/>
        <w:rPr>
          <w:sz w:val="20"/>
          <w:szCs w:val="20"/>
        </w:rPr>
      </w:pPr>
      <w:r w:rsidRPr="00306DF6">
        <w:rPr>
          <w:sz w:val="20"/>
          <w:szCs w:val="20"/>
        </w:rPr>
        <w:t xml:space="preserve">Q4 Shareholder </w:t>
      </w:r>
      <w:proofErr w:type="spellStart"/>
      <w:proofErr w:type="gramStart"/>
      <w:r w:rsidRPr="00306DF6">
        <w:rPr>
          <w:sz w:val="20"/>
          <w:szCs w:val="20"/>
        </w:rPr>
        <w:t>view:Businesses</w:t>
      </w:r>
      <w:proofErr w:type="spellEnd"/>
      <w:proofErr w:type="gramEnd"/>
      <w:r w:rsidRPr="00306DF6">
        <w:rPr>
          <w:sz w:val="20"/>
          <w:szCs w:val="20"/>
        </w:rPr>
        <w:t xml:space="preserve"> should focus on financial return and owners’ </w:t>
      </w:r>
      <w:proofErr w:type="spellStart"/>
      <w:proofErr w:type="gramStart"/>
      <w:r w:rsidRPr="00306DF6">
        <w:rPr>
          <w:sz w:val="20"/>
          <w:szCs w:val="20"/>
        </w:rPr>
        <w:t>interests.Stakeholder</w:t>
      </w:r>
      <w:proofErr w:type="spellEnd"/>
      <w:proofErr w:type="gramEnd"/>
      <w:r w:rsidRPr="00306DF6">
        <w:rPr>
          <w:sz w:val="20"/>
          <w:szCs w:val="20"/>
        </w:rPr>
        <w:t xml:space="preserve"> </w:t>
      </w:r>
      <w:proofErr w:type="spellStart"/>
      <w:proofErr w:type="gramStart"/>
      <w:r w:rsidRPr="00306DF6">
        <w:rPr>
          <w:sz w:val="20"/>
          <w:szCs w:val="20"/>
        </w:rPr>
        <w:t>theory:Businesses</w:t>
      </w:r>
      <w:proofErr w:type="spellEnd"/>
      <w:proofErr w:type="gramEnd"/>
      <w:r w:rsidRPr="00306DF6">
        <w:rPr>
          <w:sz w:val="20"/>
          <w:szCs w:val="20"/>
        </w:rPr>
        <w:t xml:space="preserve"> are responsible to multiple groups: customers, employees, suppliers, communities, environment and </w:t>
      </w:r>
      <w:proofErr w:type="spellStart"/>
      <w:proofErr w:type="gramStart"/>
      <w:r w:rsidRPr="00306DF6">
        <w:rPr>
          <w:sz w:val="20"/>
          <w:szCs w:val="20"/>
        </w:rPr>
        <w:t>shareholders.Profit</w:t>
      </w:r>
      <w:proofErr w:type="spellEnd"/>
      <w:proofErr w:type="gramEnd"/>
      <w:r w:rsidRPr="00306DF6">
        <w:rPr>
          <w:sz w:val="20"/>
          <w:szCs w:val="20"/>
        </w:rPr>
        <w:t xml:space="preserve"> remains necessary because IKEA needs financial strength to invest in supply chains, stores, digital services and sustainability. However, IKEA cannot focus only on short-term return. Its long-term legitimacy depends on affordable products, responsible sourcing, employee welfare, customer trust, reduced emissions, circular economy and sustainable </w:t>
      </w:r>
      <w:proofErr w:type="spellStart"/>
      <w:r w:rsidRPr="00306DF6">
        <w:rPr>
          <w:sz w:val="20"/>
          <w:szCs w:val="20"/>
        </w:rPr>
        <w:t>materials.CSR</w:t>
      </w:r>
      <w:proofErr w:type="spellEnd"/>
      <w:r w:rsidRPr="00306DF6">
        <w:rPr>
          <w:sz w:val="20"/>
          <w:szCs w:val="20"/>
        </w:rPr>
        <w:t xml:space="preserve"> / sustainability </w:t>
      </w:r>
      <w:proofErr w:type="spellStart"/>
      <w:r w:rsidRPr="00306DF6">
        <w:rPr>
          <w:sz w:val="20"/>
          <w:szCs w:val="20"/>
        </w:rPr>
        <w:t>examples:Sustainable</w:t>
      </w:r>
      <w:proofErr w:type="spellEnd"/>
      <w:r w:rsidRPr="00306DF6">
        <w:rPr>
          <w:sz w:val="20"/>
          <w:szCs w:val="20"/>
        </w:rPr>
        <w:t xml:space="preserve"> </w:t>
      </w:r>
      <w:proofErr w:type="spellStart"/>
      <w:r w:rsidRPr="00306DF6">
        <w:rPr>
          <w:sz w:val="20"/>
          <w:szCs w:val="20"/>
        </w:rPr>
        <w:t>sourcing.Circular</w:t>
      </w:r>
      <w:proofErr w:type="spellEnd"/>
      <w:r w:rsidRPr="00306DF6">
        <w:rPr>
          <w:sz w:val="20"/>
          <w:szCs w:val="20"/>
        </w:rPr>
        <w:t xml:space="preserve"> economy: repair, reuse, resale, </w:t>
      </w:r>
      <w:proofErr w:type="spellStart"/>
      <w:r w:rsidRPr="00306DF6">
        <w:rPr>
          <w:sz w:val="20"/>
          <w:szCs w:val="20"/>
        </w:rPr>
        <w:t>recycling.Lower</w:t>
      </w:r>
      <w:proofErr w:type="spellEnd"/>
      <w:r w:rsidRPr="00306DF6">
        <w:rPr>
          <w:sz w:val="20"/>
          <w:szCs w:val="20"/>
        </w:rPr>
        <w:t xml:space="preserve"> climate </w:t>
      </w:r>
      <w:proofErr w:type="spellStart"/>
      <w:r w:rsidRPr="00306DF6">
        <w:rPr>
          <w:sz w:val="20"/>
          <w:szCs w:val="20"/>
        </w:rPr>
        <w:t>footprint.Affordable</w:t>
      </w:r>
      <w:proofErr w:type="spellEnd"/>
      <w:r w:rsidRPr="00306DF6">
        <w:rPr>
          <w:sz w:val="20"/>
          <w:szCs w:val="20"/>
        </w:rPr>
        <w:t xml:space="preserve"> products during cost-of-living </w:t>
      </w:r>
      <w:proofErr w:type="spellStart"/>
      <w:r w:rsidRPr="00306DF6">
        <w:rPr>
          <w:sz w:val="20"/>
          <w:szCs w:val="20"/>
        </w:rPr>
        <w:t>pressure.Fair</w:t>
      </w:r>
      <w:proofErr w:type="spellEnd"/>
      <w:r w:rsidRPr="00306DF6">
        <w:rPr>
          <w:sz w:val="20"/>
          <w:szCs w:val="20"/>
        </w:rPr>
        <w:t xml:space="preserve"> treatment of workers and </w:t>
      </w:r>
      <w:proofErr w:type="spellStart"/>
      <w:r w:rsidRPr="00306DF6">
        <w:rPr>
          <w:sz w:val="20"/>
          <w:szCs w:val="20"/>
        </w:rPr>
        <w:t>suppliers.Democratic</w:t>
      </w:r>
      <w:proofErr w:type="spellEnd"/>
      <w:r w:rsidRPr="00306DF6">
        <w:rPr>
          <w:sz w:val="20"/>
          <w:szCs w:val="20"/>
        </w:rPr>
        <w:t xml:space="preserve"> design: form, function, quality, sustainability and low </w:t>
      </w:r>
      <w:proofErr w:type="spellStart"/>
      <w:r w:rsidRPr="00306DF6">
        <w:rPr>
          <w:sz w:val="20"/>
          <w:szCs w:val="20"/>
        </w:rPr>
        <w:t>price.Modern</w:t>
      </w:r>
      <w:proofErr w:type="spellEnd"/>
      <w:r w:rsidRPr="00306DF6">
        <w:rPr>
          <w:sz w:val="20"/>
          <w:szCs w:val="20"/>
        </w:rPr>
        <w:t xml:space="preserve"> </w:t>
      </w:r>
      <w:proofErr w:type="spellStart"/>
      <w:r w:rsidRPr="00306DF6">
        <w:rPr>
          <w:sz w:val="20"/>
          <w:szCs w:val="20"/>
        </w:rPr>
        <w:t>organisations</w:t>
      </w:r>
      <w:proofErr w:type="spellEnd"/>
      <w:r w:rsidRPr="00306DF6">
        <w:rPr>
          <w:sz w:val="20"/>
          <w:szCs w:val="20"/>
        </w:rPr>
        <w:t xml:space="preserve"> face system pressures and must create adaptive spaces for change. IKEA must balance global consistency with local adaptation: global sustainability goals, but different national regulations, consumer </w:t>
      </w:r>
      <w:proofErr w:type="spellStart"/>
      <w:r w:rsidRPr="00306DF6">
        <w:rPr>
          <w:sz w:val="20"/>
          <w:szCs w:val="20"/>
        </w:rPr>
        <w:t>behaviours</w:t>
      </w:r>
      <w:proofErr w:type="spellEnd"/>
      <w:r w:rsidRPr="00306DF6">
        <w:rPr>
          <w:sz w:val="20"/>
          <w:szCs w:val="20"/>
        </w:rPr>
        <w:t xml:space="preserve"> and recycling </w:t>
      </w:r>
      <w:proofErr w:type="spellStart"/>
      <w:r w:rsidRPr="00306DF6">
        <w:rPr>
          <w:sz w:val="20"/>
          <w:szCs w:val="20"/>
        </w:rPr>
        <w:t>systems.It</w:t>
      </w:r>
      <w:proofErr w:type="spellEnd"/>
      <w:r w:rsidRPr="00306DF6">
        <w:rPr>
          <w:sz w:val="20"/>
          <w:szCs w:val="20"/>
        </w:rPr>
        <w:t xml:space="preserve"> also needs </w:t>
      </w:r>
      <w:proofErr w:type="spellStart"/>
      <w:r w:rsidRPr="00306DF6">
        <w:rPr>
          <w:sz w:val="20"/>
          <w:szCs w:val="20"/>
        </w:rPr>
        <w:t>organisational</w:t>
      </w:r>
      <w:proofErr w:type="spellEnd"/>
      <w:r w:rsidRPr="00306DF6">
        <w:rPr>
          <w:sz w:val="20"/>
          <w:szCs w:val="20"/>
        </w:rPr>
        <w:t xml:space="preserve"> ambidexterity: exploit the existing low-cost model while exploring circular and digital </w:t>
      </w:r>
      <w:proofErr w:type="spellStart"/>
      <w:r w:rsidRPr="00306DF6">
        <w:rPr>
          <w:sz w:val="20"/>
          <w:szCs w:val="20"/>
        </w:rPr>
        <w:t>models.Strengths</w:t>
      </w:r>
      <w:proofErr w:type="spellEnd"/>
      <w:r w:rsidRPr="00306DF6">
        <w:rPr>
          <w:sz w:val="20"/>
          <w:szCs w:val="20"/>
        </w:rPr>
        <w:t xml:space="preserve"> of </w:t>
      </w:r>
      <w:proofErr w:type="spellStart"/>
      <w:r w:rsidRPr="00306DF6">
        <w:rPr>
          <w:sz w:val="20"/>
          <w:szCs w:val="20"/>
        </w:rPr>
        <w:t>CSR:Improves</w:t>
      </w:r>
      <w:proofErr w:type="spellEnd"/>
      <w:r w:rsidRPr="00306DF6">
        <w:rPr>
          <w:sz w:val="20"/>
          <w:szCs w:val="20"/>
        </w:rPr>
        <w:t xml:space="preserve"> legitimacy, reputation and customer </w:t>
      </w:r>
      <w:proofErr w:type="spellStart"/>
      <w:r w:rsidRPr="00306DF6">
        <w:rPr>
          <w:sz w:val="20"/>
          <w:szCs w:val="20"/>
        </w:rPr>
        <w:t>trust.Reduces</w:t>
      </w:r>
      <w:proofErr w:type="spellEnd"/>
      <w:r w:rsidRPr="00306DF6">
        <w:rPr>
          <w:sz w:val="20"/>
          <w:szCs w:val="20"/>
        </w:rPr>
        <w:t xml:space="preserve"> long-term regulatory and environmental </w:t>
      </w:r>
      <w:proofErr w:type="spellStart"/>
      <w:r w:rsidRPr="00306DF6">
        <w:rPr>
          <w:sz w:val="20"/>
          <w:szCs w:val="20"/>
        </w:rPr>
        <w:t>risk.Supports</w:t>
      </w:r>
      <w:proofErr w:type="spellEnd"/>
      <w:r w:rsidRPr="00306DF6">
        <w:rPr>
          <w:sz w:val="20"/>
          <w:szCs w:val="20"/>
        </w:rPr>
        <w:t xml:space="preserve"> sustainable competitive </w:t>
      </w:r>
      <w:proofErr w:type="spellStart"/>
      <w:r w:rsidRPr="00306DF6">
        <w:rPr>
          <w:sz w:val="20"/>
          <w:szCs w:val="20"/>
        </w:rPr>
        <w:t>advantage.IKEA</w:t>
      </w:r>
      <w:proofErr w:type="spellEnd"/>
      <w:r w:rsidRPr="00306DF6">
        <w:rPr>
          <w:sz w:val="20"/>
          <w:szCs w:val="20"/>
        </w:rPr>
        <w:t xml:space="preserve"> should balance financial return with stakeholder value. Profit is necessary, but sustainability and social responsibility are increasingly part of long-term competitiveness rather than separate ethical extras.</w:t>
      </w:r>
    </w:p>
    <w:p w14:paraId="7B11AAD0" w14:textId="77777777" w:rsidR="00250ACC" w:rsidRDefault="00250ACC" w:rsidP="00306DF6">
      <w:pPr>
        <w:jc w:val="both"/>
        <w:rPr>
          <w:sz w:val="20"/>
          <w:szCs w:val="20"/>
        </w:rPr>
      </w:pPr>
    </w:p>
    <w:p w14:paraId="78F803B8" w14:textId="77777777" w:rsidR="000E7809" w:rsidRPr="000E7809" w:rsidRDefault="000E7809" w:rsidP="000E7809">
      <w:pPr>
        <w:jc w:val="both"/>
        <w:rPr>
          <w:sz w:val="20"/>
          <w:szCs w:val="20"/>
        </w:rPr>
      </w:pPr>
      <w:r w:rsidRPr="000E7809">
        <w:rPr>
          <w:sz w:val="20"/>
          <w:szCs w:val="20"/>
        </w:rPr>
        <w:lastRenderedPageBreak/>
        <w:t>Alexander, B. and Varley, R. (</w:t>
      </w:r>
      <w:proofErr w:type="gramStart"/>
      <w:r w:rsidRPr="000E7809">
        <w:rPr>
          <w:sz w:val="20"/>
          <w:szCs w:val="20"/>
        </w:rPr>
        <w:t>2025) ‘</w:t>
      </w:r>
      <w:proofErr w:type="gramEnd"/>
      <w:r w:rsidRPr="000E7809">
        <w:rPr>
          <w:sz w:val="20"/>
          <w:szCs w:val="20"/>
        </w:rPr>
        <w:t xml:space="preserve">Retail futures: Customer experience, phygital retailing, and the experiential retail territories perspective’, </w:t>
      </w:r>
      <w:r w:rsidRPr="000E7809">
        <w:rPr>
          <w:i/>
          <w:iCs/>
          <w:sz w:val="20"/>
          <w:szCs w:val="20"/>
        </w:rPr>
        <w:t>Journal of Retailing and Consumer Services</w:t>
      </w:r>
      <w:r w:rsidRPr="000E7809">
        <w:rPr>
          <w:sz w:val="20"/>
          <w:szCs w:val="20"/>
        </w:rPr>
        <w:t xml:space="preserve">, 82, p. 104108. Available at: </w:t>
      </w:r>
      <w:hyperlink r:id="rId4" w:history="1">
        <w:r w:rsidRPr="000E7809">
          <w:rPr>
            <w:rStyle w:val="ae"/>
            <w:sz w:val="20"/>
            <w:szCs w:val="20"/>
          </w:rPr>
          <w:t>https://doi.org/10.1016/j.jretconser.2024.104108</w:t>
        </w:r>
      </w:hyperlink>
      <w:r w:rsidRPr="000E7809">
        <w:rPr>
          <w:sz w:val="20"/>
          <w:szCs w:val="20"/>
        </w:rPr>
        <w:t>.</w:t>
      </w:r>
    </w:p>
    <w:p w14:paraId="5DB3B01D" w14:textId="77777777" w:rsidR="000E7809" w:rsidRPr="000E7809" w:rsidRDefault="000E7809" w:rsidP="000E7809">
      <w:pPr>
        <w:jc w:val="both"/>
        <w:rPr>
          <w:sz w:val="20"/>
          <w:szCs w:val="20"/>
        </w:rPr>
      </w:pPr>
      <w:r w:rsidRPr="000E7809">
        <w:rPr>
          <w:sz w:val="20"/>
          <w:szCs w:val="20"/>
        </w:rPr>
        <w:t xml:space="preserve">Ali, N. and </w:t>
      </w:r>
      <w:proofErr w:type="spellStart"/>
      <w:r w:rsidRPr="000E7809">
        <w:rPr>
          <w:sz w:val="20"/>
          <w:szCs w:val="20"/>
        </w:rPr>
        <w:t>Shabn</w:t>
      </w:r>
      <w:proofErr w:type="spellEnd"/>
      <w:r w:rsidRPr="000E7809">
        <w:rPr>
          <w:sz w:val="20"/>
          <w:szCs w:val="20"/>
        </w:rPr>
        <w:t>, O.S. (</w:t>
      </w:r>
      <w:proofErr w:type="gramStart"/>
      <w:r w:rsidRPr="000E7809">
        <w:rPr>
          <w:sz w:val="20"/>
          <w:szCs w:val="20"/>
        </w:rPr>
        <w:t>2024) ‘</w:t>
      </w:r>
      <w:proofErr w:type="gramEnd"/>
      <w:r w:rsidRPr="000E7809">
        <w:rPr>
          <w:sz w:val="20"/>
          <w:szCs w:val="20"/>
        </w:rPr>
        <w:t xml:space="preserve">Customer lifetime value (CLV) insights for strategic marketing success and its impact on organizational financial performance’, </w:t>
      </w:r>
      <w:r w:rsidRPr="000E7809">
        <w:rPr>
          <w:i/>
          <w:iCs/>
          <w:sz w:val="20"/>
          <w:szCs w:val="20"/>
        </w:rPr>
        <w:t>Cogent Business &amp; Management</w:t>
      </w:r>
      <w:r w:rsidRPr="000E7809">
        <w:rPr>
          <w:sz w:val="20"/>
          <w:szCs w:val="20"/>
        </w:rPr>
        <w:t xml:space="preserve">, 11(1), p. 2361321. Available at: </w:t>
      </w:r>
      <w:hyperlink r:id="rId5" w:history="1">
        <w:r w:rsidRPr="000E7809">
          <w:rPr>
            <w:rStyle w:val="ae"/>
            <w:sz w:val="20"/>
            <w:szCs w:val="20"/>
          </w:rPr>
          <w:t>https://doi.org/10.1080/23311975.2024.2361321</w:t>
        </w:r>
      </w:hyperlink>
      <w:r w:rsidRPr="000E7809">
        <w:rPr>
          <w:sz w:val="20"/>
          <w:szCs w:val="20"/>
        </w:rPr>
        <w:t>.</w:t>
      </w:r>
    </w:p>
    <w:p w14:paraId="5178358E" w14:textId="77777777" w:rsidR="000E7809" w:rsidRPr="000E7809" w:rsidRDefault="000E7809" w:rsidP="000E7809">
      <w:pPr>
        <w:jc w:val="both"/>
        <w:rPr>
          <w:sz w:val="20"/>
          <w:szCs w:val="20"/>
        </w:rPr>
      </w:pPr>
      <w:proofErr w:type="spellStart"/>
      <w:r w:rsidRPr="000E7809">
        <w:rPr>
          <w:sz w:val="20"/>
          <w:szCs w:val="20"/>
        </w:rPr>
        <w:t>Correggi</w:t>
      </w:r>
      <w:proofErr w:type="spellEnd"/>
      <w:r w:rsidRPr="000E7809">
        <w:rPr>
          <w:sz w:val="20"/>
          <w:szCs w:val="20"/>
        </w:rPr>
        <w:t xml:space="preserve">, C., Di Toma, P. and </w:t>
      </w:r>
      <w:proofErr w:type="spellStart"/>
      <w:r w:rsidRPr="000E7809">
        <w:rPr>
          <w:sz w:val="20"/>
          <w:szCs w:val="20"/>
        </w:rPr>
        <w:t>Ghinoi</w:t>
      </w:r>
      <w:proofErr w:type="spellEnd"/>
      <w:r w:rsidRPr="000E7809">
        <w:rPr>
          <w:sz w:val="20"/>
          <w:szCs w:val="20"/>
        </w:rPr>
        <w:t xml:space="preserve">, S. (2024) ‘Rethinking dynamic capabilities in light of sustainability: A bibliometric analysis’, </w:t>
      </w:r>
      <w:r w:rsidRPr="000E7809">
        <w:rPr>
          <w:i/>
          <w:iCs/>
          <w:sz w:val="20"/>
          <w:szCs w:val="20"/>
        </w:rPr>
        <w:t>Business Strategy and the Environment</w:t>
      </w:r>
      <w:r w:rsidRPr="000E7809">
        <w:rPr>
          <w:sz w:val="20"/>
          <w:szCs w:val="20"/>
        </w:rPr>
        <w:t xml:space="preserve">, 33(8), pp. 7990–8016. Available at: </w:t>
      </w:r>
      <w:hyperlink r:id="rId6" w:history="1">
        <w:r w:rsidRPr="000E7809">
          <w:rPr>
            <w:rStyle w:val="ae"/>
            <w:sz w:val="20"/>
            <w:szCs w:val="20"/>
          </w:rPr>
          <w:t>https://doi.org/10.1002/bse.3901</w:t>
        </w:r>
      </w:hyperlink>
      <w:r w:rsidRPr="000E7809">
        <w:rPr>
          <w:sz w:val="20"/>
          <w:szCs w:val="20"/>
        </w:rPr>
        <w:t>.</w:t>
      </w:r>
    </w:p>
    <w:p w14:paraId="0BAB6D71" w14:textId="77777777" w:rsidR="000E7809" w:rsidRPr="000E7809" w:rsidRDefault="000E7809" w:rsidP="000E7809">
      <w:pPr>
        <w:jc w:val="both"/>
        <w:rPr>
          <w:sz w:val="20"/>
          <w:szCs w:val="20"/>
        </w:rPr>
      </w:pPr>
      <w:r w:rsidRPr="000E7809">
        <w:rPr>
          <w:sz w:val="20"/>
          <w:szCs w:val="20"/>
        </w:rPr>
        <w:t xml:space="preserve">Gutiérrez-Broncano, S. </w:t>
      </w:r>
      <w:r w:rsidRPr="000E7809">
        <w:rPr>
          <w:i/>
          <w:iCs/>
          <w:sz w:val="20"/>
          <w:szCs w:val="20"/>
        </w:rPr>
        <w:t>et al.</w:t>
      </w:r>
      <w:r w:rsidRPr="000E7809">
        <w:rPr>
          <w:sz w:val="20"/>
          <w:szCs w:val="20"/>
        </w:rPr>
        <w:t xml:space="preserve"> (</w:t>
      </w:r>
      <w:proofErr w:type="gramStart"/>
      <w:r w:rsidRPr="000E7809">
        <w:rPr>
          <w:sz w:val="20"/>
          <w:szCs w:val="20"/>
        </w:rPr>
        <w:t>2024) ‘</w:t>
      </w:r>
      <w:proofErr w:type="gramEnd"/>
      <w:r w:rsidRPr="000E7809">
        <w:rPr>
          <w:sz w:val="20"/>
          <w:szCs w:val="20"/>
        </w:rPr>
        <w:t xml:space="preserve">Can hybrid strategy improve SME performance? The role of innovation and adaptive capacity’, </w:t>
      </w:r>
      <w:r w:rsidRPr="000E7809">
        <w:rPr>
          <w:i/>
          <w:iCs/>
          <w:sz w:val="20"/>
          <w:szCs w:val="20"/>
        </w:rPr>
        <w:t>European Journal of Innovation Management</w:t>
      </w:r>
      <w:r w:rsidRPr="000E7809">
        <w:rPr>
          <w:sz w:val="20"/>
          <w:szCs w:val="20"/>
        </w:rPr>
        <w:t xml:space="preserve">, 27(9), pp. 173–197. Available at: </w:t>
      </w:r>
      <w:hyperlink r:id="rId7" w:history="1">
        <w:r w:rsidRPr="000E7809">
          <w:rPr>
            <w:rStyle w:val="ae"/>
            <w:sz w:val="20"/>
            <w:szCs w:val="20"/>
          </w:rPr>
          <w:t>https://doi.org/10.1108/EJIM-07-2023-0566</w:t>
        </w:r>
      </w:hyperlink>
      <w:r w:rsidRPr="000E7809">
        <w:rPr>
          <w:sz w:val="20"/>
          <w:szCs w:val="20"/>
        </w:rPr>
        <w:t>.</w:t>
      </w:r>
    </w:p>
    <w:p w14:paraId="4A924E42" w14:textId="77777777" w:rsidR="000E7809" w:rsidRPr="000E7809" w:rsidRDefault="000E7809" w:rsidP="000E7809">
      <w:pPr>
        <w:jc w:val="both"/>
        <w:rPr>
          <w:sz w:val="20"/>
          <w:szCs w:val="20"/>
        </w:rPr>
      </w:pPr>
      <w:r w:rsidRPr="000E7809">
        <w:rPr>
          <w:sz w:val="20"/>
          <w:szCs w:val="20"/>
        </w:rPr>
        <w:t xml:space="preserve">Khan, </w:t>
      </w:r>
      <w:proofErr w:type="spellStart"/>
      <w:r w:rsidRPr="000E7809">
        <w:rPr>
          <w:sz w:val="20"/>
          <w:szCs w:val="20"/>
        </w:rPr>
        <w:t>Md.R</w:t>
      </w:r>
      <w:proofErr w:type="spellEnd"/>
      <w:r w:rsidRPr="000E7809">
        <w:rPr>
          <w:sz w:val="20"/>
          <w:szCs w:val="20"/>
        </w:rPr>
        <w:t>. and Sarkar, U. (</w:t>
      </w:r>
      <w:proofErr w:type="gramStart"/>
      <w:r w:rsidRPr="000E7809">
        <w:rPr>
          <w:sz w:val="20"/>
          <w:szCs w:val="20"/>
        </w:rPr>
        <w:t>2024) ‘</w:t>
      </w:r>
      <w:proofErr w:type="gramEnd"/>
      <w:r w:rsidRPr="000E7809">
        <w:rPr>
          <w:sz w:val="20"/>
          <w:szCs w:val="20"/>
        </w:rPr>
        <w:t xml:space="preserve">Business leadership in the digital age: IKEA’s story in the retail and consumer sector’, </w:t>
      </w:r>
      <w:r w:rsidRPr="000E7809">
        <w:rPr>
          <w:i/>
          <w:iCs/>
          <w:sz w:val="20"/>
          <w:szCs w:val="20"/>
        </w:rPr>
        <w:t>Green Technologies and Sustainability</w:t>
      </w:r>
      <w:r w:rsidRPr="000E7809">
        <w:rPr>
          <w:sz w:val="20"/>
          <w:szCs w:val="20"/>
        </w:rPr>
        <w:t xml:space="preserve">, 2(2), p. 100081. Available at: </w:t>
      </w:r>
      <w:hyperlink r:id="rId8" w:history="1">
        <w:r w:rsidRPr="000E7809">
          <w:rPr>
            <w:rStyle w:val="ae"/>
            <w:sz w:val="20"/>
            <w:szCs w:val="20"/>
          </w:rPr>
          <w:t>https://doi.org/10.1016/j.grets.2024.100081</w:t>
        </w:r>
      </w:hyperlink>
      <w:r w:rsidRPr="000E7809">
        <w:rPr>
          <w:sz w:val="20"/>
          <w:szCs w:val="20"/>
        </w:rPr>
        <w:t>.</w:t>
      </w:r>
    </w:p>
    <w:p w14:paraId="69D11B62" w14:textId="77777777" w:rsidR="000E7809" w:rsidRPr="000E7809" w:rsidRDefault="000E7809" w:rsidP="000E7809">
      <w:pPr>
        <w:jc w:val="both"/>
        <w:rPr>
          <w:sz w:val="20"/>
          <w:szCs w:val="20"/>
        </w:rPr>
      </w:pPr>
      <w:r w:rsidRPr="000E7809">
        <w:rPr>
          <w:sz w:val="20"/>
          <w:szCs w:val="20"/>
        </w:rPr>
        <w:t xml:space="preserve">Li, Y. (2023) ‘Investigate the impact of supply chain sustainability transformation on enterprises: Case study of IKEA’, </w:t>
      </w:r>
      <w:r w:rsidRPr="000E7809">
        <w:rPr>
          <w:i/>
          <w:iCs/>
          <w:sz w:val="20"/>
          <w:szCs w:val="20"/>
        </w:rPr>
        <w:t>Advances in Economics, Management and Political Sciences</w:t>
      </w:r>
      <w:r w:rsidRPr="000E7809">
        <w:rPr>
          <w:sz w:val="20"/>
          <w:szCs w:val="20"/>
        </w:rPr>
        <w:t xml:space="preserve">, 65(1), pp. 195–200. Available at: </w:t>
      </w:r>
      <w:hyperlink r:id="rId9" w:history="1">
        <w:r w:rsidRPr="000E7809">
          <w:rPr>
            <w:rStyle w:val="ae"/>
            <w:sz w:val="20"/>
            <w:szCs w:val="20"/>
          </w:rPr>
          <w:t>https://doi.org/10.54254/2754-1169/65/20231631</w:t>
        </w:r>
      </w:hyperlink>
      <w:r w:rsidRPr="000E7809">
        <w:rPr>
          <w:sz w:val="20"/>
          <w:szCs w:val="20"/>
        </w:rPr>
        <w:t>.</w:t>
      </w:r>
    </w:p>
    <w:p w14:paraId="16145D8A" w14:textId="77777777" w:rsidR="000E7809" w:rsidRPr="000E7809" w:rsidRDefault="000E7809" w:rsidP="000E7809">
      <w:pPr>
        <w:jc w:val="both"/>
        <w:rPr>
          <w:sz w:val="20"/>
          <w:szCs w:val="20"/>
        </w:rPr>
      </w:pPr>
      <w:proofErr w:type="spellStart"/>
      <w:r w:rsidRPr="000E7809">
        <w:rPr>
          <w:sz w:val="20"/>
          <w:szCs w:val="20"/>
        </w:rPr>
        <w:t>Oyedijo</w:t>
      </w:r>
      <w:proofErr w:type="spellEnd"/>
      <w:r w:rsidRPr="000E7809">
        <w:rPr>
          <w:sz w:val="20"/>
          <w:szCs w:val="20"/>
        </w:rPr>
        <w:t xml:space="preserve">, A. </w:t>
      </w:r>
      <w:r w:rsidRPr="000E7809">
        <w:rPr>
          <w:i/>
          <w:iCs/>
          <w:sz w:val="20"/>
          <w:szCs w:val="20"/>
        </w:rPr>
        <w:t>et al.</w:t>
      </w:r>
      <w:r w:rsidRPr="000E7809">
        <w:rPr>
          <w:sz w:val="20"/>
          <w:szCs w:val="20"/>
        </w:rPr>
        <w:t xml:space="preserve"> (2024) ‘Multi-tier sustainable supply chain management: A case study of a global food retailer’, </w:t>
      </w:r>
      <w:r w:rsidRPr="000E7809">
        <w:rPr>
          <w:i/>
          <w:iCs/>
          <w:sz w:val="20"/>
          <w:szCs w:val="20"/>
        </w:rPr>
        <w:t>Supply Chain Management: An International Journal</w:t>
      </w:r>
      <w:r w:rsidRPr="000E7809">
        <w:rPr>
          <w:sz w:val="20"/>
          <w:szCs w:val="20"/>
        </w:rPr>
        <w:t xml:space="preserve">, 29(1), pp. 68–97. Available at: </w:t>
      </w:r>
      <w:hyperlink r:id="rId10" w:history="1">
        <w:r w:rsidRPr="000E7809">
          <w:rPr>
            <w:rStyle w:val="ae"/>
            <w:sz w:val="20"/>
            <w:szCs w:val="20"/>
          </w:rPr>
          <w:t>https://doi.org/10.1108/SCM-05-2022-0205</w:t>
        </w:r>
      </w:hyperlink>
      <w:r w:rsidRPr="000E7809">
        <w:rPr>
          <w:sz w:val="20"/>
          <w:szCs w:val="20"/>
        </w:rPr>
        <w:t>.</w:t>
      </w:r>
    </w:p>
    <w:p w14:paraId="26552FEE" w14:textId="77777777" w:rsidR="000E7809" w:rsidRPr="000E7809" w:rsidRDefault="000E7809" w:rsidP="000E7809">
      <w:pPr>
        <w:jc w:val="both"/>
        <w:rPr>
          <w:sz w:val="20"/>
          <w:szCs w:val="20"/>
        </w:rPr>
      </w:pPr>
      <w:r w:rsidRPr="000E7809">
        <w:rPr>
          <w:sz w:val="20"/>
          <w:szCs w:val="20"/>
        </w:rPr>
        <w:t xml:space="preserve">Rosário, A.T., Lopes, P. and Rosário, F.S. (2024) ‘Sustainability and the circular economy business development’, </w:t>
      </w:r>
      <w:r w:rsidRPr="000E7809">
        <w:rPr>
          <w:i/>
          <w:iCs/>
          <w:sz w:val="20"/>
          <w:szCs w:val="20"/>
        </w:rPr>
        <w:t>Sustainability</w:t>
      </w:r>
      <w:r w:rsidRPr="000E7809">
        <w:rPr>
          <w:sz w:val="20"/>
          <w:szCs w:val="20"/>
        </w:rPr>
        <w:t xml:space="preserve">, 16(14), p. 6092. Available at: </w:t>
      </w:r>
      <w:hyperlink r:id="rId11" w:history="1">
        <w:r w:rsidRPr="000E7809">
          <w:rPr>
            <w:rStyle w:val="ae"/>
            <w:sz w:val="20"/>
            <w:szCs w:val="20"/>
          </w:rPr>
          <w:t>https://doi.org/10.3390/su16146092</w:t>
        </w:r>
      </w:hyperlink>
      <w:r w:rsidRPr="000E7809">
        <w:rPr>
          <w:sz w:val="20"/>
          <w:szCs w:val="20"/>
        </w:rPr>
        <w:t>.</w:t>
      </w:r>
    </w:p>
    <w:p w14:paraId="2D1C8B2A" w14:textId="77777777" w:rsidR="000E7809" w:rsidRPr="000E7809" w:rsidRDefault="000E7809" w:rsidP="000E7809">
      <w:pPr>
        <w:jc w:val="both"/>
        <w:rPr>
          <w:sz w:val="20"/>
          <w:szCs w:val="20"/>
        </w:rPr>
      </w:pPr>
      <w:proofErr w:type="spellStart"/>
      <w:r w:rsidRPr="000E7809">
        <w:rPr>
          <w:sz w:val="20"/>
          <w:szCs w:val="20"/>
        </w:rPr>
        <w:t>Theeraworawit</w:t>
      </w:r>
      <w:proofErr w:type="spellEnd"/>
      <w:r w:rsidRPr="000E7809">
        <w:rPr>
          <w:sz w:val="20"/>
          <w:szCs w:val="20"/>
        </w:rPr>
        <w:t xml:space="preserve">, M., </w:t>
      </w:r>
      <w:proofErr w:type="spellStart"/>
      <w:r w:rsidRPr="000E7809">
        <w:rPr>
          <w:sz w:val="20"/>
          <w:szCs w:val="20"/>
        </w:rPr>
        <w:t>Suriyankietkaew</w:t>
      </w:r>
      <w:proofErr w:type="spellEnd"/>
      <w:r w:rsidRPr="000E7809">
        <w:rPr>
          <w:sz w:val="20"/>
          <w:szCs w:val="20"/>
        </w:rPr>
        <w:t xml:space="preserve">, S. and Hallinger, P. (2022) ‘Sustainable supply chain management in a circular economy: A bibliometric review’, </w:t>
      </w:r>
      <w:r w:rsidRPr="000E7809">
        <w:rPr>
          <w:i/>
          <w:iCs/>
          <w:sz w:val="20"/>
          <w:szCs w:val="20"/>
        </w:rPr>
        <w:t>Sustainability</w:t>
      </w:r>
      <w:r w:rsidRPr="000E7809">
        <w:rPr>
          <w:sz w:val="20"/>
          <w:szCs w:val="20"/>
        </w:rPr>
        <w:t xml:space="preserve">, 14(15), p. 9304. Available at: </w:t>
      </w:r>
      <w:hyperlink r:id="rId12" w:history="1">
        <w:r w:rsidRPr="000E7809">
          <w:rPr>
            <w:rStyle w:val="ae"/>
            <w:sz w:val="20"/>
            <w:szCs w:val="20"/>
          </w:rPr>
          <w:t>https://doi.org/10.3390/su14159304</w:t>
        </w:r>
      </w:hyperlink>
      <w:r w:rsidRPr="000E7809">
        <w:rPr>
          <w:sz w:val="20"/>
          <w:szCs w:val="20"/>
        </w:rPr>
        <w:t>.</w:t>
      </w:r>
    </w:p>
    <w:p w14:paraId="3B138B99" w14:textId="77777777" w:rsidR="000E7809" w:rsidRPr="000E7809" w:rsidRDefault="000E7809" w:rsidP="000E7809">
      <w:pPr>
        <w:jc w:val="both"/>
        <w:rPr>
          <w:sz w:val="20"/>
          <w:szCs w:val="20"/>
        </w:rPr>
      </w:pPr>
      <w:r w:rsidRPr="000E7809">
        <w:rPr>
          <w:sz w:val="20"/>
          <w:szCs w:val="20"/>
        </w:rPr>
        <w:t xml:space="preserve">Zhou, S. (2024) ‘Analyzing IKEA brand’s media marketing strategies and improving customer experience through inductive reasoning approach’, </w:t>
      </w:r>
      <w:r w:rsidRPr="000E7809">
        <w:rPr>
          <w:i/>
          <w:iCs/>
          <w:sz w:val="20"/>
          <w:szCs w:val="20"/>
        </w:rPr>
        <w:t>Journal of Education, Humanities and Social Sciences</w:t>
      </w:r>
      <w:r w:rsidRPr="000E7809">
        <w:rPr>
          <w:sz w:val="20"/>
          <w:szCs w:val="20"/>
        </w:rPr>
        <w:t xml:space="preserve">, 27, pp. 392–399. Available at: </w:t>
      </w:r>
      <w:hyperlink r:id="rId13" w:history="1">
        <w:r w:rsidRPr="000E7809">
          <w:rPr>
            <w:rStyle w:val="ae"/>
            <w:sz w:val="20"/>
            <w:szCs w:val="20"/>
          </w:rPr>
          <w:t>https://doi.org/10.54097/1d1p0r71</w:t>
        </w:r>
      </w:hyperlink>
      <w:r w:rsidRPr="000E7809">
        <w:rPr>
          <w:sz w:val="20"/>
          <w:szCs w:val="20"/>
        </w:rPr>
        <w:t>.</w:t>
      </w:r>
    </w:p>
    <w:p w14:paraId="13C04A12" w14:textId="27EFD89F" w:rsidR="000E7809" w:rsidRPr="000E7809" w:rsidRDefault="000E7809" w:rsidP="000E7809">
      <w:pPr>
        <w:jc w:val="both"/>
        <w:rPr>
          <w:sz w:val="20"/>
          <w:szCs w:val="20"/>
        </w:rPr>
      </w:pPr>
      <w:r w:rsidRPr="000E7809">
        <w:rPr>
          <w:sz w:val="20"/>
          <w:szCs w:val="20"/>
        </w:rPr>
        <w:t>IKEA</w:t>
      </w:r>
      <w:r>
        <w:rPr>
          <w:rFonts w:hint="eastAsia"/>
          <w:sz w:val="20"/>
          <w:szCs w:val="20"/>
        </w:rPr>
        <w:t xml:space="preserve"> </w:t>
      </w:r>
      <w:r w:rsidRPr="000E7809">
        <w:rPr>
          <w:sz w:val="20"/>
          <w:szCs w:val="20"/>
        </w:rPr>
        <w:t xml:space="preserve">(2025) </w:t>
      </w:r>
      <w:r w:rsidRPr="000E7809">
        <w:rPr>
          <w:i/>
          <w:iCs/>
          <w:sz w:val="20"/>
          <w:szCs w:val="20"/>
        </w:rPr>
        <w:t>IKEA Sustainability Report FY24</w:t>
      </w:r>
      <w:r w:rsidRPr="000E7809">
        <w:rPr>
          <w:sz w:val="20"/>
          <w:szCs w:val="20"/>
        </w:rPr>
        <w:t>.</w:t>
      </w:r>
    </w:p>
    <w:p w14:paraId="335C4714" w14:textId="77777777" w:rsidR="000E7809" w:rsidRPr="000E7809" w:rsidRDefault="000E7809" w:rsidP="000E7809">
      <w:pPr>
        <w:jc w:val="both"/>
        <w:rPr>
          <w:sz w:val="20"/>
          <w:szCs w:val="20"/>
        </w:rPr>
      </w:pPr>
      <w:r w:rsidRPr="000E7809">
        <w:rPr>
          <w:sz w:val="20"/>
          <w:szCs w:val="20"/>
        </w:rPr>
        <w:t xml:space="preserve">Burt, S. </w:t>
      </w:r>
      <w:r w:rsidRPr="000E7809">
        <w:rPr>
          <w:i/>
          <w:iCs/>
          <w:sz w:val="20"/>
          <w:szCs w:val="20"/>
        </w:rPr>
        <w:t>et al.</w:t>
      </w:r>
      <w:r w:rsidRPr="000E7809">
        <w:rPr>
          <w:sz w:val="20"/>
          <w:szCs w:val="20"/>
        </w:rPr>
        <w:t xml:space="preserve"> (2021) ‘The changing marketing orientation within the business model of an international retailer – IKEA in China over 10 years’, </w:t>
      </w:r>
      <w:r w:rsidRPr="000E7809">
        <w:rPr>
          <w:i/>
          <w:iCs/>
          <w:sz w:val="20"/>
          <w:szCs w:val="20"/>
        </w:rPr>
        <w:t>The International Review of Retail, Distribution and Consumer Research</w:t>
      </w:r>
      <w:r w:rsidRPr="000E7809">
        <w:rPr>
          <w:sz w:val="20"/>
          <w:szCs w:val="20"/>
        </w:rPr>
        <w:t xml:space="preserve">, 31(2), pp. 229–255. Available at: </w:t>
      </w:r>
      <w:hyperlink r:id="rId14" w:history="1">
        <w:r w:rsidRPr="000E7809">
          <w:rPr>
            <w:rStyle w:val="ae"/>
            <w:sz w:val="20"/>
            <w:szCs w:val="20"/>
          </w:rPr>
          <w:t>https://doi.org/10.1080/09593969.2020.1857294</w:t>
        </w:r>
      </w:hyperlink>
      <w:r w:rsidRPr="000E7809">
        <w:rPr>
          <w:sz w:val="20"/>
          <w:szCs w:val="20"/>
        </w:rPr>
        <w:t>.</w:t>
      </w:r>
    </w:p>
    <w:p w14:paraId="1C1C7ABA" w14:textId="77777777" w:rsidR="00FD7497" w:rsidRPr="00FD7497" w:rsidRDefault="00FD7497" w:rsidP="00FD7497">
      <w:pPr>
        <w:jc w:val="both"/>
        <w:rPr>
          <w:sz w:val="20"/>
          <w:szCs w:val="20"/>
        </w:rPr>
      </w:pPr>
      <w:r w:rsidRPr="00FD7497">
        <w:rPr>
          <w:sz w:val="20"/>
          <w:szCs w:val="20"/>
        </w:rPr>
        <w:t xml:space="preserve">Milne, R. (2024). </w:t>
      </w:r>
      <w:r w:rsidRPr="00FD7497">
        <w:rPr>
          <w:i/>
          <w:iCs/>
          <w:sz w:val="20"/>
          <w:szCs w:val="20"/>
        </w:rPr>
        <w:t>Ikea Posts First Drop in Revenue since 2020 after Cutting Prices</w:t>
      </w:r>
      <w:r w:rsidRPr="00FD7497">
        <w:rPr>
          <w:sz w:val="20"/>
          <w:szCs w:val="20"/>
        </w:rPr>
        <w:t>. [</w:t>
      </w:r>
      <w:proofErr w:type="gramStart"/>
      <w:r w:rsidRPr="00FD7497">
        <w:rPr>
          <w:sz w:val="20"/>
          <w:szCs w:val="20"/>
        </w:rPr>
        <w:t>online] @</w:t>
      </w:r>
      <w:proofErr w:type="gramEnd"/>
      <w:r w:rsidRPr="00FD7497">
        <w:rPr>
          <w:sz w:val="20"/>
          <w:szCs w:val="20"/>
        </w:rPr>
        <w:t>FinancialTimes. Available at: https://www.ft.com/content/16e77ebe-f7e5-45f0-90b7-a52514a52aa2?utm_source=chatgpt.com&amp;syn-25a6b1a6=1 [Accessed 7 May 2026].</w:t>
      </w:r>
    </w:p>
    <w:p w14:paraId="0B9CF024" w14:textId="77777777" w:rsidR="00FD7497" w:rsidRPr="00FD7497" w:rsidRDefault="00FD7497" w:rsidP="00FD7497">
      <w:pPr>
        <w:jc w:val="both"/>
        <w:rPr>
          <w:sz w:val="20"/>
          <w:szCs w:val="20"/>
        </w:rPr>
      </w:pPr>
      <w:r w:rsidRPr="00FD7497">
        <w:rPr>
          <w:sz w:val="20"/>
          <w:szCs w:val="20"/>
        </w:rPr>
        <w:t xml:space="preserve">Reid, H. (2024a). Biggest IKEA retailer takes profit hit as price cuts dent sales. </w:t>
      </w:r>
      <w:r w:rsidRPr="00FD7497">
        <w:rPr>
          <w:i/>
          <w:iCs/>
          <w:sz w:val="20"/>
          <w:szCs w:val="20"/>
        </w:rPr>
        <w:t>Reuters</w:t>
      </w:r>
      <w:r w:rsidRPr="00FD7497">
        <w:rPr>
          <w:sz w:val="20"/>
          <w:szCs w:val="20"/>
        </w:rPr>
        <w:t>. [online] 27 Nov. Available at: https://www.reuters.com/business/retail-consumer/biggest-ikea-retailer-takes-profit-hit-price-cuts-dent-sales-2024-11-27/.</w:t>
      </w:r>
    </w:p>
    <w:p w14:paraId="1EB53BE5" w14:textId="77777777" w:rsidR="00FD7497" w:rsidRPr="00FD7497" w:rsidRDefault="00FD7497" w:rsidP="00FD7497">
      <w:pPr>
        <w:jc w:val="both"/>
        <w:rPr>
          <w:sz w:val="20"/>
          <w:szCs w:val="20"/>
        </w:rPr>
      </w:pPr>
      <w:r w:rsidRPr="00FD7497">
        <w:rPr>
          <w:sz w:val="20"/>
          <w:szCs w:val="20"/>
        </w:rPr>
        <w:t xml:space="preserve">Reid, H. (2024b). IKEA Reports Higher Profit despite Revenue Hit from Price Cuts. </w:t>
      </w:r>
      <w:r w:rsidRPr="00FD7497">
        <w:rPr>
          <w:i/>
          <w:iCs/>
          <w:sz w:val="20"/>
          <w:szCs w:val="20"/>
        </w:rPr>
        <w:t>Reuters</w:t>
      </w:r>
      <w:r w:rsidRPr="00FD7497">
        <w:rPr>
          <w:sz w:val="20"/>
          <w:szCs w:val="20"/>
        </w:rPr>
        <w:t>. [online] 8 Nov. Available at: https://www.reuters.com/business/retail-consumer/ikea-reports-higher-profit-despite-revenue-hit-price-cuts-2024-11-08/.</w:t>
      </w:r>
    </w:p>
    <w:p w14:paraId="29C7771E" w14:textId="77777777" w:rsidR="00FD7497" w:rsidRPr="00FD7497" w:rsidRDefault="00FD7497" w:rsidP="00FD7497">
      <w:pPr>
        <w:jc w:val="both"/>
        <w:rPr>
          <w:sz w:val="20"/>
          <w:szCs w:val="20"/>
        </w:rPr>
      </w:pPr>
      <w:r w:rsidRPr="00FD7497">
        <w:rPr>
          <w:sz w:val="20"/>
          <w:szCs w:val="20"/>
        </w:rPr>
        <w:t xml:space="preserve">Reid, H. (2025). Biggest IKEA Retailer to Invest $1 Billion in Recycling Firms. </w:t>
      </w:r>
      <w:r w:rsidRPr="00FD7497">
        <w:rPr>
          <w:i/>
          <w:iCs/>
          <w:sz w:val="20"/>
          <w:szCs w:val="20"/>
        </w:rPr>
        <w:t>Reuters</w:t>
      </w:r>
      <w:r w:rsidRPr="00FD7497">
        <w:rPr>
          <w:sz w:val="20"/>
          <w:szCs w:val="20"/>
        </w:rPr>
        <w:t>. [online] 15 Jan. Available at: https://www.reuters.com/sustainability/sustainable-finance-reporting/biggest-ikea-retailer-invest-1-billion-recycling-firms-2025-01-15/.</w:t>
      </w:r>
    </w:p>
    <w:p w14:paraId="099C4E18" w14:textId="3340E252" w:rsidR="00250ACC" w:rsidRPr="000E7809" w:rsidRDefault="00FD7497" w:rsidP="00306DF6">
      <w:pPr>
        <w:jc w:val="both"/>
        <w:rPr>
          <w:rFonts w:hint="eastAsia"/>
          <w:sz w:val="20"/>
          <w:szCs w:val="20"/>
        </w:rPr>
      </w:pPr>
      <w:r w:rsidRPr="00FD7497">
        <w:rPr>
          <w:sz w:val="20"/>
          <w:szCs w:val="20"/>
        </w:rPr>
        <w:t xml:space="preserve">Wright, G. (2025). </w:t>
      </w:r>
      <w:r w:rsidRPr="00FD7497">
        <w:rPr>
          <w:i/>
          <w:iCs/>
          <w:sz w:val="20"/>
          <w:szCs w:val="20"/>
        </w:rPr>
        <w:t>Ikea Secures Former Homebase Units for New small-format Stores - Retail Gazette</w:t>
      </w:r>
      <w:r w:rsidRPr="00FD7497">
        <w:rPr>
          <w:sz w:val="20"/>
          <w:szCs w:val="20"/>
        </w:rPr>
        <w:t>. [online] Retail Gazette. Available at: https://www.retailgazette.co.uk/blog/2025/04/ikea-small-format-stores-2/.</w:t>
      </w:r>
    </w:p>
    <w:sectPr w:rsidR="00250ACC" w:rsidRPr="000E7809" w:rsidSect="000F6C5F">
      <w:pgSz w:w="11906" w:h="16838"/>
      <w:pgMar w:top="284" w:right="284" w:bottom="284" w:left="284"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C5F"/>
    <w:rsid w:val="000E7809"/>
    <w:rsid w:val="000F6C5F"/>
    <w:rsid w:val="00250ACC"/>
    <w:rsid w:val="00306DF6"/>
    <w:rsid w:val="004154F9"/>
    <w:rsid w:val="005C7476"/>
    <w:rsid w:val="00CC1F02"/>
    <w:rsid w:val="00FD74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1DEC2"/>
  <w15:chartTrackingRefBased/>
  <w15:docId w15:val="{E22FD2EA-2AF1-410A-876E-125BD4CFA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0F6C5F"/>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F6C5F"/>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F6C5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F6C5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F6C5F"/>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F6C5F"/>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F6C5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F6C5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0F6C5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F6C5F"/>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F6C5F"/>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F6C5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F6C5F"/>
    <w:rPr>
      <w:rFonts w:cstheme="majorBidi"/>
      <w:color w:val="0F4761" w:themeColor="accent1" w:themeShade="BF"/>
      <w:sz w:val="28"/>
      <w:szCs w:val="28"/>
    </w:rPr>
  </w:style>
  <w:style w:type="character" w:customStyle="1" w:styleId="50">
    <w:name w:val="标题 5 字符"/>
    <w:basedOn w:val="a0"/>
    <w:link w:val="5"/>
    <w:uiPriority w:val="9"/>
    <w:semiHidden/>
    <w:rsid w:val="000F6C5F"/>
    <w:rPr>
      <w:rFonts w:cstheme="majorBidi"/>
      <w:color w:val="0F4761" w:themeColor="accent1" w:themeShade="BF"/>
      <w:sz w:val="24"/>
    </w:rPr>
  </w:style>
  <w:style w:type="character" w:customStyle="1" w:styleId="60">
    <w:name w:val="标题 6 字符"/>
    <w:basedOn w:val="a0"/>
    <w:link w:val="6"/>
    <w:uiPriority w:val="9"/>
    <w:semiHidden/>
    <w:rsid w:val="000F6C5F"/>
    <w:rPr>
      <w:rFonts w:cstheme="majorBidi"/>
      <w:b/>
      <w:bCs/>
      <w:color w:val="0F4761" w:themeColor="accent1" w:themeShade="BF"/>
    </w:rPr>
  </w:style>
  <w:style w:type="character" w:customStyle="1" w:styleId="70">
    <w:name w:val="标题 7 字符"/>
    <w:basedOn w:val="a0"/>
    <w:link w:val="7"/>
    <w:uiPriority w:val="9"/>
    <w:semiHidden/>
    <w:rsid w:val="000F6C5F"/>
    <w:rPr>
      <w:rFonts w:cstheme="majorBidi"/>
      <w:b/>
      <w:bCs/>
      <w:color w:val="595959" w:themeColor="text1" w:themeTint="A6"/>
    </w:rPr>
  </w:style>
  <w:style w:type="character" w:customStyle="1" w:styleId="80">
    <w:name w:val="标题 8 字符"/>
    <w:basedOn w:val="a0"/>
    <w:link w:val="8"/>
    <w:uiPriority w:val="9"/>
    <w:semiHidden/>
    <w:rsid w:val="000F6C5F"/>
    <w:rPr>
      <w:rFonts w:cstheme="majorBidi"/>
      <w:color w:val="595959" w:themeColor="text1" w:themeTint="A6"/>
    </w:rPr>
  </w:style>
  <w:style w:type="character" w:customStyle="1" w:styleId="90">
    <w:name w:val="标题 9 字符"/>
    <w:basedOn w:val="a0"/>
    <w:link w:val="9"/>
    <w:uiPriority w:val="9"/>
    <w:semiHidden/>
    <w:rsid w:val="000F6C5F"/>
    <w:rPr>
      <w:rFonts w:eastAsiaTheme="majorEastAsia" w:cstheme="majorBidi"/>
      <w:color w:val="595959" w:themeColor="text1" w:themeTint="A6"/>
    </w:rPr>
  </w:style>
  <w:style w:type="paragraph" w:styleId="a3">
    <w:name w:val="Title"/>
    <w:basedOn w:val="a"/>
    <w:next w:val="a"/>
    <w:link w:val="a4"/>
    <w:uiPriority w:val="10"/>
    <w:qFormat/>
    <w:rsid w:val="000F6C5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F6C5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F6C5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F6C5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F6C5F"/>
    <w:pPr>
      <w:spacing w:before="160"/>
      <w:jc w:val="center"/>
    </w:pPr>
    <w:rPr>
      <w:i/>
      <w:iCs/>
      <w:color w:val="404040" w:themeColor="text1" w:themeTint="BF"/>
    </w:rPr>
  </w:style>
  <w:style w:type="character" w:customStyle="1" w:styleId="a8">
    <w:name w:val="引用 字符"/>
    <w:basedOn w:val="a0"/>
    <w:link w:val="a7"/>
    <w:uiPriority w:val="29"/>
    <w:rsid w:val="000F6C5F"/>
    <w:rPr>
      <w:i/>
      <w:iCs/>
      <w:color w:val="404040" w:themeColor="text1" w:themeTint="BF"/>
    </w:rPr>
  </w:style>
  <w:style w:type="paragraph" w:styleId="a9">
    <w:name w:val="List Paragraph"/>
    <w:basedOn w:val="a"/>
    <w:uiPriority w:val="34"/>
    <w:qFormat/>
    <w:rsid w:val="000F6C5F"/>
    <w:pPr>
      <w:ind w:left="720"/>
      <w:contextualSpacing/>
    </w:pPr>
  </w:style>
  <w:style w:type="character" w:styleId="aa">
    <w:name w:val="Intense Emphasis"/>
    <w:basedOn w:val="a0"/>
    <w:uiPriority w:val="21"/>
    <w:qFormat/>
    <w:rsid w:val="000F6C5F"/>
    <w:rPr>
      <w:i/>
      <w:iCs/>
      <w:color w:val="0F4761" w:themeColor="accent1" w:themeShade="BF"/>
    </w:rPr>
  </w:style>
  <w:style w:type="paragraph" w:styleId="ab">
    <w:name w:val="Intense Quote"/>
    <w:basedOn w:val="a"/>
    <w:next w:val="a"/>
    <w:link w:val="ac"/>
    <w:uiPriority w:val="30"/>
    <w:qFormat/>
    <w:rsid w:val="000F6C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F6C5F"/>
    <w:rPr>
      <w:i/>
      <w:iCs/>
      <w:color w:val="0F4761" w:themeColor="accent1" w:themeShade="BF"/>
    </w:rPr>
  </w:style>
  <w:style w:type="character" w:styleId="ad">
    <w:name w:val="Intense Reference"/>
    <w:basedOn w:val="a0"/>
    <w:uiPriority w:val="32"/>
    <w:qFormat/>
    <w:rsid w:val="000F6C5F"/>
    <w:rPr>
      <w:b/>
      <w:bCs/>
      <w:smallCaps/>
      <w:color w:val="0F4761" w:themeColor="accent1" w:themeShade="BF"/>
      <w:spacing w:val="5"/>
    </w:rPr>
  </w:style>
  <w:style w:type="character" w:styleId="ae">
    <w:name w:val="Hyperlink"/>
    <w:basedOn w:val="a0"/>
    <w:uiPriority w:val="99"/>
    <w:unhideWhenUsed/>
    <w:rsid w:val="000E7809"/>
    <w:rPr>
      <w:color w:val="467886" w:themeColor="hyperlink"/>
      <w:u w:val="single"/>
    </w:rPr>
  </w:style>
  <w:style w:type="character" w:styleId="af">
    <w:name w:val="Unresolved Mention"/>
    <w:basedOn w:val="a0"/>
    <w:uiPriority w:val="99"/>
    <w:semiHidden/>
    <w:unhideWhenUsed/>
    <w:rsid w:val="000E78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grets.2024.100081" TargetMode="External"/><Relationship Id="rId13" Type="http://schemas.openxmlformats.org/officeDocument/2006/relationships/hyperlink" Target="https://doi.org/10.54097/1d1p0r71" TargetMode="External"/><Relationship Id="rId3" Type="http://schemas.openxmlformats.org/officeDocument/2006/relationships/webSettings" Target="webSettings.xml"/><Relationship Id="rId7" Type="http://schemas.openxmlformats.org/officeDocument/2006/relationships/hyperlink" Target="https://doi.org/10.1108/EJIM-07-2023-0566" TargetMode="External"/><Relationship Id="rId12" Type="http://schemas.openxmlformats.org/officeDocument/2006/relationships/hyperlink" Target="https://doi.org/10.3390/su14159304"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02/bse.3901" TargetMode="External"/><Relationship Id="rId11" Type="http://schemas.openxmlformats.org/officeDocument/2006/relationships/hyperlink" Target="https://doi.org/10.3390/su16146092" TargetMode="External"/><Relationship Id="rId5" Type="http://schemas.openxmlformats.org/officeDocument/2006/relationships/hyperlink" Target="https://doi.org/10.1080/23311975.2024.2361321" TargetMode="External"/><Relationship Id="rId15" Type="http://schemas.openxmlformats.org/officeDocument/2006/relationships/fontTable" Target="fontTable.xml"/><Relationship Id="rId10" Type="http://schemas.openxmlformats.org/officeDocument/2006/relationships/hyperlink" Target="https://doi.org/10.1108/SCM-05-2022-0205" TargetMode="External"/><Relationship Id="rId4" Type="http://schemas.openxmlformats.org/officeDocument/2006/relationships/hyperlink" Target="https://doi.org/10.1016/j.jretconser.2024.104108" TargetMode="External"/><Relationship Id="rId9" Type="http://schemas.openxmlformats.org/officeDocument/2006/relationships/hyperlink" Target="https://doi.org/10.54254/2754-1169/65/20231631" TargetMode="External"/><Relationship Id="rId14" Type="http://schemas.openxmlformats.org/officeDocument/2006/relationships/hyperlink" Target="https://doi.org/10.1080/09593969.2020.1857294"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75</TotalTime>
  <Pages>2</Pages>
  <Words>1479</Words>
  <Characters>8431</Characters>
  <Application>Microsoft Office Word</Application>
  <DocSecurity>0</DocSecurity>
  <Lines>70</Lines>
  <Paragraphs>19</Paragraphs>
  <ScaleCrop>false</ScaleCrop>
  <Company/>
  <LinksUpToDate>false</LinksUpToDate>
  <CharactersWithSpaces>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Tianchun Han (2503556)</dc:creator>
  <cp:keywords/>
  <dc:description/>
  <cp:lastModifiedBy>Tianchun Han (2503556)</cp:lastModifiedBy>
  <cp:revision>2</cp:revision>
  <dcterms:created xsi:type="dcterms:W3CDTF">2026-05-07T11:51:00Z</dcterms:created>
  <dcterms:modified xsi:type="dcterms:W3CDTF">2026-05-07T19:34:00Z</dcterms:modified>
</cp:coreProperties>
</file>