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D3BBD" w14:textId="490FDAA2" w:rsidR="00852F5C" w:rsidRPr="00852F5C" w:rsidRDefault="00852F5C" w:rsidP="00852F5C">
      <w:pPr>
        <w:spacing w:after="120" w:line="240" w:lineRule="auto"/>
        <w:jc w:val="center"/>
        <w:rPr>
          <w:rFonts w:ascii="-webkit-standard" w:eastAsiaTheme="minorEastAsia" w:hAnsi="-webkit-standard" w:cs="Times New Roman"/>
          <w:color w:val="000000"/>
          <w:kern w:val="0"/>
          <w:sz w:val="27"/>
          <w:szCs w:val="27"/>
          <w:lang w:val="en-US" w:eastAsia="en-GB"/>
          <w14:ligatures w14:val="none"/>
        </w:rPr>
      </w:pPr>
      <w:r w:rsidRPr="00852F5C">
        <w:rPr>
          <w:rFonts w:ascii="Arial" w:eastAsiaTheme="minorEastAsia" w:hAnsi="Arial" w:cs="Arial"/>
          <w:b/>
          <w:bCs/>
          <w:color w:val="000000"/>
          <w:kern w:val="0"/>
          <w:sz w:val="36"/>
          <w:szCs w:val="36"/>
          <w:lang w:val="en-US" w:eastAsia="en-GB"/>
          <w14:ligatures w14:val="none"/>
        </w:rPr>
        <w:t>Module Code: BMSW510</w:t>
      </w:r>
      <w:r w:rsidR="00697CD1">
        <w:rPr>
          <w:rFonts w:ascii="Arial" w:eastAsiaTheme="minorEastAsia" w:hAnsi="Arial" w:cs="Arial"/>
          <w:b/>
          <w:bCs/>
          <w:color w:val="000000"/>
          <w:kern w:val="0"/>
          <w:sz w:val="36"/>
          <w:szCs w:val="36"/>
          <w:lang w:val="en-US" w:eastAsia="en-GB"/>
          <w14:ligatures w14:val="none"/>
        </w:rPr>
        <w:t>1</w:t>
      </w:r>
    </w:p>
    <w:p w14:paraId="5349937B" w14:textId="77777777" w:rsidR="00852F5C" w:rsidRPr="00852F5C" w:rsidRDefault="00852F5C" w:rsidP="00852F5C">
      <w:pPr>
        <w:spacing w:after="120" w:line="240" w:lineRule="auto"/>
        <w:jc w:val="center"/>
        <w:rPr>
          <w:rFonts w:ascii="-webkit-standard" w:eastAsiaTheme="minorEastAsia" w:hAnsi="-webkit-standard" w:cs="Times New Roman"/>
          <w:color w:val="000000"/>
          <w:kern w:val="0"/>
          <w:sz w:val="27"/>
          <w:szCs w:val="27"/>
          <w:lang w:val="en-US" w:eastAsia="en-GB"/>
          <w14:ligatures w14:val="none"/>
        </w:rPr>
      </w:pPr>
      <w:r w:rsidRPr="00852F5C">
        <w:rPr>
          <w:rFonts w:ascii="Arial" w:eastAsiaTheme="minorEastAsia" w:hAnsi="Arial" w:cs="Arial"/>
          <w:b/>
          <w:bCs/>
          <w:color w:val="000000"/>
          <w:kern w:val="0"/>
          <w:sz w:val="36"/>
          <w:szCs w:val="36"/>
          <w:lang w:val="en-US" w:eastAsia="en-GB"/>
          <w14:ligatures w14:val="none"/>
        </w:rPr>
        <w:t>Module name: Developing Workplace Critical Thinking</w:t>
      </w:r>
    </w:p>
    <w:p w14:paraId="48ABBD02" w14:textId="312FC8D4" w:rsidR="00852F5C" w:rsidRPr="00852F5C" w:rsidRDefault="00852F5C" w:rsidP="00852F5C">
      <w:pPr>
        <w:spacing w:after="120" w:line="240" w:lineRule="auto"/>
        <w:jc w:val="center"/>
        <w:rPr>
          <w:rFonts w:ascii="-webkit-standard" w:eastAsiaTheme="minorEastAsia" w:hAnsi="-webkit-standard" w:cs="Times New Roman"/>
          <w:color w:val="000000"/>
          <w:kern w:val="0"/>
          <w:sz w:val="27"/>
          <w:szCs w:val="27"/>
          <w:lang w:val="en-US" w:eastAsia="en-GB"/>
          <w14:ligatures w14:val="none"/>
        </w:rPr>
      </w:pPr>
      <w:r w:rsidRPr="00852F5C">
        <w:rPr>
          <w:rFonts w:ascii="Arial" w:eastAsiaTheme="minorEastAsia" w:hAnsi="Arial" w:cs="Arial"/>
          <w:b/>
          <w:bCs/>
          <w:color w:val="000000"/>
          <w:kern w:val="0"/>
          <w:sz w:val="27"/>
          <w:szCs w:val="27"/>
          <w:lang w:val="en-US" w:eastAsia="en-GB"/>
          <w14:ligatures w14:val="none"/>
        </w:rPr>
        <w:t xml:space="preserve">Lecturer: </w:t>
      </w:r>
      <w:proofErr w:type="spellStart"/>
      <w:r w:rsidRPr="00852F5C">
        <w:rPr>
          <w:rFonts w:ascii="Arial" w:eastAsiaTheme="minorEastAsia" w:hAnsi="Arial" w:cs="Arial"/>
          <w:b/>
          <w:bCs/>
          <w:color w:val="000000"/>
          <w:kern w:val="0"/>
          <w:sz w:val="27"/>
          <w:szCs w:val="27"/>
          <w:lang w:val="en-US" w:eastAsia="en-GB"/>
          <w14:ligatures w14:val="none"/>
        </w:rPr>
        <w:t>Akinseye</w:t>
      </w:r>
      <w:proofErr w:type="spellEnd"/>
      <w:r w:rsidRPr="00852F5C">
        <w:rPr>
          <w:rFonts w:ascii="Arial" w:eastAsiaTheme="minorEastAsia" w:hAnsi="Arial" w:cs="Arial"/>
          <w:b/>
          <w:bCs/>
          <w:color w:val="000000"/>
          <w:kern w:val="0"/>
          <w:sz w:val="27"/>
          <w:szCs w:val="27"/>
          <w:lang w:val="en-US" w:eastAsia="en-GB"/>
          <w14:ligatures w14:val="none"/>
        </w:rPr>
        <w:t xml:space="preserve"> Aluk</w:t>
      </w:r>
      <w:r w:rsidR="00697CD1">
        <w:rPr>
          <w:rFonts w:ascii="Arial" w:eastAsiaTheme="minorEastAsia" w:hAnsi="Arial" w:cs="Arial"/>
          <w:b/>
          <w:bCs/>
          <w:color w:val="000000"/>
          <w:kern w:val="0"/>
          <w:sz w:val="27"/>
          <w:szCs w:val="27"/>
          <w:lang w:val="en-US" w:eastAsia="en-GB"/>
          <w14:ligatures w14:val="none"/>
        </w:rPr>
        <w:t>o</w:t>
      </w:r>
    </w:p>
    <w:p w14:paraId="7F7EE212" w14:textId="681A156B" w:rsidR="00852F5C" w:rsidRPr="00852F5C" w:rsidRDefault="00852F5C" w:rsidP="00852F5C">
      <w:pPr>
        <w:spacing w:after="120" w:line="240" w:lineRule="auto"/>
        <w:jc w:val="center"/>
        <w:rPr>
          <w:rFonts w:ascii="-webkit-standard" w:eastAsiaTheme="minorEastAsia" w:hAnsi="-webkit-standard" w:cs="Times New Roman"/>
          <w:color w:val="000000"/>
          <w:kern w:val="0"/>
          <w:sz w:val="27"/>
          <w:szCs w:val="27"/>
          <w:lang w:val="en-US" w:eastAsia="en-GB"/>
          <w14:ligatures w14:val="none"/>
        </w:rPr>
      </w:pPr>
      <w:r w:rsidRPr="00852F5C">
        <w:rPr>
          <w:rFonts w:ascii="Arial" w:eastAsiaTheme="minorEastAsia" w:hAnsi="Arial" w:cs="Arial"/>
          <w:b/>
          <w:bCs/>
          <w:color w:val="000000"/>
          <w:kern w:val="0"/>
          <w:sz w:val="27"/>
          <w:szCs w:val="27"/>
          <w:lang w:val="en-US" w:eastAsia="en-GB"/>
          <w14:ligatures w14:val="none"/>
        </w:rPr>
        <w:t>Student name: Dimitrichka Dimit</w:t>
      </w:r>
      <w:r w:rsidR="008C4E29">
        <w:rPr>
          <w:rFonts w:ascii="Arial" w:eastAsiaTheme="minorEastAsia" w:hAnsi="Arial" w:cs="Arial"/>
          <w:b/>
          <w:bCs/>
          <w:color w:val="000000"/>
          <w:kern w:val="0"/>
          <w:sz w:val="27"/>
          <w:szCs w:val="27"/>
          <w:lang w:val="en-US" w:eastAsia="en-GB"/>
          <w14:ligatures w14:val="none"/>
        </w:rPr>
        <w:t>rova</w:t>
      </w:r>
    </w:p>
    <w:p w14:paraId="41B3BF68" w14:textId="65989BDB" w:rsidR="00852F5C" w:rsidRPr="00852F5C" w:rsidRDefault="00852F5C" w:rsidP="00852F5C">
      <w:pPr>
        <w:spacing w:after="120" w:line="240" w:lineRule="auto"/>
        <w:jc w:val="center"/>
        <w:rPr>
          <w:rFonts w:ascii="-webkit-standard" w:eastAsiaTheme="minorEastAsia" w:hAnsi="-webkit-standard" w:cs="Times New Roman"/>
          <w:color w:val="000000"/>
          <w:kern w:val="0"/>
          <w:sz w:val="27"/>
          <w:szCs w:val="27"/>
          <w:lang w:val="en-US" w:eastAsia="en-GB"/>
          <w14:ligatures w14:val="none"/>
        </w:rPr>
      </w:pPr>
      <w:r w:rsidRPr="00852F5C">
        <w:rPr>
          <w:rFonts w:ascii="Arial" w:eastAsiaTheme="minorEastAsia" w:hAnsi="Arial" w:cs="Arial"/>
          <w:b/>
          <w:bCs/>
          <w:color w:val="000000"/>
          <w:kern w:val="0"/>
          <w:sz w:val="27"/>
          <w:szCs w:val="27"/>
          <w:lang w:val="en-US" w:eastAsia="en-GB"/>
          <w14:ligatures w14:val="none"/>
        </w:rPr>
        <w:t>Student ID: 212303</w:t>
      </w:r>
      <w:r w:rsidR="00B478A4">
        <w:rPr>
          <w:rFonts w:ascii="Arial" w:eastAsiaTheme="minorEastAsia" w:hAnsi="Arial" w:cs="Arial"/>
          <w:b/>
          <w:bCs/>
          <w:color w:val="000000"/>
          <w:kern w:val="0"/>
          <w:sz w:val="27"/>
          <w:szCs w:val="27"/>
          <w:lang w:val="en-US" w:eastAsia="en-GB"/>
          <w14:ligatures w14:val="none"/>
        </w:rPr>
        <w:t>3</w:t>
      </w:r>
    </w:p>
    <w:p w14:paraId="27C2BDC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br w:type="page"/>
      </w:r>
    </w:p>
    <w:p w14:paraId="74F7D362"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lastRenderedPageBreak/>
        <w:t> </w:t>
      </w:r>
    </w:p>
    <w:sdt>
      <w:sdtPr>
        <w:rPr>
          <w:rFonts w:ascii="Arial" w:eastAsiaTheme="minorEastAsia" w:hAnsi="Arial" w:cs="Arial"/>
          <w:b/>
          <w:kern w:val="0"/>
          <w:lang w:val="en-US" w:eastAsia="en-GB"/>
          <w14:ligatures w14:val="none"/>
        </w:rPr>
        <w:id w:val="-1246335060"/>
        <w:docPartObj>
          <w:docPartGallery w:val="Table of Contents"/>
          <w:docPartUnique/>
        </w:docPartObj>
      </w:sdtPr>
      <w:sdtEndPr/>
      <w:sdtContent>
        <w:p w14:paraId="6275511C" w14:textId="6E55EA19" w:rsidR="00852F5C" w:rsidRPr="00852F5C" w:rsidRDefault="00852F5C" w:rsidP="00852F5C">
          <w:pPr>
            <w:keepNext/>
            <w:keepLines/>
            <w:spacing w:before="480" w:after="0" w:line="240" w:lineRule="auto"/>
            <w:rPr>
              <w:rFonts w:ascii="Arial" w:eastAsiaTheme="majorEastAsia" w:hAnsi="Arial" w:cs="Arial"/>
              <w:b/>
              <w:color w:val="000000" w:themeColor="text1"/>
              <w:kern w:val="0"/>
              <w:lang w:val="en-US"/>
              <w14:ligatures w14:val="none"/>
            </w:rPr>
          </w:pPr>
          <w:r w:rsidRPr="00852F5C">
            <w:rPr>
              <w:rFonts w:ascii="Arial" w:eastAsiaTheme="majorEastAsia" w:hAnsi="Arial" w:cs="Arial"/>
              <w:b/>
              <w:color w:val="000000" w:themeColor="text1"/>
              <w:kern w:val="0"/>
              <w:lang w:val="en-US"/>
              <w14:ligatures w14:val="none"/>
            </w:rPr>
            <w:t>Table of Content</w:t>
          </w:r>
          <w:r w:rsidR="00CD5215">
            <w:rPr>
              <w:rFonts w:ascii="Arial" w:eastAsiaTheme="majorEastAsia" w:hAnsi="Arial" w:cs="Arial"/>
              <w:b/>
              <w:color w:val="000000" w:themeColor="text1"/>
              <w:kern w:val="0"/>
              <w:lang w:val="en-US"/>
              <w14:ligatures w14:val="none"/>
            </w:rPr>
            <w:t>s</w:t>
          </w:r>
        </w:p>
        <w:p w14:paraId="49B57869" w14:textId="77777777" w:rsidR="00852F5C" w:rsidRPr="00852F5C" w:rsidRDefault="00852F5C" w:rsidP="00852F5C">
          <w:pPr>
            <w:keepNext/>
            <w:keepLines/>
            <w:spacing w:before="480" w:after="0" w:line="240" w:lineRule="auto"/>
            <w:rPr>
              <w:rFonts w:ascii="Times New Roman" w:eastAsiaTheme="majorEastAsia" w:hAnsi="Times New Roman" w:cs="Times New Roman"/>
              <w:noProof/>
              <w:color w:val="000000" w:themeColor="text1"/>
              <w:kern w:val="0"/>
              <w:sz w:val="28"/>
              <w:szCs w:val="28"/>
              <w:lang w:val="en-US"/>
              <w14:ligatures w14:val="none"/>
            </w:rPr>
          </w:pPr>
          <w:r w:rsidRPr="00852F5C">
            <w:rPr>
              <w:rFonts w:ascii="Arial" w:eastAsiaTheme="majorEastAsia" w:hAnsi="Arial" w:cs="Arial"/>
              <w:b/>
              <w:color w:val="000000" w:themeColor="text1"/>
              <w:kern w:val="0"/>
              <w:lang w:val="en-US"/>
              <w14:ligatures w14:val="none"/>
            </w:rPr>
            <w:t xml:space="preserve">Part 1: Report </w:t>
          </w:r>
          <w:r w:rsidRPr="00852F5C">
            <w:rPr>
              <w:rFonts w:ascii="Arial" w:eastAsiaTheme="majorEastAsia" w:hAnsi="Arial" w:cs="Arial"/>
              <w:b/>
              <w:color w:val="000000" w:themeColor="text1"/>
              <w:kern w:val="0"/>
              <w:lang w:val="en-US"/>
              <w14:ligatures w14:val="none"/>
            </w:rPr>
            <w:fldChar w:fldCharType="begin"/>
          </w:r>
          <w:r w:rsidRPr="00852F5C">
            <w:rPr>
              <w:rFonts w:ascii="Arial" w:eastAsiaTheme="majorEastAsia" w:hAnsi="Arial" w:cs="Arial"/>
              <w:b/>
              <w:color w:val="000000" w:themeColor="text1"/>
              <w:kern w:val="0"/>
              <w:lang w:val="en-US"/>
              <w14:ligatures w14:val="none"/>
            </w:rPr>
            <w:instrText xml:space="preserve"> TOC \o "1-3" \h \z \u </w:instrText>
          </w:r>
          <w:r w:rsidRPr="00852F5C">
            <w:rPr>
              <w:rFonts w:ascii="Arial" w:eastAsiaTheme="majorEastAsia" w:hAnsi="Arial" w:cs="Arial"/>
              <w:b/>
              <w:color w:val="000000" w:themeColor="text1"/>
              <w:kern w:val="0"/>
              <w:lang w:val="en-US"/>
              <w14:ligatures w14:val="none"/>
            </w:rPr>
            <w:fldChar w:fldCharType="separate"/>
          </w:r>
        </w:p>
        <w:p w14:paraId="51D93ACC"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18"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Executive Summary</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_Toc132148118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3</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15B1781B"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19"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Introduction</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_Toc132148119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3</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54596F09"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0"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Company Overview: Microsoft</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_Toc132148120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4</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06059433"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1"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Organizational Culture at Microsoft</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_Toc132148121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5</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1F131988"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2"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Contingency Management Theory</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_Toc132148122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6</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3AC7484E"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3"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The Contingency Management Theory at Microsoft</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_Toc132148123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6</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0A2DA045"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4"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Different Perspectives on Microsoft’s Response to the Pandemic</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_Toc132148124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8</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136A38EE"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5"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Application of the RED Model of Critical Thinking</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_Toc132148125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10</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6D16CF56" w14:textId="77777777" w:rsidR="00852F5C" w:rsidRPr="00852F5C" w:rsidRDefault="00B478A4" w:rsidP="00852F5C">
          <w:pPr>
            <w:tabs>
              <w:tab w:val="left" w:pos="660"/>
              <w:tab w:val="right" w:leader="dot" w:pos="9016"/>
            </w:tabs>
            <w:spacing w:before="120" w:after="0" w:line="240" w:lineRule="auto"/>
            <w:ind w:left="220"/>
            <w:rPr>
              <w:rFonts w:eastAsiaTheme="minorEastAsia"/>
              <w:noProof/>
              <w:kern w:val="0"/>
              <w:sz w:val="24"/>
              <w:szCs w:val="24"/>
              <w:lang w:val="en-US" w:eastAsia="en-GB"/>
              <w14:ligatures w14:val="none"/>
            </w:rPr>
          </w:pPr>
          <w:hyperlink w:anchor="_Toc132148126" w:history="1">
            <w:r w:rsidR="00852F5C" w:rsidRPr="00852F5C">
              <w:rPr>
                <w:rFonts w:ascii="Arial" w:eastAsiaTheme="minorEastAsia" w:hAnsi="Arial" w:cs="Arial"/>
                <w:b/>
                <w:bCs/>
                <w:noProof/>
                <w:color w:val="0563C1" w:themeColor="hyperlink"/>
                <w:kern w:val="0"/>
                <w:u w:val="single"/>
                <w:lang w:val="en-US" w:eastAsia="en-GB"/>
                <w14:ligatures w14:val="none"/>
              </w:rPr>
              <w:t>1.</w:t>
            </w:r>
            <w:r w:rsidR="00852F5C" w:rsidRPr="00852F5C">
              <w:rPr>
                <w:rFonts w:eastAsiaTheme="minorEastAsia"/>
                <w:noProof/>
                <w:kern w:val="0"/>
                <w:sz w:val="24"/>
                <w:szCs w:val="24"/>
                <w:lang w:val="en-US" w:eastAsia="en-GB"/>
                <w14:ligatures w14:val="none"/>
              </w:rPr>
              <w:tab/>
            </w:r>
            <w:r w:rsidR="00852F5C" w:rsidRPr="00852F5C">
              <w:rPr>
                <w:rFonts w:ascii="Arial" w:eastAsiaTheme="minorEastAsia" w:hAnsi="Arial" w:cs="Arial"/>
                <w:b/>
                <w:bCs/>
                <w:noProof/>
                <w:color w:val="0563C1" w:themeColor="hyperlink"/>
                <w:kern w:val="0"/>
                <w:u w:val="single"/>
                <w:lang w:val="en-US" w:eastAsia="en-GB"/>
                <w14:ligatures w14:val="none"/>
              </w:rPr>
              <w:t>Acknowledgement of Different Assumptions</w:t>
            </w:r>
            <w:r w:rsidR="00852F5C" w:rsidRPr="00852F5C">
              <w:rPr>
                <w:rFonts w:eastAsiaTheme="minorEastAsia" w:cstheme="minorHAnsi"/>
                <w:b/>
                <w:bCs/>
                <w:noProof/>
                <w:webHidden/>
                <w:kern w:val="0"/>
                <w:lang w:val="en-US" w:eastAsia="en-GB"/>
                <w14:ligatures w14:val="none"/>
              </w:rPr>
              <w:tab/>
            </w:r>
            <w:r w:rsidR="00852F5C" w:rsidRPr="00852F5C">
              <w:rPr>
                <w:rFonts w:eastAsiaTheme="minorEastAsia" w:cstheme="minorHAnsi"/>
                <w:b/>
                <w:bCs/>
                <w:noProof/>
                <w:webHidden/>
                <w:kern w:val="0"/>
                <w:lang w:val="en-US" w:eastAsia="en-GB"/>
                <w14:ligatures w14:val="none"/>
              </w:rPr>
              <w:fldChar w:fldCharType="begin"/>
            </w:r>
            <w:r w:rsidR="00852F5C" w:rsidRPr="00852F5C">
              <w:rPr>
                <w:rFonts w:eastAsiaTheme="minorEastAsia" w:cstheme="minorHAnsi"/>
                <w:b/>
                <w:bCs/>
                <w:noProof/>
                <w:webHidden/>
                <w:kern w:val="0"/>
                <w:lang w:val="en-US" w:eastAsia="en-GB"/>
                <w14:ligatures w14:val="none"/>
              </w:rPr>
              <w:instrText xml:space="preserve"> PAGEREF _Toc132148126 \h </w:instrText>
            </w:r>
            <w:r w:rsidR="00852F5C" w:rsidRPr="00852F5C">
              <w:rPr>
                <w:rFonts w:eastAsiaTheme="minorEastAsia" w:cstheme="minorHAnsi"/>
                <w:b/>
                <w:bCs/>
                <w:noProof/>
                <w:webHidden/>
                <w:kern w:val="0"/>
                <w:lang w:val="en-US" w:eastAsia="en-GB"/>
                <w14:ligatures w14:val="none"/>
              </w:rPr>
            </w:r>
            <w:r w:rsidR="00852F5C" w:rsidRPr="00852F5C">
              <w:rPr>
                <w:rFonts w:eastAsiaTheme="minorEastAsia" w:cstheme="minorHAnsi"/>
                <w:b/>
                <w:bCs/>
                <w:noProof/>
                <w:webHidden/>
                <w:kern w:val="0"/>
                <w:lang w:val="en-US" w:eastAsia="en-GB"/>
                <w14:ligatures w14:val="none"/>
              </w:rPr>
              <w:fldChar w:fldCharType="separate"/>
            </w:r>
            <w:r w:rsidR="00852F5C" w:rsidRPr="00852F5C">
              <w:rPr>
                <w:rFonts w:eastAsiaTheme="minorEastAsia" w:cstheme="minorHAnsi"/>
                <w:b/>
                <w:bCs/>
                <w:noProof/>
                <w:webHidden/>
                <w:kern w:val="0"/>
                <w:lang w:val="en-US" w:eastAsia="en-GB"/>
                <w14:ligatures w14:val="none"/>
              </w:rPr>
              <w:t>10</w:t>
            </w:r>
            <w:r w:rsidR="00852F5C" w:rsidRPr="00852F5C">
              <w:rPr>
                <w:rFonts w:eastAsiaTheme="minorEastAsia" w:cstheme="minorHAnsi"/>
                <w:b/>
                <w:bCs/>
                <w:noProof/>
                <w:webHidden/>
                <w:kern w:val="0"/>
                <w:lang w:val="en-US" w:eastAsia="en-GB"/>
                <w14:ligatures w14:val="none"/>
              </w:rPr>
              <w:fldChar w:fldCharType="end"/>
            </w:r>
          </w:hyperlink>
        </w:p>
        <w:p w14:paraId="1F1CFE05" w14:textId="77777777" w:rsidR="00852F5C" w:rsidRPr="00852F5C" w:rsidRDefault="00B478A4" w:rsidP="00852F5C">
          <w:pPr>
            <w:tabs>
              <w:tab w:val="left" w:pos="660"/>
              <w:tab w:val="right" w:leader="dot" w:pos="9016"/>
            </w:tabs>
            <w:spacing w:before="120" w:after="0" w:line="240" w:lineRule="auto"/>
            <w:ind w:left="220"/>
            <w:rPr>
              <w:rFonts w:eastAsiaTheme="minorEastAsia"/>
              <w:noProof/>
              <w:kern w:val="0"/>
              <w:sz w:val="24"/>
              <w:szCs w:val="24"/>
              <w:lang w:val="en-US" w:eastAsia="en-GB"/>
              <w14:ligatures w14:val="none"/>
            </w:rPr>
          </w:pPr>
          <w:hyperlink w:anchor="_Toc132148127" w:history="1">
            <w:r w:rsidR="00852F5C" w:rsidRPr="00852F5C">
              <w:rPr>
                <w:rFonts w:ascii="Arial" w:eastAsiaTheme="minorEastAsia" w:hAnsi="Arial" w:cs="Arial"/>
                <w:b/>
                <w:bCs/>
                <w:noProof/>
                <w:color w:val="0563C1" w:themeColor="hyperlink"/>
                <w:kern w:val="0"/>
                <w:u w:val="single"/>
                <w:lang w:val="en-US" w:eastAsia="en-GB"/>
                <w14:ligatures w14:val="none"/>
              </w:rPr>
              <w:t>2.</w:t>
            </w:r>
            <w:r w:rsidR="00852F5C" w:rsidRPr="00852F5C">
              <w:rPr>
                <w:rFonts w:eastAsiaTheme="minorEastAsia"/>
                <w:noProof/>
                <w:kern w:val="0"/>
                <w:sz w:val="24"/>
                <w:szCs w:val="24"/>
                <w:lang w:val="en-US" w:eastAsia="en-GB"/>
                <w14:ligatures w14:val="none"/>
              </w:rPr>
              <w:tab/>
            </w:r>
            <w:r w:rsidR="00852F5C" w:rsidRPr="00852F5C">
              <w:rPr>
                <w:rFonts w:ascii="Arial" w:eastAsiaTheme="minorEastAsia" w:hAnsi="Arial" w:cs="Arial"/>
                <w:b/>
                <w:bCs/>
                <w:noProof/>
                <w:color w:val="0563C1" w:themeColor="hyperlink"/>
                <w:kern w:val="0"/>
                <w:u w:val="single"/>
                <w:lang w:val="en-US" w:eastAsia="en-GB"/>
                <w14:ligatures w14:val="none"/>
              </w:rPr>
              <w:t>Evaluation of Arguments</w:t>
            </w:r>
            <w:r w:rsidR="00852F5C" w:rsidRPr="00852F5C">
              <w:rPr>
                <w:rFonts w:eastAsiaTheme="minorEastAsia" w:cstheme="minorHAnsi"/>
                <w:b/>
                <w:bCs/>
                <w:noProof/>
                <w:webHidden/>
                <w:kern w:val="0"/>
                <w:lang w:val="en-US" w:eastAsia="en-GB"/>
                <w14:ligatures w14:val="none"/>
              </w:rPr>
              <w:tab/>
            </w:r>
            <w:r w:rsidR="00852F5C" w:rsidRPr="00852F5C">
              <w:rPr>
                <w:rFonts w:eastAsiaTheme="minorEastAsia" w:cstheme="minorHAnsi"/>
                <w:b/>
                <w:bCs/>
                <w:noProof/>
                <w:webHidden/>
                <w:kern w:val="0"/>
                <w:lang w:val="en-US" w:eastAsia="en-GB"/>
                <w14:ligatures w14:val="none"/>
              </w:rPr>
              <w:fldChar w:fldCharType="begin"/>
            </w:r>
            <w:r w:rsidR="00852F5C" w:rsidRPr="00852F5C">
              <w:rPr>
                <w:rFonts w:eastAsiaTheme="minorEastAsia" w:cstheme="minorHAnsi"/>
                <w:b/>
                <w:bCs/>
                <w:noProof/>
                <w:webHidden/>
                <w:kern w:val="0"/>
                <w:lang w:val="en-US" w:eastAsia="en-GB"/>
                <w14:ligatures w14:val="none"/>
              </w:rPr>
              <w:instrText xml:space="preserve"> PAGEREF _Toc132148127 \h </w:instrText>
            </w:r>
            <w:r w:rsidR="00852F5C" w:rsidRPr="00852F5C">
              <w:rPr>
                <w:rFonts w:eastAsiaTheme="minorEastAsia" w:cstheme="minorHAnsi"/>
                <w:b/>
                <w:bCs/>
                <w:noProof/>
                <w:webHidden/>
                <w:kern w:val="0"/>
                <w:lang w:val="en-US" w:eastAsia="en-GB"/>
                <w14:ligatures w14:val="none"/>
              </w:rPr>
            </w:r>
            <w:r w:rsidR="00852F5C" w:rsidRPr="00852F5C">
              <w:rPr>
                <w:rFonts w:eastAsiaTheme="minorEastAsia" w:cstheme="minorHAnsi"/>
                <w:b/>
                <w:bCs/>
                <w:noProof/>
                <w:webHidden/>
                <w:kern w:val="0"/>
                <w:lang w:val="en-US" w:eastAsia="en-GB"/>
                <w14:ligatures w14:val="none"/>
              </w:rPr>
              <w:fldChar w:fldCharType="separate"/>
            </w:r>
            <w:r w:rsidR="00852F5C" w:rsidRPr="00852F5C">
              <w:rPr>
                <w:rFonts w:eastAsiaTheme="minorEastAsia" w:cstheme="minorHAnsi"/>
                <w:b/>
                <w:bCs/>
                <w:noProof/>
                <w:webHidden/>
                <w:kern w:val="0"/>
                <w:lang w:val="en-US" w:eastAsia="en-GB"/>
                <w14:ligatures w14:val="none"/>
              </w:rPr>
              <w:t>10</w:t>
            </w:r>
            <w:r w:rsidR="00852F5C" w:rsidRPr="00852F5C">
              <w:rPr>
                <w:rFonts w:eastAsiaTheme="minorEastAsia" w:cstheme="minorHAnsi"/>
                <w:b/>
                <w:bCs/>
                <w:noProof/>
                <w:webHidden/>
                <w:kern w:val="0"/>
                <w:lang w:val="en-US" w:eastAsia="en-GB"/>
                <w14:ligatures w14:val="none"/>
              </w:rPr>
              <w:fldChar w:fldCharType="end"/>
            </w:r>
          </w:hyperlink>
        </w:p>
        <w:p w14:paraId="3649CF52" w14:textId="77777777" w:rsidR="00852F5C" w:rsidRPr="00852F5C" w:rsidRDefault="00B478A4" w:rsidP="00852F5C">
          <w:pPr>
            <w:tabs>
              <w:tab w:val="left" w:pos="660"/>
              <w:tab w:val="right" w:leader="dot" w:pos="9016"/>
            </w:tabs>
            <w:spacing w:before="120" w:after="0" w:line="240" w:lineRule="auto"/>
            <w:ind w:left="220"/>
            <w:rPr>
              <w:rFonts w:eastAsiaTheme="minorEastAsia"/>
              <w:noProof/>
              <w:kern w:val="0"/>
              <w:sz w:val="24"/>
              <w:szCs w:val="24"/>
              <w:lang w:val="en-US" w:eastAsia="en-GB"/>
              <w14:ligatures w14:val="none"/>
            </w:rPr>
          </w:pPr>
          <w:hyperlink w:anchor="_Toc132148128" w:history="1">
            <w:r w:rsidR="00852F5C" w:rsidRPr="00852F5C">
              <w:rPr>
                <w:rFonts w:ascii="Arial" w:eastAsiaTheme="minorEastAsia" w:hAnsi="Arial" w:cs="Arial"/>
                <w:b/>
                <w:bCs/>
                <w:noProof/>
                <w:color w:val="0563C1" w:themeColor="hyperlink"/>
                <w:kern w:val="0"/>
                <w:u w:val="single"/>
                <w:lang w:val="en-US" w:eastAsia="en-GB"/>
                <w14:ligatures w14:val="none"/>
              </w:rPr>
              <w:t>3.</w:t>
            </w:r>
            <w:r w:rsidR="00852F5C" w:rsidRPr="00852F5C">
              <w:rPr>
                <w:rFonts w:eastAsiaTheme="minorEastAsia"/>
                <w:noProof/>
                <w:kern w:val="0"/>
                <w:sz w:val="24"/>
                <w:szCs w:val="24"/>
                <w:lang w:val="en-US" w:eastAsia="en-GB"/>
                <w14:ligatures w14:val="none"/>
              </w:rPr>
              <w:tab/>
            </w:r>
            <w:r w:rsidR="00852F5C" w:rsidRPr="00852F5C">
              <w:rPr>
                <w:rFonts w:ascii="Arial" w:eastAsiaTheme="minorEastAsia" w:hAnsi="Arial" w:cs="Arial"/>
                <w:b/>
                <w:bCs/>
                <w:noProof/>
                <w:color w:val="0563C1" w:themeColor="hyperlink"/>
                <w:kern w:val="0"/>
                <w:u w:val="single"/>
                <w:lang w:val="en-US" w:eastAsia="en-GB"/>
                <w14:ligatures w14:val="none"/>
              </w:rPr>
              <w:t>Drawing Conclusions</w:t>
            </w:r>
            <w:r w:rsidR="00852F5C" w:rsidRPr="00852F5C">
              <w:rPr>
                <w:rFonts w:eastAsiaTheme="minorEastAsia" w:cstheme="minorHAnsi"/>
                <w:b/>
                <w:bCs/>
                <w:noProof/>
                <w:webHidden/>
                <w:kern w:val="0"/>
                <w:lang w:val="en-US" w:eastAsia="en-GB"/>
                <w14:ligatures w14:val="none"/>
              </w:rPr>
              <w:tab/>
            </w:r>
            <w:r w:rsidR="00852F5C" w:rsidRPr="00852F5C">
              <w:rPr>
                <w:rFonts w:eastAsiaTheme="minorEastAsia" w:cstheme="minorHAnsi"/>
                <w:b/>
                <w:bCs/>
                <w:noProof/>
                <w:webHidden/>
                <w:kern w:val="0"/>
                <w:lang w:val="en-US" w:eastAsia="en-GB"/>
                <w14:ligatures w14:val="none"/>
              </w:rPr>
              <w:fldChar w:fldCharType="begin"/>
            </w:r>
            <w:r w:rsidR="00852F5C" w:rsidRPr="00852F5C">
              <w:rPr>
                <w:rFonts w:eastAsiaTheme="minorEastAsia" w:cstheme="minorHAnsi"/>
                <w:b/>
                <w:bCs/>
                <w:noProof/>
                <w:webHidden/>
                <w:kern w:val="0"/>
                <w:lang w:val="en-US" w:eastAsia="en-GB"/>
                <w14:ligatures w14:val="none"/>
              </w:rPr>
              <w:instrText xml:space="preserve"> PAGEREF _Toc132148128 \h </w:instrText>
            </w:r>
            <w:r w:rsidR="00852F5C" w:rsidRPr="00852F5C">
              <w:rPr>
                <w:rFonts w:eastAsiaTheme="minorEastAsia" w:cstheme="minorHAnsi"/>
                <w:b/>
                <w:bCs/>
                <w:noProof/>
                <w:webHidden/>
                <w:kern w:val="0"/>
                <w:lang w:val="en-US" w:eastAsia="en-GB"/>
                <w14:ligatures w14:val="none"/>
              </w:rPr>
            </w:r>
            <w:r w:rsidR="00852F5C" w:rsidRPr="00852F5C">
              <w:rPr>
                <w:rFonts w:eastAsiaTheme="minorEastAsia" w:cstheme="minorHAnsi"/>
                <w:b/>
                <w:bCs/>
                <w:noProof/>
                <w:webHidden/>
                <w:kern w:val="0"/>
                <w:lang w:val="en-US" w:eastAsia="en-GB"/>
                <w14:ligatures w14:val="none"/>
              </w:rPr>
              <w:fldChar w:fldCharType="separate"/>
            </w:r>
            <w:r w:rsidR="00852F5C" w:rsidRPr="00852F5C">
              <w:rPr>
                <w:rFonts w:eastAsiaTheme="minorEastAsia" w:cstheme="minorHAnsi"/>
                <w:b/>
                <w:bCs/>
                <w:noProof/>
                <w:webHidden/>
                <w:kern w:val="0"/>
                <w:lang w:val="en-US" w:eastAsia="en-GB"/>
                <w14:ligatures w14:val="none"/>
              </w:rPr>
              <w:t>11</w:t>
            </w:r>
            <w:r w:rsidR="00852F5C" w:rsidRPr="00852F5C">
              <w:rPr>
                <w:rFonts w:eastAsiaTheme="minorEastAsia" w:cstheme="minorHAnsi"/>
                <w:b/>
                <w:bCs/>
                <w:noProof/>
                <w:webHidden/>
                <w:kern w:val="0"/>
                <w:lang w:val="en-US" w:eastAsia="en-GB"/>
                <w14:ligatures w14:val="none"/>
              </w:rPr>
              <w:fldChar w:fldCharType="end"/>
            </w:r>
          </w:hyperlink>
        </w:p>
        <w:p w14:paraId="48A35DE5"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29"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Recommendations</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_Toc132148129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11</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3E56039E"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0"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Conclusion</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_Toc132148130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12</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04D58DAF" w14:textId="77777777" w:rsidR="00852F5C" w:rsidRPr="00852F5C" w:rsidRDefault="00B478A4" w:rsidP="00852F5C">
          <w:pPr>
            <w:tabs>
              <w:tab w:val="right" w:leader="dot" w:pos="9016"/>
            </w:tabs>
            <w:spacing w:before="120" w:after="0" w:line="240" w:lineRule="auto"/>
            <w:rPr>
              <w:rFonts w:eastAsiaTheme="minorEastAsia" w:cstheme="minorHAnsi"/>
              <w:b/>
              <w:bCs/>
              <w:i/>
              <w:iCs/>
              <w:noProof/>
              <w:color w:val="0563C1" w:themeColor="hyperlink"/>
              <w:kern w:val="0"/>
              <w:sz w:val="24"/>
              <w:szCs w:val="24"/>
              <w:u w:val="single"/>
              <w:lang w:val="en-US" w:eastAsia="en-GB"/>
              <w14:ligatures w14:val="none"/>
            </w:rPr>
          </w:pPr>
          <w:hyperlink w:anchor="_Toc132148131"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Introduction</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_Toc132148131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14</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0FA9186B" w14:textId="77777777" w:rsidR="00852F5C" w:rsidRPr="00852F5C" w:rsidRDefault="00852F5C" w:rsidP="00852F5C">
          <w:pPr>
            <w:spacing w:after="0" w:line="240" w:lineRule="auto"/>
            <w:rPr>
              <w:rFonts w:ascii="Arial" w:eastAsiaTheme="minorEastAsia" w:hAnsi="Arial" w:cs="Arial"/>
              <w:b/>
              <w:bCs/>
              <w:kern w:val="0"/>
              <w:lang w:val="en-US" w:eastAsia="en-GB"/>
              <w14:ligatures w14:val="none"/>
            </w:rPr>
          </w:pPr>
        </w:p>
        <w:p w14:paraId="651A69EE" w14:textId="77777777" w:rsidR="00852F5C" w:rsidRPr="00852F5C" w:rsidRDefault="00852F5C" w:rsidP="00852F5C">
          <w:pPr>
            <w:spacing w:after="0" w:line="240" w:lineRule="auto"/>
            <w:rPr>
              <w:rFonts w:ascii="Arial" w:eastAsiaTheme="minorEastAsia" w:hAnsi="Arial" w:cs="Arial"/>
              <w:b/>
              <w:bCs/>
              <w:kern w:val="0"/>
              <w:lang w:val="en-US" w:eastAsia="en-GB"/>
              <w14:ligatures w14:val="none"/>
            </w:rPr>
          </w:pPr>
          <w:r w:rsidRPr="00852F5C">
            <w:rPr>
              <w:rFonts w:ascii="Arial" w:eastAsiaTheme="minorEastAsia" w:hAnsi="Arial" w:cs="Arial"/>
              <w:b/>
              <w:bCs/>
              <w:kern w:val="0"/>
              <w:lang w:val="en-US" w:eastAsia="en-GB"/>
              <w14:ligatures w14:val="none"/>
            </w:rPr>
            <w:t xml:space="preserve">Part 2: Reflective Journal </w:t>
          </w:r>
        </w:p>
        <w:p w14:paraId="415EBDFB"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2"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1</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_Toc132148132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14</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6AAB1CF3"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3"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2</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_Toc132148133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15</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41827D27"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4"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3</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_Toc132148134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15</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46082A11"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5"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4</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_Toc132148135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16</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4242B367"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6"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5</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_Toc132148136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17</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13E95F78"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7"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6</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_Toc132148137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18</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7B004B64"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8"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7</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_Toc132148138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19</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5559427F"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39"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8</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_Toc132148139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19</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5C58F60D"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40"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Week 9</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_Toc132148140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20</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5BE42A7C"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41"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Conclusion</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_Toc132148141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20</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5B3EC81D" w14:textId="77777777" w:rsidR="00852F5C" w:rsidRPr="00852F5C" w:rsidRDefault="00B478A4" w:rsidP="00852F5C">
          <w:pPr>
            <w:tabs>
              <w:tab w:val="right" w:leader="dot" w:pos="9016"/>
            </w:tabs>
            <w:spacing w:before="120" w:after="0" w:line="240" w:lineRule="auto"/>
            <w:rPr>
              <w:rFonts w:eastAsiaTheme="minorEastAsia"/>
              <w:noProof/>
              <w:kern w:val="0"/>
              <w:sz w:val="24"/>
              <w:szCs w:val="24"/>
              <w:lang w:val="en-US" w:eastAsia="en-GB"/>
              <w14:ligatures w14:val="none"/>
            </w:rPr>
          </w:pPr>
          <w:hyperlink w:anchor="_Toc132148142" w:history="1">
            <w:r w:rsidR="00852F5C" w:rsidRPr="00852F5C">
              <w:rPr>
                <w:rFonts w:ascii="Arial" w:eastAsiaTheme="minorEastAsia" w:hAnsi="Arial" w:cs="Arial"/>
                <w:b/>
                <w:bCs/>
                <w:i/>
                <w:iCs/>
                <w:noProof/>
                <w:color w:val="0563C1" w:themeColor="hyperlink"/>
                <w:kern w:val="0"/>
                <w:sz w:val="24"/>
                <w:szCs w:val="24"/>
                <w:u w:val="single"/>
                <w:lang w:val="en-US" w:eastAsia="en-GB"/>
                <w14:ligatures w14:val="none"/>
              </w:rPr>
              <w:t>References</w:t>
            </w:r>
            <w:r w:rsidR="00852F5C" w:rsidRPr="00852F5C">
              <w:rPr>
                <w:rFonts w:eastAsiaTheme="minorEastAsia" w:cstheme="minorHAnsi"/>
                <w:b/>
                <w:bCs/>
                <w:i/>
                <w:iCs/>
                <w:noProof/>
                <w:webHidden/>
                <w:kern w:val="0"/>
                <w:sz w:val="24"/>
                <w:szCs w:val="24"/>
                <w:lang w:val="en-US" w:eastAsia="en-GB"/>
                <w14:ligatures w14:val="none"/>
              </w:rPr>
              <w:tab/>
            </w:r>
            <w:r w:rsidR="00852F5C" w:rsidRPr="00852F5C">
              <w:rPr>
                <w:rFonts w:eastAsiaTheme="minorEastAsia" w:cstheme="minorHAnsi"/>
                <w:b/>
                <w:bCs/>
                <w:i/>
                <w:iCs/>
                <w:noProof/>
                <w:webHidden/>
                <w:kern w:val="0"/>
                <w:sz w:val="24"/>
                <w:szCs w:val="24"/>
                <w:lang w:val="en-US" w:eastAsia="en-GB"/>
                <w14:ligatures w14:val="none"/>
              </w:rPr>
              <w:fldChar w:fldCharType="begin"/>
            </w:r>
            <w:r w:rsidR="00852F5C" w:rsidRPr="00852F5C">
              <w:rPr>
                <w:rFonts w:eastAsiaTheme="minorEastAsia" w:cstheme="minorHAnsi"/>
                <w:b/>
                <w:bCs/>
                <w:i/>
                <w:iCs/>
                <w:noProof/>
                <w:webHidden/>
                <w:kern w:val="0"/>
                <w:sz w:val="24"/>
                <w:szCs w:val="24"/>
                <w:lang w:val="en-US" w:eastAsia="en-GB"/>
                <w14:ligatures w14:val="none"/>
              </w:rPr>
              <w:instrText xml:space="preserve"> PAGEREF _Toc132148142 \h </w:instrText>
            </w:r>
            <w:r w:rsidR="00852F5C" w:rsidRPr="00852F5C">
              <w:rPr>
                <w:rFonts w:eastAsiaTheme="minorEastAsia" w:cstheme="minorHAnsi"/>
                <w:b/>
                <w:bCs/>
                <w:i/>
                <w:iCs/>
                <w:noProof/>
                <w:webHidden/>
                <w:kern w:val="0"/>
                <w:sz w:val="24"/>
                <w:szCs w:val="24"/>
                <w:lang w:val="en-US" w:eastAsia="en-GB"/>
                <w14:ligatures w14:val="none"/>
              </w:rPr>
            </w:r>
            <w:r w:rsidR="00852F5C" w:rsidRPr="00852F5C">
              <w:rPr>
                <w:rFonts w:eastAsiaTheme="minorEastAsia" w:cstheme="minorHAnsi"/>
                <w:b/>
                <w:bCs/>
                <w:i/>
                <w:iCs/>
                <w:noProof/>
                <w:webHidden/>
                <w:kern w:val="0"/>
                <w:sz w:val="24"/>
                <w:szCs w:val="24"/>
                <w:lang w:val="en-US" w:eastAsia="en-GB"/>
                <w14:ligatures w14:val="none"/>
              </w:rPr>
              <w:fldChar w:fldCharType="separate"/>
            </w:r>
            <w:r w:rsidR="00852F5C" w:rsidRPr="00852F5C">
              <w:rPr>
                <w:rFonts w:eastAsiaTheme="minorEastAsia" w:cstheme="minorHAnsi"/>
                <w:b/>
                <w:bCs/>
                <w:i/>
                <w:iCs/>
                <w:noProof/>
                <w:webHidden/>
                <w:kern w:val="0"/>
                <w:sz w:val="24"/>
                <w:szCs w:val="24"/>
                <w:lang w:val="en-US" w:eastAsia="en-GB"/>
                <w14:ligatures w14:val="none"/>
              </w:rPr>
              <w:t>22</w:t>
            </w:r>
            <w:r w:rsidR="00852F5C" w:rsidRPr="00852F5C">
              <w:rPr>
                <w:rFonts w:eastAsiaTheme="minorEastAsia" w:cstheme="minorHAnsi"/>
                <w:b/>
                <w:bCs/>
                <w:i/>
                <w:iCs/>
                <w:noProof/>
                <w:webHidden/>
                <w:kern w:val="0"/>
                <w:sz w:val="24"/>
                <w:szCs w:val="24"/>
                <w:lang w:val="en-US" w:eastAsia="en-GB"/>
                <w14:ligatures w14:val="none"/>
              </w:rPr>
              <w:fldChar w:fldCharType="end"/>
            </w:r>
          </w:hyperlink>
        </w:p>
        <w:p w14:paraId="128FDE0C" w14:textId="77777777" w:rsidR="00852F5C" w:rsidRPr="00852F5C" w:rsidRDefault="00852F5C" w:rsidP="00852F5C">
          <w:pPr>
            <w:spacing w:after="0" w:line="240" w:lineRule="auto"/>
            <w:rPr>
              <w:rFonts w:ascii="Arial" w:eastAsiaTheme="minorEastAsia" w:hAnsi="Arial" w:cs="Arial"/>
              <w:b/>
              <w:color w:val="000000" w:themeColor="text1"/>
              <w:kern w:val="0"/>
              <w:lang w:val="en-US" w:eastAsia="en-GB"/>
              <w14:ligatures w14:val="none"/>
            </w:rPr>
          </w:pPr>
          <w:r w:rsidRPr="00852F5C">
            <w:rPr>
              <w:rFonts w:ascii="Arial" w:eastAsiaTheme="minorEastAsia" w:hAnsi="Arial" w:cs="Arial"/>
              <w:b/>
              <w:color w:val="000000" w:themeColor="text1"/>
              <w:kern w:val="0"/>
              <w:lang w:val="en-US" w:eastAsia="en-GB"/>
              <w14:ligatures w14:val="none"/>
            </w:rPr>
            <w:fldChar w:fldCharType="end"/>
          </w:r>
        </w:p>
      </w:sdtContent>
    </w:sdt>
    <w:p w14:paraId="34464036" w14:textId="77777777" w:rsidR="00852F5C" w:rsidRPr="00852F5C" w:rsidRDefault="00852F5C" w:rsidP="00852F5C">
      <w:pPr>
        <w:keepNext/>
        <w:keepLines/>
        <w:spacing w:before="240" w:after="0" w:line="360" w:lineRule="auto"/>
        <w:outlineLvl w:val="0"/>
        <w:rPr>
          <w:rFonts w:ascii="Arial" w:eastAsiaTheme="majorEastAsia" w:hAnsi="Arial" w:cs="Arial"/>
          <w:b/>
          <w:color w:val="000000" w:themeColor="text1"/>
          <w:kern w:val="0"/>
          <w:lang w:val="en-US" w:eastAsia="en-GB"/>
          <w14:ligatures w14:val="none"/>
        </w:rPr>
      </w:pPr>
    </w:p>
    <w:p w14:paraId="061A26E5" w14:textId="77777777" w:rsidR="00852F5C" w:rsidRPr="00852F5C" w:rsidRDefault="00852F5C" w:rsidP="00852F5C">
      <w:pPr>
        <w:spacing w:after="0" w:line="360" w:lineRule="auto"/>
        <w:rPr>
          <w:rFonts w:ascii="Arial" w:eastAsiaTheme="minorEastAsia" w:hAnsi="Arial" w:cs="Arial"/>
          <w:b/>
          <w:bCs/>
          <w:color w:val="000000" w:themeColor="text1"/>
          <w:kern w:val="0"/>
          <w:lang w:val="en-US" w:eastAsia="en-GB"/>
          <w14:ligatures w14:val="none"/>
        </w:rPr>
      </w:pPr>
    </w:p>
    <w:p w14:paraId="3452D969" w14:textId="77777777" w:rsidR="00852F5C" w:rsidRPr="00852F5C" w:rsidRDefault="00852F5C" w:rsidP="00852F5C">
      <w:pPr>
        <w:spacing w:after="0" w:line="360" w:lineRule="auto"/>
        <w:rPr>
          <w:rFonts w:ascii="Arial" w:eastAsiaTheme="minorEastAsia" w:hAnsi="Arial" w:cs="Arial"/>
          <w:b/>
          <w:bCs/>
          <w:color w:val="000000" w:themeColor="text1"/>
          <w:kern w:val="0"/>
          <w:lang w:val="en-US" w:eastAsia="en-GB"/>
          <w14:ligatures w14:val="none"/>
        </w:rPr>
      </w:pPr>
    </w:p>
    <w:p w14:paraId="696B7027" w14:textId="77777777" w:rsidR="00852F5C" w:rsidRPr="00852F5C" w:rsidRDefault="00852F5C" w:rsidP="00852F5C">
      <w:pPr>
        <w:spacing w:after="0" w:line="360" w:lineRule="auto"/>
        <w:rPr>
          <w:rFonts w:ascii="Arial" w:eastAsiaTheme="minorEastAsia" w:hAnsi="Arial" w:cs="Arial"/>
          <w:b/>
          <w:bCs/>
          <w:color w:val="000000" w:themeColor="text1"/>
          <w:kern w:val="0"/>
          <w:lang w:val="en-US" w:eastAsia="en-GB"/>
          <w14:ligatures w14:val="none"/>
        </w:rPr>
      </w:pPr>
    </w:p>
    <w:p w14:paraId="59BA6E4B" w14:textId="77777777" w:rsidR="00852F5C" w:rsidRPr="00852F5C" w:rsidRDefault="00852F5C" w:rsidP="00852F5C">
      <w:pPr>
        <w:spacing w:after="0" w:line="360" w:lineRule="auto"/>
        <w:rPr>
          <w:rFonts w:ascii="Arial" w:eastAsiaTheme="minorEastAsia" w:hAnsi="Arial" w:cs="Arial"/>
          <w:b/>
          <w:bCs/>
          <w:color w:val="000000" w:themeColor="text1"/>
          <w:kern w:val="0"/>
          <w:lang w:val="en-US" w:eastAsia="en-GB"/>
          <w14:ligatures w14:val="none"/>
        </w:rPr>
      </w:pPr>
    </w:p>
    <w:p w14:paraId="60262330" w14:textId="77777777" w:rsidR="00852F5C" w:rsidRPr="00852F5C" w:rsidRDefault="00852F5C" w:rsidP="00852F5C">
      <w:pPr>
        <w:spacing w:after="0" w:line="360" w:lineRule="auto"/>
        <w:rPr>
          <w:rFonts w:ascii="Arial" w:eastAsiaTheme="minorEastAsia" w:hAnsi="Arial" w:cs="Arial"/>
          <w:b/>
          <w:bCs/>
          <w:color w:val="000000" w:themeColor="text1"/>
          <w:kern w:val="0"/>
          <w:lang w:val="en-US" w:eastAsia="en-GB"/>
          <w14:ligatures w14:val="none"/>
        </w:rPr>
      </w:pPr>
      <w:r w:rsidRPr="00852F5C">
        <w:rPr>
          <w:rFonts w:ascii="Arial" w:eastAsiaTheme="minorEastAsia" w:hAnsi="Arial" w:cs="Arial"/>
          <w:b/>
          <w:bCs/>
          <w:color w:val="000000" w:themeColor="text1"/>
          <w:kern w:val="0"/>
          <w:lang w:val="en-US" w:eastAsia="en-GB"/>
          <w14:ligatures w14:val="none"/>
        </w:rPr>
        <w:t xml:space="preserve">Part 1: Report </w:t>
      </w:r>
    </w:p>
    <w:p w14:paraId="3220D084"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p>
    <w:p w14:paraId="2FEC16E5"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0" w:name="_Toc132148118"/>
      <w:r w:rsidRPr="00852F5C">
        <w:rPr>
          <w:rFonts w:ascii="Arial" w:eastAsiaTheme="majorEastAsia" w:hAnsi="Arial" w:cs="Arial"/>
          <w:b/>
          <w:bCs/>
          <w:color w:val="000000" w:themeColor="text1"/>
          <w:kern w:val="0"/>
          <w:lang w:val="en-US" w:eastAsia="en-GB"/>
          <w14:ligatures w14:val="none"/>
        </w:rPr>
        <w:t>Executive Summary</w:t>
      </w:r>
      <w:bookmarkEnd w:id="0"/>
      <w:r w:rsidRPr="00852F5C">
        <w:rPr>
          <w:rFonts w:ascii="Arial" w:eastAsiaTheme="majorEastAsia" w:hAnsi="Arial" w:cs="Arial"/>
          <w:b/>
          <w:bCs/>
          <w:color w:val="000000" w:themeColor="text1"/>
          <w:kern w:val="0"/>
          <w:lang w:val="en-US" w:eastAsia="en-GB"/>
          <w14:ligatures w14:val="none"/>
        </w:rPr>
        <w:t> </w:t>
      </w:r>
    </w:p>
    <w:p w14:paraId="0F3718D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FC10583"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following report delves into the case study of Microsoft, to outline the key role of organizational culture </w:t>
      </w:r>
      <w:proofErr w:type="gramStart"/>
      <w:r w:rsidRPr="00852F5C">
        <w:rPr>
          <w:rFonts w:ascii="Arial" w:eastAsiaTheme="minorEastAsia" w:hAnsi="Arial" w:cs="Arial"/>
          <w:color w:val="000000" w:themeColor="text1"/>
          <w:kern w:val="0"/>
          <w:lang w:val="en-US" w:eastAsia="en-GB"/>
          <w14:ligatures w14:val="none"/>
        </w:rPr>
        <w:t>on</w:t>
      </w:r>
      <w:proofErr w:type="gramEnd"/>
      <w:r w:rsidRPr="00852F5C">
        <w:rPr>
          <w:rFonts w:ascii="Arial" w:eastAsiaTheme="minorEastAsia" w:hAnsi="Arial" w:cs="Arial"/>
          <w:color w:val="000000" w:themeColor="text1"/>
          <w:kern w:val="0"/>
          <w:lang w:val="en-US" w:eastAsia="en-GB"/>
          <w14:ligatures w14:val="none"/>
        </w:rPr>
        <w:t xml:space="preserve"> the workplace environment. Through an examination of the company’s implementation of the contingency management approach and its response to the COVID-19 caused challenges, this paper examines how a company's culture influences its strategic decision-making. Additionally, the report acknowledges the role of one’s beliefs, </w:t>
      </w:r>
      <w:proofErr w:type="gramStart"/>
      <w:r w:rsidRPr="00852F5C">
        <w:rPr>
          <w:rFonts w:ascii="Arial" w:eastAsiaTheme="minorEastAsia" w:hAnsi="Arial" w:cs="Arial"/>
          <w:color w:val="000000" w:themeColor="text1"/>
          <w:kern w:val="0"/>
          <w:lang w:val="en-US" w:eastAsia="en-GB"/>
          <w14:ligatures w14:val="none"/>
        </w:rPr>
        <w:t>values</w:t>
      </w:r>
      <w:proofErr w:type="gramEnd"/>
      <w:r w:rsidRPr="00852F5C">
        <w:rPr>
          <w:rFonts w:ascii="Arial" w:eastAsiaTheme="minorEastAsia" w:hAnsi="Arial" w:cs="Arial"/>
          <w:color w:val="000000" w:themeColor="text1"/>
          <w:kern w:val="0"/>
          <w:lang w:val="en-US" w:eastAsia="en-GB"/>
          <w14:ligatures w14:val="none"/>
        </w:rPr>
        <w:t xml:space="preserve"> and attitudes in shaping one’s evaluation of an organization’s approaches, to conclude by providing recommendations on how Microsoft and other companies can effectively adjust their approaches to the post-pandemic environment. </w:t>
      </w:r>
    </w:p>
    <w:p w14:paraId="3AFD53C6"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3839CF6"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 w:name="_Toc132148119"/>
      <w:r w:rsidRPr="00852F5C">
        <w:rPr>
          <w:rFonts w:ascii="Arial" w:eastAsiaTheme="majorEastAsia" w:hAnsi="Arial" w:cs="Arial"/>
          <w:b/>
          <w:bCs/>
          <w:color w:val="000000" w:themeColor="text1"/>
          <w:kern w:val="0"/>
          <w:lang w:val="en-US" w:eastAsia="en-GB"/>
          <w14:ligatures w14:val="none"/>
        </w:rPr>
        <w:t>Introduction</w:t>
      </w:r>
      <w:bookmarkEnd w:id="1"/>
      <w:r w:rsidRPr="00852F5C">
        <w:rPr>
          <w:rFonts w:ascii="Arial" w:eastAsiaTheme="majorEastAsia" w:hAnsi="Arial" w:cs="Arial"/>
          <w:b/>
          <w:bCs/>
          <w:color w:val="000000" w:themeColor="text1"/>
          <w:kern w:val="0"/>
          <w:lang w:val="en-US" w:eastAsia="en-GB"/>
          <w14:ligatures w14:val="none"/>
        </w:rPr>
        <w:t> </w:t>
      </w:r>
    </w:p>
    <w:p w14:paraId="0B294E8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AB65D9F"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In the modern business landscape, organizations face numerous challenges in maintaining their competitiveness and ensuring the success of their operations (Guillén and Ontiveros, 2012). One critical factor that plays a pivotal role in achieving these goals is organizational culture. The beliefs, attitudes, and values embedded within an organization's culture shape employee behavior, impact decision-making, and ultimately influence the organization's performance (</w:t>
      </w:r>
      <w:proofErr w:type="spellStart"/>
      <w:r w:rsidRPr="00852F5C">
        <w:rPr>
          <w:rFonts w:ascii="Arial" w:eastAsiaTheme="minorEastAsia" w:hAnsi="Arial" w:cs="Arial"/>
          <w:color w:val="000000" w:themeColor="text1"/>
          <w:kern w:val="0"/>
          <w:lang w:val="en-US" w:eastAsia="en-GB"/>
          <w14:ligatures w14:val="none"/>
        </w:rPr>
        <w:t>Ogbona</w:t>
      </w:r>
      <w:proofErr w:type="spellEnd"/>
      <w:r w:rsidRPr="00852F5C">
        <w:rPr>
          <w:rFonts w:ascii="Arial" w:eastAsiaTheme="minorEastAsia" w:hAnsi="Arial" w:cs="Arial"/>
          <w:color w:val="000000" w:themeColor="text1"/>
          <w:kern w:val="0"/>
          <w:lang w:val="en-US" w:eastAsia="en-GB"/>
          <w14:ligatures w14:val="none"/>
        </w:rPr>
        <w:t xml:space="preserve"> and Harris, 2002).</w:t>
      </w:r>
    </w:p>
    <w:p w14:paraId="513268A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5E61BAD"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With the unprecedented disruptions caused by the COVID-19 pandemic, organizations have had to navigate through significant changes in the workplace. From remote work arrangements to heightened health and safety measures, the pandemic has reshaped how organizations operate (</w:t>
      </w:r>
      <w:proofErr w:type="spellStart"/>
      <w:r w:rsidRPr="00852F5C">
        <w:rPr>
          <w:rFonts w:ascii="Arial" w:eastAsiaTheme="minorEastAsia" w:hAnsi="Arial" w:cs="Arial"/>
          <w:color w:val="000000" w:themeColor="text1"/>
          <w:kern w:val="0"/>
          <w:lang w:val="en-US" w:eastAsia="en-GB"/>
          <w14:ligatures w14:val="none"/>
        </w:rPr>
        <w:t>Boiral</w:t>
      </w:r>
      <w:proofErr w:type="spellEnd"/>
      <w:r w:rsidRPr="00852F5C">
        <w:rPr>
          <w:rFonts w:ascii="Arial" w:eastAsiaTheme="minorEastAsia" w:hAnsi="Arial" w:cs="Arial"/>
          <w:color w:val="000000" w:themeColor="text1"/>
          <w:kern w:val="0"/>
          <w:lang w:val="en-US" w:eastAsia="en-GB"/>
          <w14:ligatures w14:val="none"/>
        </w:rPr>
        <w:t xml:space="preserve"> et al., 2021). As organizations strive to adapt to the "new normal" in a post-COVID world, understanding the implications of organizational culture on employee performance and aligning workplace changes accordingly has become crucial (Bayramov et al., 2023). Critical analysis and evaluation serve as a fundamental component in the development of effective business strategies, as they enable the identification of potential drawbacks and challenges that may arise in the process (Mohamed and </w:t>
      </w:r>
      <w:proofErr w:type="spellStart"/>
      <w:r w:rsidRPr="00852F5C">
        <w:rPr>
          <w:rFonts w:ascii="Arial" w:eastAsiaTheme="minorEastAsia" w:hAnsi="Arial" w:cs="Arial"/>
          <w:color w:val="000000" w:themeColor="text1"/>
          <w:kern w:val="0"/>
          <w:lang w:val="en-US" w:eastAsia="en-GB"/>
          <w14:ligatures w14:val="none"/>
        </w:rPr>
        <w:t>Lashine</w:t>
      </w:r>
      <w:proofErr w:type="spellEnd"/>
      <w:r w:rsidRPr="00852F5C">
        <w:rPr>
          <w:rFonts w:ascii="Arial" w:eastAsiaTheme="minorEastAsia" w:hAnsi="Arial" w:cs="Arial"/>
          <w:color w:val="000000" w:themeColor="text1"/>
          <w:kern w:val="0"/>
          <w:lang w:val="en-US" w:eastAsia="en-GB"/>
          <w14:ligatures w14:val="none"/>
        </w:rPr>
        <w:t>, 2003). </w:t>
      </w:r>
    </w:p>
    <w:p w14:paraId="37C06E20"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C4D96E4"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This report aims to delve into the significance of organizational culture, as well as examine how organizations can effectively address the challenges posed by the pandemic and tailor their workplace changes to create a resilient and adaptive business environment.</w:t>
      </w:r>
    </w:p>
    <w:p w14:paraId="77A29DC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48C3D0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To illustrate these concepts, this report will draw on a case study of the global technology company Microsoft, examining how the organization's culture and management approach influence its work environment and response to the COVID-19 pandemic. By analyzing this case study and accounting for different beliefs and viewpoints, the report will provide valuable insights and practical recommendations for organizations looking to optimize their organizational culture in the face of workplace changes in the post-COVID era.</w:t>
      </w:r>
    </w:p>
    <w:p w14:paraId="030F008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193141A"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2" w:name="_Toc132148120"/>
      <w:r w:rsidRPr="00852F5C">
        <w:rPr>
          <w:rFonts w:ascii="Arial" w:eastAsiaTheme="majorEastAsia" w:hAnsi="Arial" w:cs="Arial"/>
          <w:b/>
          <w:bCs/>
          <w:color w:val="000000" w:themeColor="text1"/>
          <w:kern w:val="0"/>
          <w:lang w:val="en-US" w:eastAsia="en-GB"/>
          <w14:ligatures w14:val="none"/>
        </w:rPr>
        <w:t>Company Overview: Microsoft</w:t>
      </w:r>
      <w:bookmarkEnd w:id="2"/>
    </w:p>
    <w:p w14:paraId="32770EF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C865C06"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 Corporation, headquartered in Redmond, Washington, is a multinational technology corporation that specializes in the development, manufacturing, licensing, and distribution of software, hardware, and other technology-related products and services. Founded in 1975 by Bill Gates and Paul Allen, Microsoft has emerged as one of the world's leading technology companies, with a significant global presence and a diverse range of products and services (Microsoft, 2023). </w:t>
      </w:r>
    </w:p>
    <w:p w14:paraId="6985056E"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F2E3018"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Microsoft's core products include the </w:t>
      </w:r>
      <w:proofErr w:type="gramStart"/>
      <w:r w:rsidRPr="00852F5C">
        <w:rPr>
          <w:rFonts w:ascii="Arial" w:eastAsiaTheme="minorEastAsia" w:hAnsi="Arial" w:cs="Arial"/>
          <w:color w:val="000000" w:themeColor="text1"/>
          <w:kern w:val="0"/>
          <w:lang w:val="en-US" w:eastAsia="en-GB"/>
          <w14:ligatures w14:val="none"/>
        </w:rPr>
        <w:t>widely-used</w:t>
      </w:r>
      <w:proofErr w:type="gramEnd"/>
      <w:r w:rsidRPr="00852F5C">
        <w:rPr>
          <w:rFonts w:ascii="Arial" w:eastAsiaTheme="minorEastAsia" w:hAnsi="Arial" w:cs="Arial"/>
          <w:color w:val="000000" w:themeColor="text1"/>
          <w:kern w:val="0"/>
          <w:lang w:val="en-US" w:eastAsia="en-GB"/>
          <w14:ligatures w14:val="none"/>
        </w:rPr>
        <w:t xml:space="preserve"> Microsoft Office suite, Windows operating system, Azure cloud computing platform, and a variety of hardware devices such as Surface tablets, Xbox gaming consoles, and related accessories. Moreover, the company offers a wide range of enterprise software, developer tools, and AI-powered solutions for various industries, including healthcare, finance, education, and more.</w:t>
      </w:r>
    </w:p>
    <w:p w14:paraId="19F7C81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organization’s mission is to empower individuals and organizations worldwide to achieve more through its innovative technologies (Microsoft, 2023). </w:t>
      </w:r>
    </w:p>
    <w:p w14:paraId="51C4A746"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051FEC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As of 2022, Microsoft boasts a global workforce of over 190,000 employees, spanning across numerous countries with offices and data centers in over 100 nations (Microsoft, 2023). </w:t>
      </w:r>
    </w:p>
    <w:p w14:paraId="64A6C8D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D72D53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organizational structure of Microsoft is renowned for its emphasis on diversity and inclusivity, fostering a collaborative and innovative culture that empowers its workforce. The company's core values, which serve as its guiding principles, encompass integrity, diversity and inclusion, respect, and a steadfast commitment to innovation and sustainable practices (Microsoft, 2022). The organization’s commitment to these values and practices has helped it become a global leader in the technology industry, and cause it to continue to strive for excellence in driving positive change in the world through its products, solutions, and organizational </w:t>
      </w:r>
      <w:proofErr w:type="gramStart"/>
      <w:r w:rsidRPr="00852F5C">
        <w:rPr>
          <w:rFonts w:ascii="Arial" w:eastAsiaTheme="minorEastAsia" w:hAnsi="Arial" w:cs="Arial"/>
          <w:color w:val="000000" w:themeColor="text1"/>
          <w:kern w:val="0"/>
          <w:lang w:val="en-US" w:eastAsia="en-GB"/>
          <w14:ligatures w14:val="none"/>
        </w:rPr>
        <w:t>culture</w:t>
      </w:r>
      <w:proofErr w:type="gramEnd"/>
    </w:p>
    <w:p w14:paraId="696983CD"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FF248EF"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3" w:name="_Toc132148121"/>
      <w:r w:rsidRPr="00852F5C">
        <w:rPr>
          <w:rFonts w:ascii="Arial" w:eastAsiaTheme="majorEastAsia" w:hAnsi="Arial" w:cs="Arial"/>
          <w:b/>
          <w:bCs/>
          <w:color w:val="000000" w:themeColor="text1"/>
          <w:kern w:val="0"/>
          <w:lang w:val="en-US" w:eastAsia="en-GB"/>
          <w14:ligatures w14:val="none"/>
        </w:rPr>
        <w:t>Organizational Culture at Microsoft</w:t>
      </w:r>
      <w:bookmarkEnd w:id="3"/>
    </w:p>
    <w:p w14:paraId="5CE4BD2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E399A8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Organizational culture is a fundamental aspect of Microsoft's operations, influencing its employees' behavior, decision-making processes, and overall performance. Beliefs, attitudes, and values are concepts that play a crucial role in shaping workplace culture. Beliefs are ideas or convictions that individuals hold to be true, attitudes are evaluations or feelings towards specific objects or situations, and values are enduring beliefs and principles that guide behavior. Understanding the differences between these concepts is vital in the workplace, as they influence how individuals perceive and respond to their job, colleagues, and organizational policies.</w:t>
      </w:r>
    </w:p>
    <w:p w14:paraId="12EABFBC"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2CA3EBA"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Microsoft's culture is shaped by its core values, leadership principles, and long-standing traditions, which have evolved over the years as the company has grown and adapted to changing business environments (</w:t>
      </w:r>
      <w:proofErr w:type="spellStart"/>
      <w:r w:rsidRPr="00852F5C">
        <w:rPr>
          <w:rFonts w:ascii="Arial" w:eastAsiaTheme="minorEastAsia" w:hAnsi="Arial" w:cs="Arial"/>
          <w:color w:val="000000" w:themeColor="text1"/>
          <w:kern w:val="0"/>
          <w:lang w:val="en-US" w:eastAsia="en-GB"/>
          <w14:ligatures w14:val="none"/>
        </w:rPr>
        <w:t>Buble</w:t>
      </w:r>
      <w:proofErr w:type="spellEnd"/>
      <w:r w:rsidRPr="00852F5C">
        <w:rPr>
          <w:rFonts w:ascii="Arial" w:eastAsiaTheme="minorEastAsia" w:hAnsi="Arial" w:cs="Arial"/>
          <w:color w:val="000000" w:themeColor="text1"/>
          <w:kern w:val="0"/>
          <w:lang w:val="en-US" w:eastAsia="en-GB"/>
          <w14:ligatures w14:val="none"/>
        </w:rPr>
        <w:t>, 2012). </w:t>
      </w:r>
    </w:p>
    <w:p w14:paraId="33D53E96"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6CED23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One of the key components of Microsoft's organizational culture is its emphasis on a growth mindset. The company believes in continuously learning, improving, and adapting to new challenges and opportunities. Employees are encouraged to embrace a growth mindset, which fosters a culture of innovation, experimentation, and continuous learning. This mindset encourages employees to take risks, learn from failures, and constantly strive for improvement, creating a dynamic and forward-thinking work environment (Pfister, 2009). </w:t>
      </w:r>
    </w:p>
    <w:p w14:paraId="17644E8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E250E6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In addition to a growth mindset, Microsoft's organizational culture is also characterized by a strong focus on diversity and inclusion. The company recognizes the value of diversity in driving creativity, innovation, and business success. Microsoft strives to create an inclusive and equitable work environment where employees from diverse backgrounds feel empowered, respected, and valued. As a result, the company’s culture of diversity and inclusion has a positive impact on employee performance by fostering creativity, innovation, problem-solving, decision-making, employee engagement, talent retention, and customer understanding (Microsoft, 2022).</w:t>
      </w:r>
    </w:p>
    <w:p w14:paraId="6EA7115C"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A51E53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Moreover, Microsoft's organizational culture is also shaped by its leadership principles. The company has a set of leadership principles that guide its employees' behaviors and decision-making processes. These principles include fostering a customer-obsessed culture, driving results, practicing inclusive leadership, and promoting a growth mindset, among others. These leadership principles serve as a compass for employees at all levels of the organization, helping them align their actions with Microsoft's core values and overall strategic direction (Microsoft, 2022).</w:t>
      </w:r>
    </w:p>
    <w:p w14:paraId="52D447E0"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4D639BD"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4" w:name="_Toc132148122"/>
      <w:r w:rsidRPr="00852F5C">
        <w:rPr>
          <w:rFonts w:ascii="Arial" w:eastAsiaTheme="majorEastAsia" w:hAnsi="Arial" w:cs="Arial"/>
          <w:b/>
          <w:bCs/>
          <w:color w:val="000000" w:themeColor="text1"/>
          <w:kern w:val="0"/>
          <w:lang w:val="en-US" w:eastAsia="en-GB"/>
          <w14:ligatures w14:val="none"/>
        </w:rPr>
        <w:t>Contingency Management Theory</w:t>
      </w:r>
      <w:bookmarkEnd w:id="4"/>
      <w:r w:rsidRPr="00852F5C">
        <w:rPr>
          <w:rFonts w:ascii="Arial" w:eastAsiaTheme="majorEastAsia" w:hAnsi="Arial" w:cs="Arial"/>
          <w:b/>
          <w:bCs/>
          <w:color w:val="000000" w:themeColor="text1"/>
          <w:kern w:val="0"/>
          <w:lang w:val="en-US" w:eastAsia="en-GB"/>
          <w14:ligatures w14:val="none"/>
        </w:rPr>
        <w:t> </w:t>
      </w:r>
    </w:p>
    <w:p w14:paraId="1971C79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D0229E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contingency management theory refers to a management approach that focuses on adapting to the specific circumstances or contingencies of a given situation. As per this theoretical framework, there is no one-size-fits-all approach to management, and that effective management strategies should be contingent upon the unique characteristics and demands of each situation (Donaldson, 2001).</w:t>
      </w:r>
    </w:p>
    <w:p w14:paraId="170EFC3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4EE3CF2"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management approach places great emphasis on the importance of flexibility and adaptability in management and posits that a company’s management needs to be proactive in identifying and addressing contingencies </w:t>
      </w:r>
      <w:proofErr w:type="gramStart"/>
      <w:r w:rsidRPr="00852F5C">
        <w:rPr>
          <w:rFonts w:ascii="Arial" w:eastAsiaTheme="minorEastAsia" w:hAnsi="Arial" w:cs="Arial"/>
          <w:color w:val="000000" w:themeColor="text1"/>
          <w:kern w:val="0"/>
          <w:lang w:val="en-US" w:eastAsia="en-GB"/>
          <w14:ligatures w14:val="none"/>
        </w:rPr>
        <w:t>in order to</w:t>
      </w:r>
      <w:proofErr w:type="gramEnd"/>
      <w:r w:rsidRPr="00852F5C">
        <w:rPr>
          <w:rFonts w:ascii="Arial" w:eastAsiaTheme="minorEastAsia" w:hAnsi="Arial" w:cs="Arial"/>
          <w:color w:val="000000" w:themeColor="text1"/>
          <w:kern w:val="0"/>
          <w:lang w:val="en-US" w:eastAsia="en-GB"/>
          <w14:ligatures w14:val="none"/>
        </w:rPr>
        <w:t xml:space="preserve"> be able to effectively assess and adjust their management practices accordingly. According to the theory, effective managers are those who </w:t>
      </w:r>
      <w:proofErr w:type="gramStart"/>
      <w:r w:rsidRPr="00852F5C">
        <w:rPr>
          <w:rFonts w:ascii="Arial" w:eastAsiaTheme="minorEastAsia" w:hAnsi="Arial" w:cs="Arial"/>
          <w:color w:val="000000" w:themeColor="text1"/>
          <w:kern w:val="0"/>
          <w:lang w:val="en-US" w:eastAsia="en-GB"/>
          <w14:ligatures w14:val="none"/>
        </w:rPr>
        <w:t>are able to</w:t>
      </w:r>
      <w:proofErr w:type="gramEnd"/>
      <w:r w:rsidRPr="00852F5C">
        <w:rPr>
          <w:rFonts w:ascii="Arial" w:eastAsiaTheme="minorEastAsia" w:hAnsi="Arial" w:cs="Arial"/>
          <w:color w:val="000000" w:themeColor="text1"/>
          <w:kern w:val="0"/>
          <w:lang w:val="en-US" w:eastAsia="en-GB"/>
          <w14:ligatures w14:val="none"/>
        </w:rPr>
        <w:t xml:space="preserve"> diagnose the unique contingencies of a situation and apply appropriate management strategies accordingly. This may involve using different leadership styles depending on the needs of the situation, as well as tailoring decisions based on a situation’s specific circumstances, rather than relying on predefined rules or standard operating procedures (Fiedler, 2006).</w:t>
      </w:r>
    </w:p>
    <w:p w14:paraId="32A4D28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82D4ADF"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theory also recognizes the importance of contingency planning, which involves anticipating potential future contingencies and developing plans to address them. As per the contingency approach, this provides organizations with a greater potential to respond to unforeseen events or changes in the business environment, and to be able to overcome potential challenges (Benson, 2004).</w:t>
      </w:r>
    </w:p>
    <w:p w14:paraId="7C9E584D"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1AE7596"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5" w:name="_Toc132148123"/>
      <w:r w:rsidRPr="00852F5C">
        <w:rPr>
          <w:rFonts w:ascii="Arial" w:eastAsiaTheme="majorEastAsia" w:hAnsi="Arial" w:cs="Arial"/>
          <w:b/>
          <w:bCs/>
          <w:color w:val="000000" w:themeColor="text1"/>
          <w:kern w:val="0"/>
          <w:lang w:val="en-US" w:eastAsia="en-GB"/>
          <w14:ligatures w14:val="none"/>
        </w:rPr>
        <w:t>The Contingency Management Theory at Microsoft</w:t>
      </w:r>
      <w:bookmarkEnd w:id="5"/>
      <w:r w:rsidRPr="00852F5C">
        <w:rPr>
          <w:rFonts w:ascii="Arial" w:eastAsiaTheme="majorEastAsia" w:hAnsi="Arial" w:cs="Arial"/>
          <w:b/>
          <w:bCs/>
          <w:color w:val="000000" w:themeColor="text1"/>
          <w:kern w:val="0"/>
          <w:lang w:val="en-US" w:eastAsia="en-GB"/>
          <w14:ligatures w14:val="none"/>
        </w:rPr>
        <w:t> </w:t>
      </w:r>
    </w:p>
    <w:p w14:paraId="7CE1DFD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0545D73"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contingency management approach has been acknowledged as a successful strategy for organizations to achieve sustained business prosperity by adapting their operations to varying situations and contingencies (</w:t>
      </w:r>
      <w:proofErr w:type="spellStart"/>
      <w:r w:rsidRPr="00852F5C">
        <w:rPr>
          <w:rFonts w:ascii="Arial" w:eastAsiaTheme="minorEastAsia" w:hAnsi="Arial" w:cs="Arial"/>
          <w:color w:val="000000" w:themeColor="text1"/>
          <w:kern w:val="0"/>
          <w:lang w:val="en-US" w:eastAsia="en-GB"/>
          <w14:ligatures w14:val="none"/>
        </w:rPr>
        <w:t>Psychogios</w:t>
      </w:r>
      <w:proofErr w:type="spellEnd"/>
      <w:r w:rsidRPr="00852F5C">
        <w:rPr>
          <w:rFonts w:ascii="Arial" w:eastAsiaTheme="minorEastAsia" w:hAnsi="Arial" w:cs="Arial"/>
          <w:color w:val="000000" w:themeColor="text1"/>
          <w:kern w:val="0"/>
          <w:lang w:val="en-US" w:eastAsia="en-GB"/>
          <w14:ligatures w14:val="none"/>
        </w:rPr>
        <w:t>, 2005).  Accordingly, many organizations incorporate this theoretical framework into their strategic planning.</w:t>
      </w:r>
    </w:p>
    <w:p w14:paraId="3F91B67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4116A64"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company Microsoft exemplifies this approach in several aspects of its operations.</w:t>
      </w:r>
    </w:p>
    <w:p w14:paraId="3B2B55E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88BFF2D"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Firstly, Microsoft's leadership style is adaptable, reflecting the contingencies at hand to ensure the most optimal management strategy (Prakash, </w:t>
      </w:r>
      <w:proofErr w:type="spellStart"/>
      <w:r w:rsidRPr="00852F5C">
        <w:rPr>
          <w:rFonts w:ascii="Arial" w:eastAsiaTheme="minorEastAsia" w:hAnsi="Arial" w:cs="Arial"/>
          <w:color w:val="000000" w:themeColor="text1"/>
          <w:kern w:val="0"/>
          <w:lang w:val="en-US" w:eastAsia="en-GB"/>
          <w14:ligatures w14:val="none"/>
        </w:rPr>
        <w:t>Bisla</w:t>
      </w:r>
      <w:proofErr w:type="spellEnd"/>
      <w:r w:rsidRPr="00852F5C">
        <w:rPr>
          <w:rFonts w:ascii="Arial" w:eastAsiaTheme="minorEastAsia" w:hAnsi="Arial" w:cs="Arial"/>
          <w:color w:val="000000" w:themeColor="text1"/>
          <w:kern w:val="0"/>
          <w:lang w:val="en-US" w:eastAsia="en-GB"/>
          <w14:ligatures w14:val="none"/>
        </w:rPr>
        <w:t xml:space="preserve"> and Rastogi, 2021).</w:t>
      </w:r>
    </w:p>
    <w:p w14:paraId="7DC91CE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767265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Secondly, Microsoft's decision-making processes are tailored to the specific contingencies involved. For strategic decisions related to product development, market expansion, or resource allocation, Microsoft embraces a collaborative and inclusive approach, involving input from diverse stakeholders and teams. However, for operational decisions concerning day-to-day activities, Microsoft adopts a more streamlined and efficient decision-making process to ensure agility and adaptability (Lawless, 2017).</w:t>
      </w:r>
    </w:p>
    <w:p w14:paraId="3B3759E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580115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Moreover, Microsoft's organizational structure is designed to align with the contingencies it faces. During periods of rapid growth, a decentralized and agile structure fosters cross-functional collaboration and innovation. Conversely, during times of operational efficiency or cost containment, a more centralized and hierarchical structure may be employed to ensure consistency and control, depending on the situation (</w:t>
      </w:r>
      <w:proofErr w:type="spellStart"/>
      <w:r w:rsidRPr="00852F5C">
        <w:rPr>
          <w:rFonts w:ascii="Arial" w:eastAsiaTheme="minorEastAsia" w:hAnsi="Arial" w:cs="Arial"/>
          <w:color w:val="000000" w:themeColor="text1"/>
          <w:kern w:val="0"/>
          <w:lang w:val="en-US" w:eastAsia="en-GB"/>
          <w14:ligatures w14:val="none"/>
        </w:rPr>
        <w:t>Ishneet</w:t>
      </w:r>
      <w:proofErr w:type="spellEnd"/>
      <w:r w:rsidRPr="00852F5C">
        <w:rPr>
          <w:rFonts w:ascii="Arial" w:eastAsiaTheme="minorEastAsia" w:hAnsi="Arial" w:cs="Arial"/>
          <w:color w:val="000000" w:themeColor="text1"/>
          <w:kern w:val="0"/>
          <w:lang w:val="en-US" w:eastAsia="en-GB"/>
          <w14:ligatures w14:val="none"/>
        </w:rPr>
        <w:t xml:space="preserve"> and Sonam, 2015).</w:t>
      </w:r>
    </w:p>
    <w:p w14:paraId="2D26E39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7F60AA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Lastly, Microsoft's approach to employee motivation and rewards is contingent upon the situation and contingencies involved. In times of high performance and innovation, recognition programs are implemented to reward and reinforce creative contributions. Nevertheless, during periods of organizational challenges or changes, reward programs are more focused on recognizing employees for their adaptability, resilience, and contributions in managing the situation (Heck et al., 2012). </w:t>
      </w:r>
    </w:p>
    <w:p w14:paraId="4503404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8C57939"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Reflection of the Contingency Management's Approach on Microsoft’s Response to the COVID-19 Pandemic </w:t>
      </w:r>
    </w:p>
    <w:p w14:paraId="3AC8579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2D564E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 also applied the principles of the contingency management theory to navigate the challenges posed by the global pandemic.</w:t>
      </w:r>
    </w:p>
    <w:p w14:paraId="3F8C76A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AB03611"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As the pandemic disrupted traditional work arrangements, Microsoft quickly adopted a remote work model, leveraging its technology and infrastructure to enable employees to work from home effectively. This decision was contingent upon the need to ensure employee safety and well-being while maintaining business continuity (</w:t>
      </w:r>
      <w:proofErr w:type="spellStart"/>
      <w:r w:rsidRPr="00852F5C">
        <w:rPr>
          <w:rFonts w:ascii="Arial" w:eastAsiaTheme="minorEastAsia" w:hAnsi="Arial" w:cs="Arial"/>
          <w:color w:val="000000" w:themeColor="text1"/>
          <w:kern w:val="0"/>
          <w:lang w:val="en-US" w:eastAsia="en-GB"/>
          <w14:ligatures w14:val="none"/>
        </w:rPr>
        <w:t>Teevan</w:t>
      </w:r>
      <w:proofErr w:type="spellEnd"/>
      <w:r w:rsidRPr="00852F5C">
        <w:rPr>
          <w:rFonts w:ascii="Arial" w:eastAsiaTheme="minorEastAsia" w:hAnsi="Arial" w:cs="Arial"/>
          <w:color w:val="000000" w:themeColor="text1"/>
          <w:kern w:val="0"/>
          <w:lang w:val="en-US" w:eastAsia="en-GB"/>
          <w14:ligatures w14:val="none"/>
        </w:rPr>
        <w:t xml:space="preserve">, </w:t>
      </w:r>
      <w:proofErr w:type="gramStart"/>
      <w:r w:rsidRPr="00852F5C">
        <w:rPr>
          <w:rFonts w:ascii="Arial" w:eastAsiaTheme="minorEastAsia" w:hAnsi="Arial" w:cs="Arial"/>
          <w:color w:val="000000" w:themeColor="text1"/>
          <w:kern w:val="0"/>
          <w:lang w:val="en-US" w:eastAsia="en-GB"/>
          <w14:ligatures w14:val="none"/>
        </w:rPr>
        <w:t>Hecht</w:t>
      </w:r>
      <w:proofErr w:type="gramEnd"/>
      <w:r w:rsidRPr="00852F5C">
        <w:rPr>
          <w:rFonts w:ascii="Arial" w:eastAsiaTheme="minorEastAsia" w:hAnsi="Arial" w:cs="Arial"/>
          <w:color w:val="000000" w:themeColor="text1"/>
          <w:kern w:val="0"/>
          <w:lang w:val="en-US" w:eastAsia="en-GB"/>
          <w14:ligatures w14:val="none"/>
        </w:rPr>
        <w:t xml:space="preserve"> and Jaffe, 2021). </w:t>
      </w:r>
    </w:p>
    <w:p w14:paraId="2516DE6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95EE00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Furthermore, Microsoft demonstrated agility and flexibility in its product offerings to meet the changing needs of customers during the pandemic. With increased reliance on digital technologies for remote work, learning, and communication, Microsoft rapidly developed and enhanced its cloud-based collaboration and communication tools, such as Microsoft Teams and Azure cloud services, to support remote work and online collaboration (Mehta et al., 2020). </w:t>
      </w:r>
    </w:p>
    <w:p w14:paraId="47C602E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26A29F8"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Moreover, Microsoft's leadership response to the pandemic was aligned with the principles of contingency management theory as it quickly adjusted to the new circumstances. The company's leaders took an adaptive and empathetic approach, recognizing the unique challenges posed by the pandemic and providing clear communication, guidance, and support to employees. They also encouraged collaboration, innovation, and agility in response to the changing circumstances, while prioritizing employee safety and well-being (Chen and Wang, 2015).</w:t>
      </w:r>
    </w:p>
    <w:p w14:paraId="0DD8BE9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F14D391" w14:textId="77777777" w:rsidR="00852F5C" w:rsidRPr="00852F5C" w:rsidRDefault="00852F5C" w:rsidP="00852F5C">
      <w:pPr>
        <w:tabs>
          <w:tab w:val="left" w:pos="3261"/>
        </w:tabs>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Lastly, Microsoft's corporate social responsibility (CSR) initiatives during the pandemic exemplified a contingency-based approach to social and environmental responsibility, as the company leveraged its resources and expertise to contribute to global efforts in combating the pandemic and its interrelated adverse repercussions. This included providing cloud services to support research and development of COVID-19 vaccines, donating funds and resources to charitable organizations, offering free access to its remote collaboration tools and involvement in benevolent initiatives (Sehgal et al., 2020).</w:t>
      </w:r>
    </w:p>
    <w:p w14:paraId="6D052F4D" w14:textId="77777777" w:rsidR="00852F5C" w:rsidRPr="00852F5C" w:rsidRDefault="00852F5C" w:rsidP="00852F5C">
      <w:pPr>
        <w:tabs>
          <w:tab w:val="left" w:pos="3261"/>
        </w:tabs>
        <w:spacing w:after="0" w:line="360" w:lineRule="auto"/>
        <w:rPr>
          <w:rFonts w:ascii="Arial" w:eastAsia="Times New Roman" w:hAnsi="Arial" w:cs="Arial"/>
          <w:color w:val="000000" w:themeColor="text1"/>
          <w:kern w:val="0"/>
          <w:lang w:val="en-US" w:eastAsia="en-GB"/>
          <w14:ligatures w14:val="none"/>
        </w:rPr>
      </w:pPr>
    </w:p>
    <w:p w14:paraId="7AF47DB4"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6" w:name="_Toc132148124"/>
      <w:r w:rsidRPr="00852F5C">
        <w:rPr>
          <w:rFonts w:ascii="Arial" w:eastAsiaTheme="majorEastAsia" w:hAnsi="Arial" w:cs="Arial"/>
          <w:b/>
          <w:bCs/>
          <w:color w:val="000000" w:themeColor="text1"/>
          <w:kern w:val="0"/>
          <w:lang w:val="en-US" w:eastAsia="en-GB"/>
          <w14:ligatures w14:val="none"/>
        </w:rPr>
        <w:t>Different Perspectives on Microsoft’s Response to the Pandemic</w:t>
      </w:r>
      <w:bookmarkEnd w:id="6"/>
      <w:r w:rsidRPr="00852F5C">
        <w:rPr>
          <w:rFonts w:ascii="Arial" w:eastAsiaTheme="majorEastAsia" w:hAnsi="Arial" w:cs="Arial"/>
          <w:b/>
          <w:bCs/>
          <w:color w:val="000000" w:themeColor="text1"/>
          <w:kern w:val="0"/>
          <w:lang w:val="en-US" w:eastAsia="en-GB"/>
          <w14:ligatures w14:val="none"/>
        </w:rPr>
        <w:t> </w:t>
      </w:r>
    </w:p>
    <w:p w14:paraId="10874F6A" w14:textId="77777777" w:rsidR="00852F5C" w:rsidRPr="00852F5C" w:rsidRDefault="00852F5C" w:rsidP="00852F5C">
      <w:pPr>
        <w:tabs>
          <w:tab w:val="left" w:pos="3261"/>
        </w:tabs>
        <w:spacing w:after="0" w:line="360" w:lineRule="auto"/>
        <w:rPr>
          <w:rFonts w:ascii="Arial" w:eastAsia="Times New Roman" w:hAnsi="Arial" w:cs="Arial"/>
          <w:color w:val="000000" w:themeColor="text1"/>
          <w:kern w:val="0"/>
          <w:lang w:val="en-US" w:eastAsia="en-GB"/>
          <w14:ligatures w14:val="none"/>
        </w:rPr>
      </w:pPr>
    </w:p>
    <w:p w14:paraId="31FE5413" w14:textId="77777777" w:rsidR="00852F5C" w:rsidRPr="00852F5C" w:rsidRDefault="00852F5C" w:rsidP="00852F5C">
      <w:pPr>
        <w:tabs>
          <w:tab w:val="left" w:pos="3261"/>
        </w:tabs>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Some individuals may view Microsoft's contingency approach as a strategic and adaptive response to the challenges posed by the pandemic. They may appreciate how Microsoft quickly assessed the situation, identified potential contingencies, and implemented timely adjustments to its operations, products, and management to effectively meet the evolving needs of its customers and employees. These individuals may see the contingency approach as a valuable tool for managing uncertainty and complexity during crises, and attribute Microsoft's success in navigating the pandemic to its application.</w:t>
      </w:r>
    </w:p>
    <w:p w14:paraId="04EC2A15" w14:textId="77777777" w:rsidR="00852F5C" w:rsidRPr="00852F5C" w:rsidRDefault="00852F5C" w:rsidP="00852F5C">
      <w:pPr>
        <w:tabs>
          <w:tab w:val="left" w:pos="3261"/>
        </w:tabs>
        <w:spacing w:after="0" w:line="360" w:lineRule="auto"/>
        <w:rPr>
          <w:rFonts w:ascii="Arial" w:eastAsia="Times New Roman" w:hAnsi="Arial" w:cs="Arial"/>
          <w:color w:val="000000" w:themeColor="text1"/>
          <w:kern w:val="0"/>
          <w:lang w:val="en-US" w:eastAsia="en-GB"/>
          <w14:ligatures w14:val="none"/>
        </w:rPr>
      </w:pPr>
    </w:p>
    <w:p w14:paraId="73171E8C" w14:textId="77777777" w:rsidR="00852F5C" w:rsidRPr="00852F5C" w:rsidRDefault="00852F5C" w:rsidP="00852F5C">
      <w:pPr>
        <w:tabs>
          <w:tab w:val="left" w:pos="3261"/>
        </w:tabs>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On the other hand, individuals with different values and beliefs may have concerns or critiques about Microsoft's contingency approach. </w:t>
      </w:r>
    </w:p>
    <w:p w14:paraId="58FBE68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2C7CB0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For example, some may argue that Microsoft's remote work model during the pandemic could have negative implications for work-life balance, as employees may face challenges in separating work and personal life while working from home. </w:t>
      </w:r>
    </w:p>
    <w:p w14:paraId="55C5447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BDFFFB8"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Others may express concerns about data security and privacy issues related to increased reliance on cloud-based collaboration tools, such as Microsoft Teams. They may worry about the potential risks of sensitive information being shared and stored online, and the potential for data breaches or cyber-attacks. They may also have concerns about the collection and use of personal data by Microsoft or other third-party service providers.</w:t>
      </w:r>
    </w:p>
    <w:p w14:paraId="2B61E6B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5DC24F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There may be criticisms about the accessibility and affordability of Microsoft's products and services for all individuals and communities, particularly those with limited resources or internet access. Some may argue that not all </w:t>
      </w:r>
      <w:proofErr w:type="gramStart"/>
      <w:r w:rsidRPr="00852F5C">
        <w:rPr>
          <w:rFonts w:ascii="Arial" w:eastAsiaTheme="minorEastAsia" w:hAnsi="Arial" w:cs="Arial"/>
          <w:color w:val="000000" w:themeColor="text1"/>
          <w:kern w:val="0"/>
          <w:lang w:val="en-US" w:eastAsia="en-GB"/>
          <w14:ligatures w14:val="none"/>
        </w:rPr>
        <w:t>employees may</w:t>
      </w:r>
      <w:proofErr w:type="gramEnd"/>
      <w:r w:rsidRPr="00852F5C">
        <w:rPr>
          <w:rFonts w:ascii="Arial" w:eastAsiaTheme="minorEastAsia" w:hAnsi="Arial" w:cs="Arial"/>
          <w:color w:val="000000" w:themeColor="text1"/>
          <w:kern w:val="0"/>
          <w:lang w:val="en-US" w:eastAsia="en-GB"/>
          <w14:ligatures w14:val="none"/>
        </w:rPr>
        <w:t xml:space="preserve"> have the necessary technology or internet infrastructure to effectively work from home, which may lead to inequalities in the workforce. They may also argue that the cost of Microsoft's products and services may be prohibitive for certain communities or individuals, limiting their ability to access and benefit from them.</w:t>
      </w:r>
    </w:p>
    <w:p w14:paraId="4983CE1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085E31A" w14:textId="1069C25A" w:rsidR="00852F5C" w:rsidRPr="00852F5C" w:rsidRDefault="00483553"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Moreover, individuals</w:t>
      </w:r>
      <w:r w:rsidR="00852F5C" w:rsidRPr="00852F5C">
        <w:rPr>
          <w:rFonts w:ascii="Arial" w:eastAsiaTheme="minorEastAsia" w:hAnsi="Arial" w:cs="Arial"/>
          <w:color w:val="000000" w:themeColor="text1"/>
          <w:kern w:val="0"/>
          <w:lang w:val="en-US" w:eastAsia="en-GB"/>
          <w14:ligatures w14:val="none"/>
        </w:rPr>
        <w:t xml:space="preserve"> who prioritize stability and consistency in business operations may question the flexibility and adaptability of Microsoft's contingency approach, seeing it as lacking in long-term planning or strategic direction. They may express concerns about potential disruptions or inconsistencies in Microsoft's operations and may question the sustainability of the contingency approach in the long run.</w:t>
      </w:r>
    </w:p>
    <w:p w14:paraId="0B6656B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01A0831"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Similarly, individuals who prioritize financial performance and profitability may question the cost-effectiveness of Microsoft's contingency plans or investments in certain initiatives during the pandemic. They may express concerns about the impact on the company's bottom </w:t>
      </w:r>
      <w:proofErr w:type="gramStart"/>
      <w:r w:rsidRPr="00852F5C">
        <w:rPr>
          <w:rFonts w:ascii="Arial" w:eastAsiaTheme="minorEastAsia" w:hAnsi="Arial" w:cs="Arial"/>
          <w:color w:val="000000" w:themeColor="text1"/>
          <w:kern w:val="0"/>
          <w:lang w:val="en-US" w:eastAsia="en-GB"/>
          <w14:ligatures w14:val="none"/>
        </w:rPr>
        <w:t>line, and</w:t>
      </w:r>
      <w:proofErr w:type="gramEnd"/>
      <w:r w:rsidRPr="00852F5C">
        <w:rPr>
          <w:rFonts w:ascii="Arial" w:eastAsiaTheme="minorEastAsia" w:hAnsi="Arial" w:cs="Arial"/>
          <w:color w:val="000000" w:themeColor="text1"/>
          <w:kern w:val="0"/>
          <w:lang w:val="en-US" w:eastAsia="en-GB"/>
          <w14:ligatures w14:val="none"/>
        </w:rPr>
        <w:t xml:space="preserve"> may question the allocation of resources to contingencies or sustainability initiatives that may be perceived as less directly tied to short-term financial outcomes.</w:t>
      </w:r>
    </w:p>
    <w:p w14:paraId="31B92BD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7D3FAFA"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Lastly, individuals may have differing perspectives on Microsoft's approach to social responsibility and ethical considerations during the pandemic. While some may appreciate Microsoft's efforts in supporting communities, healthcare organizations, or educational institutions through donations, technology access, or remote collaboration tools, others may question the sufficiency or effectiveness of these </w:t>
      </w:r>
      <w:proofErr w:type="gramStart"/>
      <w:r w:rsidRPr="00852F5C">
        <w:rPr>
          <w:rFonts w:ascii="Arial" w:eastAsiaTheme="minorEastAsia" w:hAnsi="Arial" w:cs="Arial"/>
          <w:color w:val="000000" w:themeColor="text1"/>
          <w:kern w:val="0"/>
          <w:lang w:val="en-US" w:eastAsia="en-GB"/>
          <w14:ligatures w14:val="none"/>
        </w:rPr>
        <w:t>efforts, or</w:t>
      </w:r>
      <w:proofErr w:type="gramEnd"/>
      <w:r w:rsidRPr="00852F5C">
        <w:rPr>
          <w:rFonts w:ascii="Arial" w:eastAsiaTheme="minorEastAsia" w:hAnsi="Arial" w:cs="Arial"/>
          <w:color w:val="000000" w:themeColor="text1"/>
          <w:kern w:val="0"/>
          <w:lang w:val="en-US" w:eastAsia="en-GB"/>
          <w14:ligatures w14:val="none"/>
        </w:rPr>
        <w:t xml:space="preserve"> may call for more proactive or impactful actions in addressing societal challenges during a crisis like the COVID-19 pandemic.</w:t>
      </w:r>
    </w:p>
    <w:p w14:paraId="0A5005D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AFBD0DC"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7" w:name="_Toc132148125"/>
      <w:r w:rsidRPr="00852F5C">
        <w:rPr>
          <w:rFonts w:ascii="Arial" w:eastAsiaTheme="majorEastAsia" w:hAnsi="Arial" w:cs="Arial"/>
          <w:b/>
          <w:bCs/>
          <w:color w:val="000000" w:themeColor="text1"/>
          <w:kern w:val="0"/>
          <w:lang w:val="en-US" w:eastAsia="en-GB"/>
          <w14:ligatures w14:val="none"/>
        </w:rPr>
        <w:t>Application of the RED Model of Critical Thinking</w:t>
      </w:r>
      <w:bookmarkEnd w:id="7"/>
      <w:r w:rsidRPr="00852F5C">
        <w:rPr>
          <w:rFonts w:ascii="Arial" w:eastAsiaTheme="majorEastAsia" w:hAnsi="Arial" w:cs="Arial"/>
          <w:b/>
          <w:bCs/>
          <w:color w:val="000000" w:themeColor="text1"/>
          <w:kern w:val="0"/>
          <w:lang w:val="en-US" w:eastAsia="en-GB"/>
          <w14:ligatures w14:val="none"/>
        </w:rPr>
        <w:t> </w:t>
      </w:r>
    </w:p>
    <w:p w14:paraId="698848A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C5852D6"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RED model for critical thinking can serve as a valuable framework for Microsoft to analyze and evaluate the various perspectives on its contingency approach during the COVID-19 pandemic. This model offers a structured approach to examining a subject through systematic and objective critical thinking, allowing for a thorough assessment and evaluation of different viewpoints on a particular issue or topic 19.  By applying the RED model, Microsoft can engage in a rigorous analysis of assumptions, arguments, and conclusions related to its response to the pandemic, driven by the contingency management approach, which can aid in making informed decisions and developing effective strategies for the post-pandemic circumstances (</w:t>
      </w:r>
      <w:proofErr w:type="spellStart"/>
      <w:r w:rsidRPr="00852F5C">
        <w:rPr>
          <w:rFonts w:ascii="Arial" w:eastAsiaTheme="minorEastAsia" w:hAnsi="Arial" w:cs="Arial"/>
          <w:color w:val="000000" w:themeColor="text1"/>
          <w:kern w:val="0"/>
          <w:shd w:val="clear" w:color="auto" w:fill="FFFFFF"/>
          <w:lang w:val="en-US" w:eastAsia="en-GB"/>
          <w14:ligatures w14:val="none"/>
        </w:rPr>
        <w:t>Wulandari</w:t>
      </w:r>
      <w:proofErr w:type="spellEnd"/>
      <w:r w:rsidRPr="00852F5C">
        <w:rPr>
          <w:rFonts w:ascii="Arial" w:eastAsiaTheme="minorEastAsia" w:hAnsi="Arial" w:cs="Arial"/>
          <w:color w:val="000000" w:themeColor="text1"/>
          <w:kern w:val="0"/>
          <w:shd w:val="clear" w:color="auto" w:fill="FFFFFF"/>
          <w:lang w:val="en-US" w:eastAsia="en-GB"/>
          <w14:ligatures w14:val="none"/>
        </w:rPr>
        <w:t xml:space="preserve">, </w:t>
      </w:r>
      <w:proofErr w:type="spellStart"/>
      <w:r w:rsidRPr="00852F5C">
        <w:rPr>
          <w:rFonts w:ascii="Arial" w:eastAsiaTheme="minorEastAsia" w:hAnsi="Arial" w:cs="Arial"/>
          <w:color w:val="000000" w:themeColor="text1"/>
          <w:kern w:val="0"/>
          <w:shd w:val="clear" w:color="auto" w:fill="FFFFFF"/>
          <w:lang w:val="en-US" w:eastAsia="en-GB"/>
          <w14:ligatures w14:val="none"/>
        </w:rPr>
        <w:t>Baedhowi</w:t>
      </w:r>
      <w:proofErr w:type="spellEnd"/>
      <w:r w:rsidRPr="00852F5C">
        <w:rPr>
          <w:rFonts w:ascii="Arial" w:eastAsiaTheme="minorEastAsia" w:hAnsi="Arial" w:cs="Arial"/>
          <w:color w:val="000000" w:themeColor="text1"/>
          <w:kern w:val="0"/>
          <w:shd w:val="clear" w:color="auto" w:fill="FFFFFF"/>
          <w:lang w:val="en-US" w:eastAsia="en-GB"/>
          <w14:ligatures w14:val="none"/>
        </w:rPr>
        <w:t xml:space="preserve"> and </w:t>
      </w:r>
      <w:proofErr w:type="spellStart"/>
      <w:r w:rsidRPr="00852F5C">
        <w:rPr>
          <w:rFonts w:ascii="Arial" w:eastAsiaTheme="minorEastAsia" w:hAnsi="Arial" w:cs="Arial"/>
          <w:color w:val="000000" w:themeColor="text1"/>
          <w:kern w:val="0"/>
          <w:shd w:val="clear" w:color="auto" w:fill="FFFFFF"/>
          <w:lang w:val="en-US" w:eastAsia="en-GB"/>
          <w14:ligatures w14:val="none"/>
        </w:rPr>
        <w:t>Hindrayani</w:t>
      </w:r>
      <w:proofErr w:type="spellEnd"/>
      <w:r w:rsidRPr="00852F5C">
        <w:rPr>
          <w:rFonts w:ascii="Arial" w:eastAsiaTheme="minorEastAsia" w:hAnsi="Arial" w:cs="Arial"/>
          <w:color w:val="000000" w:themeColor="text1"/>
          <w:kern w:val="0"/>
          <w:shd w:val="clear" w:color="auto" w:fill="FFFFFF"/>
          <w:lang w:val="en-US" w:eastAsia="en-GB"/>
          <w14:ligatures w14:val="none"/>
        </w:rPr>
        <w:t>, 2021). </w:t>
      </w:r>
    </w:p>
    <w:p w14:paraId="536EB49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913887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RED model encompasses three steps:</w:t>
      </w:r>
    </w:p>
    <w:p w14:paraId="5D67BF4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r w:rsidRPr="00852F5C">
        <w:rPr>
          <w:rFonts w:ascii="Arial" w:eastAsia="Times New Roman" w:hAnsi="Arial" w:cs="Arial"/>
          <w:color w:val="000000" w:themeColor="text1"/>
          <w:kern w:val="0"/>
          <w:lang w:val="en-US" w:eastAsia="en-GB"/>
          <w14:ligatures w14:val="none"/>
        </w:rPr>
        <w:br/>
      </w:r>
    </w:p>
    <w:p w14:paraId="70221CDF" w14:textId="77777777" w:rsidR="00852F5C" w:rsidRPr="00852F5C" w:rsidRDefault="00852F5C" w:rsidP="00852F5C">
      <w:pPr>
        <w:keepNext/>
        <w:keepLines/>
        <w:numPr>
          <w:ilvl w:val="0"/>
          <w:numId w:val="1"/>
        </w:numPr>
        <w:spacing w:before="40" w:after="0" w:line="360" w:lineRule="auto"/>
        <w:outlineLvl w:val="1"/>
        <w:rPr>
          <w:rFonts w:ascii="Arial" w:eastAsiaTheme="majorEastAsia" w:hAnsi="Arial" w:cs="Arial"/>
          <w:color w:val="000000" w:themeColor="text1"/>
          <w:kern w:val="0"/>
          <w:lang w:val="en-US" w:eastAsia="en-GB"/>
          <w14:ligatures w14:val="none"/>
        </w:rPr>
      </w:pPr>
      <w:bookmarkStart w:id="8" w:name="_Toc132148126"/>
      <w:r w:rsidRPr="00852F5C">
        <w:rPr>
          <w:rFonts w:ascii="Arial" w:eastAsiaTheme="majorEastAsia" w:hAnsi="Arial" w:cs="Arial"/>
          <w:color w:val="000000" w:themeColor="text1"/>
          <w:kern w:val="0"/>
          <w:lang w:val="en-US" w:eastAsia="en-GB"/>
          <w14:ligatures w14:val="none"/>
        </w:rPr>
        <w:t>Acknowledgement of Different Assumptions</w:t>
      </w:r>
      <w:bookmarkEnd w:id="8"/>
      <w:r w:rsidRPr="00852F5C">
        <w:rPr>
          <w:rFonts w:ascii="Arial" w:eastAsiaTheme="majorEastAsia" w:hAnsi="Arial" w:cs="Arial"/>
          <w:color w:val="000000" w:themeColor="text1"/>
          <w:kern w:val="0"/>
          <w:lang w:val="en-US" w:eastAsia="en-GB"/>
          <w14:ligatures w14:val="none"/>
        </w:rPr>
        <w:t> </w:t>
      </w:r>
    </w:p>
    <w:p w14:paraId="67BA908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B48164F"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 can begin by acknowledging the different assumptions that are inherent in the various perspectives on its contingency approach during the COVID-19 pandemic. This involves recognizing the underlying implicit beliefs or presuppositions that shape these viewpoints. By being mindful of these assumptions, Microsoft can gain a deeper understanding of the different viewpoints and their underlying motivations.</w:t>
      </w:r>
    </w:p>
    <w:p w14:paraId="178CD18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r w:rsidRPr="00852F5C">
        <w:rPr>
          <w:rFonts w:ascii="Arial" w:eastAsia="Times New Roman" w:hAnsi="Arial" w:cs="Arial"/>
          <w:color w:val="000000" w:themeColor="text1"/>
          <w:kern w:val="0"/>
          <w:lang w:val="en-US" w:eastAsia="en-GB"/>
          <w14:ligatures w14:val="none"/>
        </w:rPr>
        <w:br/>
      </w:r>
    </w:p>
    <w:p w14:paraId="104F1990" w14:textId="7D919FB0" w:rsidR="00852F5C" w:rsidRPr="00852F5C" w:rsidRDefault="00852F5C" w:rsidP="00852F5C">
      <w:pPr>
        <w:keepNext/>
        <w:keepLines/>
        <w:numPr>
          <w:ilvl w:val="0"/>
          <w:numId w:val="1"/>
        </w:numPr>
        <w:spacing w:before="40" w:after="0" w:line="360" w:lineRule="auto"/>
        <w:outlineLvl w:val="1"/>
        <w:rPr>
          <w:rFonts w:ascii="Arial" w:eastAsiaTheme="majorEastAsia" w:hAnsi="Arial" w:cs="Arial"/>
          <w:color w:val="000000" w:themeColor="text1"/>
          <w:kern w:val="0"/>
          <w:lang w:val="en-US" w:eastAsia="en-GB"/>
          <w14:ligatures w14:val="none"/>
        </w:rPr>
      </w:pPr>
      <w:bookmarkStart w:id="9" w:name="_Toc132148127"/>
      <w:r w:rsidRPr="00852F5C">
        <w:rPr>
          <w:rFonts w:ascii="Arial" w:eastAsiaTheme="majorEastAsia" w:hAnsi="Arial" w:cs="Arial"/>
          <w:color w:val="000000" w:themeColor="text1"/>
          <w:kern w:val="0"/>
          <w:lang w:val="en-US" w:eastAsia="en-GB"/>
          <w14:ligatures w14:val="none"/>
        </w:rPr>
        <w:t>Evaluation of Arguments</w:t>
      </w:r>
      <w:bookmarkEnd w:id="9"/>
      <w:r w:rsidRPr="00852F5C">
        <w:rPr>
          <w:rFonts w:ascii="Arial" w:eastAsiaTheme="majorEastAsia" w:hAnsi="Arial" w:cs="Arial"/>
          <w:color w:val="000000" w:themeColor="text1"/>
          <w:kern w:val="0"/>
          <w:lang w:val="en-US" w:eastAsia="en-GB"/>
          <w14:ligatures w14:val="none"/>
        </w:rPr>
        <w:t> </w:t>
      </w:r>
    </w:p>
    <w:p w14:paraId="459463E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8C996C4"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Next, Microsoft can engage in a thorough evaluation of the arguments presented in these perspectives. This entails critically assessing the evidence, reasoning, and logic employed to support the viewpoints. Microsoft should carefully analyze the facts and data presented, assess the coherence and consistency of the reasoning, and evaluate the relevance of the evidence provided. This critical evaluation can help Microsoft determine the strength and validity of the arguments presented both in favor of and against its contingency approach.</w:t>
      </w:r>
    </w:p>
    <w:p w14:paraId="18A9D51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r w:rsidRPr="00852F5C">
        <w:rPr>
          <w:rFonts w:ascii="Arial" w:eastAsia="Times New Roman" w:hAnsi="Arial" w:cs="Arial"/>
          <w:color w:val="000000" w:themeColor="text1"/>
          <w:kern w:val="0"/>
          <w:lang w:val="en-US" w:eastAsia="en-GB"/>
          <w14:ligatures w14:val="none"/>
        </w:rPr>
        <w:br/>
      </w:r>
    </w:p>
    <w:p w14:paraId="46609ECF" w14:textId="77777777" w:rsidR="00852F5C" w:rsidRPr="00852F5C" w:rsidRDefault="00852F5C" w:rsidP="00852F5C">
      <w:pPr>
        <w:keepNext/>
        <w:keepLines/>
        <w:numPr>
          <w:ilvl w:val="0"/>
          <w:numId w:val="1"/>
        </w:numPr>
        <w:spacing w:before="40" w:after="0" w:line="360" w:lineRule="auto"/>
        <w:outlineLvl w:val="1"/>
        <w:rPr>
          <w:rFonts w:ascii="Arial" w:eastAsiaTheme="majorEastAsia" w:hAnsi="Arial" w:cs="Arial"/>
          <w:color w:val="000000" w:themeColor="text1"/>
          <w:kern w:val="0"/>
          <w:lang w:val="en-US" w:eastAsia="en-GB"/>
          <w14:ligatures w14:val="none"/>
        </w:rPr>
      </w:pPr>
      <w:bookmarkStart w:id="10" w:name="_Toc132148128"/>
      <w:r w:rsidRPr="00852F5C">
        <w:rPr>
          <w:rFonts w:ascii="Arial" w:eastAsiaTheme="majorEastAsia" w:hAnsi="Arial" w:cs="Arial"/>
          <w:color w:val="000000" w:themeColor="text1"/>
          <w:kern w:val="0"/>
          <w:lang w:val="en-US" w:eastAsia="en-GB"/>
          <w14:ligatures w14:val="none"/>
        </w:rPr>
        <w:t>Drawing Conclusions</w:t>
      </w:r>
      <w:bookmarkEnd w:id="10"/>
      <w:r w:rsidRPr="00852F5C">
        <w:rPr>
          <w:rFonts w:ascii="Arial" w:eastAsiaTheme="majorEastAsia" w:hAnsi="Arial" w:cs="Arial"/>
          <w:color w:val="000000" w:themeColor="text1"/>
          <w:kern w:val="0"/>
          <w:lang w:val="en-US" w:eastAsia="en-GB"/>
          <w14:ligatures w14:val="none"/>
        </w:rPr>
        <w:t> </w:t>
      </w:r>
    </w:p>
    <w:p w14:paraId="03B941AC"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519081F"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Finally, Microsoft can draw reasoned conclusions based on a comprehensive assessment of the arguments. This involves synthesizing the information gathered and forming well-supported judgments. Microsoft should consider the strengths and weaknesses of the arguments, weigh the evidence and reasoning, and </w:t>
      </w:r>
      <w:proofErr w:type="gramStart"/>
      <w:r w:rsidRPr="00852F5C">
        <w:rPr>
          <w:rFonts w:ascii="Arial" w:eastAsiaTheme="minorEastAsia" w:hAnsi="Arial" w:cs="Arial"/>
          <w:color w:val="000000" w:themeColor="text1"/>
          <w:kern w:val="0"/>
          <w:lang w:val="en-US" w:eastAsia="en-GB"/>
          <w14:ligatures w14:val="none"/>
        </w:rPr>
        <w:t>take into account</w:t>
      </w:r>
      <w:proofErr w:type="gramEnd"/>
      <w:r w:rsidRPr="00852F5C">
        <w:rPr>
          <w:rFonts w:ascii="Arial" w:eastAsiaTheme="minorEastAsia" w:hAnsi="Arial" w:cs="Arial"/>
          <w:color w:val="000000" w:themeColor="text1"/>
          <w:kern w:val="0"/>
          <w:lang w:val="en-US" w:eastAsia="en-GB"/>
          <w14:ligatures w14:val="none"/>
        </w:rPr>
        <w:t xml:space="preserve"> the complexities and nuances of managing a global pandemic. The conclusions drawn should be based on a thorough and systematic analysis of the different </w:t>
      </w:r>
      <w:proofErr w:type="gramStart"/>
      <w:r w:rsidRPr="00852F5C">
        <w:rPr>
          <w:rFonts w:ascii="Arial" w:eastAsiaTheme="minorEastAsia" w:hAnsi="Arial" w:cs="Arial"/>
          <w:color w:val="000000" w:themeColor="text1"/>
          <w:kern w:val="0"/>
          <w:lang w:val="en-US" w:eastAsia="en-GB"/>
          <w14:ligatures w14:val="none"/>
        </w:rPr>
        <w:t>perspectives, and</w:t>
      </w:r>
      <w:proofErr w:type="gramEnd"/>
      <w:r w:rsidRPr="00852F5C">
        <w:rPr>
          <w:rFonts w:ascii="Arial" w:eastAsiaTheme="minorEastAsia" w:hAnsi="Arial" w:cs="Arial"/>
          <w:color w:val="000000" w:themeColor="text1"/>
          <w:kern w:val="0"/>
          <w:lang w:val="en-US" w:eastAsia="en-GB"/>
          <w14:ligatures w14:val="none"/>
        </w:rPr>
        <w:t xml:space="preserve"> should be supported by sound reasoning and evidence.</w:t>
      </w:r>
    </w:p>
    <w:p w14:paraId="5C5986A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18F4BAB"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1" w:name="_Toc132148129"/>
      <w:r w:rsidRPr="00852F5C">
        <w:rPr>
          <w:rFonts w:ascii="Arial" w:eastAsiaTheme="majorEastAsia" w:hAnsi="Arial" w:cs="Arial"/>
          <w:b/>
          <w:bCs/>
          <w:color w:val="000000" w:themeColor="text1"/>
          <w:kern w:val="0"/>
          <w:lang w:val="en-US" w:eastAsia="en-GB"/>
          <w14:ligatures w14:val="none"/>
        </w:rPr>
        <w:t>Recommendations</w:t>
      </w:r>
      <w:bookmarkEnd w:id="11"/>
      <w:r w:rsidRPr="00852F5C">
        <w:rPr>
          <w:rFonts w:ascii="Arial" w:eastAsiaTheme="majorEastAsia" w:hAnsi="Arial" w:cs="Arial"/>
          <w:b/>
          <w:bCs/>
          <w:color w:val="000000" w:themeColor="text1"/>
          <w:kern w:val="0"/>
          <w:lang w:val="en-US" w:eastAsia="en-GB"/>
          <w14:ligatures w14:val="none"/>
        </w:rPr>
        <w:t> </w:t>
      </w:r>
    </w:p>
    <w:p w14:paraId="2156D64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B6674A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Based on the critical evaluation of different perspectives, Microsoft can consider the following recommendations to tailor workplace changes for the post-COVID mindset and create a more resilient business in the future:</w:t>
      </w:r>
    </w:p>
    <w:p w14:paraId="4494DF0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E3C5B78"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Flexibility and Remote Work: The COVID-19 pandemic has accelerated the adoption of remote work and flexible work arrangements. Microsoft can continue to leverage these practices by creating policies and technologies that support remote work, such as providing necessary tools and resources for remote collaboration, promoting a healthy work-life balance, and offering flexibility in work hours and locations. This can help the organization adapt to changing work dynamics and create a more resilient business model that is capable of functioning effectively even in challenging situations (Adekoya, </w:t>
      </w:r>
      <w:proofErr w:type="spellStart"/>
      <w:r w:rsidRPr="00852F5C">
        <w:rPr>
          <w:rFonts w:ascii="Arial" w:eastAsiaTheme="minorEastAsia" w:hAnsi="Arial" w:cs="Arial"/>
          <w:color w:val="000000" w:themeColor="text1"/>
          <w:kern w:val="0"/>
          <w:lang w:val="en-US" w:eastAsia="en-GB"/>
          <w14:ligatures w14:val="none"/>
        </w:rPr>
        <w:t>Adisa</w:t>
      </w:r>
      <w:proofErr w:type="spellEnd"/>
      <w:r w:rsidRPr="00852F5C">
        <w:rPr>
          <w:rFonts w:ascii="Arial" w:eastAsiaTheme="minorEastAsia" w:hAnsi="Arial" w:cs="Arial"/>
          <w:color w:val="000000" w:themeColor="text1"/>
          <w:kern w:val="0"/>
          <w:lang w:val="en-US" w:eastAsia="en-GB"/>
          <w14:ligatures w14:val="none"/>
        </w:rPr>
        <w:t xml:space="preserve"> and </w:t>
      </w:r>
      <w:proofErr w:type="spellStart"/>
      <w:r w:rsidRPr="00852F5C">
        <w:rPr>
          <w:rFonts w:ascii="Arial" w:eastAsiaTheme="minorEastAsia" w:hAnsi="Arial" w:cs="Arial"/>
          <w:color w:val="000000" w:themeColor="text1"/>
          <w:kern w:val="0"/>
          <w:lang w:val="en-US" w:eastAsia="en-GB"/>
          <w14:ligatures w14:val="none"/>
        </w:rPr>
        <w:t>Aiyenitaju</w:t>
      </w:r>
      <w:proofErr w:type="spellEnd"/>
      <w:r w:rsidRPr="00852F5C">
        <w:rPr>
          <w:rFonts w:ascii="Arial" w:eastAsiaTheme="minorEastAsia" w:hAnsi="Arial" w:cs="Arial"/>
          <w:color w:val="000000" w:themeColor="text1"/>
          <w:kern w:val="0"/>
          <w:lang w:val="en-US" w:eastAsia="en-GB"/>
          <w14:ligatures w14:val="none"/>
        </w:rPr>
        <w:t>, 2022).</w:t>
      </w:r>
    </w:p>
    <w:p w14:paraId="0C8DDB3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91FB7E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Employee Well-being and Mental Health: The pandemic has highlighted the importance of prioritizing employee well-being and mental health. Microsoft can invest in programs and initiatives that promote employee wellness, including mental health support, stress management, and work-life integration. This can create a supportive work environment that fosters employee resilience, productivity, and engagement, which in turn can contribute to a more resilient business that can effectively tackle challenges in the post-COVID world (</w:t>
      </w:r>
      <w:proofErr w:type="spellStart"/>
      <w:r w:rsidRPr="00852F5C">
        <w:rPr>
          <w:rFonts w:ascii="Arial" w:eastAsiaTheme="minorEastAsia" w:hAnsi="Arial" w:cs="Arial"/>
          <w:color w:val="000000" w:themeColor="text1"/>
          <w:kern w:val="0"/>
          <w:lang w:val="en-US" w:eastAsia="en-GB"/>
          <w14:ligatures w14:val="none"/>
        </w:rPr>
        <w:t>Jongsik</w:t>
      </w:r>
      <w:proofErr w:type="spellEnd"/>
      <w:r w:rsidRPr="00852F5C">
        <w:rPr>
          <w:rFonts w:ascii="Arial" w:eastAsiaTheme="minorEastAsia" w:hAnsi="Arial" w:cs="Arial"/>
          <w:color w:val="000000" w:themeColor="text1"/>
          <w:kern w:val="0"/>
          <w:lang w:val="en-US" w:eastAsia="en-GB"/>
          <w14:ligatures w14:val="none"/>
        </w:rPr>
        <w:t xml:space="preserve">, </w:t>
      </w:r>
      <w:proofErr w:type="spellStart"/>
      <w:r w:rsidRPr="00852F5C">
        <w:rPr>
          <w:rFonts w:ascii="Arial" w:eastAsiaTheme="minorEastAsia" w:hAnsi="Arial" w:cs="Arial"/>
          <w:color w:val="000000" w:themeColor="text1"/>
          <w:kern w:val="0"/>
          <w:lang w:val="en-US" w:eastAsia="en-GB"/>
          <w14:ligatures w14:val="none"/>
        </w:rPr>
        <w:t>Junghyun</w:t>
      </w:r>
      <w:proofErr w:type="spellEnd"/>
      <w:r w:rsidRPr="00852F5C">
        <w:rPr>
          <w:rFonts w:ascii="Arial" w:eastAsiaTheme="minorEastAsia" w:hAnsi="Arial" w:cs="Arial"/>
          <w:color w:val="000000" w:themeColor="text1"/>
          <w:kern w:val="0"/>
          <w:lang w:val="en-US" w:eastAsia="en-GB"/>
          <w14:ligatures w14:val="none"/>
        </w:rPr>
        <w:t xml:space="preserve"> and </w:t>
      </w:r>
      <w:proofErr w:type="spellStart"/>
      <w:r w:rsidRPr="00852F5C">
        <w:rPr>
          <w:rFonts w:ascii="Arial" w:eastAsiaTheme="minorEastAsia" w:hAnsi="Arial" w:cs="Arial"/>
          <w:color w:val="000000" w:themeColor="text1"/>
          <w:kern w:val="0"/>
          <w:lang w:val="en-US" w:eastAsia="en-GB"/>
          <w14:ligatures w14:val="none"/>
        </w:rPr>
        <w:t>Sunghyup</w:t>
      </w:r>
      <w:proofErr w:type="spellEnd"/>
      <w:r w:rsidRPr="00852F5C">
        <w:rPr>
          <w:rFonts w:ascii="Arial" w:eastAsiaTheme="minorEastAsia" w:hAnsi="Arial" w:cs="Arial"/>
          <w:color w:val="000000" w:themeColor="text1"/>
          <w:kern w:val="0"/>
          <w:lang w:val="en-US" w:eastAsia="en-GB"/>
          <w14:ligatures w14:val="none"/>
        </w:rPr>
        <w:t>, 2021).</w:t>
      </w:r>
    </w:p>
    <w:p w14:paraId="10DEFA7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53BE0D4"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Innovation and Digital Transformation: The COVID-19 pandemic has elevated the importance of digital transformation. Microsoft can continue to embrace innovation and invest in cutting-edge technologies to stay competitive in the post-pandemic landscape. This can involve leveraging cloud-based solutions, artificial intelligence, and data analytics to drive business growth, enhance customer experiences, and adapt to changing market demands. Emphasizing innovation can enable Microsoft to create a more agile and adaptable business that can respond effectively to the challenges and uncertainties of the post-COVID reality (</w:t>
      </w:r>
      <w:proofErr w:type="spellStart"/>
      <w:r w:rsidRPr="00852F5C">
        <w:rPr>
          <w:rFonts w:ascii="Arial" w:eastAsiaTheme="minorEastAsia" w:hAnsi="Arial" w:cs="Arial"/>
          <w:color w:val="000000" w:themeColor="text1"/>
          <w:kern w:val="0"/>
          <w:lang w:val="en-US" w:eastAsia="en-GB"/>
          <w14:ligatures w14:val="none"/>
        </w:rPr>
        <w:t>Kudyba</w:t>
      </w:r>
      <w:proofErr w:type="spellEnd"/>
      <w:r w:rsidRPr="00852F5C">
        <w:rPr>
          <w:rFonts w:ascii="Arial" w:eastAsiaTheme="minorEastAsia" w:hAnsi="Arial" w:cs="Arial"/>
          <w:color w:val="000000" w:themeColor="text1"/>
          <w:kern w:val="0"/>
          <w:lang w:val="en-US" w:eastAsia="en-GB"/>
          <w14:ligatures w14:val="none"/>
        </w:rPr>
        <w:t>, 2020). </w:t>
      </w:r>
    </w:p>
    <w:p w14:paraId="752CFBEE"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9C9CE46"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Sustainability and Social Responsibility: The pandemic has outlined the significance of sustainability and social responsibility in business operations. Microsoft can continue to prioritize sustainability initiatives, such as reducing carbon footprint, promoting diversity and inclusion, and contributing to social causes. Emphasizing sustainability and social responsibility can not only create a positive impact on the environment and society, but also enhance Microsoft's reputation and brand image, which can contribute to a more resilient and socially conscious business (Satish, 2021). </w:t>
      </w:r>
    </w:p>
    <w:p w14:paraId="2DFB342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90CF5D8"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Agility and Resilience Planning: Microsoft can further enhance its business resilience by developing agile and robust contingency plans to tackle unforeseen challenges. This can involve scenario planning, risk assessment, and crisis management strategies to prepare for potential disruptions in the future. Having well-defined contingency plans in place can enable Microsoft to respond swiftly and effectively to any future crisis, minimize risks, and maintain business continuity (</w:t>
      </w:r>
      <w:proofErr w:type="spellStart"/>
      <w:r w:rsidRPr="00852F5C">
        <w:rPr>
          <w:rFonts w:ascii="Arial" w:eastAsiaTheme="minorEastAsia" w:hAnsi="Arial" w:cs="Arial"/>
          <w:color w:val="000000" w:themeColor="text1"/>
          <w:kern w:val="0"/>
          <w:lang w:val="en-US" w:eastAsia="en-GB"/>
          <w14:ligatures w14:val="none"/>
        </w:rPr>
        <w:t>Holbeche</w:t>
      </w:r>
      <w:proofErr w:type="spellEnd"/>
      <w:r w:rsidRPr="00852F5C">
        <w:rPr>
          <w:rFonts w:ascii="Arial" w:eastAsiaTheme="minorEastAsia" w:hAnsi="Arial" w:cs="Arial"/>
          <w:color w:val="000000" w:themeColor="text1"/>
          <w:kern w:val="0"/>
          <w:lang w:val="en-US" w:eastAsia="en-GB"/>
          <w14:ligatures w14:val="none"/>
        </w:rPr>
        <w:t>, 2015). </w:t>
      </w:r>
    </w:p>
    <w:p w14:paraId="214016FE"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2BED89A"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2" w:name="_Toc132148130"/>
      <w:r w:rsidRPr="00852F5C">
        <w:rPr>
          <w:rFonts w:ascii="Arial" w:eastAsiaTheme="majorEastAsia" w:hAnsi="Arial" w:cs="Arial"/>
          <w:b/>
          <w:bCs/>
          <w:color w:val="000000" w:themeColor="text1"/>
          <w:kern w:val="0"/>
          <w:lang w:val="en-US" w:eastAsia="en-GB"/>
          <w14:ligatures w14:val="none"/>
        </w:rPr>
        <w:t>Conclusion</w:t>
      </w:r>
      <w:bookmarkEnd w:id="12"/>
      <w:r w:rsidRPr="00852F5C">
        <w:rPr>
          <w:rFonts w:ascii="Arial" w:eastAsiaTheme="majorEastAsia" w:hAnsi="Arial" w:cs="Arial"/>
          <w:b/>
          <w:bCs/>
          <w:color w:val="000000" w:themeColor="text1"/>
          <w:kern w:val="0"/>
          <w:lang w:val="en-US" w:eastAsia="en-GB"/>
          <w14:ligatures w14:val="none"/>
        </w:rPr>
        <w:t> </w:t>
      </w:r>
    </w:p>
    <w:p w14:paraId="5E886CFA"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2C9954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Organizational culture is a fundamental aspect of an organization's success in the modern business landscape, and it has become even more crucial in the wake of the COVID-19 pandemic. The pandemic has brought significant disruptions and changes to the workplace, requiring organizations to adapt and evolve to meet the challenges of the "new normal." As organizations strive to adjust to the new business circumstances. understanding the profound impact of organizational culture on employee behavior and aligning workplace changes accordingly is paramount for sustained success.</w:t>
      </w:r>
    </w:p>
    <w:p w14:paraId="7A70923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BA553F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This paper has explored Microsoft's strategic decisions and management approach, shedding light on their impact on the company's work environment, particularly during the pandemic. It also highlighted the importance of considering diverse perspectives and interpretations of strategies, recognizing how individual beliefs, values, and attitudes can shape perceptions of an organization's strategic planning. This underscored the need for inclusive decision-making processes when implementing organizational changes.</w:t>
      </w:r>
    </w:p>
    <w:p w14:paraId="20940A3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A58E31A"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Overall, it is imperative to prioritize the development of a positive and adaptable organizational culture that fosters innovation, agility, employee well-being, and diversity. Such a culture can enable organizations to navigate through disruptions, capitalize on opportunities, and thrive in the evolving business environment. By recognizing the significance of organizational culture and taking proactive measures to cultivate a supportive and inclusive culture, organizations can enhance their resilience and competitiveness in the face of challenges, including the ongoing pandemic (</w:t>
      </w:r>
      <w:proofErr w:type="spellStart"/>
      <w:r w:rsidRPr="00852F5C">
        <w:rPr>
          <w:rFonts w:ascii="Arial" w:eastAsiaTheme="minorEastAsia" w:hAnsi="Arial" w:cs="Arial"/>
          <w:color w:val="000000" w:themeColor="text1"/>
          <w:kern w:val="0"/>
          <w:lang w:val="en-US" w:eastAsia="en-GB"/>
          <w14:ligatures w14:val="none"/>
        </w:rPr>
        <w:t>Pless</w:t>
      </w:r>
      <w:proofErr w:type="spellEnd"/>
      <w:r w:rsidRPr="00852F5C">
        <w:rPr>
          <w:rFonts w:ascii="Arial" w:eastAsiaTheme="minorEastAsia" w:hAnsi="Arial" w:cs="Arial"/>
          <w:color w:val="000000" w:themeColor="text1"/>
          <w:kern w:val="0"/>
          <w:lang w:val="en-US" w:eastAsia="en-GB"/>
          <w14:ligatures w14:val="none"/>
        </w:rPr>
        <w:t xml:space="preserve"> and Maak, 2004).</w:t>
      </w:r>
    </w:p>
    <w:p w14:paraId="6F0D57B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r w:rsidRPr="00852F5C">
        <w:rPr>
          <w:rFonts w:ascii="Arial" w:eastAsiaTheme="majorEastAsia" w:hAnsi="Arial" w:cs="Arial"/>
          <w:color w:val="000000" w:themeColor="text1"/>
          <w:kern w:val="0"/>
          <w:lang w:val="en-US" w:eastAsia="en-GB"/>
          <w14:ligatures w14:val="none"/>
        </w:rPr>
        <w:br w:type="page"/>
      </w:r>
    </w:p>
    <w:p w14:paraId="6DEA6682" w14:textId="77777777" w:rsidR="00852F5C" w:rsidRPr="00852F5C" w:rsidRDefault="00852F5C" w:rsidP="00852F5C">
      <w:pPr>
        <w:spacing w:after="0" w:line="360" w:lineRule="auto"/>
        <w:rPr>
          <w:rFonts w:ascii="Arial" w:eastAsiaTheme="minorEastAsia" w:hAnsi="Arial" w:cs="Arial"/>
          <w:b/>
          <w:bCs/>
          <w:kern w:val="0"/>
          <w:lang w:val="en-US" w:eastAsia="en-GB"/>
          <w14:ligatures w14:val="none"/>
        </w:rPr>
      </w:pPr>
      <w:r w:rsidRPr="00852F5C">
        <w:rPr>
          <w:rFonts w:ascii="Arial" w:eastAsiaTheme="minorEastAsia" w:hAnsi="Arial" w:cs="Arial"/>
          <w:b/>
          <w:bCs/>
          <w:kern w:val="0"/>
          <w:lang w:val="en-US" w:eastAsia="en-GB"/>
          <w14:ligatures w14:val="none"/>
        </w:rPr>
        <w:t xml:space="preserve">Part 2: Reflective Journal </w:t>
      </w:r>
    </w:p>
    <w:p w14:paraId="546B8C6D" w14:textId="77777777" w:rsidR="00852F5C" w:rsidRPr="00852F5C" w:rsidRDefault="00852F5C" w:rsidP="00852F5C">
      <w:pPr>
        <w:spacing w:after="0" w:line="360" w:lineRule="auto"/>
        <w:rPr>
          <w:rFonts w:ascii="Arial" w:eastAsiaTheme="minorEastAsia" w:hAnsi="Arial" w:cs="Arial"/>
          <w:b/>
          <w:bCs/>
          <w:kern w:val="0"/>
          <w:lang w:val="en-US" w:eastAsia="en-GB"/>
          <w14:ligatures w14:val="none"/>
        </w:rPr>
      </w:pPr>
    </w:p>
    <w:p w14:paraId="3CF70D89"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3" w:name="_Toc132148131"/>
      <w:r w:rsidRPr="00852F5C">
        <w:rPr>
          <w:rFonts w:ascii="Arial" w:eastAsiaTheme="majorEastAsia" w:hAnsi="Arial" w:cs="Arial"/>
          <w:b/>
          <w:bCs/>
          <w:color w:val="000000" w:themeColor="text1"/>
          <w:kern w:val="0"/>
          <w:lang w:val="en-US" w:eastAsia="en-GB"/>
          <w14:ligatures w14:val="none"/>
        </w:rPr>
        <w:t>Introduction</w:t>
      </w:r>
      <w:bookmarkEnd w:id="13"/>
      <w:r w:rsidRPr="00852F5C">
        <w:rPr>
          <w:rFonts w:ascii="Arial" w:eastAsiaTheme="majorEastAsia" w:hAnsi="Arial" w:cs="Arial"/>
          <w:b/>
          <w:bCs/>
          <w:color w:val="000000" w:themeColor="text1"/>
          <w:kern w:val="0"/>
          <w:lang w:val="en-US" w:eastAsia="en-GB"/>
          <w14:ligatures w14:val="none"/>
        </w:rPr>
        <w:t> </w:t>
      </w:r>
    </w:p>
    <w:p w14:paraId="6CCF15BC"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F81CCC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Developing Workplace Critical Thinking module has been a valuable learning experience for me. It has provided me with new insights and knowledge on the importance of critical thinking in the workplace and how it can be applied in various professional settings. The current reflective journal will explore the learning process that I have undergone during this module and how it has impacted my overall understanding and approach towards critical thinking.</w:t>
      </w:r>
    </w:p>
    <w:p w14:paraId="1198BA8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B392357"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4" w:name="_Toc132148132"/>
      <w:r w:rsidRPr="00852F5C">
        <w:rPr>
          <w:rFonts w:ascii="Arial" w:eastAsiaTheme="majorEastAsia" w:hAnsi="Arial" w:cs="Arial"/>
          <w:b/>
          <w:bCs/>
          <w:color w:val="000000" w:themeColor="text1"/>
          <w:kern w:val="0"/>
          <w:lang w:val="en-US" w:eastAsia="en-GB"/>
          <w14:ligatures w14:val="none"/>
        </w:rPr>
        <w:t>Week 1</w:t>
      </w:r>
      <w:bookmarkEnd w:id="14"/>
    </w:p>
    <w:p w14:paraId="4A0D86F6"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3FF7AB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During the first week of the university module, I was introduced to the outline of the module content and was exposed to some core concepts, including workplace context, culture, and change. These concepts encompass various elements such as beliefs, attitudes, values, emotions, interpretations, and perspectives, which play significant roles in personal and work relationships, as well as in civic and economic contexts. This introduction helped me gain a deeper understanding of how these core concepts shape the dynamics of the workplace.</w:t>
      </w:r>
    </w:p>
    <w:p w14:paraId="7B136ECE"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38EDB1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Furthermore, I learned about the application of management theories to enhance organizational productivity and service quality (Ghoshal, 2005). This highlighted the importance of using established management theories as frameworks to improve overall performance in the workplace (Phillips and Klein, 2023). It also made me realize the value of applying critical thinking as a process of questioning assumptions and exploring alternatives. I recognized that critical thinking is a vital skill that can aid in making better decisions and resolving problems effectively (</w:t>
      </w:r>
      <w:proofErr w:type="spellStart"/>
      <w:r w:rsidRPr="00852F5C">
        <w:rPr>
          <w:rFonts w:ascii="Arial" w:eastAsiaTheme="minorEastAsia" w:hAnsi="Arial" w:cs="Arial"/>
          <w:color w:val="000000" w:themeColor="text1"/>
          <w:kern w:val="0"/>
          <w:lang w:val="en-US" w:eastAsia="en-GB"/>
          <w14:ligatures w14:val="none"/>
        </w:rPr>
        <w:t>Huitt</w:t>
      </w:r>
      <w:proofErr w:type="spellEnd"/>
      <w:r w:rsidRPr="00852F5C">
        <w:rPr>
          <w:rFonts w:ascii="Arial" w:eastAsiaTheme="minorEastAsia" w:hAnsi="Arial" w:cs="Arial"/>
          <w:color w:val="000000" w:themeColor="text1"/>
          <w:kern w:val="0"/>
          <w:lang w:val="en-US" w:eastAsia="en-GB"/>
          <w14:ligatures w14:val="none"/>
        </w:rPr>
        <w:t>, 1998; Lai, 2011).</w:t>
      </w:r>
    </w:p>
    <w:p w14:paraId="0A7887D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CFFB4D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proofErr w:type="gramStart"/>
      <w:r w:rsidRPr="00852F5C">
        <w:rPr>
          <w:rFonts w:ascii="Arial" w:eastAsiaTheme="minorEastAsia" w:hAnsi="Arial" w:cs="Arial"/>
          <w:color w:val="000000" w:themeColor="text1"/>
          <w:kern w:val="0"/>
          <w:lang w:val="en-US" w:eastAsia="en-GB"/>
          <w14:ligatures w14:val="none"/>
        </w:rPr>
        <w:t>In particular, I</w:t>
      </w:r>
      <w:proofErr w:type="gramEnd"/>
      <w:r w:rsidRPr="00852F5C">
        <w:rPr>
          <w:rFonts w:ascii="Arial" w:eastAsiaTheme="minorEastAsia" w:hAnsi="Arial" w:cs="Arial"/>
          <w:color w:val="000000" w:themeColor="text1"/>
          <w:kern w:val="0"/>
          <w:lang w:val="en-US" w:eastAsia="en-GB"/>
          <w14:ligatures w14:val="none"/>
        </w:rPr>
        <w:t xml:space="preserve"> found the emphasis on critical thinking to be highly relevant to enhancing productivity and service quality in the workplace. The insight that questioning assumptions and considering alternative perspectives (Hoffman and Elvin, 2004) has encouraged me to approach workplace challenges with a more open and analytical mindset, seeking diverse perspectives and considering different solutions to optimize outcomes.</w:t>
      </w:r>
    </w:p>
    <w:p w14:paraId="08CA953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ECB66C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As I progressed through the first week of the module, I became more aware of the significance of workplace context, culture, and change in shaping the dynamics of organizations. I realized that these elements are critical to understanding how individuals and groups interact in the workplace, and how they impact the overall performance and effectiveness of an organization. I assess this as highly beneficial.</w:t>
      </w:r>
    </w:p>
    <w:p w14:paraId="3C31B2AF"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9A0C2BB"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5" w:name="_Toc132148133"/>
      <w:r w:rsidRPr="00852F5C">
        <w:rPr>
          <w:rFonts w:ascii="Arial" w:eastAsiaTheme="majorEastAsia" w:hAnsi="Arial" w:cs="Arial"/>
          <w:b/>
          <w:bCs/>
          <w:color w:val="000000" w:themeColor="text1"/>
          <w:kern w:val="0"/>
          <w:lang w:val="en-US" w:eastAsia="en-GB"/>
          <w14:ligatures w14:val="none"/>
        </w:rPr>
        <w:t>Week 2</w:t>
      </w:r>
      <w:bookmarkEnd w:id="15"/>
    </w:p>
    <w:p w14:paraId="075B7400"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A7DE556"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second week of the university module focused on the topic of critical thinking, delving deeper into its themes and components. I learned that critical thinking is not only a productive and positive activity, but also a process that involves evaluating and analyzing information, challenging assumptions, exploring alternatives, and suspending judgment until all facts have been considered (</w:t>
      </w:r>
      <w:proofErr w:type="spellStart"/>
      <w:r w:rsidRPr="00852F5C">
        <w:rPr>
          <w:rFonts w:ascii="Arial" w:eastAsiaTheme="minorEastAsia" w:hAnsi="Arial" w:cs="Arial"/>
          <w:color w:val="000000" w:themeColor="text1"/>
          <w:kern w:val="0"/>
          <w:lang w:val="en-US" w:eastAsia="en-GB"/>
          <w14:ligatures w14:val="none"/>
        </w:rPr>
        <w:t>Maths</w:t>
      </w:r>
      <w:proofErr w:type="spellEnd"/>
      <w:r w:rsidRPr="00852F5C">
        <w:rPr>
          <w:rFonts w:ascii="Arial" w:eastAsiaTheme="minorEastAsia" w:hAnsi="Arial" w:cs="Arial"/>
          <w:color w:val="000000" w:themeColor="text1"/>
          <w:kern w:val="0"/>
          <w:lang w:val="en-US" w:eastAsia="en-GB"/>
          <w14:ligatures w14:val="none"/>
        </w:rPr>
        <w:t>, 2010). I also gained insight into the emotional and rational components of critical thinking, which involve identifying and challenging assumptions, challenging the context, and developing a "thinker's vocabulary" (Elder, 1997).</w:t>
      </w:r>
    </w:p>
    <w:p w14:paraId="2AD3FD1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1A0537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Bloom's Taxonomy was introduced as a helpful tool to identify different levels of thinking skills, which helped me understand my own thinking level and areas for improvement (Krathwohl, 2002; </w:t>
      </w:r>
      <w:proofErr w:type="spellStart"/>
      <w:r w:rsidRPr="00852F5C">
        <w:rPr>
          <w:rFonts w:ascii="Arial" w:eastAsiaTheme="minorEastAsia" w:hAnsi="Arial" w:cs="Arial"/>
          <w:color w:val="000000" w:themeColor="text1"/>
          <w:kern w:val="0"/>
          <w:lang w:val="en-US" w:eastAsia="en-GB"/>
          <w14:ligatures w14:val="none"/>
        </w:rPr>
        <w:t>Nentl</w:t>
      </w:r>
      <w:proofErr w:type="spellEnd"/>
      <w:r w:rsidRPr="00852F5C">
        <w:rPr>
          <w:rFonts w:ascii="Arial" w:eastAsiaTheme="minorEastAsia" w:hAnsi="Arial" w:cs="Arial"/>
          <w:color w:val="000000" w:themeColor="text1"/>
          <w:kern w:val="0"/>
          <w:lang w:val="en-US" w:eastAsia="en-GB"/>
          <w14:ligatures w14:val="none"/>
        </w:rPr>
        <w:t xml:space="preserve"> and </w:t>
      </w:r>
      <w:proofErr w:type="spellStart"/>
      <w:r w:rsidRPr="00852F5C">
        <w:rPr>
          <w:rFonts w:ascii="Arial" w:eastAsiaTheme="minorEastAsia" w:hAnsi="Arial" w:cs="Arial"/>
          <w:color w:val="000000" w:themeColor="text1"/>
          <w:kern w:val="0"/>
          <w:lang w:val="en-US" w:eastAsia="en-GB"/>
          <w14:ligatures w14:val="none"/>
        </w:rPr>
        <w:t>Zietlow</w:t>
      </w:r>
      <w:proofErr w:type="spellEnd"/>
      <w:r w:rsidRPr="00852F5C">
        <w:rPr>
          <w:rFonts w:ascii="Arial" w:eastAsiaTheme="minorEastAsia" w:hAnsi="Arial" w:cs="Arial"/>
          <w:color w:val="000000" w:themeColor="text1"/>
          <w:kern w:val="0"/>
          <w:lang w:val="en-US" w:eastAsia="en-GB"/>
          <w14:ligatures w14:val="none"/>
        </w:rPr>
        <w:t>, 2008).</w:t>
      </w:r>
    </w:p>
    <w:p w14:paraId="1EADB67F"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93EF291"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Upon learning the content of this week of the model, I acknowledged that critical thinking is not only relevant in academic settings, but also plays a crucial role in communication, social change, and technological advances. It is a valuable skill that can be applied in various contexts to enhance decision-making and problem-solving.</w:t>
      </w:r>
    </w:p>
    <w:p w14:paraId="4EEC62A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D910FB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A highlight of the week was the discussion on workplace harassment. It allowed me to apply my critical thinking skills to a real-life scenario and analyze the complex dynamics of workplace harassment from multiple perspectives. Moreover, it reinforced the importance of critical thinking in practical settings and how it can be used to navigate complex issues and situations effectively (Bowling and </w:t>
      </w:r>
      <w:proofErr w:type="spellStart"/>
      <w:r w:rsidRPr="00852F5C">
        <w:rPr>
          <w:rFonts w:ascii="Arial" w:eastAsiaTheme="minorEastAsia" w:hAnsi="Arial" w:cs="Arial"/>
          <w:color w:val="000000" w:themeColor="text1"/>
          <w:kern w:val="0"/>
          <w:lang w:val="en-US" w:eastAsia="en-GB"/>
          <w14:ligatures w14:val="none"/>
        </w:rPr>
        <w:t>Beehr</w:t>
      </w:r>
      <w:proofErr w:type="spellEnd"/>
      <w:r w:rsidRPr="00852F5C">
        <w:rPr>
          <w:rFonts w:ascii="Arial" w:eastAsiaTheme="minorEastAsia" w:hAnsi="Arial" w:cs="Arial"/>
          <w:color w:val="000000" w:themeColor="text1"/>
          <w:kern w:val="0"/>
          <w:lang w:val="en-US" w:eastAsia="en-GB"/>
          <w14:ligatures w14:val="none"/>
        </w:rPr>
        <w:t>, 2006). </w:t>
      </w:r>
    </w:p>
    <w:p w14:paraId="2115773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F8A48C0"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6" w:name="_Toc132148134"/>
      <w:r w:rsidRPr="00852F5C">
        <w:rPr>
          <w:rFonts w:ascii="Arial" w:eastAsiaTheme="majorEastAsia" w:hAnsi="Arial" w:cs="Arial"/>
          <w:b/>
          <w:bCs/>
          <w:color w:val="000000" w:themeColor="text1"/>
          <w:kern w:val="0"/>
          <w:lang w:val="en-US" w:eastAsia="en-GB"/>
          <w14:ligatures w14:val="none"/>
        </w:rPr>
        <w:t>Week 3</w:t>
      </w:r>
      <w:bookmarkEnd w:id="16"/>
    </w:p>
    <w:p w14:paraId="0715BF3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854CC02"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Week 3 of the module had its focal point on the concept of critical thinking in the workplace, highlighting the characteristics of good critical thinkers and the importance of avoiding socio-centric bias. I learned that good critical thinkers are rational, open-minded, fair, empathetic, intellectually autonomous, strong, and courageous. They strive to have a universal, cross-cultural, and fair-minded perspective, rather than being biased towards their own social group (Tripathy, 2020).</w:t>
      </w:r>
    </w:p>
    <w:p w14:paraId="182369AE"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19A02D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Moreover, another important part of the lecture regarded the human relations approach to management which emphasized the importance of attention, social interaction, and individual achievement in increasing worker productivity (Tran et al. 2020). </w:t>
      </w:r>
    </w:p>
    <w:p w14:paraId="2C6BC8A6"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DFD5A4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From the material of the week, I also gained a deeper understanding of the differences between critical thinking and creative thinking. Critical thinking involves reflective reasoning about beliefs and actions, while creative thinking is more personal, subjective, and generative. Furthermore, critical thinking skills include observation, interpretation, analysis, inference, evaluation, explanation, and meta-cognition/self-regulation, while creative thinking skills include suspending judgment, abstraction, divergence, generativity, association, visualization, and cooperation (Paul and Elder, 2006).</w:t>
      </w:r>
    </w:p>
    <w:p w14:paraId="3B7D24B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AF57E68"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Reflecting on the lecture, I believe that the knowledge and skills I gained will be valuable in my future career as they will enable me to approach situations with a more rational, fair-minded, and reflective mindset.</w:t>
      </w:r>
    </w:p>
    <w:p w14:paraId="46FF290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5D5FC29"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7" w:name="_Toc132148135"/>
      <w:r w:rsidRPr="00852F5C">
        <w:rPr>
          <w:rFonts w:ascii="Arial" w:eastAsiaTheme="majorEastAsia" w:hAnsi="Arial" w:cs="Arial"/>
          <w:b/>
          <w:bCs/>
          <w:color w:val="000000" w:themeColor="text1"/>
          <w:kern w:val="0"/>
          <w:lang w:val="en-US" w:eastAsia="en-GB"/>
          <w14:ligatures w14:val="none"/>
        </w:rPr>
        <w:t>Week 4</w:t>
      </w:r>
      <w:bookmarkEnd w:id="17"/>
    </w:p>
    <w:p w14:paraId="3D378C1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705DDA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Throughout week 4, I gained valuable insights into the development of critical thinking skills for problem-solving and decision-making in the dynamic and ever-changing business environment. </w:t>
      </w:r>
    </w:p>
    <w:p w14:paraId="5714B88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0F774E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lecture emphasized the pivotal role of logic in critical thinking, the different stages of problem-solving and decision-making, and effective strategies for fostering creative and critical thinking. By delving into the characteristics of the evolving business landscape, the lecture provided me with a deeper understanding of the key attributes of successful business professionals (Dwyer, </w:t>
      </w:r>
      <w:proofErr w:type="gramStart"/>
      <w:r w:rsidRPr="00852F5C">
        <w:rPr>
          <w:rFonts w:ascii="Arial" w:eastAsiaTheme="minorEastAsia" w:hAnsi="Arial" w:cs="Arial"/>
          <w:color w:val="000000" w:themeColor="text1"/>
          <w:kern w:val="0"/>
          <w:lang w:val="en-US" w:eastAsia="en-GB"/>
          <w14:ligatures w14:val="none"/>
        </w:rPr>
        <w:t>Boswell</w:t>
      </w:r>
      <w:proofErr w:type="gramEnd"/>
      <w:r w:rsidRPr="00852F5C">
        <w:rPr>
          <w:rFonts w:ascii="Arial" w:eastAsiaTheme="minorEastAsia" w:hAnsi="Arial" w:cs="Arial"/>
          <w:color w:val="000000" w:themeColor="text1"/>
          <w:kern w:val="0"/>
          <w:lang w:val="en-US" w:eastAsia="en-GB"/>
          <w14:ligatures w14:val="none"/>
        </w:rPr>
        <w:t xml:space="preserve"> and Elliott, 2015).</w:t>
      </w:r>
    </w:p>
    <w:p w14:paraId="404D5AD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2A2295D"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One of the topics covered was De Bono's Six Thinking Hats, which introduced me to a useful technique for approaching problem-solving and decision-making from multiple perspectives (</w:t>
      </w:r>
      <w:proofErr w:type="spellStart"/>
      <w:r w:rsidRPr="00852F5C">
        <w:rPr>
          <w:rFonts w:ascii="Arial" w:eastAsiaTheme="minorEastAsia" w:hAnsi="Arial" w:cs="Arial"/>
          <w:color w:val="000000" w:themeColor="text1"/>
          <w:kern w:val="0"/>
          <w:lang w:val="en-US" w:eastAsia="en-GB"/>
          <w14:ligatures w14:val="none"/>
        </w:rPr>
        <w:t>Kivunja</w:t>
      </w:r>
      <w:proofErr w:type="spellEnd"/>
      <w:r w:rsidRPr="00852F5C">
        <w:rPr>
          <w:rFonts w:ascii="Arial" w:eastAsiaTheme="minorEastAsia" w:hAnsi="Arial" w:cs="Arial"/>
          <w:color w:val="000000" w:themeColor="text1"/>
          <w:kern w:val="0"/>
          <w:lang w:val="en-US" w:eastAsia="en-GB"/>
          <w14:ligatures w14:val="none"/>
        </w:rPr>
        <w:t>, 2015). This approach has broadened my ability to think critically and consider different viewpoints, leading to more well-rounded and informed decisions.</w:t>
      </w:r>
    </w:p>
    <w:p w14:paraId="5219D76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468BB8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Another important topic discussed was bureaucracy and bureaucratic management, which shed light on the complexities and challenges of organizational structures and processes. Understanding the impact of bureaucracy on decision-making and problem-solving in a business setting has helped me to appreciate the need for flexibility, adaptability, and efficiency in modern organizations (</w:t>
      </w:r>
      <w:proofErr w:type="spellStart"/>
      <w:r w:rsidRPr="00852F5C">
        <w:rPr>
          <w:rFonts w:ascii="Arial" w:eastAsiaTheme="minorEastAsia" w:hAnsi="Arial" w:cs="Arial"/>
          <w:color w:val="000000" w:themeColor="text1"/>
          <w:kern w:val="0"/>
          <w:lang w:val="en-US" w:eastAsia="en-GB"/>
          <w14:ligatures w14:val="none"/>
        </w:rPr>
        <w:t>Bolfikova</w:t>
      </w:r>
      <w:proofErr w:type="spellEnd"/>
      <w:r w:rsidRPr="00852F5C">
        <w:rPr>
          <w:rFonts w:ascii="Arial" w:eastAsiaTheme="minorEastAsia" w:hAnsi="Arial" w:cs="Arial"/>
          <w:color w:val="000000" w:themeColor="text1"/>
          <w:kern w:val="0"/>
          <w:lang w:val="en-US" w:eastAsia="en-GB"/>
          <w14:ligatures w14:val="none"/>
        </w:rPr>
        <w:t xml:space="preserve">, </w:t>
      </w:r>
      <w:proofErr w:type="spellStart"/>
      <w:r w:rsidRPr="00852F5C">
        <w:rPr>
          <w:rFonts w:ascii="Arial" w:eastAsiaTheme="minorEastAsia" w:hAnsi="Arial" w:cs="Arial"/>
          <w:color w:val="000000" w:themeColor="text1"/>
          <w:kern w:val="0"/>
          <w:lang w:val="en-US" w:eastAsia="en-GB"/>
          <w14:ligatures w14:val="none"/>
        </w:rPr>
        <w:t>Hrehova</w:t>
      </w:r>
      <w:proofErr w:type="spellEnd"/>
      <w:r w:rsidRPr="00852F5C">
        <w:rPr>
          <w:rFonts w:ascii="Arial" w:eastAsiaTheme="minorEastAsia" w:hAnsi="Arial" w:cs="Arial"/>
          <w:color w:val="000000" w:themeColor="text1"/>
          <w:kern w:val="0"/>
          <w:lang w:val="en-US" w:eastAsia="en-GB"/>
          <w14:ligatures w14:val="none"/>
        </w:rPr>
        <w:t xml:space="preserve"> and </w:t>
      </w:r>
      <w:proofErr w:type="spellStart"/>
      <w:r w:rsidRPr="00852F5C">
        <w:rPr>
          <w:rFonts w:ascii="Arial" w:eastAsiaTheme="minorEastAsia" w:hAnsi="Arial" w:cs="Arial"/>
          <w:color w:val="000000" w:themeColor="text1"/>
          <w:kern w:val="0"/>
          <w:lang w:val="en-US" w:eastAsia="en-GB"/>
          <w14:ligatures w14:val="none"/>
        </w:rPr>
        <w:t>Frenova</w:t>
      </w:r>
      <w:proofErr w:type="spellEnd"/>
      <w:r w:rsidRPr="00852F5C">
        <w:rPr>
          <w:rFonts w:ascii="Arial" w:eastAsiaTheme="minorEastAsia" w:hAnsi="Arial" w:cs="Arial"/>
          <w:color w:val="000000" w:themeColor="text1"/>
          <w:kern w:val="0"/>
          <w:lang w:val="en-US" w:eastAsia="en-GB"/>
          <w14:ligatures w14:val="none"/>
        </w:rPr>
        <w:t>, 2010).</w:t>
      </w:r>
    </w:p>
    <w:p w14:paraId="00EEACE5"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F6B7CEB"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Moreover, the content on the rationalization of society provided valuable insights into how societal norms and values influence decision-making processes in a business context. My better comprehension of the underlying social and cultural dynamics at play in business decisions has helped me to approach problems and decisions with a broader perspective and a deeper understanding of the context in which they arise.</w:t>
      </w:r>
    </w:p>
    <w:p w14:paraId="39A4384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C0F2F1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Furthermore, the introduction to the Scientific Management Theory has made me recognize the importance of optimizing work practices to achieve organizational goals (Pryor, 2011). It underscored the significance of efficient and effective work processes in enhancing productivity and achieving success in a competitive business environment.</w:t>
      </w:r>
    </w:p>
    <w:p w14:paraId="1D8D790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7686033"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Overall, the content covered in this week helped me sharpen my critical and creative thinking skills and has facilitated my ability to approach real-world problems in a systematic and effective manner.</w:t>
      </w:r>
    </w:p>
    <w:p w14:paraId="5A3F64E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D0E2292"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8" w:name="_Toc132148136"/>
      <w:r w:rsidRPr="00852F5C">
        <w:rPr>
          <w:rFonts w:ascii="Arial" w:eastAsiaTheme="majorEastAsia" w:hAnsi="Arial" w:cs="Arial"/>
          <w:b/>
          <w:bCs/>
          <w:color w:val="000000" w:themeColor="text1"/>
          <w:kern w:val="0"/>
          <w:lang w:val="en-US" w:eastAsia="en-GB"/>
          <w14:ligatures w14:val="none"/>
        </w:rPr>
        <w:t>Week 5</w:t>
      </w:r>
      <w:bookmarkEnd w:id="18"/>
    </w:p>
    <w:p w14:paraId="3251072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98CC513"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During week 5, we continued to explore the topic of critical thinking and its practical applications, as well as discussed new theoretical conceptions.</w:t>
      </w:r>
    </w:p>
    <w:p w14:paraId="58715C8B"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FF816E4"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One of the key concepts explored during this week regarded the Systems Theory, which emphasizes the interconnectedness and interdependence of various components within a system (</w:t>
      </w:r>
      <w:proofErr w:type="spellStart"/>
      <w:r w:rsidRPr="00852F5C">
        <w:rPr>
          <w:rFonts w:ascii="Arial" w:eastAsiaTheme="minorEastAsia" w:hAnsi="Arial" w:cs="Arial"/>
          <w:color w:val="000000" w:themeColor="text1"/>
          <w:kern w:val="0"/>
          <w:lang w:val="en-US" w:eastAsia="en-GB"/>
          <w14:ligatures w14:val="none"/>
        </w:rPr>
        <w:t>Luhmann</w:t>
      </w:r>
      <w:proofErr w:type="spellEnd"/>
      <w:r w:rsidRPr="00852F5C">
        <w:rPr>
          <w:rFonts w:ascii="Arial" w:eastAsiaTheme="minorEastAsia" w:hAnsi="Arial" w:cs="Arial"/>
          <w:color w:val="000000" w:themeColor="text1"/>
          <w:kern w:val="0"/>
          <w:lang w:val="en-US" w:eastAsia="en-GB"/>
          <w14:ligatures w14:val="none"/>
        </w:rPr>
        <w:t xml:space="preserve">, </w:t>
      </w:r>
      <w:proofErr w:type="spellStart"/>
      <w:r w:rsidRPr="00852F5C">
        <w:rPr>
          <w:rFonts w:ascii="Arial" w:eastAsiaTheme="minorEastAsia" w:hAnsi="Arial" w:cs="Arial"/>
          <w:color w:val="000000" w:themeColor="text1"/>
          <w:kern w:val="0"/>
          <w:lang w:val="en-US" w:eastAsia="en-GB"/>
          <w14:ligatures w14:val="none"/>
        </w:rPr>
        <w:t>Baecker</w:t>
      </w:r>
      <w:proofErr w:type="spellEnd"/>
      <w:r w:rsidRPr="00852F5C">
        <w:rPr>
          <w:rFonts w:ascii="Arial" w:eastAsiaTheme="minorEastAsia" w:hAnsi="Arial" w:cs="Arial"/>
          <w:color w:val="000000" w:themeColor="text1"/>
          <w:kern w:val="0"/>
          <w:lang w:val="en-US" w:eastAsia="en-GB"/>
          <w14:ligatures w14:val="none"/>
        </w:rPr>
        <w:t xml:space="preserve"> and </w:t>
      </w:r>
      <w:proofErr w:type="spellStart"/>
      <w:r w:rsidRPr="00852F5C">
        <w:rPr>
          <w:rFonts w:ascii="Arial" w:eastAsiaTheme="minorEastAsia" w:hAnsi="Arial" w:cs="Arial"/>
          <w:color w:val="000000" w:themeColor="text1"/>
          <w:kern w:val="0"/>
          <w:lang w:val="en-US" w:eastAsia="en-GB"/>
          <w14:ligatures w14:val="none"/>
        </w:rPr>
        <w:t>Gilgen</w:t>
      </w:r>
      <w:proofErr w:type="spellEnd"/>
      <w:r w:rsidRPr="00852F5C">
        <w:rPr>
          <w:rFonts w:ascii="Arial" w:eastAsiaTheme="minorEastAsia" w:hAnsi="Arial" w:cs="Arial"/>
          <w:color w:val="000000" w:themeColor="text1"/>
          <w:kern w:val="0"/>
          <w:lang w:val="en-US" w:eastAsia="en-GB"/>
          <w14:ligatures w14:val="none"/>
        </w:rPr>
        <w:t>, 2013). This perspective highlighted the need to consider the broader context and relationships when analyzing and solving problems in a business environment. It helped me realize the importance of taking a holistic approach and considering the potential ripple effects of decisions on the entire system of a company.</w:t>
      </w:r>
    </w:p>
    <w:p w14:paraId="3B92ECDD"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E95B16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learning content also delved into decision-making skills and critical thinking poles, presenting different approaches to decision-making and their implications. This discussion provided valuable insights into the cognitive processes involved in decision-making and the role of critical thinking in making informed choices which made me reflect on my own decision-making skills and how I can enhance them through critical thinking.</w:t>
      </w:r>
    </w:p>
    <w:p w14:paraId="1FC485F4"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153B5EF"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Contingency Management Theory was another topic covered during this week, which outlined the need for adaptability and flexibility in response to different situations (Luthans and Stewart, 1977). Moreover, this theory highlighted that there is no one-size-fits-all approach to management and decision-making and that effective leaders need to be able to adjust their strategies based on the unique circumstances they face. This understanding challenged me to be more adaptable and open to changing my approach based on the specific context of a situation.</w:t>
      </w:r>
    </w:p>
    <w:p w14:paraId="137778EE"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6966F389"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practical exercise provided during this week allowed me to apply the theories learned in a real-world business scenario, which helped solidify my understanding and application of the concepts. It encouraged me to think critically and consider the various factors at play, such as the systems involved, decision-making approaches, and contingency factors, </w:t>
      </w:r>
      <w:proofErr w:type="gramStart"/>
      <w:r w:rsidRPr="00852F5C">
        <w:rPr>
          <w:rFonts w:ascii="Arial" w:eastAsiaTheme="minorEastAsia" w:hAnsi="Arial" w:cs="Arial"/>
          <w:color w:val="000000" w:themeColor="text1"/>
          <w:kern w:val="0"/>
          <w:lang w:val="en-US" w:eastAsia="en-GB"/>
          <w14:ligatures w14:val="none"/>
        </w:rPr>
        <w:t>in order to</w:t>
      </w:r>
      <w:proofErr w:type="gramEnd"/>
      <w:r w:rsidRPr="00852F5C">
        <w:rPr>
          <w:rFonts w:ascii="Arial" w:eastAsiaTheme="minorEastAsia" w:hAnsi="Arial" w:cs="Arial"/>
          <w:color w:val="000000" w:themeColor="text1"/>
          <w:kern w:val="0"/>
          <w:lang w:val="en-US" w:eastAsia="en-GB"/>
          <w14:ligatures w14:val="none"/>
        </w:rPr>
        <w:t xml:space="preserve"> arrive at the most effective solution.</w:t>
      </w:r>
    </w:p>
    <w:p w14:paraId="2D99CE00"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08099D0"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9" w:name="_Toc132148137"/>
      <w:r w:rsidRPr="00852F5C">
        <w:rPr>
          <w:rFonts w:ascii="Arial" w:eastAsiaTheme="majorEastAsia" w:hAnsi="Arial" w:cs="Arial"/>
          <w:b/>
          <w:bCs/>
          <w:color w:val="000000" w:themeColor="text1"/>
          <w:kern w:val="0"/>
          <w:lang w:val="en-US" w:eastAsia="en-GB"/>
          <w14:ligatures w14:val="none"/>
        </w:rPr>
        <w:t>Week 6</w:t>
      </w:r>
      <w:bookmarkEnd w:id="19"/>
    </w:p>
    <w:p w14:paraId="609982CC"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7C3BBBD3"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lecture in week 6 highlighted how critical thinking is a multifaceted process that involves examining assumptions, evaluating evidence, exploring alternatives, and developing reflective criticism to arrive at well-reasoned conclusions. I learned that critical thinking goes beyond problem-solving and decision-making.</w:t>
      </w:r>
    </w:p>
    <w:p w14:paraId="1AA192A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383D40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lecture also shed light on the challenges and barriers that can hinder critical thinking, such as rigidity, inflexibility, lack of confidence, dogmatic assertive </w:t>
      </w:r>
      <w:proofErr w:type="spellStart"/>
      <w:r w:rsidRPr="00852F5C">
        <w:rPr>
          <w:rFonts w:ascii="Arial" w:eastAsiaTheme="minorEastAsia" w:hAnsi="Arial" w:cs="Arial"/>
          <w:color w:val="000000" w:themeColor="text1"/>
          <w:kern w:val="0"/>
          <w:lang w:val="en-US" w:eastAsia="en-GB"/>
          <w14:ligatures w14:val="none"/>
        </w:rPr>
        <w:t>behaviour</w:t>
      </w:r>
      <w:proofErr w:type="spellEnd"/>
      <w:r w:rsidRPr="00852F5C">
        <w:rPr>
          <w:rFonts w:ascii="Arial" w:eastAsiaTheme="minorEastAsia" w:hAnsi="Arial" w:cs="Arial"/>
          <w:color w:val="000000" w:themeColor="text1"/>
          <w:kern w:val="0"/>
          <w:lang w:val="en-US" w:eastAsia="en-GB"/>
          <w14:ligatures w14:val="none"/>
        </w:rPr>
        <w:t xml:space="preserve">, inability to concentrate, and unwillingness to think. I realized that these barriers </w:t>
      </w:r>
      <w:proofErr w:type="gramStart"/>
      <w:r w:rsidRPr="00852F5C">
        <w:rPr>
          <w:rFonts w:ascii="Arial" w:eastAsiaTheme="minorEastAsia" w:hAnsi="Arial" w:cs="Arial"/>
          <w:color w:val="000000" w:themeColor="text1"/>
          <w:kern w:val="0"/>
          <w:lang w:val="en-US" w:eastAsia="en-GB"/>
          <w14:ligatures w14:val="none"/>
        </w:rPr>
        <w:t>can</w:t>
      </w:r>
      <w:proofErr w:type="gramEnd"/>
      <w:r w:rsidRPr="00852F5C">
        <w:rPr>
          <w:rFonts w:ascii="Arial" w:eastAsiaTheme="minorEastAsia" w:hAnsi="Arial" w:cs="Arial"/>
          <w:color w:val="000000" w:themeColor="text1"/>
          <w:kern w:val="0"/>
          <w:lang w:val="en-US" w:eastAsia="en-GB"/>
          <w14:ligatures w14:val="none"/>
        </w:rPr>
        <w:t xml:space="preserve"> impede one’s ability to think critically and objectively evaluate situations, leading to biased or incomplete conclusions (Reed, 2013).</w:t>
      </w:r>
    </w:p>
    <w:p w14:paraId="3369F5B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3038FC0"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Several core critical thinking skills such as analysis, inference and evaluation were also explored in the lecture. I understood that honing these skills is crucial for developing effective critical thinking abilities and requires actively engaging in the process of evaluating information, questioning assumptions, and considering multiple perspectives to arrive at well-informed decisions (Tripathy, 2020).</w:t>
      </w:r>
    </w:p>
    <w:p w14:paraId="3AAE634F"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F24AE22"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Furthermore, the lecture highlighted that critical thinking is not just limited to academic or professional contexts, but it is also applicable to life in general. It is a mindset that involves approaching problems, questions, and issues with an open and reflective attitude. Consequently, I acknowledged that being a critical thinker is not just about possessing specific skills, but it is also about cultivating a curious, open-minded, and reflective approach to life (Lai, 2011).</w:t>
      </w:r>
    </w:p>
    <w:p w14:paraId="4D39366D"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6E9D8E7"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20" w:name="_Toc132148138"/>
      <w:r w:rsidRPr="00852F5C">
        <w:rPr>
          <w:rFonts w:ascii="Arial" w:eastAsiaTheme="majorEastAsia" w:hAnsi="Arial" w:cs="Arial"/>
          <w:b/>
          <w:bCs/>
          <w:color w:val="000000" w:themeColor="text1"/>
          <w:kern w:val="0"/>
          <w:lang w:val="en-US" w:eastAsia="en-GB"/>
          <w14:ligatures w14:val="none"/>
        </w:rPr>
        <w:t>Week 7</w:t>
      </w:r>
      <w:bookmarkEnd w:id="20"/>
      <w:r w:rsidRPr="00852F5C">
        <w:rPr>
          <w:rFonts w:ascii="Arial" w:eastAsiaTheme="majorEastAsia" w:hAnsi="Arial" w:cs="Arial"/>
          <w:b/>
          <w:bCs/>
          <w:color w:val="000000" w:themeColor="text1"/>
          <w:kern w:val="0"/>
          <w:lang w:val="en-US" w:eastAsia="en-GB"/>
          <w14:ligatures w14:val="none"/>
        </w:rPr>
        <w:t> </w:t>
      </w:r>
    </w:p>
    <w:p w14:paraId="7432DF9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EB7D31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content of this week provided valuable insights into various approaches and techniques for fostering innovation within a company.</w:t>
      </w:r>
    </w:p>
    <w:p w14:paraId="4D29ADF6"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3038E5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One part of the lecture focused on substitution and swapping techniques, highlighting the importance of continually looking for ways to make improvements and emphasizing the need to question and modify various components and processes to drive innovation and create positive changes.</w:t>
      </w:r>
    </w:p>
    <w:p w14:paraId="4A78362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0C2903A"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Furthermore, characteristics of successful innovative companies were also explored outlining the importance of a conducive environment for innovation (</w:t>
      </w:r>
      <w:proofErr w:type="spellStart"/>
      <w:r w:rsidRPr="00852F5C">
        <w:rPr>
          <w:rFonts w:ascii="Arial" w:eastAsiaTheme="minorEastAsia" w:hAnsi="Arial" w:cs="Arial"/>
          <w:color w:val="000000" w:themeColor="text1"/>
          <w:kern w:val="0"/>
          <w:lang w:val="en-US" w:eastAsia="en-GB"/>
          <w14:ligatures w14:val="none"/>
        </w:rPr>
        <w:t>Kohlbacher</w:t>
      </w:r>
      <w:proofErr w:type="spellEnd"/>
      <w:r w:rsidRPr="00852F5C">
        <w:rPr>
          <w:rFonts w:ascii="Arial" w:eastAsiaTheme="minorEastAsia" w:hAnsi="Arial" w:cs="Arial"/>
          <w:color w:val="000000" w:themeColor="text1"/>
          <w:kern w:val="0"/>
          <w:lang w:val="en-US" w:eastAsia="en-GB"/>
          <w14:ligatures w14:val="none"/>
        </w:rPr>
        <w:t>, 2008). This made me aware that fostering a collaborative and inclusive culture that encourages idea-sharing and open communication can facilitate innovation within an organization. The lecture also described the innovation potential assessment, outlining the necessity to evaluate various aspects of a company's strategy and planning to evaluate its innovation potential (Jensen, 2001).</w:t>
      </w:r>
    </w:p>
    <w:p w14:paraId="43239F91"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8AD54BE"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Consequently, I can evaluate that the week’s content has provided me with a holistic understanding of managing innovation and creativity within a company which will be highly useful in my future </w:t>
      </w:r>
      <w:proofErr w:type="spellStart"/>
      <w:r w:rsidRPr="00852F5C">
        <w:rPr>
          <w:rFonts w:ascii="Arial" w:eastAsiaTheme="minorEastAsia" w:hAnsi="Arial" w:cs="Arial"/>
          <w:color w:val="000000" w:themeColor="text1"/>
          <w:kern w:val="0"/>
          <w:lang w:val="en-US" w:eastAsia="en-GB"/>
          <w14:ligatures w14:val="none"/>
        </w:rPr>
        <w:t>endeavours</w:t>
      </w:r>
      <w:proofErr w:type="spellEnd"/>
      <w:r w:rsidRPr="00852F5C">
        <w:rPr>
          <w:rFonts w:ascii="Arial" w:eastAsiaTheme="minorEastAsia" w:hAnsi="Arial" w:cs="Arial"/>
          <w:color w:val="000000" w:themeColor="text1"/>
          <w:kern w:val="0"/>
          <w:lang w:val="en-US" w:eastAsia="en-GB"/>
          <w14:ligatures w14:val="none"/>
        </w:rPr>
        <w:t>. </w:t>
      </w:r>
    </w:p>
    <w:p w14:paraId="3C98E4E0"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09135C6"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21" w:name="_Toc132148139"/>
      <w:r w:rsidRPr="00852F5C">
        <w:rPr>
          <w:rFonts w:ascii="Arial" w:eastAsiaTheme="majorEastAsia" w:hAnsi="Arial" w:cs="Arial"/>
          <w:b/>
          <w:bCs/>
          <w:color w:val="000000" w:themeColor="text1"/>
          <w:kern w:val="0"/>
          <w:lang w:val="en-US" w:eastAsia="en-GB"/>
          <w14:ligatures w14:val="none"/>
        </w:rPr>
        <w:t>Week 8</w:t>
      </w:r>
      <w:bookmarkEnd w:id="21"/>
      <w:r w:rsidRPr="00852F5C">
        <w:rPr>
          <w:rFonts w:ascii="Arial" w:eastAsiaTheme="majorEastAsia" w:hAnsi="Arial" w:cs="Arial"/>
          <w:b/>
          <w:bCs/>
          <w:color w:val="000000" w:themeColor="text1"/>
          <w:kern w:val="0"/>
          <w:lang w:val="en-US" w:eastAsia="en-GB"/>
          <w14:ligatures w14:val="none"/>
        </w:rPr>
        <w:t> </w:t>
      </w:r>
    </w:p>
    <w:p w14:paraId="6DC8C2F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49EBABD5"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proofErr w:type="gramStart"/>
      <w:r w:rsidRPr="00852F5C">
        <w:rPr>
          <w:rFonts w:ascii="Arial" w:eastAsiaTheme="minorEastAsia" w:hAnsi="Arial" w:cs="Arial"/>
          <w:color w:val="000000" w:themeColor="text1"/>
          <w:kern w:val="0"/>
          <w:lang w:val="en-US" w:eastAsia="en-GB"/>
          <w14:ligatures w14:val="none"/>
        </w:rPr>
        <w:t>The week</w:t>
      </w:r>
      <w:proofErr w:type="gramEnd"/>
      <w:r w:rsidRPr="00852F5C">
        <w:rPr>
          <w:rFonts w:ascii="Arial" w:eastAsiaTheme="minorEastAsia" w:hAnsi="Arial" w:cs="Arial"/>
          <w:color w:val="000000" w:themeColor="text1"/>
          <w:kern w:val="0"/>
          <w:lang w:val="en-US" w:eastAsia="en-GB"/>
          <w14:ligatures w14:val="none"/>
        </w:rPr>
        <w:t xml:space="preserve"> 8’s lecture focused on change management in the context of critical thinking in the workplace.</w:t>
      </w:r>
    </w:p>
    <w:p w14:paraId="712BF633"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E90EAFA"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ADKAR model was introduced, with the importance of developing corrective actions to address any gaps in the ADKAR process being emphasized. I became cognizant of the need for continuous monitoring and evaluation of the change process and taking proactive measures to address any issues or challenges that may arise (Hiatt, 2006).</w:t>
      </w:r>
    </w:p>
    <w:p w14:paraId="58935AC0"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80D611A"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lecture also discussed the consequences of not managing the people-side of change, which include lower productivity, resistance, turnover of valued employees, disinterest, and arguing about the need for change, among others. This indicated some potential risks and challenges that organizations may face if they neglect the human aspect of change management. As a result, I realized that addressing the emotional and psychological aspects of change is crucial to ensure a smooth transition and acceptance by employees.</w:t>
      </w:r>
    </w:p>
    <w:p w14:paraId="2452E4C2"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1B1EB6CD"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22" w:name="_Toc132148140"/>
      <w:r w:rsidRPr="00852F5C">
        <w:rPr>
          <w:rFonts w:ascii="Arial" w:eastAsiaTheme="majorEastAsia" w:hAnsi="Arial" w:cs="Arial"/>
          <w:b/>
          <w:bCs/>
          <w:color w:val="000000" w:themeColor="text1"/>
          <w:kern w:val="0"/>
          <w:lang w:val="en-US" w:eastAsia="en-GB"/>
          <w14:ligatures w14:val="none"/>
        </w:rPr>
        <w:t>Week 9</w:t>
      </w:r>
      <w:bookmarkEnd w:id="22"/>
    </w:p>
    <w:p w14:paraId="0457A58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175D15C"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last lecture introduced three types of control - feedforward, concurrent, and feedback, as key components of the control process. I learned that feedforward control involves establishing standards of performance before the actual performance occurs, with the aim of preventing problems from arising in the first place. Meanwhile, concurrent control involves monitoring performance as it is happening, allowing for real-time adjustments to ensure that activities are being carried out effectively and efficiently and feedback control entails measuring performance after the fact and comparing it against the established standards to initiate corrective action if necessary (Jensen, 2001). </w:t>
      </w:r>
    </w:p>
    <w:p w14:paraId="0FED7B6F"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24A50FF7"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The lecture also highlighted the different approaches to organizational control, including output controls and </w:t>
      </w:r>
      <w:proofErr w:type="spellStart"/>
      <w:r w:rsidRPr="00852F5C">
        <w:rPr>
          <w:rFonts w:ascii="Arial" w:eastAsiaTheme="minorEastAsia" w:hAnsi="Arial" w:cs="Arial"/>
          <w:color w:val="000000" w:themeColor="text1"/>
          <w:kern w:val="0"/>
          <w:lang w:val="en-US" w:eastAsia="en-GB"/>
          <w14:ligatures w14:val="none"/>
        </w:rPr>
        <w:t>behaviour</w:t>
      </w:r>
      <w:proofErr w:type="spellEnd"/>
      <w:r w:rsidRPr="00852F5C">
        <w:rPr>
          <w:rFonts w:ascii="Arial" w:eastAsiaTheme="minorEastAsia" w:hAnsi="Arial" w:cs="Arial"/>
          <w:color w:val="000000" w:themeColor="text1"/>
          <w:kern w:val="0"/>
          <w:lang w:val="en-US" w:eastAsia="en-GB"/>
          <w14:ligatures w14:val="none"/>
        </w:rPr>
        <w:t xml:space="preserve"> controls and the relationship between organizational control and change. I learned that as organizations undergo change, it becomes crucial to effectively manage the control process to ensure that the change is implemented smoothly and that the desired outcomes are achieved (</w:t>
      </w:r>
      <w:proofErr w:type="gramStart"/>
      <w:r w:rsidRPr="00852F5C">
        <w:rPr>
          <w:rFonts w:ascii="Arial" w:eastAsiaTheme="minorEastAsia" w:hAnsi="Arial" w:cs="Arial"/>
          <w:color w:val="000000" w:themeColor="text1"/>
          <w:kern w:val="0"/>
          <w:lang w:val="en-US" w:eastAsia="en-GB"/>
          <w14:ligatures w14:val="none"/>
        </w:rPr>
        <w:t>March,</w:t>
      </w:r>
      <w:proofErr w:type="gramEnd"/>
      <w:r w:rsidRPr="00852F5C">
        <w:rPr>
          <w:rFonts w:ascii="Arial" w:eastAsiaTheme="minorEastAsia" w:hAnsi="Arial" w:cs="Arial"/>
          <w:color w:val="000000" w:themeColor="text1"/>
          <w:kern w:val="0"/>
          <w:lang w:val="en-US" w:eastAsia="en-GB"/>
          <w14:ligatures w14:val="none"/>
        </w:rPr>
        <w:t xml:space="preserve"> 2013).</w:t>
      </w:r>
    </w:p>
    <w:p w14:paraId="6B624ADF"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34DF4C8A"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23" w:name="_Toc132148141"/>
      <w:r w:rsidRPr="00852F5C">
        <w:rPr>
          <w:rFonts w:ascii="Arial" w:eastAsiaTheme="majorEastAsia" w:hAnsi="Arial" w:cs="Arial"/>
          <w:b/>
          <w:bCs/>
          <w:color w:val="000000" w:themeColor="text1"/>
          <w:kern w:val="0"/>
          <w:lang w:val="en-US" w:eastAsia="en-GB"/>
          <w14:ligatures w14:val="none"/>
        </w:rPr>
        <w:t>Conclusion</w:t>
      </w:r>
      <w:bookmarkEnd w:id="23"/>
      <w:r w:rsidRPr="00852F5C">
        <w:rPr>
          <w:rFonts w:ascii="Arial" w:eastAsiaTheme="majorEastAsia" w:hAnsi="Arial" w:cs="Arial"/>
          <w:b/>
          <w:bCs/>
          <w:color w:val="000000" w:themeColor="text1"/>
          <w:kern w:val="0"/>
          <w:lang w:val="en-US" w:eastAsia="en-GB"/>
          <w14:ligatures w14:val="none"/>
        </w:rPr>
        <w:t> </w:t>
      </w:r>
    </w:p>
    <w:p w14:paraId="758829F7"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03BECEC9"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The Developing Workplace Critical Thinking module has been a truly transformative learning experience for me. I have gained a deep appreciation for the multifaceted nature of critical thinking, and the ways in which it can be applied in various academic and professional contexts. This module has expanded my knowledge and skills in critical thinking, equipping me with valuable tools and techniques that I can apply in my future academic and career pursuits.</w:t>
      </w:r>
    </w:p>
    <w:p w14:paraId="4A0FB7C8"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p>
    <w:p w14:paraId="580A476D" w14:textId="77777777" w:rsidR="00852F5C" w:rsidRPr="00852F5C" w:rsidRDefault="00852F5C" w:rsidP="00852F5C">
      <w:pPr>
        <w:spacing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This reflective journal has provided me with the opportunity to thoroughly examine and introspect upon the knowledge and insights I have acquired throughout the module. It has allowed me to reflect on my own learning process and growth in this area, leading to a more nuanced understanding of critical thinking and its practical applications in the workplace.</w:t>
      </w:r>
    </w:p>
    <w:p w14:paraId="1D62FD49" w14:textId="77777777" w:rsidR="00852F5C" w:rsidRPr="00852F5C" w:rsidRDefault="00852F5C" w:rsidP="00852F5C">
      <w:pPr>
        <w:spacing w:after="0" w:line="360" w:lineRule="auto"/>
        <w:rPr>
          <w:rFonts w:ascii="Arial" w:eastAsia="Times New Roman" w:hAnsi="Arial" w:cs="Arial"/>
          <w:color w:val="000000" w:themeColor="text1"/>
          <w:kern w:val="0"/>
          <w:lang w:val="en-US" w:eastAsia="en-GB"/>
          <w14:ligatures w14:val="none"/>
        </w:rPr>
      </w:pPr>
      <w:r w:rsidRPr="00852F5C">
        <w:rPr>
          <w:rFonts w:ascii="Arial" w:eastAsia="Times New Roman" w:hAnsi="Arial" w:cs="Arial"/>
          <w:color w:val="000000" w:themeColor="text1"/>
          <w:kern w:val="0"/>
          <w:lang w:val="en-US" w:eastAsia="en-GB"/>
          <w14:ligatures w14:val="none"/>
        </w:rPr>
        <w:br w:type="page"/>
      </w:r>
    </w:p>
    <w:p w14:paraId="799BA771" w14:textId="77777777" w:rsidR="00852F5C" w:rsidRPr="00852F5C" w:rsidRDefault="00852F5C" w:rsidP="00852F5C">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24" w:name="_Toc132148142"/>
      <w:r w:rsidRPr="00852F5C">
        <w:rPr>
          <w:rFonts w:ascii="Arial" w:eastAsiaTheme="majorEastAsia" w:hAnsi="Arial" w:cs="Arial"/>
          <w:b/>
          <w:bCs/>
          <w:color w:val="000000" w:themeColor="text1"/>
          <w:kern w:val="0"/>
          <w:lang w:val="en-US" w:eastAsia="en-GB"/>
          <w14:ligatures w14:val="none"/>
        </w:rPr>
        <w:t>References</w:t>
      </w:r>
      <w:bookmarkEnd w:id="24"/>
      <w:r w:rsidRPr="00852F5C">
        <w:rPr>
          <w:rFonts w:ascii="Arial" w:eastAsiaTheme="majorEastAsia" w:hAnsi="Arial" w:cs="Arial"/>
          <w:b/>
          <w:bCs/>
          <w:color w:val="000000" w:themeColor="text1"/>
          <w:kern w:val="0"/>
          <w:lang w:val="en-US" w:eastAsia="en-GB"/>
          <w14:ligatures w14:val="none"/>
        </w:rPr>
        <w:tab/>
      </w:r>
    </w:p>
    <w:p w14:paraId="637396A8"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imes New Roman" w:hAnsi="Arial" w:cs="Arial"/>
          <w:color w:val="000000" w:themeColor="text1"/>
          <w:kern w:val="0"/>
          <w:shd w:val="clear" w:color="auto" w:fill="FFFFFF"/>
          <w:lang w:val="en-US" w:eastAsia="en-GB"/>
          <w14:ligatures w14:val="none"/>
        </w:rPr>
        <w:t>‌</w:t>
      </w:r>
      <w:r w:rsidRPr="00852F5C">
        <w:rPr>
          <w:rFonts w:ascii="Arial" w:eastAsiaTheme="minorEastAsia" w:hAnsi="Arial" w:cs="Arial"/>
          <w:color w:val="000000" w:themeColor="text1"/>
          <w:kern w:val="0"/>
          <w:lang w:val="en-US" w:eastAsia="en-GB"/>
          <w14:ligatures w14:val="none"/>
        </w:rPr>
        <w:t xml:space="preserve">Adekoya, O.D., </w:t>
      </w:r>
      <w:proofErr w:type="spellStart"/>
      <w:r w:rsidRPr="00852F5C">
        <w:rPr>
          <w:rFonts w:ascii="Arial" w:eastAsiaTheme="minorEastAsia" w:hAnsi="Arial" w:cs="Arial"/>
          <w:color w:val="000000" w:themeColor="text1"/>
          <w:kern w:val="0"/>
          <w:lang w:val="en-US" w:eastAsia="en-GB"/>
          <w14:ligatures w14:val="none"/>
        </w:rPr>
        <w:t>Adisa</w:t>
      </w:r>
      <w:proofErr w:type="spellEnd"/>
      <w:r w:rsidRPr="00852F5C">
        <w:rPr>
          <w:rFonts w:ascii="Arial" w:eastAsiaTheme="minorEastAsia" w:hAnsi="Arial" w:cs="Arial"/>
          <w:color w:val="000000" w:themeColor="text1"/>
          <w:kern w:val="0"/>
          <w:lang w:val="en-US" w:eastAsia="en-GB"/>
          <w14:ligatures w14:val="none"/>
        </w:rPr>
        <w:t xml:space="preserve">, T.A. and </w:t>
      </w:r>
      <w:proofErr w:type="spellStart"/>
      <w:r w:rsidRPr="00852F5C">
        <w:rPr>
          <w:rFonts w:ascii="Arial" w:eastAsiaTheme="minorEastAsia" w:hAnsi="Arial" w:cs="Arial"/>
          <w:color w:val="000000" w:themeColor="text1"/>
          <w:kern w:val="0"/>
          <w:lang w:val="en-US" w:eastAsia="en-GB"/>
          <w14:ligatures w14:val="none"/>
        </w:rPr>
        <w:t>Aiyenitaju</w:t>
      </w:r>
      <w:proofErr w:type="spellEnd"/>
      <w:r w:rsidRPr="00852F5C">
        <w:rPr>
          <w:rFonts w:ascii="Arial" w:eastAsiaTheme="minorEastAsia" w:hAnsi="Arial" w:cs="Arial"/>
          <w:color w:val="000000" w:themeColor="text1"/>
          <w:kern w:val="0"/>
          <w:lang w:val="en-US" w:eastAsia="en-GB"/>
          <w14:ligatures w14:val="none"/>
        </w:rPr>
        <w:t xml:space="preserve">, O. (2022). 'Going forward: remote working in the post-COVID-19 era'. </w:t>
      </w:r>
      <w:r w:rsidRPr="00852F5C">
        <w:rPr>
          <w:rFonts w:ascii="Arial" w:eastAsiaTheme="minorEastAsia" w:hAnsi="Arial" w:cs="Arial"/>
          <w:i/>
          <w:color w:val="000000" w:themeColor="text1"/>
          <w:kern w:val="0"/>
          <w:lang w:val="en-US" w:eastAsia="en-GB"/>
          <w14:ligatures w14:val="none"/>
        </w:rPr>
        <w:t>Employee Relations</w:t>
      </w:r>
      <w:r w:rsidRPr="00852F5C">
        <w:rPr>
          <w:rFonts w:ascii="Arial" w:eastAsiaTheme="minorEastAsia" w:hAnsi="Arial" w:cs="Arial"/>
          <w:color w:val="000000" w:themeColor="text1"/>
          <w:kern w:val="0"/>
          <w:lang w:val="en-US" w:eastAsia="en-GB"/>
          <w14:ligatures w14:val="none"/>
        </w:rPr>
        <w:t xml:space="preserve">, 44(6), pp.1410-1427.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://doi.org/10.1108/ER-04-2021-0161</w:t>
      </w:r>
      <w:proofErr w:type="gramEnd"/>
      <w:r w:rsidRPr="00852F5C">
        <w:rPr>
          <w:rFonts w:ascii="Arial" w:eastAsiaTheme="minorEastAsia" w:hAnsi="Arial" w:cs="Arial"/>
          <w:color w:val="000000" w:themeColor="text1"/>
          <w:kern w:val="0"/>
          <w:lang w:val="en-US" w:eastAsia="en-GB"/>
          <w14:ligatures w14:val="none"/>
        </w:rPr>
        <w:t>.</w:t>
      </w:r>
    </w:p>
    <w:p w14:paraId="64678791"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Bayramov, S.V., </w:t>
      </w:r>
      <w:proofErr w:type="spellStart"/>
      <w:r w:rsidRPr="00852F5C">
        <w:rPr>
          <w:rFonts w:ascii="Arial" w:eastAsiaTheme="minorEastAsia" w:hAnsi="Arial" w:cs="Arial"/>
          <w:color w:val="000000" w:themeColor="text1"/>
          <w:kern w:val="0"/>
          <w:lang w:val="en-US" w:eastAsia="en-GB"/>
          <w14:ligatures w14:val="none"/>
        </w:rPr>
        <w:t>Kookueva</w:t>
      </w:r>
      <w:proofErr w:type="spellEnd"/>
      <w:r w:rsidRPr="00852F5C">
        <w:rPr>
          <w:rFonts w:ascii="Arial" w:eastAsiaTheme="minorEastAsia" w:hAnsi="Arial" w:cs="Arial"/>
          <w:color w:val="000000" w:themeColor="text1"/>
          <w:kern w:val="0"/>
          <w:lang w:val="en-US" w:eastAsia="en-GB"/>
          <w14:ligatures w14:val="none"/>
        </w:rPr>
        <w:t xml:space="preserve">, V., Kolobov, A. and Tsvetkova, L. (2023). 'Innovative Business Models in the Context of Organizational Culture Transformation in the COVID-19 Pandemic'. </w:t>
      </w:r>
      <w:r w:rsidRPr="00852F5C">
        <w:rPr>
          <w:rFonts w:ascii="Arial" w:eastAsiaTheme="minorEastAsia" w:hAnsi="Arial" w:cs="Arial"/>
          <w:i/>
          <w:color w:val="000000" w:themeColor="text1"/>
          <w:kern w:val="0"/>
          <w:lang w:val="en-US" w:eastAsia="en-GB"/>
          <w14:ligatures w14:val="none"/>
        </w:rPr>
        <w:t>Public Organization Review</w:t>
      </w:r>
      <w:r w:rsidRPr="00852F5C">
        <w:rPr>
          <w:rFonts w:ascii="Arial" w:eastAsiaTheme="minorEastAsia" w:hAnsi="Arial" w:cs="Arial"/>
          <w:color w:val="000000" w:themeColor="text1"/>
          <w:kern w:val="0"/>
          <w:lang w:val="en-US" w:eastAsia="en-GB"/>
          <w14:ligatures w14:val="none"/>
        </w:rPr>
        <w:t xml:space="preserve">, 23, pp.365–387.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://doi.org/10.1007/s11115-022-00688-9</w:t>
      </w:r>
      <w:proofErr w:type="gramEnd"/>
    </w:p>
    <w:p w14:paraId="72C8AC06"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Benson, H. (2004). 'Entrepreneurship Education: Toward a Model of Contingency-Based Business Planning'. </w:t>
      </w:r>
      <w:r w:rsidRPr="00852F5C">
        <w:rPr>
          <w:rFonts w:ascii="Arial" w:eastAsiaTheme="minorEastAsia" w:hAnsi="Arial" w:cs="Arial"/>
          <w:i/>
          <w:color w:val="000000" w:themeColor="text1"/>
          <w:kern w:val="0"/>
          <w:lang w:val="en-US" w:eastAsia="en-GB"/>
          <w14:ligatures w14:val="none"/>
        </w:rPr>
        <w:t>Academy of Management Learning &amp; Education</w:t>
      </w:r>
      <w:r w:rsidRPr="00852F5C">
        <w:rPr>
          <w:rFonts w:ascii="Arial" w:eastAsiaTheme="minorEastAsia" w:hAnsi="Arial" w:cs="Arial"/>
          <w:color w:val="000000" w:themeColor="text1"/>
          <w:kern w:val="0"/>
          <w:lang w:val="en-US" w:eastAsia="en-GB"/>
          <w14:ligatures w14:val="none"/>
        </w:rPr>
        <w:t xml:space="preserve">, 3(3), pp.258–273, </w:t>
      </w:r>
      <w:proofErr w:type="spellStart"/>
      <w:r w:rsidRPr="00852F5C">
        <w:rPr>
          <w:rFonts w:ascii="Arial" w:eastAsiaTheme="minorEastAsia" w:hAnsi="Arial" w:cs="Arial"/>
          <w:color w:val="000000" w:themeColor="text1"/>
          <w:kern w:val="0"/>
          <w:lang w:val="en-US" w:eastAsia="en-GB"/>
          <w14:ligatures w14:val="none"/>
        </w:rPr>
        <w:t>doi</w:t>
      </w:r>
      <w:proofErr w:type="spellEnd"/>
      <w:r w:rsidRPr="00852F5C">
        <w:rPr>
          <w:rFonts w:ascii="Arial" w:eastAsiaTheme="minorEastAsia" w:hAnsi="Arial" w:cs="Arial"/>
          <w:color w:val="000000" w:themeColor="text1"/>
          <w:kern w:val="0"/>
          <w:lang w:val="en-US" w:eastAsia="en-GB"/>
          <w14:ligatures w14:val="none"/>
        </w:rPr>
        <w:t>: https://doi.org/10.5465/amle.2004.14242112.</w:t>
      </w:r>
    </w:p>
    <w:p w14:paraId="177C6708"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Boiral</w:t>
      </w:r>
      <w:proofErr w:type="spellEnd"/>
      <w:r w:rsidRPr="00852F5C">
        <w:rPr>
          <w:rFonts w:ascii="Arial" w:eastAsiaTheme="minorEastAsia" w:hAnsi="Arial" w:cs="Arial"/>
          <w:color w:val="000000" w:themeColor="text1"/>
          <w:kern w:val="0"/>
          <w:lang w:val="en-US" w:eastAsia="en-GB"/>
          <w14:ligatures w14:val="none"/>
        </w:rPr>
        <w:t xml:space="preserve">, O., Brotherton, M.-C., </w:t>
      </w:r>
      <w:proofErr w:type="spellStart"/>
      <w:r w:rsidRPr="00852F5C">
        <w:rPr>
          <w:rFonts w:ascii="Arial" w:eastAsiaTheme="minorEastAsia" w:hAnsi="Arial" w:cs="Arial"/>
          <w:color w:val="000000" w:themeColor="text1"/>
          <w:kern w:val="0"/>
          <w:lang w:val="en-US" w:eastAsia="en-GB"/>
          <w14:ligatures w14:val="none"/>
        </w:rPr>
        <w:t>Rivaud</w:t>
      </w:r>
      <w:proofErr w:type="spellEnd"/>
      <w:r w:rsidRPr="00852F5C">
        <w:rPr>
          <w:rFonts w:ascii="Arial" w:eastAsiaTheme="minorEastAsia" w:hAnsi="Arial" w:cs="Arial"/>
          <w:color w:val="000000" w:themeColor="text1"/>
          <w:kern w:val="0"/>
          <w:lang w:val="en-US" w:eastAsia="en-GB"/>
          <w14:ligatures w14:val="none"/>
        </w:rPr>
        <w:t xml:space="preserve">, L. and </w:t>
      </w:r>
      <w:proofErr w:type="spellStart"/>
      <w:r w:rsidRPr="00852F5C">
        <w:rPr>
          <w:rFonts w:ascii="Arial" w:eastAsiaTheme="minorEastAsia" w:hAnsi="Arial" w:cs="Arial"/>
          <w:color w:val="000000" w:themeColor="text1"/>
          <w:kern w:val="0"/>
          <w:lang w:val="en-US" w:eastAsia="en-GB"/>
          <w14:ligatures w14:val="none"/>
        </w:rPr>
        <w:t>Guillaumie</w:t>
      </w:r>
      <w:proofErr w:type="spellEnd"/>
      <w:r w:rsidRPr="00852F5C">
        <w:rPr>
          <w:rFonts w:ascii="Arial" w:eastAsiaTheme="minorEastAsia" w:hAnsi="Arial" w:cs="Arial"/>
          <w:color w:val="000000" w:themeColor="text1"/>
          <w:kern w:val="0"/>
          <w:lang w:val="en-US" w:eastAsia="en-GB"/>
          <w14:ligatures w14:val="none"/>
        </w:rPr>
        <w:t xml:space="preserve">, L. (2021). 'Organizations’ Management of the COVID-19 Pandemic: A Scoping Review of Business Articles'. </w:t>
      </w:r>
      <w:r w:rsidRPr="00852F5C">
        <w:rPr>
          <w:rFonts w:ascii="Arial" w:eastAsiaTheme="minorEastAsia" w:hAnsi="Arial" w:cs="Arial"/>
          <w:i/>
          <w:color w:val="000000" w:themeColor="text1"/>
          <w:kern w:val="0"/>
          <w:lang w:val="en-US" w:eastAsia="en-GB"/>
          <w14:ligatures w14:val="none"/>
        </w:rPr>
        <w:t>Sustainability</w:t>
      </w:r>
      <w:r w:rsidRPr="00852F5C">
        <w:rPr>
          <w:rFonts w:ascii="Arial" w:eastAsiaTheme="minorEastAsia" w:hAnsi="Arial" w:cs="Arial"/>
          <w:color w:val="000000" w:themeColor="text1"/>
          <w:kern w:val="0"/>
          <w:lang w:val="en-US" w:eastAsia="en-GB"/>
          <w14:ligatures w14:val="none"/>
        </w:rPr>
        <w:t xml:space="preserve">, 13(7), pp.39.93.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://doi.org/10.3390/su13073993</w:t>
      </w:r>
      <w:proofErr w:type="gramEnd"/>
      <w:r w:rsidRPr="00852F5C">
        <w:rPr>
          <w:rFonts w:ascii="Arial" w:eastAsiaTheme="minorEastAsia" w:hAnsi="Arial" w:cs="Arial"/>
          <w:color w:val="000000" w:themeColor="text1"/>
          <w:kern w:val="0"/>
          <w:lang w:val="en-US" w:eastAsia="en-GB"/>
          <w14:ligatures w14:val="none"/>
        </w:rPr>
        <w:t>.</w:t>
      </w:r>
    </w:p>
    <w:p w14:paraId="1A895355"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Bolfikova</w:t>
      </w:r>
      <w:proofErr w:type="spellEnd"/>
      <w:r w:rsidRPr="00852F5C">
        <w:rPr>
          <w:rFonts w:ascii="Arial" w:eastAsiaTheme="minorEastAsia" w:hAnsi="Arial" w:cs="Arial"/>
          <w:color w:val="000000" w:themeColor="text1"/>
          <w:kern w:val="0"/>
          <w:lang w:val="en-US" w:eastAsia="en-GB"/>
          <w14:ligatures w14:val="none"/>
        </w:rPr>
        <w:t xml:space="preserve">, E., </w:t>
      </w:r>
      <w:proofErr w:type="spellStart"/>
      <w:r w:rsidRPr="00852F5C">
        <w:rPr>
          <w:rFonts w:ascii="Arial" w:eastAsiaTheme="minorEastAsia" w:hAnsi="Arial" w:cs="Arial"/>
          <w:color w:val="000000" w:themeColor="text1"/>
          <w:kern w:val="0"/>
          <w:lang w:val="en-US" w:eastAsia="en-GB"/>
          <w14:ligatures w14:val="none"/>
        </w:rPr>
        <w:t>Hrehova</w:t>
      </w:r>
      <w:proofErr w:type="spellEnd"/>
      <w:r w:rsidRPr="00852F5C">
        <w:rPr>
          <w:rFonts w:ascii="Arial" w:eastAsiaTheme="minorEastAsia" w:hAnsi="Arial" w:cs="Arial"/>
          <w:color w:val="000000" w:themeColor="text1"/>
          <w:kern w:val="0"/>
          <w:lang w:val="en-US" w:eastAsia="en-GB"/>
          <w14:ligatures w14:val="none"/>
        </w:rPr>
        <w:t xml:space="preserve">, D. and </w:t>
      </w:r>
      <w:proofErr w:type="spellStart"/>
      <w:r w:rsidRPr="00852F5C">
        <w:rPr>
          <w:rFonts w:ascii="Arial" w:eastAsiaTheme="minorEastAsia" w:hAnsi="Arial" w:cs="Arial"/>
          <w:color w:val="000000" w:themeColor="text1"/>
          <w:kern w:val="0"/>
          <w:lang w:val="en-US" w:eastAsia="en-GB"/>
          <w14:ligatures w14:val="none"/>
        </w:rPr>
        <w:t>Frenova</w:t>
      </w:r>
      <w:proofErr w:type="spellEnd"/>
      <w:r w:rsidRPr="00852F5C">
        <w:rPr>
          <w:rFonts w:ascii="Arial" w:eastAsiaTheme="minorEastAsia" w:hAnsi="Arial" w:cs="Arial"/>
          <w:color w:val="000000" w:themeColor="text1"/>
          <w:kern w:val="0"/>
          <w:lang w:val="en-US" w:eastAsia="en-GB"/>
          <w14:ligatures w14:val="none"/>
        </w:rPr>
        <w:t xml:space="preserve">, J. (2010). Manager's Decision-Making in Organizations - Empirical Analysis of Bureaucratic vs. Learning Approach (June 20, 2010). </w:t>
      </w:r>
      <w:r w:rsidRPr="00852F5C">
        <w:rPr>
          <w:rFonts w:ascii="Arial" w:eastAsiaTheme="minorEastAsia" w:hAnsi="Arial" w:cs="Arial"/>
          <w:i/>
          <w:color w:val="000000" w:themeColor="text1"/>
          <w:kern w:val="0"/>
          <w:lang w:val="en-US" w:eastAsia="en-GB"/>
          <w14:ligatures w14:val="none"/>
        </w:rPr>
        <w:t>Proceedings of Rijeka Faculty of Economics, Journal of Economics and Business</w:t>
      </w:r>
      <w:r w:rsidRPr="00852F5C">
        <w:rPr>
          <w:rFonts w:ascii="Arial" w:eastAsiaTheme="minorEastAsia" w:hAnsi="Arial" w:cs="Arial"/>
          <w:color w:val="000000" w:themeColor="text1"/>
          <w:kern w:val="0"/>
          <w:lang w:val="en-US" w:eastAsia="en-GB"/>
          <w14:ligatures w14:val="none"/>
        </w:rPr>
        <w:t>, 28(1), pp.135-163.</w:t>
      </w:r>
    </w:p>
    <w:p w14:paraId="214EAAEA"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shd w:val="clear" w:color="auto" w:fill="FFFFFF"/>
          <w:lang w:val="en-US" w:eastAsia="en-GB"/>
          <w14:ligatures w14:val="none"/>
        </w:rPr>
        <w:t xml:space="preserve">Bowling, N. A. and </w:t>
      </w:r>
      <w:proofErr w:type="spellStart"/>
      <w:r w:rsidRPr="00852F5C">
        <w:rPr>
          <w:rFonts w:ascii="Arial" w:eastAsiaTheme="minorEastAsia" w:hAnsi="Arial" w:cs="Arial"/>
          <w:color w:val="000000" w:themeColor="text1"/>
          <w:kern w:val="0"/>
          <w:shd w:val="clear" w:color="auto" w:fill="FFFFFF"/>
          <w:lang w:val="en-US" w:eastAsia="en-GB"/>
          <w14:ligatures w14:val="none"/>
        </w:rPr>
        <w:t>Beehr</w:t>
      </w:r>
      <w:proofErr w:type="spellEnd"/>
      <w:r w:rsidRPr="00852F5C">
        <w:rPr>
          <w:rFonts w:ascii="Arial" w:eastAsiaTheme="minorEastAsia" w:hAnsi="Arial" w:cs="Arial"/>
          <w:color w:val="000000" w:themeColor="text1"/>
          <w:kern w:val="0"/>
          <w:shd w:val="clear" w:color="auto" w:fill="FFFFFF"/>
          <w:lang w:val="en-US" w:eastAsia="en-GB"/>
          <w14:ligatures w14:val="none"/>
        </w:rPr>
        <w:t>, T. A. (2006). Workplace harassment from the victim's perspective: A theoretical model and meta-analysis. </w:t>
      </w:r>
      <w:r w:rsidRPr="00852F5C">
        <w:rPr>
          <w:rFonts w:ascii="Arial" w:eastAsiaTheme="minorEastAsia" w:hAnsi="Arial" w:cs="Arial"/>
          <w:i/>
          <w:color w:val="000000" w:themeColor="text1"/>
          <w:kern w:val="0"/>
          <w:shd w:val="clear" w:color="auto" w:fill="FFFFFF"/>
          <w:lang w:val="en-US" w:eastAsia="en-GB"/>
          <w14:ligatures w14:val="none"/>
        </w:rPr>
        <w:t>Journal of Applied Psychology, 91</w:t>
      </w:r>
      <w:r w:rsidRPr="00852F5C">
        <w:rPr>
          <w:rFonts w:ascii="Arial" w:eastAsiaTheme="minorEastAsia" w:hAnsi="Arial" w:cs="Arial"/>
          <w:color w:val="000000" w:themeColor="text1"/>
          <w:kern w:val="0"/>
          <w:shd w:val="clear" w:color="auto" w:fill="FFFFFF"/>
          <w:lang w:val="en-US" w:eastAsia="en-GB"/>
          <w14:ligatures w14:val="none"/>
        </w:rPr>
        <w:t>(5), pp.998–1012.</w:t>
      </w:r>
    </w:p>
    <w:p w14:paraId="61FF8DFA" w14:textId="77777777" w:rsidR="00852F5C" w:rsidRPr="00852F5C" w:rsidRDefault="00852F5C" w:rsidP="00852F5C">
      <w:pPr>
        <w:spacing w:before="100" w:beforeAutospacing="1" w:after="0" w:line="360" w:lineRule="auto"/>
        <w:ind w:right="75"/>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Buble</w:t>
      </w:r>
      <w:proofErr w:type="spellEnd"/>
      <w:r w:rsidRPr="00852F5C">
        <w:rPr>
          <w:rFonts w:ascii="Arial" w:eastAsiaTheme="minorEastAsia" w:hAnsi="Arial" w:cs="Arial"/>
          <w:color w:val="000000" w:themeColor="text1"/>
          <w:kern w:val="0"/>
          <w:lang w:val="en-US" w:eastAsia="en-GB"/>
          <w14:ligatures w14:val="none"/>
        </w:rPr>
        <w:t>, M. (2012) 'Interdependence of organizational culture and leadership styles in large firms', </w:t>
      </w:r>
      <w:r w:rsidRPr="00852F5C">
        <w:rPr>
          <w:rFonts w:ascii="Arial" w:eastAsiaTheme="minorEastAsia" w:hAnsi="Arial" w:cs="Arial"/>
          <w:i/>
          <w:iCs/>
          <w:color w:val="000000" w:themeColor="text1"/>
          <w:kern w:val="0"/>
          <w:lang w:val="en-US" w:eastAsia="en-GB"/>
          <w14:ligatures w14:val="none"/>
        </w:rPr>
        <w:t>Management-Journal of Contemporary Management Issues,</w:t>
      </w:r>
      <w:r w:rsidRPr="00852F5C">
        <w:rPr>
          <w:rFonts w:ascii="Arial" w:eastAsiaTheme="minorEastAsia" w:hAnsi="Arial" w:cs="Arial"/>
          <w:color w:val="000000" w:themeColor="text1"/>
          <w:kern w:val="0"/>
          <w:lang w:val="en-US" w:eastAsia="en-GB"/>
          <w14:ligatures w14:val="none"/>
        </w:rPr>
        <w:t> 17(2), pp. 85-97.</w:t>
      </w:r>
    </w:p>
    <w:p w14:paraId="23F687CA"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Chen, S. and Wang, S. (2015). </w:t>
      </w:r>
      <w:r w:rsidRPr="00852F5C">
        <w:rPr>
          <w:rFonts w:ascii="Arial" w:eastAsiaTheme="minorEastAsia" w:hAnsi="Arial" w:cs="Arial"/>
          <w:i/>
          <w:color w:val="000000" w:themeColor="text1"/>
          <w:kern w:val="0"/>
          <w:lang w:val="en-US" w:eastAsia="en-GB"/>
          <w14:ligatures w14:val="none"/>
        </w:rPr>
        <w:t>A Contingency Theory of Internal Reorganization: Risk and Output Management</w:t>
      </w:r>
      <w:r w:rsidRPr="00852F5C">
        <w:rPr>
          <w:rFonts w:ascii="Arial" w:eastAsiaTheme="minorEastAsia" w:hAnsi="Arial" w:cs="Arial"/>
          <w:color w:val="000000" w:themeColor="text1"/>
          <w:kern w:val="0"/>
          <w:lang w:val="en-US" w:eastAsia="en-GB"/>
          <w14:ligatures w14:val="none"/>
        </w:rPr>
        <w:t>. Available at SSRN: https://ssrn.com/abstract=2635835 or http://dx.doi.org/10.2139/ssrn.2635835.</w:t>
      </w:r>
    </w:p>
    <w:p w14:paraId="43C40D4D"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Cohen, M. S., Freeman, J. T., and Thompson, B. (1998). Critical thinking skills in tactical decision making: A model and a training strategy. In J. A. Cannon-Bowers &amp; E. Salas (Eds.), </w:t>
      </w:r>
      <w:r w:rsidRPr="00852F5C">
        <w:rPr>
          <w:rFonts w:ascii="Arial" w:eastAsiaTheme="minorEastAsia" w:hAnsi="Arial" w:cs="Arial"/>
          <w:i/>
          <w:color w:val="000000" w:themeColor="text1"/>
          <w:kern w:val="0"/>
          <w:lang w:val="en-US" w:eastAsia="en-GB"/>
          <w14:ligatures w14:val="none"/>
        </w:rPr>
        <w:t>Making decisions under stress: Implications for individual and team training</w:t>
      </w:r>
      <w:r w:rsidRPr="00852F5C">
        <w:rPr>
          <w:rFonts w:ascii="Arial" w:eastAsiaTheme="minorEastAsia" w:hAnsi="Arial" w:cs="Arial"/>
          <w:color w:val="000000" w:themeColor="text1"/>
          <w:kern w:val="0"/>
          <w:lang w:val="en-US" w:eastAsia="en-GB"/>
          <w14:ligatures w14:val="none"/>
        </w:rPr>
        <w:t xml:space="preserve">, pp.155–189. American Psychological Association.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://doi.org/10.1037/10278-006</w:t>
      </w:r>
      <w:proofErr w:type="gramEnd"/>
      <w:r w:rsidRPr="00852F5C">
        <w:rPr>
          <w:rFonts w:ascii="Arial" w:eastAsiaTheme="minorEastAsia" w:hAnsi="Arial" w:cs="Arial"/>
          <w:color w:val="000000" w:themeColor="text1"/>
          <w:kern w:val="0"/>
          <w:lang w:val="en-US" w:eastAsia="en-GB"/>
          <w14:ligatures w14:val="none"/>
        </w:rPr>
        <w:t>.</w:t>
      </w:r>
    </w:p>
    <w:p w14:paraId="533F104C"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Donaldson, L. (2001). </w:t>
      </w:r>
      <w:r w:rsidRPr="00852F5C">
        <w:rPr>
          <w:rFonts w:ascii="Arial" w:eastAsiaTheme="minorEastAsia" w:hAnsi="Arial" w:cs="Arial"/>
          <w:i/>
          <w:color w:val="000000" w:themeColor="text1"/>
          <w:kern w:val="0"/>
          <w:lang w:val="en-US" w:eastAsia="en-GB"/>
          <w14:ligatures w14:val="none"/>
        </w:rPr>
        <w:t>The Contingency Theory of Organizations.</w:t>
      </w:r>
      <w:r w:rsidRPr="00852F5C">
        <w:rPr>
          <w:rFonts w:ascii="Arial" w:eastAsiaTheme="minorEastAsia" w:hAnsi="Arial" w:cs="Arial"/>
          <w:color w:val="000000" w:themeColor="text1"/>
          <w:kern w:val="0"/>
          <w:lang w:val="en-US" w:eastAsia="en-GB"/>
          <w14:ligatures w14:val="none"/>
        </w:rPr>
        <w:t xml:space="preserve"> SAGE Knowledge. Thousand Oaks, California: SAGE Publications, Inc.</w:t>
      </w:r>
    </w:p>
    <w:p w14:paraId="35611ED5"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Dwyer, C.P., Boswell A. and Elliott, M.A. (2015). An Evaluation of Critical Thinking Competencies in Business Settings. </w:t>
      </w:r>
      <w:r w:rsidRPr="00852F5C">
        <w:rPr>
          <w:rFonts w:ascii="Arial" w:eastAsiaTheme="minorEastAsia" w:hAnsi="Arial" w:cs="Arial"/>
          <w:i/>
          <w:color w:val="000000" w:themeColor="text1"/>
          <w:kern w:val="0"/>
          <w:lang w:val="en-US" w:eastAsia="en-GB"/>
          <w14:ligatures w14:val="none"/>
        </w:rPr>
        <w:t>Journal of Education for Business</w:t>
      </w:r>
      <w:r w:rsidRPr="00852F5C">
        <w:rPr>
          <w:rFonts w:ascii="Arial" w:eastAsiaTheme="minorEastAsia" w:hAnsi="Arial" w:cs="Arial"/>
          <w:color w:val="000000" w:themeColor="text1"/>
          <w:kern w:val="0"/>
          <w:lang w:val="en-US" w:eastAsia="en-GB"/>
          <w14:ligatures w14:val="none"/>
        </w:rPr>
        <w:t xml:space="preserve">, 90(5), pp.260-269, </w:t>
      </w:r>
      <w:proofErr w:type="spellStart"/>
      <w:r w:rsidRPr="00852F5C">
        <w:rPr>
          <w:rFonts w:ascii="Arial" w:eastAsiaTheme="minorEastAsia" w:hAnsi="Arial" w:cs="Arial"/>
          <w:color w:val="000000" w:themeColor="text1"/>
          <w:kern w:val="0"/>
          <w:lang w:val="en-US" w:eastAsia="en-GB"/>
          <w14:ligatures w14:val="none"/>
        </w:rPr>
        <w:t>doi</w:t>
      </w:r>
      <w:proofErr w:type="spellEnd"/>
      <w:r w:rsidRPr="00852F5C">
        <w:rPr>
          <w:rFonts w:ascii="Arial" w:eastAsiaTheme="minorEastAsia" w:hAnsi="Arial" w:cs="Arial"/>
          <w:color w:val="000000" w:themeColor="text1"/>
          <w:kern w:val="0"/>
          <w:lang w:val="en-US" w:eastAsia="en-GB"/>
          <w14:ligatures w14:val="none"/>
        </w:rPr>
        <w:t>: 10.1080/08832323.2015.1038978.</w:t>
      </w:r>
    </w:p>
    <w:p w14:paraId="69E8A871"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Elder, L. (1997). Critical Thinking: The Key to Emotional Intelligent. </w:t>
      </w:r>
      <w:r w:rsidRPr="00852F5C">
        <w:rPr>
          <w:rFonts w:ascii="Arial" w:eastAsiaTheme="minorEastAsia" w:hAnsi="Arial" w:cs="Arial"/>
          <w:i/>
          <w:color w:val="000000" w:themeColor="text1"/>
          <w:kern w:val="0"/>
          <w:lang w:val="en-US" w:eastAsia="en-GB"/>
          <w14:ligatures w14:val="none"/>
        </w:rPr>
        <w:t>Journal of Developmental Education</w:t>
      </w:r>
      <w:r w:rsidRPr="00852F5C">
        <w:rPr>
          <w:rFonts w:ascii="Arial" w:eastAsiaTheme="minorEastAsia" w:hAnsi="Arial" w:cs="Arial"/>
          <w:color w:val="000000" w:themeColor="text1"/>
          <w:kern w:val="0"/>
          <w:lang w:val="en-US" w:eastAsia="en-GB"/>
          <w14:ligatures w14:val="none"/>
        </w:rPr>
        <w:t>, 21, pp.40-42.</w:t>
      </w:r>
    </w:p>
    <w:p w14:paraId="1D92F9CE"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Fiedler, F. E. (2006). The Contingency Model: A Theory of Leadership Effectiveness. In J. M. Levine and R. L. Moreland (Eds.), </w:t>
      </w:r>
      <w:r w:rsidRPr="00852F5C">
        <w:rPr>
          <w:rFonts w:ascii="Arial" w:eastAsiaTheme="minorEastAsia" w:hAnsi="Arial" w:cs="Arial"/>
          <w:i/>
          <w:color w:val="000000" w:themeColor="text1"/>
          <w:kern w:val="0"/>
          <w:lang w:val="en-US" w:eastAsia="en-GB"/>
          <w14:ligatures w14:val="none"/>
        </w:rPr>
        <w:t>Small groups</w:t>
      </w:r>
      <w:r w:rsidRPr="00852F5C">
        <w:rPr>
          <w:rFonts w:ascii="Arial" w:eastAsiaTheme="minorEastAsia" w:hAnsi="Arial" w:cs="Arial"/>
          <w:color w:val="000000" w:themeColor="text1"/>
          <w:kern w:val="0"/>
          <w:lang w:val="en-US" w:eastAsia="en-GB"/>
          <w14:ligatures w14:val="none"/>
        </w:rPr>
        <w:t xml:space="preserve"> (pp. 369–381). Psychology Press.</w:t>
      </w:r>
    </w:p>
    <w:p w14:paraId="2A8605E4"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Ghoshal, S. (2005). Bad Management Theories Are Destroying Good Management Practices. </w:t>
      </w:r>
      <w:r w:rsidRPr="00852F5C">
        <w:rPr>
          <w:rFonts w:ascii="Arial" w:eastAsiaTheme="minorEastAsia" w:hAnsi="Arial" w:cs="Arial"/>
          <w:i/>
          <w:color w:val="000000" w:themeColor="text1"/>
          <w:kern w:val="0"/>
          <w:lang w:val="en-US" w:eastAsia="en-GB"/>
          <w14:ligatures w14:val="none"/>
        </w:rPr>
        <w:t>Academy of Management Learning &amp; Education,</w:t>
      </w:r>
      <w:r w:rsidRPr="00852F5C">
        <w:rPr>
          <w:rFonts w:ascii="Arial" w:eastAsiaTheme="minorEastAsia" w:hAnsi="Arial" w:cs="Arial"/>
          <w:color w:val="000000" w:themeColor="text1"/>
          <w:kern w:val="0"/>
          <w:lang w:val="en-US" w:eastAsia="en-GB"/>
          <w14:ligatures w14:val="none"/>
        </w:rPr>
        <w:t xml:space="preserve"> 4(1), pp.75–91.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://doi.org/10.5465/amle.2005.16132558</w:t>
      </w:r>
      <w:proofErr w:type="gramEnd"/>
      <w:r w:rsidRPr="00852F5C">
        <w:rPr>
          <w:rFonts w:ascii="Arial" w:eastAsiaTheme="minorEastAsia" w:hAnsi="Arial" w:cs="Arial"/>
          <w:color w:val="000000" w:themeColor="text1"/>
          <w:kern w:val="0"/>
          <w:lang w:val="en-US" w:eastAsia="en-GB"/>
          <w14:ligatures w14:val="none"/>
        </w:rPr>
        <w:t>.</w:t>
      </w:r>
    </w:p>
    <w:p w14:paraId="729CBC30"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Guillén, M.F. and Ontiveros, E. (2012). </w:t>
      </w:r>
      <w:r w:rsidRPr="00852F5C">
        <w:rPr>
          <w:rFonts w:ascii="Arial" w:eastAsiaTheme="minorEastAsia" w:hAnsi="Arial" w:cs="Arial"/>
          <w:i/>
          <w:color w:val="000000" w:themeColor="text1"/>
          <w:kern w:val="0"/>
          <w:lang w:val="en-US" w:eastAsia="en-GB"/>
          <w14:ligatures w14:val="none"/>
        </w:rPr>
        <w:t xml:space="preserve">Global Turning Points: Understanding the Challenges for Business in the 21st Century. </w:t>
      </w:r>
      <w:r w:rsidRPr="00852F5C">
        <w:rPr>
          <w:rFonts w:ascii="Arial" w:eastAsiaTheme="minorEastAsia" w:hAnsi="Arial" w:cs="Arial"/>
          <w:color w:val="000000" w:themeColor="text1"/>
          <w:kern w:val="0"/>
          <w:lang w:val="en-US" w:eastAsia="en-GB"/>
          <w14:ligatures w14:val="none"/>
        </w:rPr>
        <w:t>Cambridge University Press.</w:t>
      </w:r>
    </w:p>
    <w:p w14:paraId="01EC7EC5"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Heck, E.V., </w:t>
      </w:r>
      <w:proofErr w:type="spellStart"/>
      <w:r w:rsidRPr="00852F5C">
        <w:rPr>
          <w:rFonts w:ascii="Arial" w:eastAsiaTheme="minorEastAsia" w:hAnsi="Arial" w:cs="Arial"/>
          <w:color w:val="000000" w:themeColor="text1"/>
          <w:kern w:val="0"/>
          <w:lang w:val="en-US" w:eastAsia="en-GB"/>
          <w14:ligatures w14:val="none"/>
        </w:rPr>
        <w:t>Baalen</w:t>
      </w:r>
      <w:proofErr w:type="spellEnd"/>
      <w:r w:rsidRPr="00852F5C">
        <w:rPr>
          <w:rFonts w:ascii="Arial" w:eastAsiaTheme="minorEastAsia" w:hAnsi="Arial" w:cs="Arial"/>
          <w:color w:val="000000" w:themeColor="text1"/>
          <w:kern w:val="0"/>
          <w:lang w:val="en-US" w:eastAsia="en-GB"/>
          <w14:ligatures w14:val="none"/>
        </w:rPr>
        <w:t xml:space="preserve">, P.J., </w:t>
      </w:r>
      <w:proofErr w:type="spellStart"/>
      <w:r w:rsidRPr="00852F5C">
        <w:rPr>
          <w:rFonts w:ascii="Arial" w:eastAsiaTheme="minorEastAsia" w:hAnsi="Arial" w:cs="Arial"/>
          <w:color w:val="000000" w:themeColor="text1"/>
          <w:kern w:val="0"/>
          <w:lang w:val="en-US" w:eastAsia="en-GB"/>
          <w14:ligatures w14:val="none"/>
        </w:rPr>
        <w:t>Meulen</w:t>
      </w:r>
      <w:proofErr w:type="spellEnd"/>
      <w:r w:rsidRPr="00852F5C">
        <w:rPr>
          <w:rFonts w:ascii="Arial" w:eastAsiaTheme="minorEastAsia" w:hAnsi="Arial" w:cs="Arial"/>
          <w:color w:val="000000" w:themeColor="text1"/>
          <w:kern w:val="0"/>
          <w:lang w:val="en-US" w:eastAsia="en-GB"/>
          <w14:ligatures w14:val="none"/>
        </w:rPr>
        <w:t xml:space="preserve">, N.V. and Oosterhout, M.V. (2012). </w:t>
      </w:r>
      <w:r w:rsidRPr="00852F5C">
        <w:rPr>
          <w:rFonts w:ascii="Arial" w:eastAsiaTheme="minorEastAsia" w:hAnsi="Arial" w:cs="Arial"/>
          <w:i/>
          <w:color w:val="000000" w:themeColor="text1"/>
          <w:kern w:val="0"/>
          <w:lang w:val="en-US" w:eastAsia="en-GB"/>
          <w14:ligatures w14:val="none"/>
        </w:rPr>
        <w:t>Achieving High Performance in a Mobile and Green Workplace: Lessons from Microsoft</w:t>
      </w:r>
      <w:r w:rsidRPr="00852F5C">
        <w:rPr>
          <w:rFonts w:ascii="Arial" w:eastAsiaTheme="minorEastAsia" w:hAnsi="Arial" w:cs="Arial"/>
          <w:color w:val="000000" w:themeColor="text1"/>
          <w:kern w:val="0"/>
          <w:lang w:val="en-US" w:eastAsia="en-GB"/>
          <w14:ligatures w14:val="none"/>
        </w:rPr>
        <w:t>. MIS Q. Executive, 11.</w:t>
      </w:r>
    </w:p>
    <w:p w14:paraId="68C7EC75"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Hiatt J.M. (2006). </w:t>
      </w:r>
      <w:proofErr w:type="spellStart"/>
      <w:r w:rsidRPr="00852F5C">
        <w:rPr>
          <w:rFonts w:ascii="Arial" w:eastAsiaTheme="minorEastAsia" w:hAnsi="Arial" w:cs="Arial"/>
          <w:i/>
          <w:color w:val="000000" w:themeColor="text1"/>
          <w:kern w:val="0"/>
          <w:lang w:val="en-US" w:eastAsia="en-GB"/>
          <w14:ligatures w14:val="none"/>
        </w:rPr>
        <w:t>Adkar</w:t>
      </w:r>
      <w:proofErr w:type="spellEnd"/>
      <w:r w:rsidRPr="00852F5C">
        <w:rPr>
          <w:rFonts w:ascii="Arial" w:eastAsiaTheme="minorEastAsia" w:hAnsi="Arial" w:cs="Arial"/>
          <w:i/>
          <w:color w:val="000000" w:themeColor="text1"/>
          <w:kern w:val="0"/>
          <w:lang w:val="en-US" w:eastAsia="en-GB"/>
          <w14:ligatures w14:val="none"/>
        </w:rPr>
        <w:t>: A Model for Change in Business Government and Our Community.</w:t>
      </w:r>
      <w:r w:rsidRPr="00852F5C">
        <w:rPr>
          <w:rFonts w:ascii="Arial" w:eastAsiaTheme="minorEastAsia" w:hAnsi="Arial" w:cs="Arial"/>
          <w:color w:val="000000" w:themeColor="text1"/>
          <w:kern w:val="0"/>
          <w:lang w:val="en-US" w:eastAsia="en-GB"/>
          <w14:ligatures w14:val="none"/>
        </w:rPr>
        <w:t xml:space="preserve"> 1. ed. Loveland Colo: </w:t>
      </w:r>
      <w:proofErr w:type="spellStart"/>
      <w:r w:rsidRPr="00852F5C">
        <w:rPr>
          <w:rFonts w:ascii="Arial" w:eastAsiaTheme="minorEastAsia" w:hAnsi="Arial" w:cs="Arial"/>
          <w:color w:val="000000" w:themeColor="text1"/>
          <w:kern w:val="0"/>
          <w:lang w:val="en-US" w:eastAsia="en-GB"/>
          <w14:ligatures w14:val="none"/>
        </w:rPr>
        <w:t>Prosci</w:t>
      </w:r>
      <w:proofErr w:type="spellEnd"/>
      <w:r w:rsidRPr="00852F5C">
        <w:rPr>
          <w:rFonts w:ascii="Arial" w:eastAsiaTheme="minorEastAsia" w:hAnsi="Arial" w:cs="Arial"/>
          <w:color w:val="000000" w:themeColor="text1"/>
          <w:kern w:val="0"/>
          <w:lang w:val="en-US" w:eastAsia="en-GB"/>
          <w14:ligatures w14:val="none"/>
        </w:rPr>
        <w:t xml:space="preserve"> Learning Center.</w:t>
      </w:r>
    </w:p>
    <w:p w14:paraId="58C73ABE"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Hoffman, K., and Elwin, C. (2004). The relationship between critical thinking and confidence in decision making. </w:t>
      </w:r>
      <w:r w:rsidRPr="00852F5C">
        <w:rPr>
          <w:rFonts w:ascii="Arial" w:eastAsiaTheme="minorEastAsia" w:hAnsi="Arial" w:cs="Arial"/>
          <w:i/>
          <w:color w:val="000000" w:themeColor="text1"/>
          <w:kern w:val="0"/>
          <w:lang w:val="en-US" w:eastAsia="en-GB"/>
          <w14:ligatures w14:val="none"/>
        </w:rPr>
        <w:t>The Australian Journal of Advanced Nursing</w:t>
      </w:r>
      <w:r w:rsidRPr="00852F5C">
        <w:rPr>
          <w:rFonts w:ascii="Arial" w:eastAsiaTheme="minorEastAsia" w:hAnsi="Arial" w:cs="Arial"/>
          <w:color w:val="000000" w:themeColor="text1"/>
          <w:kern w:val="0"/>
          <w:lang w:val="en-US" w:eastAsia="en-GB"/>
          <w14:ligatures w14:val="none"/>
        </w:rPr>
        <w:t>, 22(1), pp.8-12. </w:t>
      </w:r>
    </w:p>
    <w:p w14:paraId="6E256DA0"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Holbeche</w:t>
      </w:r>
      <w:proofErr w:type="spellEnd"/>
      <w:r w:rsidRPr="00852F5C">
        <w:rPr>
          <w:rFonts w:ascii="Arial" w:eastAsiaTheme="minorEastAsia" w:hAnsi="Arial" w:cs="Arial"/>
          <w:color w:val="000000" w:themeColor="text1"/>
          <w:kern w:val="0"/>
          <w:lang w:val="en-US" w:eastAsia="en-GB"/>
          <w14:ligatures w14:val="none"/>
        </w:rPr>
        <w:t xml:space="preserve">, L. (2015). </w:t>
      </w:r>
      <w:r w:rsidRPr="00852F5C">
        <w:rPr>
          <w:rFonts w:ascii="Arial" w:eastAsiaTheme="minorEastAsia" w:hAnsi="Arial" w:cs="Arial"/>
          <w:i/>
          <w:color w:val="000000" w:themeColor="text1"/>
          <w:kern w:val="0"/>
          <w:lang w:val="en-US" w:eastAsia="en-GB"/>
          <w14:ligatures w14:val="none"/>
        </w:rPr>
        <w:t>The Agile Organization: How to Build an Innovative, Sustainable and Resilient Business.</w:t>
      </w:r>
      <w:r w:rsidRPr="00852F5C">
        <w:rPr>
          <w:rFonts w:ascii="Arial" w:eastAsiaTheme="minorEastAsia" w:hAnsi="Arial" w:cs="Arial"/>
          <w:color w:val="000000" w:themeColor="text1"/>
          <w:kern w:val="0"/>
          <w:lang w:val="en-US" w:eastAsia="en-GB"/>
          <w14:ligatures w14:val="none"/>
        </w:rPr>
        <w:t xml:space="preserve"> </w:t>
      </w:r>
      <w:proofErr w:type="spellStart"/>
      <w:r w:rsidRPr="00852F5C">
        <w:rPr>
          <w:rFonts w:ascii="Arial" w:eastAsiaTheme="minorEastAsia" w:hAnsi="Arial" w:cs="Arial"/>
          <w:color w:val="000000" w:themeColor="text1"/>
          <w:kern w:val="0"/>
          <w:lang w:val="en-US" w:eastAsia="en-GB"/>
          <w14:ligatures w14:val="none"/>
        </w:rPr>
        <w:t>Kopan</w:t>
      </w:r>
      <w:proofErr w:type="spellEnd"/>
      <w:r w:rsidRPr="00852F5C">
        <w:rPr>
          <w:rFonts w:ascii="Arial" w:eastAsiaTheme="minorEastAsia" w:hAnsi="Arial" w:cs="Arial"/>
          <w:color w:val="000000" w:themeColor="text1"/>
          <w:kern w:val="0"/>
          <w:lang w:val="en-US" w:eastAsia="en-GB"/>
          <w14:ligatures w14:val="none"/>
        </w:rPr>
        <w:t xml:space="preserve"> Page.</w:t>
      </w:r>
    </w:p>
    <w:p w14:paraId="2CEB94D4"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Huitt</w:t>
      </w:r>
      <w:proofErr w:type="spellEnd"/>
      <w:r w:rsidRPr="00852F5C">
        <w:rPr>
          <w:rFonts w:ascii="Arial" w:eastAsiaTheme="minorEastAsia" w:hAnsi="Arial" w:cs="Arial"/>
          <w:color w:val="000000" w:themeColor="text1"/>
          <w:kern w:val="0"/>
          <w:lang w:val="en-US" w:eastAsia="en-GB"/>
          <w14:ligatures w14:val="none"/>
        </w:rPr>
        <w:t xml:space="preserve">, W. (1998). </w:t>
      </w:r>
      <w:r w:rsidRPr="00852F5C">
        <w:rPr>
          <w:rFonts w:ascii="Arial" w:eastAsiaTheme="minorEastAsia" w:hAnsi="Arial" w:cs="Arial"/>
          <w:i/>
          <w:color w:val="000000" w:themeColor="text1"/>
          <w:kern w:val="0"/>
          <w:lang w:val="en-US" w:eastAsia="en-GB"/>
          <w14:ligatures w14:val="none"/>
        </w:rPr>
        <w:t>Critical thinking: An overview</w:t>
      </w:r>
      <w:r w:rsidRPr="00852F5C">
        <w:rPr>
          <w:rFonts w:ascii="Arial" w:eastAsiaTheme="minorEastAsia" w:hAnsi="Arial" w:cs="Arial"/>
          <w:color w:val="000000" w:themeColor="text1"/>
          <w:kern w:val="0"/>
          <w:lang w:val="en-US" w:eastAsia="en-GB"/>
          <w14:ligatures w14:val="none"/>
        </w:rPr>
        <w:t>. </w:t>
      </w:r>
      <w:r w:rsidRPr="00852F5C">
        <w:rPr>
          <w:rFonts w:ascii="Arial" w:eastAsiaTheme="minorEastAsia" w:hAnsi="Arial" w:cs="Arial"/>
          <w:i/>
          <w:color w:val="000000" w:themeColor="text1"/>
          <w:kern w:val="0"/>
          <w:lang w:val="en-US" w:eastAsia="en-GB"/>
          <w14:ligatures w14:val="none"/>
        </w:rPr>
        <w:t>Educational Psychology Interactive</w:t>
      </w:r>
      <w:r w:rsidRPr="00852F5C">
        <w:rPr>
          <w:rFonts w:ascii="Arial" w:eastAsiaTheme="minorEastAsia" w:hAnsi="Arial" w:cs="Arial"/>
          <w:color w:val="000000" w:themeColor="text1"/>
          <w:kern w:val="0"/>
          <w:lang w:val="en-US" w:eastAsia="en-GB"/>
          <w14:ligatures w14:val="none"/>
        </w:rPr>
        <w:t>. Valdosta, GA: Valdosta State University. </w:t>
      </w:r>
    </w:p>
    <w:p w14:paraId="64B94CAD"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Ishneet</w:t>
      </w:r>
      <w:proofErr w:type="spellEnd"/>
      <w:r w:rsidRPr="00852F5C">
        <w:rPr>
          <w:rFonts w:ascii="Arial" w:eastAsiaTheme="minorEastAsia" w:hAnsi="Arial" w:cs="Arial"/>
          <w:color w:val="000000" w:themeColor="text1"/>
          <w:kern w:val="0"/>
          <w:lang w:val="en-US" w:eastAsia="en-GB"/>
          <w14:ligatures w14:val="none"/>
        </w:rPr>
        <w:t xml:space="preserve">, D. and Sonam, G. (2015). 'Organizational Restructuring and Collaborative Creativity: The Case of Microsoft and Sony'. </w:t>
      </w:r>
      <w:r w:rsidRPr="00852F5C">
        <w:rPr>
          <w:rFonts w:ascii="Arial" w:eastAsiaTheme="minorEastAsia" w:hAnsi="Arial" w:cs="Arial"/>
          <w:i/>
          <w:color w:val="000000" w:themeColor="text1"/>
          <w:kern w:val="0"/>
          <w:lang w:val="en-US" w:eastAsia="en-GB"/>
          <w14:ligatures w14:val="none"/>
        </w:rPr>
        <w:t>IUP Journal of Business Strategy</w:t>
      </w:r>
      <w:r w:rsidRPr="00852F5C">
        <w:rPr>
          <w:rFonts w:ascii="Arial" w:eastAsiaTheme="minorEastAsia" w:hAnsi="Arial" w:cs="Arial"/>
          <w:color w:val="000000" w:themeColor="text1"/>
          <w:kern w:val="0"/>
          <w:lang w:val="en-US" w:eastAsia="en-GB"/>
          <w14:ligatures w14:val="none"/>
        </w:rPr>
        <w:t>, 1(1), pp. 53-65.</w:t>
      </w:r>
    </w:p>
    <w:p w14:paraId="33BF6383" w14:textId="77777777" w:rsidR="00852F5C" w:rsidRPr="00852F5C" w:rsidRDefault="00852F5C" w:rsidP="00852F5C">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Jensen, M. C. (2001) </w:t>
      </w:r>
      <w:r w:rsidRPr="00852F5C">
        <w:rPr>
          <w:rFonts w:ascii="Arial" w:eastAsiaTheme="minorEastAsia" w:hAnsi="Arial" w:cs="Arial"/>
          <w:i/>
          <w:iCs/>
          <w:color w:val="000000" w:themeColor="text1"/>
          <w:kern w:val="0"/>
          <w:lang w:val="en-US" w:eastAsia="en-GB"/>
          <w14:ligatures w14:val="none"/>
        </w:rPr>
        <w:t>Foundations of organizational strategy.</w:t>
      </w:r>
      <w:r w:rsidRPr="00852F5C">
        <w:rPr>
          <w:rFonts w:ascii="Arial" w:eastAsiaTheme="minorEastAsia" w:hAnsi="Arial" w:cs="Arial"/>
          <w:color w:val="000000" w:themeColor="text1"/>
          <w:kern w:val="0"/>
          <w:lang w:val="en-US" w:eastAsia="en-GB"/>
          <w14:ligatures w14:val="none"/>
        </w:rPr>
        <w:t> Harvard university press.</w:t>
      </w:r>
    </w:p>
    <w:p w14:paraId="50596A30"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Jensen, M. C. (2001). </w:t>
      </w:r>
      <w:r w:rsidRPr="00852F5C">
        <w:rPr>
          <w:rFonts w:ascii="Arial" w:eastAsiaTheme="minorEastAsia" w:hAnsi="Arial" w:cs="Arial"/>
          <w:i/>
          <w:color w:val="000000" w:themeColor="text1"/>
          <w:kern w:val="0"/>
          <w:lang w:val="en-US" w:eastAsia="en-GB"/>
          <w14:ligatures w14:val="none"/>
        </w:rPr>
        <w:t>Foundations of organizational strategy</w:t>
      </w:r>
      <w:r w:rsidRPr="00852F5C">
        <w:rPr>
          <w:rFonts w:ascii="Arial" w:eastAsiaTheme="minorEastAsia" w:hAnsi="Arial" w:cs="Arial"/>
          <w:color w:val="000000" w:themeColor="text1"/>
          <w:kern w:val="0"/>
          <w:lang w:val="en-US" w:eastAsia="en-GB"/>
          <w14:ligatures w14:val="none"/>
        </w:rPr>
        <w:t>. Harvard university press.</w:t>
      </w:r>
    </w:p>
    <w:p w14:paraId="114B85DD"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Jongsik</w:t>
      </w:r>
      <w:proofErr w:type="spellEnd"/>
      <w:r w:rsidRPr="00852F5C">
        <w:rPr>
          <w:rFonts w:ascii="Arial" w:eastAsiaTheme="minorEastAsia" w:hAnsi="Arial" w:cs="Arial"/>
          <w:color w:val="000000" w:themeColor="text1"/>
          <w:kern w:val="0"/>
          <w:lang w:val="en-US" w:eastAsia="en-GB"/>
          <w14:ligatures w14:val="none"/>
        </w:rPr>
        <w:t xml:space="preserve">, Y., </w:t>
      </w:r>
      <w:proofErr w:type="spellStart"/>
      <w:r w:rsidRPr="00852F5C">
        <w:rPr>
          <w:rFonts w:ascii="Arial" w:eastAsiaTheme="minorEastAsia" w:hAnsi="Arial" w:cs="Arial"/>
          <w:color w:val="000000" w:themeColor="text1"/>
          <w:kern w:val="0"/>
          <w:lang w:val="en-US" w:eastAsia="en-GB"/>
          <w14:ligatures w14:val="none"/>
        </w:rPr>
        <w:t>Junghyun</w:t>
      </w:r>
      <w:proofErr w:type="spellEnd"/>
      <w:r w:rsidRPr="00852F5C">
        <w:rPr>
          <w:rFonts w:ascii="Arial" w:eastAsiaTheme="minorEastAsia" w:hAnsi="Arial" w:cs="Arial"/>
          <w:color w:val="000000" w:themeColor="text1"/>
          <w:kern w:val="0"/>
          <w:lang w:val="en-US" w:eastAsia="en-GB"/>
          <w14:ligatures w14:val="none"/>
        </w:rPr>
        <w:t xml:space="preserve">, P. and </w:t>
      </w:r>
      <w:proofErr w:type="spellStart"/>
      <w:r w:rsidRPr="00852F5C">
        <w:rPr>
          <w:rFonts w:ascii="Arial" w:eastAsiaTheme="minorEastAsia" w:hAnsi="Arial" w:cs="Arial"/>
          <w:color w:val="000000" w:themeColor="text1"/>
          <w:kern w:val="0"/>
          <w:lang w:val="en-US" w:eastAsia="en-GB"/>
          <w14:ligatures w14:val="none"/>
        </w:rPr>
        <w:t>Sunghyup</w:t>
      </w:r>
      <w:proofErr w:type="spellEnd"/>
      <w:r w:rsidRPr="00852F5C">
        <w:rPr>
          <w:rFonts w:ascii="Arial" w:eastAsiaTheme="minorEastAsia" w:hAnsi="Arial" w:cs="Arial"/>
          <w:color w:val="000000" w:themeColor="text1"/>
          <w:kern w:val="0"/>
          <w:lang w:val="en-US" w:eastAsia="en-GB"/>
          <w14:ligatures w14:val="none"/>
        </w:rPr>
        <w:t xml:space="preserve">, S.H. (2021). 'Impacts of the COVID-19 pandemic on employees’ work stress, well-being, mental health, organizational citizenship behavior, and employee-customer identification'. </w:t>
      </w:r>
      <w:r w:rsidRPr="00852F5C">
        <w:rPr>
          <w:rFonts w:ascii="Arial" w:eastAsiaTheme="minorEastAsia" w:hAnsi="Arial" w:cs="Arial"/>
          <w:i/>
          <w:color w:val="000000" w:themeColor="text1"/>
          <w:kern w:val="0"/>
          <w:lang w:val="en-US" w:eastAsia="en-GB"/>
          <w14:ligatures w14:val="none"/>
        </w:rPr>
        <w:t>Journal of Hospitality Marketing &amp; Management</w:t>
      </w:r>
      <w:r w:rsidRPr="00852F5C">
        <w:rPr>
          <w:rFonts w:ascii="Arial" w:eastAsiaTheme="minorEastAsia" w:hAnsi="Arial" w:cs="Arial"/>
          <w:color w:val="000000" w:themeColor="text1"/>
          <w:kern w:val="0"/>
          <w:lang w:val="en-US" w:eastAsia="en-GB"/>
          <w14:ligatures w14:val="none"/>
        </w:rPr>
        <w:t>, 30(5), pp.529-548, doi:10.1080/19368623.2021.1867283.</w:t>
      </w:r>
    </w:p>
    <w:p w14:paraId="195B1B45"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Kivunja</w:t>
      </w:r>
      <w:proofErr w:type="spellEnd"/>
      <w:r w:rsidRPr="00852F5C">
        <w:rPr>
          <w:rFonts w:ascii="Arial" w:eastAsiaTheme="minorEastAsia" w:hAnsi="Arial" w:cs="Arial"/>
          <w:color w:val="000000" w:themeColor="text1"/>
          <w:kern w:val="0"/>
          <w:lang w:val="en-US" w:eastAsia="en-GB"/>
          <w14:ligatures w14:val="none"/>
        </w:rPr>
        <w:t xml:space="preserve">, C. (2015). Using De Bono’s Six Thinking Hats Model to Teach Critical Thinking and </w:t>
      </w:r>
      <w:proofErr w:type="gramStart"/>
      <w:r w:rsidRPr="00852F5C">
        <w:rPr>
          <w:rFonts w:ascii="Arial" w:eastAsiaTheme="minorEastAsia" w:hAnsi="Arial" w:cs="Arial"/>
          <w:color w:val="000000" w:themeColor="text1"/>
          <w:kern w:val="0"/>
          <w:lang w:val="en-US" w:eastAsia="en-GB"/>
          <w14:ligatures w14:val="none"/>
        </w:rPr>
        <w:t>Problem Solving</w:t>
      </w:r>
      <w:proofErr w:type="gramEnd"/>
      <w:r w:rsidRPr="00852F5C">
        <w:rPr>
          <w:rFonts w:ascii="Arial" w:eastAsiaTheme="minorEastAsia" w:hAnsi="Arial" w:cs="Arial"/>
          <w:color w:val="000000" w:themeColor="text1"/>
          <w:kern w:val="0"/>
          <w:lang w:val="en-US" w:eastAsia="en-GB"/>
          <w14:ligatures w14:val="none"/>
        </w:rPr>
        <w:t xml:space="preserve"> Skills Essential for Success in the 21st Century Economy. </w:t>
      </w:r>
      <w:r w:rsidRPr="00852F5C">
        <w:rPr>
          <w:rFonts w:ascii="Arial" w:eastAsiaTheme="minorEastAsia" w:hAnsi="Arial" w:cs="Arial"/>
          <w:i/>
          <w:color w:val="000000" w:themeColor="text1"/>
          <w:kern w:val="0"/>
          <w:lang w:val="en-US" w:eastAsia="en-GB"/>
          <w14:ligatures w14:val="none"/>
        </w:rPr>
        <w:t>Creative Education</w:t>
      </w:r>
      <w:r w:rsidRPr="00852F5C">
        <w:rPr>
          <w:rFonts w:ascii="Arial" w:eastAsiaTheme="minorEastAsia" w:hAnsi="Arial" w:cs="Arial"/>
          <w:color w:val="000000" w:themeColor="text1"/>
          <w:kern w:val="0"/>
          <w:lang w:val="en-US" w:eastAsia="en-GB"/>
          <w14:ligatures w14:val="none"/>
        </w:rPr>
        <w:t xml:space="preserve">, 6, pp.380-391. </w:t>
      </w:r>
      <w:proofErr w:type="spellStart"/>
      <w:r w:rsidRPr="00852F5C">
        <w:rPr>
          <w:rFonts w:ascii="Arial" w:eastAsiaTheme="minorEastAsia" w:hAnsi="Arial" w:cs="Arial"/>
          <w:color w:val="000000" w:themeColor="text1"/>
          <w:kern w:val="0"/>
          <w:lang w:val="en-US" w:eastAsia="en-GB"/>
          <w14:ligatures w14:val="none"/>
        </w:rPr>
        <w:t>doi</w:t>
      </w:r>
      <w:proofErr w:type="spellEnd"/>
      <w:r w:rsidRPr="00852F5C">
        <w:rPr>
          <w:rFonts w:ascii="Arial" w:eastAsiaTheme="minorEastAsia" w:hAnsi="Arial" w:cs="Arial"/>
          <w:color w:val="000000" w:themeColor="text1"/>
          <w:kern w:val="0"/>
          <w:lang w:val="en-US" w:eastAsia="en-GB"/>
          <w14:ligatures w14:val="none"/>
        </w:rPr>
        <w:t>: 10.4236/ce.2015.63037.</w:t>
      </w:r>
    </w:p>
    <w:p w14:paraId="5731F171"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Kohlbacher</w:t>
      </w:r>
      <w:proofErr w:type="spellEnd"/>
      <w:r w:rsidRPr="00852F5C">
        <w:rPr>
          <w:rFonts w:ascii="Arial" w:eastAsiaTheme="minorEastAsia" w:hAnsi="Arial" w:cs="Arial"/>
          <w:color w:val="000000" w:themeColor="text1"/>
          <w:kern w:val="0"/>
          <w:lang w:val="en-US" w:eastAsia="en-GB"/>
          <w14:ligatures w14:val="none"/>
        </w:rPr>
        <w:t>, F. (2008). Knowledge-based New Product Development: fostering innovation through knowledge co-creation</w:t>
      </w:r>
      <w:r w:rsidRPr="00852F5C">
        <w:rPr>
          <w:rFonts w:ascii="Arial" w:eastAsiaTheme="minorEastAsia" w:hAnsi="Arial" w:cs="Arial"/>
          <w:i/>
          <w:color w:val="000000" w:themeColor="text1"/>
          <w:kern w:val="0"/>
          <w:lang w:val="en-US" w:eastAsia="en-GB"/>
          <w14:ligatures w14:val="none"/>
        </w:rPr>
        <w:t>. International Journal of Technology Intelligence and Planning</w:t>
      </w:r>
      <w:r w:rsidRPr="00852F5C">
        <w:rPr>
          <w:rFonts w:ascii="Arial" w:eastAsiaTheme="minorEastAsia" w:hAnsi="Arial" w:cs="Arial"/>
          <w:color w:val="000000" w:themeColor="text1"/>
          <w:kern w:val="0"/>
          <w:lang w:val="en-US" w:eastAsia="en-GB"/>
          <w14:ligatures w14:val="none"/>
        </w:rPr>
        <w:t>, 4(3), pp.326–346.</w:t>
      </w:r>
    </w:p>
    <w:p w14:paraId="320871EA"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Krathwohl, D.R. (2002). A Revision of Bloom’s Taxonomy: An Overview. </w:t>
      </w:r>
      <w:r w:rsidRPr="00852F5C">
        <w:rPr>
          <w:rFonts w:ascii="Arial" w:eastAsiaTheme="minorEastAsia" w:hAnsi="Arial" w:cs="Arial"/>
          <w:i/>
          <w:color w:val="000000" w:themeColor="text1"/>
          <w:kern w:val="0"/>
          <w:lang w:val="en-US" w:eastAsia="en-GB"/>
          <w14:ligatures w14:val="none"/>
        </w:rPr>
        <w:t>Theory Into Practice</w:t>
      </w:r>
      <w:r w:rsidRPr="00852F5C">
        <w:rPr>
          <w:rFonts w:ascii="Arial" w:eastAsiaTheme="minorEastAsia" w:hAnsi="Arial" w:cs="Arial"/>
          <w:color w:val="000000" w:themeColor="text1"/>
          <w:kern w:val="0"/>
          <w:lang w:val="en-US" w:eastAsia="en-GB"/>
          <w14:ligatures w14:val="none"/>
        </w:rPr>
        <w:t xml:space="preserve">, 41(4), pp.212–218.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://doi.org/10.1207/s15430421tip4104_2</w:t>
      </w:r>
      <w:proofErr w:type="gramEnd"/>
      <w:r w:rsidRPr="00852F5C">
        <w:rPr>
          <w:rFonts w:ascii="Arial" w:eastAsiaTheme="minorEastAsia" w:hAnsi="Arial" w:cs="Arial"/>
          <w:color w:val="000000" w:themeColor="text1"/>
          <w:kern w:val="0"/>
          <w:lang w:val="en-US" w:eastAsia="en-GB"/>
          <w14:ligatures w14:val="none"/>
        </w:rPr>
        <w:t>.</w:t>
      </w:r>
    </w:p>
    <w:p w14:paraId="0906ED23"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Kudyba</w:t>
      </w:r>
      <w:proofErr w:type="spellEnd"/>
      <w:r w:rsidRPr="00852F5C">
        <w:rPr>
          <w:rFonts w:ascii="Arial" w:eastAsiaTheme="minorEastAsia" w:hAnsi="Arial" w:cs="Arial"/>
          <w:color w:val="000000" w:themeColor="text1"/>
          <w:kern w:val="0"/>
          <w:lang w:val="en-US" w:eastAsia="en-GB"/>
          <w14:ligatures w14:val="none"/>
        </w:rPr>
        <w:t xml:space="preserve">, S. (2020). 'COVID-19 and the Acceleration of Digital Transformation and the Future of Work'. </w:t>
      </w:r>
      <w:r w:rsidRPr="00852F5C">
        <w:rPr>
          <w:rFonts w:ascii="Arial" w:eastAsiaTheme="minorEastAsia" w:hAnsi="Arial" w:cs="Arial"/>
          <w:i/>
          <w:color w:val="000000" w:themeColor="text1"/>
          <w:kern w:val="0"/>
          <w:lang w:val="en-US" w:eastAsia="en-GB"/>
          <w14:ligatures w14:val="none"/>
        </w:rPr>
        <w:t>Information Systems Management</w:t>
      </w:r>
      <w:r w:rsidRPr="00852F5C">
        <w:rPr>
          <w:rFonts w:ascii="Arial" w:eastAsiaTheme="minorEastAsia" w:hAnsi="Arial" w:cs="Arial"/>
          <w:color w:val="000000" w:themeColor="text1"/>
          <w:kern w:val="0"/>
          <w:lang w:val="en-US" w:eastAsia="en-GB"/>
          <w14:ligatures w14:val="none"/>
        </w:rPr>
        <w:t>, 37(4), pp.284-287, doi:10.1080/10580530.2020.1818903.</w:t>
      </w:r>
    </w:p>
    <w:p w14:paraId="69C403FF"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Kwok, A.C.F. (2014). The Evolution of Management Theories: A Literature Review. </w:t>
      </w:r>
      <w:r w:rsidRPr="00852F5C">
        <w:rPr>
          <w:rFonts w:ascii="Arial" w:eastAsiaTheme="minorEastAsia" w:hAnsi="Arial" w:cs="Arial"/>
          <w:i/>
          <w:color w:val="000000" w:themeColor="text1"/>
          <w:kern w:val="0"/>
          <w:lang w:val="en-US" w:eastAsia="en-GB"/>
          <w14:ligatures w14:val="none"/>
        </w:rPr>
        <w:t xml:space="preserve">Nang Yan Business Journal, </w:t>
      </w:r>
      <w:r w:rsidRPr="00852F5C">
        <w:rPr>
          <w:rFonts w:ascii="Arial" w:eastAsiaTheme="minorEastAsia" w:hAnsi="Arial" w:cs="Arial"/>
          <w:color w:val="000000" w:themeColor="text1"/>
          <w:kern w:val="0"/>
          <w:lang w:val="en-US" w:eastAsia="en-GB"/>
          <w14:ligatures w14:val="none"/>
        </w:rPr>
        <w:t xml:space="preserve">3(1), pp.28-40.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://doi.org/10.1515/nybj-2015-0003</w:t>
      </w:r>
      <w:proofErr w:type="gramEnd"/>
      <w:r w:rsidRPr="00852F5C">
        <w:rPr>
          <w:rFonts w:ascii="Arial" w:eastAsiaTheme="minorEastAsia" w:hAnsi="Arial" w:cs="Arial"/>
          <w:color w:val="000000" w:themeColor="text1"/>
          <w:kern w:val="0"/>
          <w:lang w:val="en-US" w:eastAsia="en-GB"/>
          <w14:ligatures w14:val="none"/>
        </w:rPr>
        <w:t>.</w:t>
      </w:r>
    </w:p>
    <w:p w14:paraId="1FDA34E4"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Lai, E. R. (2011). </w:t>
      </w:r>
      <w:r w:rsidRPr="00852F5C">
        <w:rPr>
          <w:rFonts w:ascii="Arial" w:eastAsiaTheme="minorEastAsia" w:hAnsi="Arial" w:cs="Arial"/>
          <w:i/>
          <w:color w:val="000000" w:themeColor="text1"/>
          <w:kern w:val="0"/>
          <w:lang w:val="en-US" w:eastAsia="en-GB"/>
          <w14:ligatures w14:val="none"/>
        </w:rPr>
        <w:t>Critical Thinking: A Literature Review Research Report</w:t>
      </w:r>
      <w:r w:rsidRPr="00852F5C">
        <w:rPr>
          <w:rFonts w:ascii="Arial" w:eastAsiaTheme="minorEastAsia" w:hAnsi="Arial" w:cs="Arial"/>
          <w:color w:val="000000" w:themeColor="text1"/>
          <w:kern w:val="0"/>
          <w:lang w:val="en-US" w:eastAsia="en-GB"/>
          <w14:ligatures w14:val="none"/>
        </w:rPr>
        <w:t>. London: Parsons Publishing.</w:t>
      </w:r>
    </w:p>
    <w:p w14:paraId="112BCDD9"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Lawless, J. (2017). </w:t>
      </w:r>
      <w:r w:rsidRPr="00852F5C">
        <w:rPr>
          <w:rFonts w:ascii="Arial" w:eastAsiaTheme="minorEastAsia" w:hAnsi="Arial" w:cs="Arial"/>
          <w:i/>
          <w:color w:val="000000" w:themeColor="text1"/>
          <w:kern w:val="0"/>
          <w:lang w:val="en-US" w:eastAsia="en-GB"/>
          <w14:ligatures w14:val="none"/>
        </w:rPr>
        <w:t>Global Diversity &amp; Inclusion at Microsoft</w:t>
      </w:r>
      <w:r w:rsidRPr="00852F5C">
        <w:rPr>
          <w:rFonts w:ascii="Arial" w:eastAsiaTheme="minorEastAsia" w:hAnsi="Arial" w:cs="Arial"/>
          <w:color w:val="000000" w:themeColor="text1"/>
          <w:kern w:val="0"/>
          <w:lang w:val="en-US" w:eastAsia="en-GB"/>
          <w14:ligatures w14:val="none"/>
        </w:rPr>
        <w:t>. MICCSR Case Studies. 11. Available at: https://digitalcommons.tacoma.uw.edu/miccsr_case/11</w:t>
      </w:r>
    </w:p>
    <w:p w14:paraId="5884A817"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Luhmann</w:t>
      </w:r>
      <w:proofErr w:type="spellEnd"/>
      <w:r w:rsidRPr="00852F5C">
        <w:rPr>
          <w:rFonts w:ascii="Arial" w:eastAsiaTheme="minorEastAsia" w:hAnsi="Arial" w:cs="Arial"/>
          <w:color w:val="000000" w:themeColor="text1"/>
          <w:kern w:val="0"/>
          <w:lang w:val="en-US" w:eastAsia="en-GB"/>
          <w14:ligatures w14:val="none"/>
        </w:rPr>
        <w:t xml:space="preserve">, N., </w:t>
      </w:r>
      <w:proofErr w:type="spellStart"/>
      <w:r w:rsidRPr="00852F5C">
        <w:rPr>
          <w:rFonts w:ascii="Arial" w:eastAsiaTheme="minorEastAsia" w:hAnsi="Arial" w:cs="Arial"/>
          <w:color w:val="000000" w:themeColor="text1"/>
          <w:kern w:val="0"/>
          <w:lang w:val="en-US" w:eastAsia="en-GB"/>
          <w14:ligatures w14:val="none"/>
        </w:rPr>
        <w:t>Baecker</w:t>
      </w:r>
      <w:proofErr w:type="spellEnd"/>
      <w:r w:rsidRPr="00852F5C">
        <w:rPr>
          <w:rFonts w:ascii="Arial" w:eastAsiaTheme="minorEastAsia" w:hAnsi="Arial" w:cs="Arial"/>
          <w:color w:val="000000" w:themeColor="text1"/>
          <w:kern w:val="0"/>
          <w:lang w:val="en-US" w:eastAsia="en-GB"/>
          <w14:ligatures w14:val="none"/>
        </w:rPr>
        <w:t xml:space="preserve">, D. and </w:t>
      </w:r>
      <w:proofErr w:type="spellStart"/>
      <w:r w:rsidRPr="00852F5C">
        <w:rPr>
          <w:rFonts w:ascii="Arial" w:eastAsiaTheme="minorEastAsia" w:hAnsi="Arial" w:cs="Arial"/>
          <w:color w:val="000000" w:themeColor="text1"/>
          <w:kern w:val="0"/>
          <w:lang w:val="en-US" w:eastAsia="en-GB"/>
          <w14:ligatures w14:val="none"/>
        </w:rPr>
        <w:t>Gilgen</w:t>
      </w:r>
      <w:proofErr w:type="spellEnd"/>
      <w:r w:rsidRPr="00852F5C">
        <w:rPr>
          <w:rFonts w:ascii="Arial" w:eastAsiaTheme="minorEastAsia" w:hAnsi="Arial" w:cs="Arial"/>
          <w:color w:val="000000" w:themeColor="text1"/>
          <w:kern w:val="0"/>
          <w:lang w:val="en-US" w:eastAsia="en-GB"/>
          <w14:ligatures w14:val="none"/>
        </w:rPr>
        <w:t xml:space="preserve">, P. (2013). </w:t>
      </w:r>
      <w:r w:rsidRPr="00852F5C">
        <w:rPr>
          <w:rFonts w:ascii="Arial" w:eastAsiaTheme="minorEastAsia" w:hAnsi="Arial" w:cs="Arial"/>
          <w:i/>
          <w:color w:val="000000" w:themeColor="text1"/>
          <w:kern w:val="0"/>
          <w:lang w:val="en-US" w:eastAsia="en-GB"/>
          <w14:ligatures w14:val="none"/>
        </w:rPr>
        <w:t>Introduction to Systems Theory.</w:t>
      </w:r>
      <w:r w:rsidRPr="00852F5C">
        <w:rPr>
          <w:rFonts w:ascii="Arial" w:eastAsiaTheme="minorEastAsia" w:hAnsi="Arial" w:cs="Arial"/>
          <w:color w:val="000000" w:themeColor="text1"/>
          <w:kern w:val="0"/>
          <w:lang w:val="en-US" w:eastAsia="en-GB"/>
          <w14:ligatures w14:val="none"/>
        </w:rPr>
        <w:t xml:space="preserve"> Cambridge UK: Polity.</w:t>
      </w:r>
    </w:p>
    <w:p w14:paraId="74316546"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Luthans, F. and Stewart, T. I. (1977). A General Contingency Theory of Management. </w:t>
      </w:r>
      <w:r w:rsidRPr="00852F5C">
        <w:rPr>
          <w:rFonts w:ascii="Arial" w:eastAsiaTheme="minorEastAsia" w:hAnsi="Arial" w:cs="Arial"/>
          <w:i/>
          <w:color w:val="000000" w:themeColor="text1"/>
          <w:kern w:val="0"/>
          <w:lang w:val="en-US" w:eastAsia="en-GB"/>
          <w14:ligatures w14:val="none"/>
        </w:rPr>
        <w:t>The Academy of Management Review</w:t>
      </w:r>
      <w:r w:rsidRPr="00852F5C">
        <w:rPr>
          <w:rFonts w:ascii="Arial" w:eastAsiaTheme="minorEastAsia" w:hAnsi="Arial" w:cs="Arial"/>
          <w:color w:val="000000" w:themeColor="text1"/>
          <w:kern w:val="0"/>
          <w:lang w:val="en-US" w:eastAsia="en-GB"/>
          <w14:ligatures w14:val="none"/>
        </w:rPr>
        <w:t xml:space="preserve">, 2(2), pp.181–195. </w:t>
      </w:r>
      <w:proofErr w:type="spellStart"/>
      <w:r w:rsidRPr="00852F5C">
        <w:rPr>
          <w:rFonts w:ascii="Arial" w:eastAsiaTheme="minorEastAsia" w:hAnsi="Arial" w:cs="Arial"/>
          <w:color w:val="000000" w:themeColor="text1"/>
          <w:kern w:val="0"/>
          <w:lang w:val="en-US" w:eastAsia="en-GB"/>
          <w14:ligatures w14:val="none"/>
        </w:rPr>
        <w:t>doi:</w:t>
      </w:r>
      <w:hyperlink r:id="rId5" w:history="1">
        <w:r w:rsidRPr="00852F5C">
          <w:rPr>
            <w:rFonts w:ascii="Arial" w:eastAsiaTheme="minorEastAsia" w:hAnsi="Arial" w:cs="Arial"/>
            <w:color w:val="000000" w:themeColor="text1"/>
            <w:kern w:val="0"/>
            <w:u w:val="single"/>
            <w:lang w:val="en-US" w:eastAsia="en-GB"/>
            <w14:ligatures w14:val="none"/>
          </w:rPr>
          <w:t>https</w:t>
        </w:r>
        <w:proofErr w:type="spellEnd"/>
        <w:r w:rsidRPr="00852F5C">
          <w:rPr>
            <w:rFonts w:ascii="Arial" w:eastAsiaTheme="minorEastAsia" w:hAnsi="Arial" w:cs="Arial"/>
            <w:color w:val="000000" w:themeColor="text1"/>
            <w:kern w:val="0"/>
            <w:u w:val="single"/>
            <w:lang w:val="en-US" w:eastAsia="en-GB"/>
            <w14:ligatures w14:val="none"/>
          </w:rPr>
          <w:t>://doi.org/10.2307/257902</w:t>
        </w:r>
      </w:hyperlink>
      <w:r w:rsidRPr="00852F5C">
        <w:rPr>
          <w:rFonts w:ascii="Arial" w:eastAsiaTheme="minorEastAsia" w:hAnsi="Arial" w:cs="Arial"/>
          <w:color w:val="000000" w:themeColor="text1"/>
          <w:kern w:val="0"/>
          <w:lang w:val="en-US" w:eastAsia="en-GB"/>
          <w14:ligatures w14:val="none"/>
        </w:rPr>
        <w:t>.</w:t>
      </w:r>
    </w:p>
    <w:p w14:paraId="2607365A"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March, J. (2013). </w:t>
      </w:r>
      <w:r w:rsidRPr="00852F5C">
        <w:rPr>
          <w:rFonts w:ascii="Arial" w:eastAsiaTheme="minorEastAsia" w:hAnsi="Arial" w:cs="Arial"/>
          <w:i/>
          <w:color w:val="000000" w:themeColor="text1"/>
          <w:kern w:val="0"/>
          <w:lang w:val="en-US" w:eastAsia="en-GB"/>
          <w14:ligatures w14:val="none"/>
        </w:rPr>
        <w:t>Handbook of organizations</w:t>
      </w:r>
      <w:r w:rsidRPr="00852F5C">
        <w:rPr>
          <w:rFonts w:ascii="Arial" w:eastAsiaTheme="minorEastAsia" w:hAnsi="Arial" w:cs="Arial"/>
          <w:color w:val="000000" w:themeColor="text1"/>
          <w:kern w:val="0"/>
          <w:lang w:val="en-US" w:eastAsia="en-GB"/>
          <w14:ligatures w14:val="none"/>
        </w:rPr>
        <w:t>. Routledge.</w:t>
      </w:r>
    </w:p>
    <w:p w14:paraId="7DBCE159"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Mathis, D. (2010). Transformational learning: challenging assumptions in the workplace. </w:t>
      </w:r>
      <w:r w:rsidRPr="00852F5C">
        <w:rPr>
          <w:rFonts w:ascii="Arial" w:eastAsiaTheme="minorEastAsia" w:hAnsi="Arial" w:cs="Arial"/>
          <w:i/>
          <w:color w:val="000000" w:themeColor="text1"/>
          <w:kern w:val="0"/>
          <w:lang w:val="en-US" w:eastAsia="en-GB"/>
          <w14:ligatures w14:val="none"/>
        </w:rPr>
        <w:t>Development and Learning in Organizations</w:t>
      </w:r>
      <w:r w:rsidRPr="00852F5C">
        <w:rPr>
          <w:rFonts w:ascii="Arial" w:eastAsiaTheme="minorEastAsia" w:hAnsi="Arial" w:cs="Arial"/>
          <w:color w:val="000000" w:themeColor="text1"/>
          <w:kern w:val="0"/>
          <w:lang w:val="en-US" w:eastAsia="en-GB"/>
          <w14:ligatures w14:val="none"/>
        </w:rPr>
        <w:t xml:space="preserve">, 24(3), pp.8-10. </w:t>
      </w:r>
      <w:proofErr w:type="spellStart"/>
      <w:r w:rsidRPr="00852F5C">
        <w:rPr>
          <w:rFonts w:ascii="Arial" w:eastAsiaTheme="minorEastAsia" w:hAnsi="Arial" w:cs="Arial"/>
          <w:color w:val="000000" w:themeColor="text1"/>
          <w:kern w:val="0"/>
          <w:lang w:val="en-US" w:eastAsia="en-GB"/>
          <w14:ligatures w14:val="none"/>
        </w:rPr>
        <w:t>doi</w:t>
      </w:r>
      <w:proofErr w:type="spellEnd"/>
      <w:r w:rsidRPr="00852F5C">
        <w:rPr>
          <w:rFonts w:ascii="Arial" w:eastAsiaTheme="minorEastAsia" w:hAnsi="Arial" w:cs="Arial"/>
          <w:color w:val="000000" w:themeColor="text1"/>
          <w:kern w:val="0"/>
          <w:lang w:val="en-US" w:eastAsia="en-GB"/>
          <w14:ligatures w14:val="none"/>
        </w:rPr>
        <w:t>: https://doi.org/10.1108/14777281011037227.</w:t>
      </w:r>
    </w:p>
    <w:p w14:paraId="521E1E8C"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Mehta J., Yates T., Smith P., Henderson D., </w:t>
      </w:r>
      <w:proofErr w:type="spellStart"/>
      <w:r w:rsidRPr="00852F5C">
        <w:rPr>
          <w:rFonts w:ascii="Arial" w:eastAsiaTheme="minorEastAsia" w:hAnsi="Arial" w:cs="Arial"/>
          <w:color w:val="000000" w:themeColor="text1"/>
          <w:kern w:val="0"/>
          <w:lang w:val="en-US" w:eastAsia="en-GB"/>
          <w14:ligatures w14:val="none"/>
        </w:rPr>
        <w:t>Winteringham</w:t>
      </w:r>
      <w:proofErr w:type="spellEnd"/>
      <w:r w:rsidRPr="00852F5C">
        <w:rPr>
          <w:rFonts w:ascii="Arial" w:eastAsiaTheme="minorEastAsia" w:hAnsi="Arial" w:cs="Arial"/>
          <w:color w:val="000000" w:themeColor="text1"/>
          <w:kern w:val="0"/>
          <w:lang w:val="en-US" w:eastAsia="en-GB"/>
          <w14:ligatures w14:val="none"/>
        </w:rPr>
        <w:t xml:space="preserve"> </w:t>
      </w:r>
      <w:proofErr w:type="gramStart"/>
      <w:r w:rsidRPr="00852F5C">
        <w:rPr>
          <w:rFonts w:ascii="Arial" w:eastAsiaTheme="minorEastAsia" w:hAnsi="Arial" w:cs="Arial"/>
          <w:color w:val="000000" w:themeColor="text1"/>
          <w:kern w:val="0"/>
          <w:lang w:val="en-US" w:eastAsia="en-GB"/>
          <w14:ligatures w14:val="none"/>
        </w:rPr>
        <w:t>G.</w:t>
      </w:r>
      <w:proofErr w:type="gramEnd"/>
      <w:r w:rsidRPr="00852F5C">
        <w:rPr>
          <w:rFonts w:ascii="Arial" w:eastAsiaTheme="minorEastAsia" w:hAnsi="Arial" w:cs="Arial"/>
          <w:color w:val="000000" w:themeColor="text1"/>
          <w:kern w:val="0"/>
          <w:lang w:val="en-US" w:eastAsia="en-GB"/>
          <w14:ligatures w14:val="none"/>
        </w:rPr>
        <w:t xml:space="preserve"> and Burns A. (2020). Rapid implementation of Microsoft Teams in response to COVID-19</w:t>
      </w:r>
      <w:r w:rsidRPr="00852F5C">
        <w:rPr>
          <w:rFonts w:ascii="Arial" w:eastAsiaTheme="minorEastAsia" w:hAnsi="Arial" w:cs="Arial"/>
          <w:i/>
          <w:color w:val="000000" w:themeColor="text1"/>
          <w:kern w:val="0"/>
          <w:lang w:val="en-US" w:eastAsia="en-GB"/>
          <w14:ligatures w14:val="none"/>
        </w:rPr>
        <w:t>.</w:t>
      </w:r>
      <w:r w:rsidRPr="00852F5C">
        <w:rPr>
          <w:rFonts w:ascii="Arial" w:eastAsiaTheme="minorEastAsia" w:hAnsi="Arial" w:cs="Arial"/>
          <w:color w:val="000000" w:themeColor="text1"/>
          <w:kern w:val="0"/>
          <w:lang w:val="en-US" w:eastAsia="en-GB"/>
          <w14:ligatures w14:val="none"/>
        </w:rPr>
        <w:t xml:space="preserve"> </w:t>
      </w:r>
      <w:r w:rsidRPr="00852F5C">
        <w:rPr>
          <w:rFonts w:ascii="Arial" w:eastAsiaTheme="minorEastAsia" w:hAnsi="Arial" w:cs="Arial"/>
          <w:i/>
          <w:color w:val="000000" w:themeColor="text1"/>
          <w:kern w:val="0"/>
          <w:lang w:val="en-US" w:eastAsia="en-GB"/>
          <w14:ligatures w14:val="none"/>
        </w:rPr>
        <w:t xml:space="preserve">BMJ, </w:t>
      </w:r>
      <w:r w:rsidRPr="00852F5C">
        <w:rPr>
          <w:rFonts w:ascii="Arial" w:eastAsiaTheme="minorEastAsia" w:hAnsi="Arial" w:cs="Arial"/>
          <w:color w:val="000000" w:themeColor="text1"/>
          <w:kern w:val="0"/>
          <w:shd w:val="clear" w:color="auto" w:fill="FFFFFF"/>
          <w:lang w:val="en-US" w:eastAsia="en-GB"/>
          <w14:ligatures w14:val="none"/>
        </w:rPr>
        <w:t>27(3): e100209.</w:t>
      </w:r>
    </w:p>
    <w:p w14:paraId="6886CD94"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 (2022) </w:t>
      </w:r>
      <w:r w:rsidRPr="00852F5C">
        <w:rPr>
          <w:rFonts w:ascii="Arial" w:eastAsiaTheme="minorEastAsia" w:hAnsi="Arial" w:cs="Arial"/>
          <w:i/>
          <w:iCs/>
          <w:color w:val="000000" w:themeColor="text1"/>
          <w:kern w:val="0"/>
          <w:lang w:val="en-US" w:eastAsia="en-GB"/>
          <w14:ligatures w14:val="none"/>
        </w:rPr>
        <w:t>Microsoft 2022 Annual Report</w:t>
      </w:r>
      <w:r w:rsidRPr="00852F5C">
        <w:rPr>
          <w:rFonts w:ascii="Arial" w:eastAsiaTheme="minorEastAsia" w:hAnsi="Arial" w:cs="Arial"/>
          <w:color w:val="000000" w:themeColor="text1"/>
          <w:kern w:val="0"/>
          <w:lang w:val="en-US" w:eastAsia="en-GB"/>
          <w14:ligatures w14:val="none"/>
        </w:rPr>
        <w:t>, </w:t>
      </w:r>
      <w:r w:rsidRPr="00852F5C">
        <w:rPr>
          <w:rFonts w:ascii="Arial" w:eastAsiaTheme="minorEastAsia" w:hAnsi="Arial" w:cs="Arial"/>
          <w:i/>
          <w:iCs/>
          <w:color w:val="000000" w:themeColor="text1"/>
          <w:kern w:val="0"/>
          <w:lang w:val="en-US" w:eastAsia="en-GB"/>
          <w14:ligatures w14:val="none"/>
        </w:rPr>
        <w:t>www.microsoft.com</w:t>
      </w:r>
      <w:r w:rsidRPr="00852F5C">
        <w:rPr>
          <w:rFonts w:ascii="Arial" w:eastAsiaTheme="minorEastAsia" w:hAnsi="Arial" w:cs="Arial"/>
          <w:color w:val="000000" w:themeColor="text1"/>
          <w:kern w:val="0"/>
          <w:lang w:val="en-US" w:eastAsia="en-GB"/>
          <w14:ligatures w14:val="none"/>
        </w:rPr>
        <w:t>. Available at: https://www.microsoft.com/investor/reports/ar22/index.html.</w:t>
      </w:r>
    </w:p>
    <w:p w14:paraId="1689961D"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Microsoft (2022). </w:t>
      </w:r>
      <w:r w:rsidRPr="00852F5C">
        <w:rPr>
          <w:rFonts w:ascii="Arial" w:eastAsiaTheme="minorEastAsia" w:hAnsi="Arial" w:cs="Arial"/>
          <w:i/>
          <w:color w:val="000000" w:themeColor="text1"/>
          <w:kern w:val="0"/>
          <w:lang w:val="en-US" w:eastAsia="en-GB"/>
          <w14:ligatures w14:val="none"/>
        </w:rPr>
        <w:t>Global Diversity &amp; Inclusion Report</w:t>
      </w:r>
      <w:r w:rsidRPr="00852F5C">
        <w:rPr>
          <w:rFonts w:ascii="Arial" w:eastAsiaTheme="minorEastAsia" w:hAnsi="Arial" w:cs="Arial"/>
          <w:color w:val="000000" w:themeColor="text1"/>
          <w:kern w:val="0"/>
          <w:lang w:val="en-US" w:eastAsia="en-GB"/>
          <w14:ligatures w14:val="none"/>
        </w:rPr>
        <w:t>.</w:t>
      </w:r>
    </w:p>
    <w:p w14:paraId="375086DD"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 (2023) </w:t>
      </w:r>
      <w:r w:rsidRPr="00852F5C">
        <w:rPr>
          <w:rFonts w:ascii="Arial" w:eastAsiaTheme="minorEastAsia" w:hAnsi="Arial" w:cs="Arial"/>
          <w:i/>
          <w:iCs/>
          <w:color w:val="000000" w:themeColor="text1"/>
          <w:kern w:val="0"/>
          <w:lang w:val="en-US" w:eastAsia="en-GB"/>
          <w14:ligatures w14:val="none"/>
        </w:rPr>
        <w:t>About - Microsoft</w:t>
      </w:r>
      <w:r w:rsidRPr="00852F5C">
        <w:rPr>
          <w:rFonts w:ascii="Arial" w:eastAsiaTheme="minorEastAsia" w:hAnsi="Arial" w:cs="Arial"/>
          <w:color w:val="000000" w:themeColor="text1"/>
          <w:kern w:val="0"/>
          <w:lang w:val="en-US" w:eastAsia="en-GB"/>
          <w14:ligatures w14:val="none"/>
        </w:rPr>
        <w:t>, </w:t>
      </w:r>
      <w:r w:rsidRPr="00852F5C">
        <w:rPr>
          <w:rFonts w:ascii="Arial" w:eastAsiaTheme="minorEastAsia" w:hAnsi="Arial" w:cs="Arial"/>
          <w:i/>
          <w:iCs/>
          <w:color w:val="000000" w:themeColor="text1"/>
          <w:kern w:val="0"/>
          <w:lang w:val="en-US" w:eastAsia="en-GB"/>
          <w14:ligatures w14:val="none"/>
        </w:rPr>
        <w:t>Microsoft.com</w:t>
      </w:r>
      <w:r w:rsidRPr="00852F5C">
        <w:rPr>
          <w:rFonts w:ascii="Arial" w:eastAsiaTheme="minorEastAsia" w:hAnsi="Arial" w:cs="Arial"/>
          <w:color w:val="000000" w:themeColor="text1"/>
          <w:kern w:val="0"/>
          <w:lang w:val="en-US" w:eastAsia="en-GB"/>
          <w14:ligatures w14:val="none"/>
        </w:rPr>
        <w:t xml:space="preserve">. Available at: </w:t>
      </w:r>
      <w:hyperlink r:id="rId6" w:history="1">
        <w:r w:rsidRPr="00852F5C">
          <w:rPr>
            <w:rFonts w:ascii="Arial" w:eastAsiaTheme="minorEastAsia" w:hAnsi="Arial" w:cs="Arial"/>
            <w:color w:val="0563C1" w:themeColor="hyperlink"/>
            <w:kern w:val="0"/>
            <w:u w:val="single"/>
            <w:lang w:val="en-US" w:eastAsia="en-GB"/>
            <w14:ligatures w14:val="none"/>
          </w:rPr>
          <w:t>https://www.microsoft.com/en-us/about</w:t>
        </w:r>
      </w:hyperlink>
      <w:r w:rsidRPr="00852F5C">
        <w:rPr>
          <w:rFonts w:ascii="Arial" w:eastAsiaTheme="minorEastAsia" w:hAnsi="Arial" w:cs="Arial"/>
          <w:color w:val="000000" w:themeColor="text1"/>
          <w:kern w:val="0"/>
          <w:lang w:val="en-US" w:eastAsia="en-GB"/>
          <w14:ligatures w14:val="none"/>
        </w:rPr>
        <w:t>.</w:t>
      </w:r>
    </w:p>
    <w:p w14:paraId="2752AC32"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Microsoft (2023) </w:t>
      </w:r>
      <w:r w:rsidRPr="00852F5C">
        <w:rPr>
          <w:rFonts w:ascii="Arial" w:eastAsiaTheme="minorEastAsia" w:hAnsi="Arial" w:cs="Arial"/>
          <w:i/>
          <w:iCs/>
          <w:color w:val="000000" w:themeColor="text1"/>
          <w:kern w:val="0"/>
          <w:lang w:val="en-US" w:eastAsia="en-GB"/>
          <w14:ligatures w14:val="none"/>
        </w:rPr>
        <w:t>About - Values</w:t>
      </w:r>
      <w:r w:rsidRPr="00852F5C">
        <w:rPr>
          <w:rFonts w:ascii="Arial" w:eastAsiaTheme="minorEastAsia" w:hAnsi="Arial" w:cs="Arial"/>
          <w:color w:val="000000" w:themeColor="text1"/>
          <w:kern w:val="0"/>
          <w:lang w:val="en-US" w:eastAsia="en-GB"/>
          <w14:ligatures w14:val="none"/>
        </w:rPr>
        <w:t>, </w:t>
      </w:r>
      <w:r w:rsidRPr="00852F5C">
        <w:rPr>
          <w:rFonts w:ascii="Arial" w:eastAsiaTheme="minorEastAsia" w:hAnsi="Arial" w:cs="Arial"/>
          <w:i/>
          <w:iCs/>
          <w:color w:val="000000" w:themeColor="text1"/>
          <w:kern w:val="0"/>
          <w:lang w:val="en-US" w:eastAsia="en-GB"/>
          <w14:ligatures w14:val="none"/>
        </w:rPr>
        <w:t>About Values</w:t>
      </w:r>
      <w:r w:rsidRPr="00852F5C">
        <w:rPr>
          <w:rFonts w:ascii="Arial" w:eastAsiaTheme="minorEastAsia" w:hAnsi="Arial" w:cs="Arial"/>
          <w:color w:val="000000" w:themeColor="text1"/>
          <w:kern w:val="0"/>
          <w:lang w:val="en-US" w:eastAsia="en-GB"/>
          <w14:ligatures w14:val="none"/>
        </w:rPr>
        <w:t>. Microsoft. Available at: https://www.microsoft.com/en-us/about/values.</w:t>
      </w:r>
    </w:p>
    <w:p w14:paraId="29A4C0D3" w14:textId="77777777" w:rsidR="00852F5C" w:rsidRPr="00852F5C" w:rsidRDefault="00852F5C" w:rsidP="00852F5C">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Mohamed, E. K. and </w:t>
      </w:r>
      <w:proofErr w:type="spellStart"/>
      <w:r w:rsidRPr="00852F5C">
        <w:rPr>
          <w:rFonts w:ascii="Arial" w:eastAsiaTheme="minorEastAsia" w:hAnsi="Arial" w:cs="Arial"/>
          <w:color w:val="000000" w:themeColor="text1"/>
          <w:kern w:val="0"/>
          <w:lang w:val="en-US" w:eastAsia="en-GB"/>
          <w14:ligatures w14:val="none"/>
        </w:rPr>
        <w:t>Lashine</w:t>
      </w:r>
      <w:proofErr w:type="spellEnd"/>
      <w:r w:rsidRPr="00852F5C">
        <w:rPr>
          <w:rFonts w:ascii="Arial" w:eastAsiaTheme="minorEastAsia" w:hAnsi="Arial" w:cs="Arial"/>
          <w:color w:val="000000" w:themeColor="text1"/>
          <w:kern w:val="0"/>
          <w:lang w:val="en-US" w:eastAsia="en-GB"/>
          <w14:ligatures w14:val="none"/>
        </w:rPr>
        <w:t>, S. H. (2003) 'Accounting knowledge and skills and the challenges of a global business environment', </w:t>
      </w:r>
      <w:r w:rsidRPr="00852F5C">
        <w:rPr>
          <w:rFonts w:ascii="Arial" w:eastAsiaTheme="minorEastAsia" w:hAnsi="Arial" w:cs="Arial"/>
          <w:i/>
          <w:iCs/>
          <w:color w:val="000000" w:themeColor="text1"/>
          <w:kern w:val="0"/>
          <w:lang w:val="en-US" w:eastAsia="en-GB"/>
          <w14:ligatures w14:val="none"/>
        </w:rPr>
        <w:t>Managerial finance,</w:t>
      </w:r>
      <w:r w:rsidRPr="00852F5C">
        <w:rPr>
          <w:rFonts w:ascii="Arial" w:eastAsiaTheme="minorEastAsia" w:hAnsi="Arial" w:cs="Arial"/>
          <w:color w:val="000000" w:themeColor="text1"/>
          <w:kern w:val="0"/>
          <w:lang w:val="en-US" w:eastAsia="en-GB"/>
          <w14:ligatures w14:val="none"/>
        </w:rPr>
        <w:t> 29(7), pp. 3-16.</w:t>
      </w:r>
    </w:p>
    <w:p w14:paraId="30861D25"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Nentl</w:t>
      </w:r>
      <w:proofErr w:type="spellEnd"/>
      <w:r w:rsidRPr="00852F5C">
        <w:rPr>
          <w:rFonts w:ascii="Arial" w:eastAsiaTheme="minorEastAsia" w:hAnsi="Arial" w:cs="Arial"/>
          <w:color w:val="000000" w:themeColor="text1"/>
          <w:kern w:val="0"/>
          <w:lang w:val="en-US" w:eastAsia="en-GB"/>
          <w14:ligatures w14:val="none"/>
        </w:rPr>
        <w:t xml:space="preserve">, N. and </w:t>
      </w:r>
      <w:proofErr w:type="spellStart"/>
      <w:r w:rsidRPr="00852F5C">
        <w:rPr>
          <w:rFonts w:ascii="Arial" w:eastAsiaTheme="minorEastAsia" w:hAnsi="Arial" w:cs="Arial"/>
          <w:color w:val="000000" w:themeColor="text1"/>
          <w:kern w:val="0"/>
          <w:lang w:val="en-US" w:eastAsia="en-GB"/>
          <w14:ligatures w14:val="none"/>
        </w:rPr>
        <w:t>Zietlow</w:t>
      </w:r>
      <w:proofErr w:type="spellEnd"/>
      <w:r w:rsidRPr="00852F5C">
        <w:rPr>
          <w:rFonts w:ascii="Arial" w:eastAsiaTheme="minorEastAsia" w:hAnsi="Arial" w:cs="Arial"/>
          <w:color w:val="000000" w:themeColor="text1"/>
          <w:kern w:val="0"/>
          <w:lang w:val="en-US" w:eastAsia="en-GB"/>
          <w14:ligatures w14:val="none"/>
        </w:rPr>
        <w:t xml:space="preserve">, R. (2008). Using Bloom's Taxonomy to Teach Critical Thinking Skills to Business Students. </w:t>
      </w:r>
      <w:r w:rsidRPr="00852F5C">
        <w:rPr>
          <w:rFonts w:ascii="Arial" w:eastAsiaTheme="minorEastAsia" w:hAnsi="Arial" w:cs="Arial"/>
          <w:i/>
          <w:color w:val="000000" w:themeColor="text1"/>
          <w:kern w:val="0"/>
          <w:lang w:val="en-US" w:eastAsia="en-GB"/>
          <w14:ligatures w14:val="none"/>
        </w:rPr>
        <w:t>College &amp; Undergraduate Libraries</w:t>
      </w:r>
      <w:r w:rsidRPr="00852F5C">
        <w:rPr>
          <w:rFonts w:ascii="Arial" w:eastAsiaTheme="minorEastAsia" w:hAnsi="Arial" w:cs="Arial"/>
          <w:color w:val="000000" w:themeColor="text1"/>
          <w:kern w:val="0"/>
          <w:lang w:val="en-US" w:eastAsia="en-GB"/>
          <w14:ligatures w14:val="none"/>
        </w:rPr>
        <w:t xml:space="preserve">, 15(1-2), pp.159-172, </w:t>
      </w:r>
      <w:proofErr w:type="spellStart"/>
      <w:r w:rsidRPr="00852F5C">
        <w:rPr>
          <w:rFonts w:ascii="Arial" w:eastAsiaTheme="minorEastAsia" w:hAnsi="Arial" w:cs="Arial"/>
          <w:color w:val="000000" w:themeColor="text1"/>
          <w:kern w:val="0"/>
          <w:lang w:val="en-US" w:eastAsia="en-GB"/>
          <w14:ligatures w14:val="none"/>
        </w:rPr>
        <w:t>doi</w:t>
      </w:r>
      <w:proofErr w:type="spellEnd"/>
      <w:r w:rsidRPr="00852F5C">
        <w:rPr>
          <w:rFonts w:ascii="Arial" w:eastAsiaTheme="minorEastAsia" w:hAnsi="Arial" w:cs="Arial"/>
          <w:color w:val="000000" w:themeColor="text1"/>
          <w:kern w:val="0"/>
          <w:lang w:val="en-US" w:eastAsia="en-GB"/>
          <w14:ligatures w14:val="none"/>
        </w:rPr>
        <w:t>: 10.1080/10691310802177135.</w:t>
      </w:r>
    </w:p>
    <w:p w14:paraId="2418DAA7"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Ogbonna, E. and Harris, C.L. (2000). 'Leadership style, organizational culture and performance: empirical evidence from UK companies'. </w:t>
      </w:r>
      <w:r w:rsidRPr="00852F5C">
        <w:rPr>
          <w:rFonts w:ascii="Arial" w:eastAsiaTheme="minorEastAsia" w:hAnsi="Arial" w:cs="Arial"/>
          <w:i/>
          <w:color w:val="000000" w:themeColor="text1"/>
          <w:kern w:val="0"/>
          <w:lang w:val="en-US" w:eastAsia="en-GB"/>
          <w14:ligatures w14:val="none"/>
        </w:rPr>
        <w:t>The International Journal of Human Resource Management</w:t>
      </w:r>
      <w:r w:rsidRPr="00852F5C">
        <w:rPr>
          <w:rFonts w:ascii="Arial" w:eastAsiaTheme="minorEastAsia" w:hAnsi="Arial" w:cs="Arial"/>
          <w:color w:val="000000" w:themeColor="text1"/>
          <w:kern w:val="0"/>
          <w:lang w:val="en-US" w:eastAsia="en-GB"/>
          <w14:ligatures w14:val="none"/>
        </w:rPr>
        <w:t>, 11(4), pp.766-788, doi:10.1080/09585190050075114.</w:t>
      </w:r>
    </w:p>
    <w:p w14:paraId="6888F3B6"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Paul, R., &amp; Elder, L. (2006). </w:t>
      </w:r>
      <w:r w:rsidRPr="00852F5C">
        <w:rPr>
          <w:rFonts w:ascii="Arial" w:eastAsiaTheme="minorEastAsia" w:hAnsi="Arial" w:cs="Arial"/>
          <w:i/>
          <w:color w:val="000000" w:themeColor="text1"/>
          <w:kern w:val="0"/>
          <w:lang w:val="en-US" w:eastAsia="en-GB"/>
          <w14:ligatures w14:val="none"/>
        </w:rPr>
        <w:t>Critical Thinking: Learn the Tools the Best Thinkers Use</w:t>
      </w:r>
      <w:r w:rsidRPr="00852F5C">
        <w:rPr>
          <w:rFonts w:ascii="Arial" w:eastAsiaTheme="minorEastAsia" w:hAnsi="Arial" w:cs="Arial"/>
          <w:color w:val="000000" w:themeColor="text1"/>
          <w:kern w:val="0"/>
          <w:lang w:val="en-US" w:eastAsia="en-GB"/>
          <w14:ligatures w14:val="none"/>
        </w:rPr>
        <w:t>. Pearson Prentice Hall.</w:t>
      </w:r>
    </w:p>
    <w:p w14:paraId="68FA6C0D" w14:textId="77777777" w:rsidR="00852F5C" w:rsidRPr="00852F5C" w:rsidRDefault="00852F5C" w:rsidP="00852F5C">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Pfister, J. A. (2009) </w:t>
      </w:r>
      <w:r w:rsidRPr="00852F5C">
        <w:rPr>
          <w:rFonts w:ascii="Arial" w:eastAsiaTheme="minorEastAsia" w:hAnsi="Arial" w:cs="Arial"/>
          <w:i/>
          <w:iCs/>
          <w:color w:val="000000" w:themeColor="text1"/>
          <w:kern w:val="0"/>
          <w:lang w:val="en-US" w:eastAsia="en-GB"/>
          <w14:ligatures w14:val="none"/>
        </w:rPr>
        <w:t>Managing organizational culture for effective internal control: From practice to theory.</w:t>
      </w:r>
      <w:r w:rsidRPr="00852F5C">
        <w:rPr>
          <w:rFonts w:ascii="Arial" w:eastAsiaTheme="minorEastAsia" w:hAnsi="Arial" w:cs="Arial"/>
          <w:color w:val="000000" w:themeColor="text1"/>
          <w:kern w:val="0"/>
          <w:lang w:val="en-US" w:eastAsia="en-GB"/>
          <w14:ligatures w14:val="none"/>
        </w:rPr>
        <w:t> Springer Science &amp; Business Media.</w:t>
      </w:r>
    </w:p>
    <w:p w14:paraId="6A100DE1"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Phillips, J. and Klein, J.D. (2023). Change Management: From Theory to Practice. </w:t>
      </w:r>
      <w:proofErr w:type="spellStart"/>
      <w:r w:rsidRPr="00852F5C">
        <w:rPr>
          <w:rFonts w:ascii="Arial" w:eastAsiaTheme="minorEastAsia" w:hAnsi="Arial" w:cs="Arial"/>
          <w:i/>
          <w:color w:val="000000" w:themeColor="text1"/>
          <w:kern w:val="0"/>
          <w:lang w:val="en-US" w:eastAsia="en-GB"/>
          <w14:ligatures w14:val="none"/>
        </w:rPr>
        <w:t>TechTrends</w:t>
      </w:r>
      <w:proofErr w:type="spellEnd"/>
      <w:r w:rsidRPr="00852F5C">
        <w:rPr>
          <w:rFonts w:ascii="Arial" w:eastAsiaTheme="minorEastAsia" w:hAnsi="Arial" w:cs="Arial"/>
          <w:i/>
          <w:color w:val="000000" w:themeColor="text1"/>
          <w:kern w:val="0"/>
          <w:lang w:val="en-US" w:eastAsia="en-GB"/>
          <w14:ligatures w14:val="none"/>
        </w:rPr>
        <w:t xml:space="preserve">, </w:t>
      </w:r>
      <w:r w:rsidRPr="00852F5C">
        <w:rPr>
          <w:rFonts w:ascii="Arial" w:eastAsiaTheme="minorEastAsia" w:hAnsi="Arial" w:cs="Arial"/>
          <w:color w:val="000000" w:themeColor="text1"/>
          <w:kern w:val="0"/>
          <w:lang w:val="en-US" w:eastAsia="en-GB"/>
          <w14:ligatures w14:val="none"/>
        </w:rPr>
        <w:t xml:space="preserve">67, pp.189–197.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://doi.org/10.1007/s11528-022-00775-0</w:t>
      </w:r>
      <w:proofErr w:type="gramEnd"/>
      <w:r w:rsidRPr="00852F5C">
        <w:rPr>
          <w:rFonts w:ascii="Arial" w:eastAsiaTheme="minorEastAsia" w:hAnsi="Arial" w:cs="Arial"/>
          <w:color w:val="000000" w:themeColor="text1"/>
          <w:kern w:val="0"/>
          <w:lang w:val="en-US" w:eastAsia="en-GB"/>
          <w14:ligatures w14:val="none"/>
        </w:rPr>
        <w:t>.</w:t>
      </w:r>
    </w:p>
    <w:p w14:paraId="04F164CE"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Pless</w:t>
      </w:r>
      <w:proofErr w:type="spellEnd"/>
      <w:r w:rsidRPr="00852F5C">
        <w:rPr>
          <w:rFonts w:ascii="Arial" w:eastAsiaTheme="minorEastAsia" w:hAnsi="Arial" w:cs="Arial"/>
          <w:color w:val="000000" w:themeColor="text1"/>
          <w:kern w:val="0"/>
          <w:lang w:val="en-US" w:eastAsia="en-GB"/>
          <w14:ligatures w14:val="none"/>
        </w:rPr>
        <w:t xml:space="preserve">, N. and Maak, T. (2004). 'Building an Inclusive Diversity Culture: Principles, Processes and Practice'. </w:t>
      </w:r>
      <w:r w:rsidRPr="00852F5C">
        <w:rPr>
          <w:rFonts w:ascii="Arial" w:eastAsiaTheme="minorEastAsia" w:hAnsi="Arial" w:cs="Arial"/>
          <w:i/>
          <w:color w:val="000000" w:themeColor="text1"/>
          <w:kern w:val="0"/>
          <w:lang w:val="en-US" w:eastAsia="en-GB"/>
          <w14:ligatures w14:val="none"/>
        </w:rPr>
        <w:t>Journal of Business Ethics</w:t>
      </w:r>
      <w:r w:rsidRPr="00852F5C">
        <w:rPr>
          <w:rFonts w:ascii="Arial" w:eastAsiaTheme="minorEastAsia" w:hAnsi="Arial" w:cs="Arial"/>
          <w:color w:val="000000" w:themeColor="text1"/>
          <w:kern w:val="0"/>
          <w:lang w:val="en-US" w:eastAsia="en-GB"/>
          <w14:ligatures w14:val="none"/>
        </w:rPr>
        <w:t xml:space="preserve"> 54, pp.129–147.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://doi.org/10.1007/s10551-004-9465-8</w:t>
      </w:r>
      <w:proofErr w:type="gramEnd"/>
    </w:p>
    <w:p w14:paraId="3BB4F42D"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Prakash, </w:t>
      </w:r>
      <w:proofErr w:type="gramStart"/>
      <w:r w:rsidRPr="00852F5C">
        <w:rPr>
          <w:rFonts w:ascii="Arial" w:eastAsiaTheme="minorEastAsia" w:hAnsi="Arial" w:cs="Arial"/>
          <w:color w:val="000000" w:themeColor="text1"/>
          <w:kern w:val="0"/>
          <w:lang w:val="en-US" w:eastAsia="en-GB"/>
          <w14:ligatures w14:val="none"/>
        </w:rPr>
        <w:t>D. ,</w:t>
      </w:r>
      <w:proofErr w:type="gramEnd"/>
      <w:r w:rsidRPr="00852F5C">
        <w:rPr>
          <w:rFonts w:ascii="Arial" w:eastAsiaTheme="minorEastAsia" w:hAnsi="Arial" w:cs="Arial"/>
          <w:color w:val="000000" w:themeColor="text1"/>
          <w:kern w:val="0"/>
          <w:lang w:val="en-US" w:eastAsia="en-GB"/>
          <w14:ligatures w14:val="none"/>
        </w:rPr>
        <w:t xml:space="preserve"> </w:t>
      </w:r>
      <w:proofErr w:type="spellStart"/>
      <w:r w:rsidRPr="00852F5C">
        <w:rPr>
          <w:rFonts w:ascii="Arial" w:eastAsiaTheme="minorEastAsia" w:hAnsi="Arial" w:cs="Arial"/>
          <w:color w:val="000000" w:themeColor="text1"/>
          <w:kern w:val="0"/>
          <w:lang w:val="en-US" w:eastAsia="en-GB"/>
          <w14:ligatures w14:val="none"/>
        </w:rPr>
        <w:t>Bisla</w:t>
      </w:r>
      <w:proofErr w:type="spellEnd"/>
      <w:r w:rsidRPr="00852F5C">
        <w:rPr>
          <w:rFonts w:ascii="Arial" w:eastAsiaTheme="minorEastAsia" w:hAnsi="Arial" w:cs="Arial"/>
          <w:color w:val="000000" w:themeColor="text1"/>
          <w:kern w:val="0"/>
          <w:lang w:val="en-US" w:eastAsia="en-GB"/>
          <w14:ligatures w14:val="none"/>
        </w:rPr>
        <w:t xml:space="preserve">, M. and Rastogi, S. (2021). 'Understanding Authentic Leadership Style: The Satya Nadella Microsoft Approach'. </w:t>
      </w:r>
      <w:r w:rsidRPr="00852F5C">
        <w:rPr>
          <w:rFonts w:ascii="Arial" w:eastAsiaTheme="minorEastAsia" w:hAnsi="Arial" w:cs="Arial"/>
          <w:i/>
          <w:color w:val="000000" w:themeColor="text1"/>
          <w:kern w:val="0"/>
          <w:lang w:val="en-US" w:eastAsia="en-GB"/>
          <w14:ligatures w14:val="none"/>
        </w:rPr>
        <w:t>Open Journal of Leadership</w:t>
      </w:r>
      <w:r w:rsidRPr="00852F5C">
        <w:rPr>
          <w:rFonts w:ascii="Arial" w:eastAsiaTheme="minorEastAsia" w:hAnsi="Arial" w:cs="Arial"/>
          <w:color w:val="000000" w:themeColor="text1"/>
          <w:kern w:val="0"/>
          <w:lang w:val="en-US" w:eastAsia="en-GB"/>
          <w14:ligatures w14:val="none"/>
        </w:rPr>
        <w:t>, 10, pp.95-109. doi:10.4236/ojl.2021.102007.</w:t>
      </w:r>
    </w:p>
    <w:p w14:paraId="280824D0"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shd w:val="clear" w:color="auto" w:fill="FFFFFF"/>
          <w:lang w:val="en-US" w:eastAsia="en-GB"/>
          <w14:ligatures w14:val="none"/>
        </w:rPr>
        <w:t>Pryor. M.G. (2011). Frederick W. Taylor’s Scientific Management Principles: Relevance and Validity. </w:t>
      </w:r>
      <w:r w:rsidRPr="00852F5C">
        <w:rPr>
          <w:rFonts w:ascii="Arial" w:eastAsiaTheme="minorEastAsia" w:hAnsi="Arial" w:cs="Arial"/>
          <w:i/>
          <w:color w:val="000000" w:themeColor="text1"/>
          <w:kern w:val="0"/>
          <w:shd w:val="clear" w:color="auto" w:fill="FFFFFF"/>
          <w:lang w:val="en-US" w:eastAsia="en-GB"/>
          <w14:ligatures w14:val="none"/>
        </w:rPr>
        <w:t>The Journal of Applied Management and Entrepreneurship</w:t>
      </w:r>
      <w:r w:rsidRPr="00852F5C">
        <w:rPr>
          <w:rFonts w:ascii="Arial" w:eastAsiaTheme="minorEastAsia" w:hAnsi="Arial" w:cs="Arial"/>
          <w:color w:val="000000" w:themeColor="text1"/>
          <w:kern w:val="0"/>
          <w:shd w:val="clear" w:color="auto" w:fill="FFFFFF"/>
          <w:lang w:val="en-US" w:eastAsia="en-GB"/>
          <w14:ligatures w14:val="none"/>
        </w:rPr>
        <w:t>, 16(3), pp.60–78. </w:t>
      </w:r>
    </w:p>
    <w:p w14:paraId="5B78F775" w14:textId="77777777" w:rsidR="00852F5C" w:rsidRPr="00852F5C" w:rsidRDefault="00852F5C" w:rsidP="00852F5C">
      <w:pPr>
        <w:spacing w:before="100" w:beforeAutospacing="1" w:after="0" w:line="360" w:lineRule="auto"/>
        <w:ind w:right="75"/>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Psychogios</w:t>
      </w:r>
      <w:proofErr w:type="spellEnd"/>
      <w:r w:rsidRPr="00852F5C">
        <w:rPr>
          <w:rFonts w:ascii="Arial" w:eastAsiaTheme="minorEastAsia" w:hAnsi="Arial" w:cs="Arial"/>
          <w:color w:val="000000" w:themeColor="text1"/>
          <w:kern w:val="0"/>
          <w:lang w:val="en-US" w:eastAsia="en-GB"/>
          <w14:ligatures w14:val="none"/>
        </w:rPr>
        <w:t>, G. (2005) 'Towards a contingency approach to promising business management paradigms: The case of total quality management', </w:t>
      </w:r>
      <w:r w:rsidRPr="00852F5C">
        <w:rPr>
          <w:rFonts w:ascii="Arial" w:eastAsiaTheme="minorEastAsia" w:hAnsi="Arial" w:cs="Arial"/>
          <w:i/>
          <w:iCs/>
          <w:color w:val="000000" w:themeColor="text1"/>
          <w:kern w:val="0"/>
          <w:lang w:val="en-US" w:eastAsia="en-GB"/>
          <w14:ligatures w14:val="none"/>
        </w:rPr>
        <w:t>Journal of Business and Society,</w:t>
      </w:r>
      <w:r w:rsidRPr="00852F5C">
        <w:rPr>
          <w:rFonts w:ascii="Arial" w:eastAsiaTheme="minorEastAsia" w:hAnsi="Arial" w:cs="Arial"/>
          <w:color w:val="000000" w:themeColor="text1"/>
          <w:kern w:val="0"/>
          <w:lang w:val="en-US" w:eastAsia="en-GB"/>
          <w14:ligatures w14:val="none"/>
        </w:rPr>
        <w:t>18(1/2), pp. 120-134.</w:t>
      </w:r>
    </w:p>
    <w:p w14:paraId="4ABA30AD"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Reed, G. (2013). </w:t>
      </w:r>
      <w:r w:rsidRPr="00852F5C">
        <w:rPr>
          <w:rFonts w:ascii="Arial" w:eastAsiaTheme="minorEastAsia" w:hAnsi="Arial" w:cs="Arial"/>
          <w:i/>
          <w:color w:val="000000" w:themeColor="text1"/>
          <w:kern w:val="0"/>
          <w:lang w:val="en-US" w:eastAsia="en-GB"/>
          <w14:ligatures w14:val="none"/>
        </w:rPr>
        <w:t>Barriers to Critical Thinking Across Domains</w:t>
      </w:r>
      <w:r w:rsidRPr="00852F5C">
        <w:rPr>
          <w:rFonts w:ascii="Arial" w:eastAsiaTheme="minorEastAsia" w:hAnsi="Arial" w:cs="Arial"/>
          <w:color w:val="000000" w:themeColor="text1"/>
          <w:kern w:val="0"/>
          <w:lang w:val="en-US" w:eastAsia="en-GB"/>
          <w14:ligatures w14:val="none"/>
        </w:rPr>
        <w:t>. Sociology, Social Work and Anthropology Faculty Publications, Paper 445.</w:t>
      </w:r>
    </w:p>
    <w:p w14:paraId="63EA2946"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Salin</w:t>
      </w:r>
      <w:proofErr w:type="spellEnd"/>
      <w:r w:rsidRPr="00852F5C">
        <w:rPr>
          <w:rFonts w:ascii="Arial" w:eastAsiaTheme="minorEastAsia" w:hAnsi="Arial" w:cs="Arial"/>
          <w:color w:val="000000" w:themeColor="text1"/>
          <w:kern w:val="0"/>
          <w:lang w:val="en-US" w:eastAsia="en-GB"/>
          <w14:ligatures w14:val="none"/>
        </w:rPr>
        <w:t xml:space="preserve">, D. (2009). </w:t>
      </w:r>
      <w:proofErr w:type="spellStart"/>
      <w:r w:rsidRPr="00852F5C">
        <w:rPr>
          <w:rFonts w:ascii="Arial" w:eastAsiaTheme="minorEastAsia" w:hAnsi="Arial" w:cs="Arial"/>
          <w:color w:val="000000" w:themeColor="text1"/>
          <w:kern w:val="0"/>
          <w:lang w:val="en-US" w:eastAsia="en-GB"/>
          <w14:ligatures w14:val="none"/>
        </w:rPr>
        <w:t>Organisational</w:t>
      </w:r>
      <w:proofErr w:type="spellEnd"/>
      <w:r w:rsidRPr="00852F5C">
        <w:rPr>
          <w:rFonts w:ascii="Arial" w:eastAsiaTheme="minorEastAsia" w:hAnsi="Arial" w:cs="Arial"/>
          <w:color w:val="000000" w:themeColor="text1"/>
          <w:kern w:val="0"/>
          <w:lang w:val="en-US" w:eastAsia="en-GB"/>
          <w14:ligatures w14:val="none"/>
        </w:rPr>
        <w:t xml:space="preserve"> responses to workplace harassment: An exploratory study. </w:t>
      </w:r>
      <w:r w:rsidRPr="00852F5C">
        <w:rPr>
          <w:rFonts w:ascii="Arial" w:eastAsiaTheme="minorEastAsia" w:hAnsi="Arial" w:cs="Arial"/>
          <w:i/>
          <w:color w:val="000000" w:themeColor="text1"/>
          <w:kern w:val="0"/>
          <w:lang w:val="en-US" w:eastAsia="en-GB"/>
          <w14:ligatures w14:val="none"/>
        </w:rPr>
        <w:t>Personnel Review</w:t>
      </w:r>
      <w:r w:rsidRPr="00852F5C">
        <w:rPr>
          <w:rFonts w:ascii="Arial" w:eastAsiaTheme="minorEastAsia" w:hAnsi="Arial" w:cs="Arial"/>
          <w:color w:val="000000" w:themeColor="text1"/>
          <w:kern w:val="0"/>
          <w:lang w:val="en-US" w:eastAsia="en-GB"/>
          <w14:ligatures w14:val="none"/>
        </w:rPr>
        <w:t xml:space="preserve">, 38(1), pp.26-44.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://doi.org/10.1108/00483480910920697</w:t>
      </w:r>
      <w:proofErr w:type="gramEnd"/>
      <w:r w:rsidRPr="00852F5C">
        <w:rPr>
          <w:rFonts w:ascii="Arial" w:eastAsiaTheme="minorEastAsia" w:hAnsi="Arial" w:cs="Arial"/>
          <w:color w:val="000000" w:themeColor="text1"/>
          <w:kern w:val="0"/>
          <w:lang w:val="en-US" w:eastAsia="en-GB"/>
          <w14:ligatures w14:val="none"/>
        </w:rPr>
        <w:t>.</w:t>
      </w:r>
    </w:p>
    <w:p w14:paraId="293E46C3"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Satish, K. (2021). </w:t>
      </w:r>
      <w:r w:rsidRPr="00852F5C">
        <w:rPr>
          <w:rFonts w:ascii="Arial" w:eastAsiaTheme="minorEastAsia" w:hAnsi="Arial" w:cs="Arial"/>
          <w:i/>
          <w:color w:val="000000" w:themeColor="text1"/>
          <w:kern w:val="0"/>
          <w:lang w:val="en-US" w:eastAsia="en-GB"/>
          <w14:ligatures w14:val="none"/>
        </w:rPr>
        <w:t>Embracing Environmental Sustainability: The Case of Microsoft Corporation</w:t>
      </w:r>
      <w:r w:rsidRPr="00852F5C">
        <w:rPr>
          <w:rFonts w:ascii="Arial" w:eastAsiaTheme="minorEastAsia" w:hAnsi="Arial" w:cs="Arial"/>
          <w:color w:val="000000" w:themeColor="text1"/>
          <w:kern w:val="0"/>
          <w:lang w:val="en-US" w:eastAsia="en-GB"/>
          <w14:ligatures w14:val="none"/>
        </w:rPr>
        <w:t>. Available at SSRN: https://ssrn.com/abstract=3882786 or http://dx.doi.org/10.2139/ssrn.3882786.</w:t>
      </w:r>
    </w:p>
    <w:p w14:paraId="552D62A2"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Sehgal, G., Kee, D.M.H., Low, A.R., Chin, Y.S., Woo, E.M.Y., Lee, P.F. and Almutairi, F. (2020). 'Corporate Social Responsibility: A Case Study of Microsoft Corporation'. </w:t>
      </w:r>
      <w:r w:rsidRPr="00852F5C">
        <w:rPr>
          <w:rFonts w:ascii="Arial" w:eastAsiaTheme="minorEastAsia" w:hAnsi="Arial" w:cs="Arial"/>
          <w:i/>
          <w:color w:val="000000" w:themeColor="text1"/>
          <w:kern w:val="0"/>
          <w:lang w:val="en-US" w:eastAsia="en-GB"/>
          <w14:ligatures w14:val="none"/>
        </w:rPr>
        <w:t>Asia Pacific Journal of Management and Education</w:t>
      </w:r>
      <w:r w:rsidRPr="00852F5C">
        <w:rPr>
          <w:rFonts w:ascii="Arial" w:eastAsiaTheme="minorEastAsia" w:hAnsi="Arial" w:cs="Arial"/>
          <w:color w:val="000000" w:themeColor="text1"/>
          <w:kern w:val="0"/>
          <w:lang w:val="en-US" w:eastAsia="en-GB"/>
          <w14:ligatures w14:val="none"/>
        </w:rPr>
        <w:t xml:space="preserve">, 3 (1), pp.63–71.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://doi.org/10.32535/apjme.v3i1.744</w:t>
      </w:r>
      <w:proofErr w:type="gramEnd"/>
      <w:r w:rsidRPr="00852F5C">
        <w:rPr>
          <w:rFonts w:ascii="Arial" w:eastAsiaTheme="minorEastAsia" w:hAnsi="Arial" w:cs="Arial"/>
          <w:color w:val="000000" w:themeColor="text1"/>
          <w:kern w:val="0"/>
          <w:lang w:val="en-US" w:eastAsia="en-GB"/>
          <w14:ligatures w14:val="none"/>
        </w:rPr>
        <w:t>.</w:t>
      </w:r>
    </w:p>
    <w:p w14:paraId="492DB8BE"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Teevan</w:t>
      </w:r>
      <w:proofErr w:type="spellEnd"/>
      <w:r w:rsidRPr="00852F5C">
        <w:rPr>
          <w:rFonts w:ascii="Arial" w:eastAsiaTheme="minorEastAsia" w:hAnsi="Arial" w:cs="Arial"/>
          <w:color w:val="000000" w:themeColor="text1"/>
          <w:kern w:val="0"/>
          <w:lang w:val="en-US" w:eastAsia="en-GB"/>
          <w14:ligatures w14:val="none"/>
        </w:rPr>
        <w:t xml:space="preserve">, J., Hecht, B. and Jaffe, S. (2021). </w:t>
      </w:r>
      <w:r w:rsidRPr="00852F5C">
        <w:rPr>
          <w:rFonts w:ascii="Arial" w:eastAsiaTheme="minorEastAsia" w:hAnsi="Arial" w:cs="Arial"/>
          <w:i/>
          <w:color w:val="000000" w:themeColor="text1"/>
          <w:kern w:val="0"/>
          <w:lang w:val="en-US" w:eastAsia="en-GB"/>
          <w14:ligatures w14:val="none"/>
        </w:rPr>
        <w:t>The New Future of Work: Research from Microsoft on the Impact of the Pandemic on Work Practices, 1st ed.</w:t>
      </w:r>
      <w:r w:rsidRPr="00852F5C">
        <w:rPr>
          <w:rFonts w:ascii="Arial" w:eastAsiaTheme="minorEastAsia" w:hAnsi="Arial" w:cs="Arial"/>
          <w:color w:val="000000" w:themeColor="text1"/>
          <w:kern w:val="0"/>
          <w:lang w:val="en-US" w:eastAsia="en-GB"/>
          <w14:ligatures w14:val="none"/>
        </w:rPr>
        <w:t xml:space="preserve"> Microsoft, 2021.</w:t>
      </w:r>
    </w:p>
    <w:p w14:paraId="7A152D55"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Tran, C. T. H., Tran, H. T. M., Nguyen, H. T. N., Mach, D.N., Phan, H. S. P., and </w:t>
      </w:r>
      <w:proofErr w:type="gramStart"/>
      <w:r w:rsidRPr="00852F5C">
        <w:rPr>
          <w:rFonts w:ascii="Arial" w:eastAsiaTheme="minorEastAsia" w:hAnsi="Arial" w:cs="Arial"/>
          <w:color w:val="000000" w:themeColor="text1"/>
          <w:kern w:val="0"/>
          <w:lang w:val="en-US" w:eastAsia="en-GB"/>
          <w14:ligatures w14:val="none"/>
        </w:rPr>
        <w:t>Mujtaba,  B.</w:t>
      </w:r>
      <w:proofErr w:type="gramEnd"/>
      <w:r w:rsidRPr="00852F5C">
        <w:rPr>
          <w:rFonts w:ascii="Arial" w:eastAsiaTheme="minorEastAsia" w:hAnsi="Arial" w:cs="Arial"/>
          <w:color w:val="000000" w:themeColor="text1"/>
          <w:kern w:val="0"/>
          <w:lang w:val="en-US" w:eastAsia="en-GB"/>
          <w14:ligatures w14:val="none"/>
        </w:rPr>
        <w:t xml:space="preserve"> G. (2020). Stress Management in the Modern Workplace and the Role of Human Resource Professionals. </w:t>
      </w:r>
      <w:r w:rsidRPr="00852F5C">
        <w:rPr>
          <w:rFonts w:ascii="Arial" w:eastAsiaTheme="minorEastAsia" w:hAnsi="Arial" w:cs="Arial"/>
          <w:i/>
          <w:color w:val="000000" w:themeColor="text1"/>
          <w:kern w:val="0"/>
          <w:lang w:val="en-US" w:eastAsia="en-GB"/>
          <w14:ligatures w14:val="none"/>
        </w:rPr>
        <w:t>Business Ethics and Leadership</w:t>
      </w:r>
      <w:r w:rsidRPr="00852F5C">
        <w:rPr>
          <w:rFonts w:ascii="Arial" w:eastAsiaTheme="minorEastAsia" w:hAnsi="Arial" w:cs="Arial"/>
          <w:color w:val="000000" w:themeColor="text1"/>
          <w:kern w:val="0"/>
          <w:lang w:val="en-US" w:eastAsia="en-GB"/>
          <w14:ligatures w14:val="none"/>
        </w:rPr>
        <w:t>, 4(2), pp.26-40. https://doi.org/10.21272/bel.4(2).26-40.2020.</w:t>
      </w:r>
    </w:p>
    <w:p w14:paraId="19790DB1" w14:textId="77777777" w:rsidR="00852F5C" w:rsidRPr="00852F5C" w:rsidRDefault="00852F5C" w:rsidP="00852F5C">
      <w:pPr>
        <w:spacing w:before="240" w:after="0" w:line="360" w:lineRule="auto"/>
        <w:textAlignment w:val="baseline"/>
        <w:rPr>
          <w:rFonts w:ascii="Arial" w:eastAsiaTheme="minorEastAsia" w:hAnsi="Arial" w:cs="Arial"/>
          <w:color w:val="000000" w:themeColor="text1"/>
          <w:kern w:val="0"/>
          <w:lang w:val="en-US" w:eastAsia="en-GB"/>
          <w14:ligatures w14:val="none"/>
        </w:rPr>
      </w:pPr>
      <w:r w:rsidRPr="00852F5C">
        <w:rPr>
          <w:rFonts w:ascii="Arial" w:eastAsiaTheme="minorEastAsia" w:hAnsi="Arial" w:cs="Arial"/>
          <w:color w:val="000000" w:themeColor="text1"/>
          <w:kern w:val="0"/>
          <w:lang w:val="en-US" w:eastAsia="en-GB"/>
          <w14:ligatures w14:val="none"/>
        </w:rPr>
        <w:t xml:space="preserve">Tripathy, M. (2020). Dimensions of critical thinking in workplace management &amp; personal development: a conceptual analysis. </w:t>
      </w:r>
      <w:r w:rsidRPr="00852F5C">
        <w:rPr>
          <w:rFonts w:ascii="Arial" w:eastAsiaTheme="minorEastAsia" w:hAnsi="Arial" w:cs="Arial"/>
          <w:i/>
          <w:color w:val="000000" w:themeColor="text1"/>
          <w:kern w:val="0"/>
          <w:lang w:val="en-US" w:eastAsia="en-GB"/>
          <w14:ligatures w14:val="none"/>
        </w:rPr>
        <w:t>Multidisciplinary Journal for Education, Social and Technological Sciences</w:t>
      </w:r>
      <w:r w:rsidRPr="00852F5C">
        <w:rPr>
          <w:rFonts w:ascii="Arial" w:eastAsiaTheme="minorEastAsia" w:hAnsi="Arial" w:cs="Arial"/>
          <w:color w:val="000000" w:themeColor="text1"/>
          <w:kern w:val="0"/>
          <w:lang w:val="en-US" w:eastAsia="en-GB"/>
          <w14:ligatures w14:val="none"/>
        </w:rPr>
        <w:t xml:space="preserve">, [online] 7(2), p.1. </w:t>
      </w:r>
      <w:proofErr w:type="spellStart"/>
      <w:proofErr w:type="gramStart"/>
      <w:r w:rsidRPr="00852F5C">
        <w:rPr>
          <w:rFonts w:ascii="Arial" w:eastAsiaTheme="minorEastAsia" w:hAnsi="Arial" w:cs="Arial"/>
          <w:color w:val="000000" w:themeColor="text1"/>
          <w:kern w:val="0"/>
          <w:lang w:val="en-US" w:eastAsia="en-GB"/>
          <w14:ligatures w14:val="none"/>
        </w:rPr>
        <w:t>doi:https</w:t>
      </w:r>
      <w:proofErr w:type="spellEnd"/>
      <w:r w:rsidRPr="00852F5C">
        <w:rPr>
          <w:rFonts w:ascii="Arial" w:eastAsiaTheme="minorEastAsia" w:hAnsi="Arial" w:cs="Arial"/>
          <w:color w:val="000000" w:themeColor="text1"/>
          <w:kern w:val="0"/>
          <w:lang w:val="en-US" w:eastAsia="en-GB"/>
          <w14:ligatures w14:val="none"/>
        </w:rPr>
        <w:t>://doi.org/10.4995/muse.2020.12925</w:t>
      </w:r>
      <w:proofErr w:type="gramEnd"/>
      <w:r w:rsidRPr="00852F5C">
        <w:rPr>
          <w:rFonts w:ascii="Arial" w:eastAsiaTheme="minorEastAsia" w:hAnsi="Arial" w:cs="Arial"/>
          <w:color w:val="000000" w:themeColor="text1"/>
          <w:kern w:val="0"/>
          <w:lang w:val="en-US" w:eastAsia="en-GB"/>
          <w14:ligatures w14:val="none"/>
        </w:rPr>
        <w:t>.</w:t>
      </w:r>
    </w:p>
    <w:p w14:paraId="540F03DC" w14:textId="77777777" w:rsidR="00852F5C" w:rsidRPr="00852F5C" w:rsidRDefault="00852F5C" w:rsidP="00852F5C">
      <w:pPr>
        <w:spacing w:before="240" w:after="0" w:line="360" w:lineRule="auto"/>
        <w:rPr>
          <w:rFonts w:ascii="Arial" w:eastAsiaTheme="minorEastAsia" w:hAnsi="Arial" w:cs="Arial"/>
          <w:color w:val="000000" w:themeColor="text1"/>
          <w:kern w:val="0"/>
          <w:lang w:val="en-US" w:eastAsia="en-GB"/>
          <w14:ligatures w14:val="none"/>
        </w:rPr>
      </w:pPr>
      <w:proofErr w:type="spellStart"/>
      <w:r w:rsidRPr="00852F5C">
        <w:rPr>
          <w:rFonts w:ascii="Arial" w:eastAsiaTheme="minorEastAsia" w:hAnsi="Arial" w:cs="Arial"/>
          <w:color w:val="000000" w:themeColor="text1"/>
          <w:kern w:val="0"/>
          <w:lang w:val="en-US" w:eastAsia="en-GB"/>
          <w14:ligatures w14:val="none"/>
        </w:rPr>
        <w:t>Wulandari</w:t>
      </w:r>
      <w:proofErr w:type="spellEnd"/>
      <w:r w:rsidRPr="00852F5C">
        <w:rPr>
          <w:rFonts w:ascii="Arial" w:eastAsiaTheme="minorEastAsia" w:hAnsi="Arial" w:cs="Arial"/>
          <w:color w:val="000000" w:themeColor="text1"/>
          <w:kern w:val="0"/>
          <w:lang w:val="en-US" w:eastAsia="en-GB"/>
          <w14:ligatures w14:val="none"/>
        </w:rPr>
        <w:t xml:space="preserve">, R., </w:t>
      </w:r>
      <w:proofErr w:type="spellStart"/>
      <w:r w:rsidRPr="00852F5C">
        <w:rPr>
          <w:rFonts w:ascii="Arial" w:eastAsiaTheme="minorEastAsia" w:hAnsi="Arial" w:cs="Arial"/>
          <w:color w:val="000000" w:themeColor="text1"/>
          <w:kern w:val="0"/>
          <w:lang w:val="en-US" w:eastAsia="en-GB"/>
          <w14:ligatures w14:val="none"/>
        </w:rPr>
        <w:t>Baedhowi</w:t>
      </w:r>
      <w:proofErr w:type="spellEnd"/>
      <w:r w:rsidRPr="00852F5C">
        <w:rPr>
          <w:rFonts w:ascii="Arial" w:eastAsiaTheme="minorEastAsia" w:hAnsi="Arial" w:cs="Arial"/>
          <w:color w:val="000000" w:themeColor="text1"/>
          <w:kern w:val="0"/>
          <w:lang w:val="en-US" w:eastAsia="en-GB"/>
          <w14:ligatures w14:val="none"/>
        </w:rPr>
        <w:t xml:space="preserve">, and </w:t>
      </w:r>
      <w:proofErr w:type="spellStart"/>
      <w:r w:rsidRPr="00852F5C">
        <w:rPr>
          <w:rFonts w:ascii="Arial" w:eastAsiaTheme="minorEastAsia" w:hAnsi="Arial" w:cs="Arial"/>
          <w:color w:val="000000" w:themeColor="text1"/>
          <w:kern w:val="0"/>
          <w:lang w:val="en-US" w:eastAsia="en-GB"/>
          <w14:ligatures w14:val="none"/>
        </w:rPr>
        <w:t>Hindrayani</w:t>
      </w:r>
      <w:proofErr w:type="spellEnd"/>
      <w:r w:rsidRPr="00852F5C">
        <w:rPr>
          <w:rFonts w:ascii="Arial" w:eastAsiaTheme="minorEastAsia" w:hAnsi="Arial" w:cs="Arial"/>
          <w:color w:val="000000" w:themeColor="text1"/>
          <w:kern w:val="0"/>
          <w:lang w:val="en-US" w:eastAsia="en-GB"/>
          <w14:ligatures w14:val="none"/>
        </w:rPr>
        <w:t xml:space="preserve">, A. (2021). Measuring Critical Thinking Skills with the RED Model. </w:t>
      </w:r>
      <w:r w:rsidRPr="00852F5C">
        <w:rPr>
          <w:rFonts w:ascii="Arial" w:eastAsiaTheme="minorEastAsia" w:hAnsi="Arial" w:cs="Arial"/>
          <w:i/>
          <w:color w:val="000000" w:themeColor="text1"/>
          <w:kern w:val="0"/>
          <w:lang w:val="en-US" w:eastAsia="en-GB"/>
          <w14:ligatures w14:val="none"/>
        </w:rPr>
        <w:t>Journal of Physics: Conference Series</w:t>
      </w:r>
      <w:r w:rsidRPr="00852F5C">
        <w:rPr>
          <w:rFonts w:ascii="Arial" w:eastAsiaTheme="minorEastAsia" w:hAnsi="Arial" w:cs="Arial"/>
          <w:color w:val="000000" w:themeColor="text1"/>
          <w:kern w:val="0"/>
          <w:lang w:val="en-US" w:eastAsia="en-GB"/>
          <w14:ligatures w14:val="none"/>
        </w:rPr>
        <w:t>, 1808.</w:t>
      </w:r>
    </w:p>
    <w:p w14:paraId="490A9A16" w14:textId="77777777" w:rsidR="00954C8B" w:rsidRDefault="00954C8B"/>
    <w:sectPr w:rsidR="00954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kit-standar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022BE"/>
    <w:multiLevelType w:val="hybridMultilevel"/>
    <w:tmpl w:val="EABCE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5087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5C"/>
    <w:rsid w:val="001B3784"/>
    <w:rsid w:val="0028515D"/>
    <w:rsid w:val="00483553"/>
    <w:rsid w:val="0054220D"/>
    <w:rsid w:val="00697CD1"/>
    <w:rsid w:val="008138C1"/>
    <w:rsid w:val="00852F5C"/>
    <w:rsid w:val="008C4E29"/>
    <w:rsid w:val="00954C8B"/>
    <w:rsid w:val="00B478A4"/>
    <w:rsid w:val="00CD5215"/>
    <w:rsid w:val="00F52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5219"/>
  <w15:chartTrackingRefBased/>
  <w15:docId w15:val="{D4ADD4D5-4C33-480A-9F1A-DE686C45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crosoft.com/en-us/about" TargetMode="External"/><Relationship Id="rId5" Type="http://schemas.openxmlformats.org/officeDocument/2006/relationships/hyperlink" Target="https://doi.org/10.2307/25790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Pages>
  <Words>7859</Words>
  <Characters>44798</Characters>
  <Application>Microsoft Office Word</Application>
  <DocSecurity>0</DocSecurity>
  <Lines>373</Lines>
  <Paragraphs>105</Paragraphs>
  <ScaleCrop>false</ScaleCrop>
  <Company/>
  <LinksUpToDate>false</LinksUpToDate>
  <CharactersWithSpaces>52552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Dimitrichka Dimitrova</dc:creator>
  <cp:keywords/>
  <dc:description/>
  <cp:lastModifiedBy>Dimitrichka Dimitrova</cp:lastModifiedBy>
  <cp:revision>11</cp:revision>
  <dcterms:created xsi:type="dcterms:W3CDTF">2023-04-12T21:11:00Z</dcterms:created>
  <dcterms:modified xsi:type="dcterms:W3CDTF">2023-04-24T21:09:00Z</dcterms:modified>
</cp:coreProperties>
</file>