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BD1F22" w14:textId="77777777" w:rsidR="00A47764" w:rsidRDefault="00A47764" w:rsidP="00A47764">
      <w:pPr>
        <w:jc w:val="center"/>
        <w:rPr>
          <w:rFonts w:ascii="Times New Roman" w:hAnsi="Times New Roman" w:cs="Times New Roman"/>
          <w:b/>
          <w:bCs/>
          <w:sz w:val="32"/>
          <w:szCs w:val="32"/>
        </w:rPr>
      </w:pPr>
    </w:p>
    <w:p w14:paraId="35603065" w14:textId="77777777" w:rsidR="00A47764" w:rsidRDefault="00A47764" w:rsidP="00A47764">
      <w:pPr>
        <w:jc w:val="center"/>
        <w:rPr>
          <w:rFonts w:ascii="Times New Roman" w:hAnsi="Times New Roman" w:cs="Times New Roman"/>
          <w:b/>
          <w:bCs/>
          <w:sz w:val="32"/>
          <w:szCs w:val="32"/>
        </w:rPr>
      </w:pPr>
      <w:r>
        <w:rPr>
          <w:rFonts w:ascii="Times New Roman" w:hAnsi="Times New Roman" w:cs="Times New Roman"/>
          <w:b/>
          <w:bCs/>
          <w:sz w:val="32"/>
          <w:szCs w:val="32"/>
        </w:rPr>
        <w:t>Health, Wellbeing and Sustainable Development</w:t>
      </w:r>
    </w:p>
    <w:p w14:paraId="462D72C0" w14:textId="77777777" w:rsidR="00A47764" w:rsidRDefault="00A47764" w:rsidP="00A47764">
      <w:pPr>
        <w:jc w:val="center"/>
        <w:rPr>
          <w:rFonts w:ascii="Times New Roman" w:hAnsi="Times New Roman" w:cs="Times New Roman"/>
          <w:b/>
          <w:bCs/>
          <w:sz w:val="32"/>
          <w:szCs w:val="32"/>
        </w:rPr>
      </w:pPr>
    </w:p>
    <w:p w14:paraId="58980458" w14:textId="77777777" w:rsidR="00A47764" w:rsidRDefault="00A47764" w:rsidP="00A47764">
      <w:pPr>
        <w:jc w:val="center"/>
        <w:rPr>
          <w:rFonts w:cs="Times New Roman"/>
          <w:b/>
          <w:bCs/>
          <w:sz w:val="32"/>
          <w:szCs w:val="32"/>
          <w:lang w:val="en-GB"/>
        </w:rPr>
      </w:pPr>
      <w:r>
        <w:rPr>
          <w:rFonts w:ascii="Times New Roman" w:hAnsi="Times New Roman" w:cs="Times New Roman"/>
          <w:b/>
          <w:bCs/>
          <w:sz w:val="32"/>
          <w:szCs w:val="32"/>
        </w:rPr>
        <w:t xml:space="preserve">Module Code: </w:t>
      </w:r>
      <w:r>
        <w:rPr>
          <w:rFonts w:cs="Times New Roman"/>
          <w:b/>
          <w:bCs/>
          <w:sz w:val="32"/>
          <w:szCs w:val="32"/>
          <w:lang w:val="en-GB"/>
        </w:rPr>
        <w:t>BMHP6030</w:t>
      </w:r>
    </w:p>
    <w:p w14:paraId="5AEB8094" w14:textId="77777777" w:rsidR="00A47764" w:rsidRDefault="00A47764" w:rsidP="00A47764">
      <w:pPr>
        <w:jc w:val="center"/>
        <w:rPr>
          <w:rFonts w:cs="Times New Roman"/>
          <w:b/>
          <w:bCs/>
          <w:sz w:val="32"/>
          <w:szCs w:val="32"/>
          <w:lang w:val="en-GB"/>
        </w:rPr>
      </w:pPr>
    </w:p>
    <w:p w14:paraId="17B09B17" w14:textId="77777777" w:rsidR="00A47764" w:rsidRPr="00A47764" w:rsidRDefault="00A47764" w:rsidP="00A47764">
      <w:pPr>
        <w:ind w:firstLine="0"/>
        <w:jc w:val="center"/>
        <w:rPr>
          <w:rFonts w:ascii="Times New Roman" w:hAnsi="Times New Roman" w:cs="Times New Roman"/>
          <w:b/>
          <w:bCs/>
          <w:sz w:val="32"/>
          <w:szCs w:val="32"/>
          <w:lang w:val="nl-NL"/>
        </w:rPr>
      </w:pPr>
      <w:r w:rsidRPr="00A47764">
        <w:rPr>
          <w:rFonts w:ascii="Times New Roman" w:hAnsi="Times New Roman" w:cs="Times New Roman"/>
          <w:b/>
          <w:bCs/>
          <w:sz w:val="32"/>
          <w:szCs w:val="32"/>
          <w:lang w:val="nl-NL"/>
        </w:rPr>
        <w:t>Student Name: Aneliya Zoykova</w:t>
      </w:r>
    </w:p>
    <w:p w14:paraId="6D3A755A" w14:textId="77777777" w:rsidR="00A47764" w:rsidRPr="00A47764" w:rsidRDefault="00A47764" w:rsidP="00A47764">
      <w:pPr>
        <w:ind w:firstLine="0"/>
        <w:jc w:val="center"/>
        <w:rPr>
          <w:rFonts w:ascii="Times New Roman" w:hAnsi="Times New Roman" w:cs="Times New Roman"/>
          <w:b/>
          <w:bCs/>
          <w:sz w:val="32"/>
          <w:szCs w:val="32"/>
          <w:lang w:val="nl-NL"/>
        </w:rPr>
      </w:pPr>
      <w:r w:rsidRPr="00A47764">
        <w:rPr>
          <w:rFonts w:ascii="Times New Roman" w:hAnsi="Times New Roman" w:cs="Times New Roman"/>
          <w:b/>
          <w:bCs/>
          <w:sz w:val="32"/>
          <w:szCs w:val="32"/>
          <w:lang w:val="nl-NL"/>
        </w:rPr>
        <w:t>Student ID: 2027267</w:t>
      </w:r>
    </w:p>
    <w:p w14:paraId="76B50024" w14:textId="77777777" w:rsidR="00A47764" w:rsidRDefault="00A47764" w:rsidP="00A47764">
      <w:pPr>
        <w:ind w:firstLine="0"/>
        <w:jc w:val="center"/>
        <w:rPr>
          <w:rFonts w:ascii="Times New Roman" w:hAnsi="Times New Roman" w:cs="Times New Roman"/>
          <w:b/>
          <w:bCs/>
          <w:sz w:val="32"/>
          <w:szCs w:val="32"/>
        </w:rPr>
      </w:pPr>
      <w:r>
        <w:rPr>
          <w:rFonts w:ascii="Times New Roman" w:hAnsi="Times New Roman" w:cs="Times New Roman"/>
          <w:b/>
          <w:bCs/>
          <w:sz w:val="32"/>
          <w:szCs w:val="32"/>
        </w:rPr>
        <w:t xml:space="preserve">Lecturer: Tomy </w:t>
      </w:r>
      <w:proofErr w:type="spellStart"/>
      <w:r>
        <w:rPr>
          <w:rFonts w:ascii="Times New Roman" w:hAnsi="Times New Roman" w:cs="Times New Roman"/>
          <w:b/>
          <w:bCs/>
          <w:sz w:val="32"/>
          <w:szCs w:val="32"/>
        </w:rPr>
        <w:t>Adattu</w:t>
      </w:r>
      <w:proofErr w:type="spellEnd"/>
      <w:r>
        <w:rPr>
          <w:rFonts w:ascii="Times New Roman" w:hAnsi="Times New Roman" w:cs="Times New Roman"/>
          <w:b/>
          <w:bCs/>
          <w:sz w:val="32"/>
          <w:szCs w:val="32"/>
        </w:rPr>
        <w:t xml:space="preserve"> Chacko</w:t>
      </w:r>
    </w:p>
    <w:p w14:paraId="18D36E6D" w14:textId="77777777" w:rsidR="00A47764" w:rsidRDefault="00A47764" w:rsidP="00A47764">
      <w:pPr>
        <w:ind w:firstLine="0"/>
        <w:jc w:val="center"/>
        <w:rPr>
          <w:rFonts w:ascii="Times New Roman" w:hAnsi="Times New Roman" w:cs="Times New Roman"/>
          <w:b/>
          <w:bCs/>
          <w:sz w:val="24"/>
          <w:szCs w:val="24"/>
        </w:rPr>
      </w:pPr>
      <w:r>
        <w:rPr>
          <w:rFonts w:ascii="Times New Roman" w:hAnsi="Times New Roman" w:cs="Times New Roman"/>
          <w:b/>
          <w:bCs/>
          <w:kern w:val="0"/>
          <w:sz w:val="24"/>
          <w:szCs w:val="24"/>
          <w14:ligatures w14:val="none"/>
        </w:rPr>
        <w:br w:type="page"/>
      </w:r>
    </w:p>
    <w:sdt>
      <w:sdtPr>
        <w:rPr>
          <w:rFonts w:asciiTheme="minorHAnsi" w:eastAsiaTheme="minorHAnsi" w:hAnsiTheme="minorHAnsi" w:cstheme="minorBidi"/>
          <w:color w:val="auto"/>
          <w:sz w:val="22"/>
          <w:szCs w:val="22"/>
          <w:lang w:val="en-IN"/>
        </w:rPr>
        <w:id w:val="-395285808"/>
        <w:docPartObj>
          <w:docPartGallery w:val="Table of Contents"/>
          <w:docPartUnique/>
        </w:docPartObj>
      </w:sdtPr>
      <w:sdtContent>
        <w:p w14:paraId="023FFD21" w14:textId="77777777" w:rsidR="00A47764" w:rsidRDefault="00A47764" w:rsidP="00A47764">
          <w:pPr>
            <w:pStyle w:val="TOCHeading"/>
            <w:jc w:val="cente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Table of Contents</w:t>
          </w:r>
        </w:p>
        <w:p w14:paraId="6BDE90EF" w14:textId="77777777" w:rsidR="00A47764" w:rsidRDefault="00A47764" w:rsidP="00A47764">
          <w:pPr>
            <w:rPr>
              <w:rFonts w:ascii="Times New Roman" w:hAnsi="Times New Roman" w:cs="Times New Roman"/>
              <w:sz w:val="24"/>
              <w:szCs w:val="24"/>
              <w:lang w:val="en-US"/>
            </w:rPr>
          </w:pPr>
        </w:p>
        <w:p w14:paraId="546B18A3" w14:textId="77777777" w:rsidR="00A47764" w:rsidRDefault="00A47764" w:rsidP="00A47764">
          <w:pPr>
            <w:pStyle w:val="TOC1"/>
            <w:tabs>
              <w:tab w:val="right" w:leader="dot" w:pos="9016"/>
            </w:tabs>
            <w:ind w:firstLine="0"/>
            <w:rPr>
              <w:rFonts w:ascii="Times New Roman" w:eastAsiaTheme="minorEastAsia" w:hAnsi="Times New Roman" w:cs="Times New Roman"/>
              <w:noProof/>
              <w:sz w:val="24"/>
              <w:szCs w:val="24"/>
              <w:lang w:eastAsia="en-IN"/>
            </w:rPr>
          </w:pP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TOC \o "1-3" \h \z \u </w:instrText>
          </w:r>
          <w:r>
            <w:rPr>
              <w:rFonts w:ascii="Times New Roman" w:hAnsi="Times New Roman" w:cs="Times New Roman"/>
              <w:color w:val="000000" w:themeColor="text1"/>
              <w:sz w:val="24"/>
              <w:szCs w:val="24"/>
            </w:rPr>
            <w:fldChar w:fldCharType="separate"/>
          </w:r>
          <w:hyperlink r:id="rId4" w:anchor="_Toc221720590" w:history="1">
            <w:r>
              <w:rPr>
                <w:rStyle w:val="Hyperlink"/>
                <w:rFonts w:ascii="Times New Roman" w:hAnsi="Times New Roman" w:cs="Times New Roman"/>
                <w:noProof/>
                <w:sz w:val="24"/>
                <w:szCs w:val="24"/>
              </w:rPr>
              <w:t>Introduction</w:t>
            </w:r>
            <w:r>
              <w:rPr>
                <w:rStyle w:val="Hyperlink"/>
                <w:rFonts w:ascii="Times New Roman" w:hAnsi="Times New Roman" w:cs="Times New Roman"/>
                <w:noProof/>
                <w:webHidden/>
                <w:color w:val="auto"/>
                <w:sz w:val="24"/>
                <w:szCs w:val="24"/>
              </w:rPr>
              <w:tab/>
            </w:r>
            <w:r>
              <w:rPr>
                <w:rStyle w:val="Hyperlink"/>
                <w:rFonts w:ascii="Times New Roman" w:hAnsi="Times New Roman" w:cs="Times New Roman"/>
                <w:noProof/>
                <w:webHidden/>
                <w:color w:val="auto"/>
                <w:sz w:val="24"/>
                <w:szCs w:val="24"/>
              </w:rPr>
              <w:fldChar w:fldCharType="begin"/>
            </w:r>
            <w:r>
              <w:rPr>
                <w:rStyle w:val="Hyperlink"/>
                <w:rFonts w:ascii="Times New Roman" w:hAnsi="Times New Roman" w:cs="Times New Roman"/>
                <w:noProof/>
                <w:webHidden/>
                <w:color w:val="auto"/>
                <w:sz w:val="24"/>
                <w:szCs w:val="24"/>
              </w:rPr>
              <w:instrText xml:space="preserve"> PAGEREF _Toc221720590 \h </w:instrText>
            </w:r>
            <w:r>
              <w:rPr>
                <w:rStyle w:val="Hyperlink"/>
                <w:rFonts w:ascii="Times New Roman" w:hAnsi="Times New Roman" w:cs="Times New Roman"/>
                <w:noProof/>
                <w:webHidden/>
                <w:color w:val="auto"/>
                <w:sz w:val="24"/>
                <w:szCs w:val="24"/>
              </w:rPr>
            </w:r>
            <w:r>
              <w:rPr>
                <w:rStyle w:val="Hyperlink"/>
                <w:rFonts w:ascii="Times New Roman" w:hAnsi="Times New Roman" w:cs="Times New Roman"/>
                <w:noProof/>
                <w:webHidden/>
                <w:color w:val="auto"/>
                <w:sz w:val="24"/>
                <w:szCs w:val="24"/>
              </w:rPr>
              <w:fldChar w:fldCharType="separate"/>
            </w:r>
            <w:r>
              <w:rPr>
                <w:rStyle w:val="Hyperlink"/>
                <w:rFonts w:ascii="Times New Roman" w:hAnsi="Times New Roman" w:cs="Times New Roman"/>
                <w:noProof/>
                <w:webHidden/>
                <w:color w:val="auto"/>
                <w:sz w:val="24"/>
                <w:szCs w:val="24"/>
              </w:rPr>
              <w:t>3</w:t>
            </w:r>
            <w:r>
              <w:rPr>
                <w:rStyle w:val="Hyperlink"/>
                <w:rFonts w:ascii="Times New Roman" w:hAnsi="Times New Roman" w:cs="Times New Roman"/>
                <w:noProof/>
                <w:webHidden/>
                <w:color w:val="auto"/>
                <w:sz w:val="24"/>
                <w:szCs w:val="24"/>
              </w:rPr>
              <w:fldChar w:fldCharType="end"/>
            </w:r>
          </w:hyperlink>
        </w:p>
        <w:p w14:paraId="2B9D00B4" w14:textId="77777777" w:rsidR="00A47764" w:rsidRDefault="00A47764" w:rsidP="00A47764">
          <w:pPr>
            <w:pStyle w:val="TOC1"/>
            <w:tabs>
              <w:tab w:val="right" w:leader="dot" w:pos="9016"/>
            </w:tabs>
            <w:ind w:firstLine="0"/>
            <w:rPr>
              <w:rFonts w:ascii="Times New Roman" w:eastAsiaTheme="minorEastAsia" w:hAnsi="Times New Roman" w:cs="Times New Roman"/>
              <w:noProof/>
              <w:sz w:val="24"/>
              <w:szCs w:val="24"/>
              <w:lang w:eastAsia="en-IN"/>
            </w:rPr>
          </w:pPr>
          <w:hyperlink r:id="rId5" w:anchor="_Toc221720591" w:history="1">
            <w:r>
              <w:rPr>
                <w:rStyle w:val="Hyperlink"/>
                <w:rFonts w:ascii="Times New Roman" w:hAnsi="Times New Roman" w:cs="Times New Roman"/>
                <w:noProof/>
                <w:sz w:val="24"/>
                <w:szCs w:val="24"/>
              </w:rPr>
              <w:t>Models of Health and Wellbeing in Health and  Social Care</w:t>
            </w:r>
            <w:r>
              <w:rPr>
                <w:rStyle w:val="Hyperlink"/>
                <w:rFonts w:ascii="Times New Roman" w:hAnsi="Times New Roman" w:cs="Times New Roman"/>
                <w:noProof/>
                <w:webHidden/>
                <w:color w:val="auto"/>
                <w:sz w:val="24"/>
                <w:szCs w:val="24"/>
              </w:rPr>
              <w:tab/>
            </w:r>
            <w:r>
              <w:rPr>
                <w:rStyle w:val="Hyperlink"/>
                <w:rFonts w:ascii="Times New Roman" w:hAnsi="Times New Roman" w:cs="Times New Roman"/>
                <w:noProof/>
                <w:webHidden/>
                <w:color w:val="auto"/>
                <w:sz w:val="24"/>
                <w:szCs w:val="24"/>
              </w:rPr>
              <w:fldChar w:fldCharType="begin"/>
            </w:r>
            <w:r>
              <w:rPr>
                <w:rStyle w:val="Hyperlink"/>
                <w:rFonts w:ascii="Times New Roman" w:hAnsi="Times New Roman" w:cs="Times New Roman"/>
                <w:noProof/>
                <w:webHidden/>
                <w:color w:val="auto"/>
                <w:sz w:val="24"/>
                <w:szCs w:val="24"/>
              </w:rPr>
              <w:instrText xml:space="preserve"> PAGEREF _Toc221720591 \h </w:instrText>
            </w:r>
            <w:r>
              <w:rPr>
                <w:rStyle w:val="Hyperlink"/>
                <w:rFonts w:ascii="Times New Roman" w:hAnsi="Times New Roman" w:cs="Times New Roman"/>
                <w:noProof/>
                <w:webHidden/>
                <w:color w:val="auto"/>
                <w:sz w:val="24"/>
                <w:szCs w:val="24"/>
              </w:rPr>
            </w:r>
            <w:r>
              <w:rPr>
                <w:rStyle w:val="Hyperlink"/>
                <w:rFonts w:ascii="Times New Roman" w:hAnsi="Times New Roman" w:cs="Times New Roman"/>
                <w:noProof/>
                <w:webHidden/>
                <w:color w:val="auto"/>
                <w:sz w:val="24"/>
                <w:szCs w:val="24"/>
              </w:rPr>
              <w:fldChar w:fldCharType="separate"/>
            </w:r>
            <w:r>
              <w:rPr>
                <w:rStyle w:val="Hyperlink"/>
                <w:rFonts w:ascii="Times New Roman" w:hAnsi="Times New Roman" w:cs="Times New Roman"/>
                <w:noProof/>
                <w:webHidden/>
                <w:color w:val="auto"/>
                <w:sz w:val="24"/>
                <w:szCs w:val="24"/>
              </w:rPr>
              <w:t>4</w:t>
            </w:r>
            <w:r>
              <w:rPr>
                <w:rStyle w:val="Hyperlink"/>
                <w:rFonts w:ascii="Times New Roman" w:hAnsi="Times New Roman" w:cs="Times New Roman"/>
                <w:noProof/>
                <w:webHidden/>
                <w:color w:val="auto"/>
                <w:sz w:val="24"/>
                <w:szCs w:val="24"/>
              </w:rPr>
              <w:fldChar w:fldCharType="end"/>
            </w:r>
          </w:hyperlink>
        </w:p>
        <w:p w14:paraId="4130CAEA" w14:textId="77777777" w:rsidR="00A47764" w:rsidRDefault="00A47764" w:rsidP="00A47764">
          <w:pPr>
            <w:pStyle w:val="TOC1"/>
            <w:tabs>
              <w:tab w:val="right" w:leader="dot" w:pos="9016"/>
            </w:tabs>
            <w:ind w:firstLine="0"/>
            <w:rPr>
              <w:rFonts w:ascii="Times New Roman" w:eastAsiaTheme="minorEastAsia" w:hAnsi="Times New Roman" w:cs="Times New Roman"/>
              <w:noProof/>
              <w:sz w:val="24"/>
              <w:szCs w:val="24"/>
              <w:lang w:eastAsia="en-IN"/>
            </w:rPr>
          </w:pPr>
          <w:hyperlink r:id="rId6" w:anchor="_Toc221720592" w:history="1">
            <w:r>
              <w:rPr>
                <w:rStyle w:val="Hyperlink"/>
                <w:rFonts w:ascii="Times New Roman" w:hAnsi="Times New Roman" w:cs="Times New Roman"/>
                <w:noProof/>
                <w:sz w:val="24"/>
                <w:szCs w:val="24"/>
              </w:rPr>
              <w:t>Health Initiatives at the Global, National, and Local Levels</w:t>
            </w:r>
            <w:r>
              <w:rPr>
                <w:rStyle w:val="Hyperlink"/>
                <w:rFonts w:ascii="Times New Roman" w:hAnsi="Times New Roman" w:cs="Times New Roman"/>
                <w:noProof/>
                <w:webHidden/>
                <w:color w:val="auto"/>
                <w:sz w:val="24"/>
                <w:szCs w:val="24"/>
              </w:rPr>
              <w:tab/>
            </w:r>
            <w:r>
              <w:rPr>
                <w:rStyle w:val="Hyperlink"/>
                <w:rFonts w:ascii="Times New Roman" w:hAnsi="Times New Roman" w:cs="Times New Roman"/>
                <w:noProof/>
                <w:webHidden/>
                <w:color w:val="auto"/>
                <w:sz w:val="24"/>
                <w:szCs w:val="24"/>
              </w:rPr>
              <w:fldChar w:fldCharType="begin"/>
            </w:r>
            <w:r>
              <w:rPr>
                <w:rStyle w:val="Hyperlink"/>
                <w:rFonts w:ascii="Times New Roman" w:hAnsi="Times New Roman" w:cs="Times New Roman"/>
                <w:noProof/>
                <w:webHidden/>
                <w:color w:val="auto"/>
                <w:sz w:val="24"/>
                <w:szCs w:val="24"/>
              </w:rPr>
              <w:instrText xml:space="preserve"> PAGEREF _Toc221720592 \h </w:instrText>
            </w:r>
            <w:r>
              <w:rPr>
                <w:rStyle w:val="Hyperlink"/>
                <w:rFonts w:ascii="Times New Roman" w:hAnsi="Times New Roman" w:cs="Times New Roman"/>
                <w:noProof/>
                <w:webHidden/>
                <w:color w:val="auto"/>
                <w:sz w:val="24"/>
                <w:szCs w:val="24"/>
              </w:rPr>
            </w:r>
            <w:r>
              <w:rPr>
                <w:rStyle w:val="Hyperlink"/>
                <w:rFonts w:ascii="Times New Roman" w:hAnsi="Times New Roman" w:cs="Times New Roman"/>
                <w:noProof/>
                <w:webHidden/>
                <w:color w:val="auto"/>
                <w:sz w:val="24"/>
                <w:szCs w:val="24"/>
              </w:rPr>
              <w:fldChar w:fldCharType="separate"/>
            </w:r>
            <w:r>
              <w:rPr>
                <w:rStyle w:val="Hyperlink"/>
                <w:rFonts w:ascii="Times New Roman" w:hAnsi="Times New Roman" w:cs="Times New Roman"/>
                <w:noProof/>
                <w:webHidden/>
                <w:color w:val="auto"/>
                <w:sz w:val="24"/>
                <w:szCs w:val="24"/>
              </w:rPr>
              <w:t>6</w:t>
            </w:r>
            <w:r>
              <w:rPr>
                <w:rStyle w:val="Hyperlink"/>
                <w:rFonts w:ascii="Times New Roman" w:hAnsi="Times New Roman" w:cs="Times New Roman"/>
                <w:noProof/>
                <w:webHidden/>
                <w:color w:val="auto"/>
                <w:sz w:val="24"/>
                <w:szCs w:val="24"/>
              </w:rPr>
              <w:fldChar w:fldCharType="end"/>
            </w:r>
          </w:hyperlink>
        </w:p>
        <w:p w14:paraId="07E53E77" w14:textId="77777777" w:rsidR="00A47764" w:rsidRDefault="00A47764" w:rsidP="00A47764">
          <w:pPr>
            <w:pStyle w:val="TOC1"/>
            <w:tabs>
              <w:tab w:val="right" w:leader="dot" w:pos="9016"/>
            </w:tabs>
            <w:ind w:firstLine="0"/>
            <w:rPr>
              <w:rFonts w:ascii="Times New Roman" w:eastAsiaTheme="minorEastAsia" w:hAnsi="Times New Roman" w:cs="Times New Roman"/>
              <w:noProof/>
              <w:sz w:val="24"/>
              <w:szCs w:val="24"/>
              <w:lang w:eastAsia="en-IN"/>
            </w:rPr>
          </w:pPr>
          <w:hyperlink r:id="rId7" w:anchor="_Toc221720593" w:history="1">
            <w:r>
              <w:rPr>
                <w:rStyle w:val="Hyperlink"/>
                <w:rFonts w:ascii="Times New Roman" w:hAnsi="Times New Roman" w:cs="Times New Roman"/>
                <w:noProof/>
                <w:sz w:val="24"/>
                <w:szCs w:val="24"/>
              </w:rPr>
              <w:t>Emerging technologies and innovation within health and social care</w:t>
            </w:r>
            <w:r>
              <w:rPr>
                <w:rStyle w:val="Hyperlink"/>
                <w:rFonts w:ascii="Times New Roman" w:hAnsi="Times New Roman" w:cs="Times New Roman"/>
                <w:noProof/>
                <w:webHidden/>
                <w:color w:val="auto"/>
                <w:sz w:val="24"/>
                <w:szCs w:val="24"/>
              </w:rPr>
              <w:tab/>
            </w:r>
            <w:r>
              <w:rPr>
                <w:rStyle w:val="Hyperlink"/>
                <w:rFonts w:ascii="Times New Roman" w:hAnsi="Times New Roman" w:cs="Times New Roman"/>
                <w:noProof/>
                <w:webHidden/>
                <w:color w:val="auto"/>
                <w:sz w:val="24"/>
                <w:szCs w:val="24"/>
              </w:rPr>
              <w:fldChar w:fldCharType="begin"/>
            </w:r>
            <w:r>
              <w:rPr>
                <w:rStyle w:val="Hyperlink"/>
                <w:rFonts w:ascii="Times New Roman" w:hAnsi="Times New Roman" w:cs="Times New Roman"/>
                <w:noProof/>
                <w:webHidden/>
                <w:color w:val="auto"/>
                <w:sz w:val="24"/>
                <w:szCs w:val="24"/>
              </w:rPr>
              <w:instrText xml:space="preserve"> PAGEREF _Toc221720593 \h </w:instrText>
            </w:r>
            <w:r>
              <w:rPr>
                <w:rStyle w:val="Hyperlink"/>
                <w:rFonts w:ascii="Times New Roman" w:hAnsi="Times New Roman" w:cs="Times New Roman"/>
                <w:noProof/>
                <w:webHidden/>
                <w:color w:val="auto"/>
                <w:sz w:val="24"/>
                <w:szCs w:val="24"/>
              </w:rPr>
            </w:r>
            <w:r>
              <w:rPr>
                <w:rStyle w:val="Hyperlink"/>
                <w:rFonts w:ascii="Times New Roman" w:hAnsi="Times New Roman" w:cs="Times New Roman"/>
                <w:noProof/>
                <w:webHidden/>
                <w:color w:val="auto"/>
                <w:sz w:val="24"/>
                <w:szCs w:val="24"/>
              </w:rPr>
              <w:fldChar w:fldCharType="separate"/>
            </w:r>
            <w:r>
              <w:rPr>
                <w:rStyle w:val="Hyperlink"/>
                <w:rFonts w:ascii="Times New Roman" w:hAnsi="Times New Roman" w:cs="Times New Roman"/>
                <w:noProof/>
                <w:webHidden/>
                <w:color w:val="auto"/>
                <w:sz w:val="24"/>
                <w:szCs w:val="24"/>
              </w:rPr>
              <w:t>7</w:t>
            </w:r>
            <w:r>
              <w:rPr>
                <w:rStyle w:val="Hyperlink"/>
                <w:rFonts w:ascii="Times New Roman" w:hAnsi="Times New Roman" w:cs="Times New Roman"/>
                <w:noProof/>
                <w:webHidden/>
                <w:color w:val="auto"/>
                <w:sz w:val="24"/>
                <w:szCs w:val="24"/>
              </w:rPr>
              <w:fldChar w:fldCharType="end"/>
            </w:r>
          </w:hyperlink>
        </w:p>
        <w:p w14:paraId="009A0B57" w14:textId="77777777" w:rsidR="00A47764" w:rsidRDefault="00A47764" w:rsidP="00A47764">
          <w:pPr>
            <w:pStyle w:val="TOC1"/>
            <w:tabs>
              <w:tab w:val="right" w:leader="dot" w:pos="9016"/>
            </w:tabs>
            <w:ind w:firstLine="0"/>
            <w:rPr>
              <w:rFonts w:ascii="Times New Roman" w:eastAsiaTheme="minorEastAsia" w:hAnsi="Times New Roman" w:cs="Times New Roman"/>
              <w:noProof/>
              <w:sz w:val="24"/>
              <w:szCs w:val="24"/>
              <w:lang w:eastAsia="en-IN"/>
            </w:rPr>
          </w:pPr>
          <w:hyperlink r:id="rId8" w:anchor="_Toc221720594" w:history="1">
            <w:r>
              <w:rPr>
                <w:rStyle w:val="Hyperlink"/>
                <w:rFonts w:ascii="Times New Roman" w:hAnsi="Times New Roman" w:cs="Times New Roman"/>
                <w:noProof/>
                <w:sz w:val="24"/>
                <w:szCs w:val="24"/>
              </w:rPr>
              <w:t>Successes and Advantages of Aligning Health and Social Care with SDGs</w:t>
            </w:r>
            <w:r>
              <w:rPr>
                <w:rStyle w:val="Hyperlink"/>
                <w:rFonts w:ascii="Times New Roman" w:hAnsi="Times New Roman" w:cs="Times New Roman"/>
                <w:noProof/>
                <w:webHidden/>
                <w:color w:val="auto"/>
                <w:sz w:val="24"/>
                <w:szCs w:val="24"/>
              </w:rPr>
              <w:tab/>
            </w:r>
            <w:r>
              <w:rPr>
                <w:rStyle w:val="Hyperlink"/>
                <w:rFonts w:ascii="Times New Roman" w:hAnsi="Times New Roman" w:cs="Times New Roman"/>
                <w:noProof/>
                <w:webHidden/>
                <w:color w:val="auto"/>
                <w:sz w:val="24"/>
                <w:szCs w:val="24"/>
              </w:rPr>
              <w:fldChar w:fldCharType="begin"/>
            </w:r>
            <w:r>
              <w:rPr>
                <w:rStyle w:val="Hyperlink"/>
                <w:rFonts w:ascii="Times New Roman" w:hAnsi="Times New Roman" w:cs="Times New Roman"/>
                <w:noProof/>
                <w:webHidden/>
                <w:color w:val="auto"/>
                <w:sz w:val="24"/>
                <w:szCs w:val="24"/>
              </w:rPr>
              <w:instrText xml:space="preserve"> PAGEREF _Toc221720594 \h </w:instrText>
            </w:r>
            <w:r>
              <w:rPr>
                <w:rStyle w:val="Hyperlink"/>
                <w:rFonts w:ascii="Times New Roman" w:hAnsi="Times New Roman" w:cs="Times New Roman"/>
                <w:noProof/>
                <w:webHidden/>
                <w:color w:val="auto"/>
                <w:sz w:val="24"/>
                <w:szCs w:val="24"/>
              </w:rPr>
            </w:r>
            <w:r>
              <w:rPr>
                <w:rStyle w:val="Hyperlink"/>
                <w:rFonts w:ascii="Times New Roman" w:hAnsi="Times New Roman" w:cs="Times New Roman"/>
                <w:noProof/>
                <w:webHidden/>
                <w:color w:val="auto"/>
                <w:sz w:val="24"/>
                <w:szCs w:val="24"/>
              </w:rPr>
              <w:fldChar w:fldCharType="separate"/>
            </w:r>
            <w:r>
              <w:rPr>
                <w:rStyle w:val="Hyperlink"/>
                <w:rFonts w:ascii="Times New Roman" w:hAnsi="Times New Roman" w:cs="Times New Roman"/>
                <w:noProof/>
                <w:webHidden/>
                <w:color w:val="auto"/>
                <w:sz w:val="24"/>
                <w:szCs w:val="24"/>
              </w:rPr>
              <w:t>8</w:t>
            </w:r>
            <w:r>
              <w:rPr>
                <w:rStyle w:val="Hyperlink"/>
                <w:rFonts w:ascii="Times New Roman" w:hAnsi="Times New Roman" w:cs="Times New Roman"/>
                <w:noProof/>
                <w:webHidden/>
                <w:color w:val="auto"/>
                <w:sz w:val="24"/>
                <w:szCs w:val="24"/>
              </w:rPr>
              <w:fldChar w:fldCharType="end"/>
            </w:r>
          </w:hyperlink>
        </w:p>
        <w:p w14:paraId="30B1AD3F" w14:textId="77777777" w:rsidR="00A47764" w:rsidRDefault="00A47764" w:rsidP="00A47764">
          <w:pPr>
            <w:pStyle w:val="TOC1"/>
            <w:tabs>
              <w:tab w:val="right" w:leader="dot" w:pos="9016"/>
            </w:tabs>
            <w:ind w:firstLine="0"/>
            <w:rPr>
              <w:rFonts w:ascii="Times New Roman" w:eastAsiaTheme="minorEastAsia" w:hAnsi="Times New Roman" w:cs="Times New Roman"/>
              <w:noProof/>
              <w:sz w:val="24"/>
              <w:szCs w:val="24"/>
              <w:lang w:eastAsia="en-IN"/>
            </w:rPr>
          </w:pPr>
          <w:hyperlink r:id="rId9" w:anchor="_Toc221720595" w:history="1">
            <w:r>
              <w:rPr>
                <w:rStyle w:val="Hyperlink"/>
                <w:rFonts w:ascii="Times New Roman" w:hAnsi="Times New Roman" w:cs="Times New Roman"/>
                <w:noProof/>
                <w:sz w:val="24"/>
                <w:szCs w:val="24"/>
              </w:rPr>
              <w:t>Conclusion</w:t>
            </w:r>
            <w:r>
              <w:rPr>
                <w:rStyle w:val="Hyperlink"/>
                <w:rFonts w:ascii="Times New Roman" w:hAnsi="Times New Roman" w:cs="Times New Roman"/>
                <w:noProof/>
                <w:webHidden/>
                <w:color w:val="auto"/>
                <w:sz w:val="24"/>
                <w:szCs w:val="24"/>
              </w:rPr>
              <w:tab/>
            </w:r>
            <w:r>
              <w:rPr>
                <w:rStyle w:val="Hyperlink"/>
                <w:rFonts w:ascii="Times New Roman" w:hAnsi="Times New Roman" w:cs="Times New Roman"/>
                <w:noProof/>
                <w:webHidden/>
                <w:color w:val="auto"/>
                <w:sz w:val="24"/>
                <w:szCs w:val="24"/>
              </w:rPr>
              <w:fldChar w:fldCharType="begin"/>
            </w:r>
            <w:r>
              <w:rPr>
                <w:rStyle w:val="Hyperlink"/>
                <w:rFonts w:ascii="Times New Roman" w:hAnsi="Times New Roman" w:cs="Times New Roman"/>
                <w:noProof/>
                <w:webHidden/>
                <w:color w:val="auto"/>
                <w:sz w:val="24"/>
                <w:szCs w:val="24"/>
              </w:rPr>
              <w:instrText xml:space="preserve"> PAGEREF _Toc221720595 \h </w:instrText>
            </w:r>
            <w:r>
              <w:rPr>
                <w:rStyle w:val="Hyperlink"/>
                <w:rFonts w:ascii="Times New Roman" w:hAnsi="Times New Roman" w:cs="Times New Roman"/>
                <w:noProof/>
                <w:webHidden/>
                <w:color w:val="auto"/>
                <w:sz w:val="24"/>
                <w:szCs w:val="24"/>
              </w:rPr>
            </w:r>
            <w:r>
              <w:rPr>
                <w:rStyle w:val="Hyperlink"/>
                <w:rFonts w:ascii="Times New Roman" w:hAnsi="Times New Roman" w:cs="Times New Roman"/>
                <w:noProof/>
                <w:webHidden/>
                <w:color w:val="auto"/>
                <w:sz w:val="24"/>
                <w:szCs w:val="24"/>
              </w:rPr>
              <w:fldChar w:fldCharType="separate"/>
            </w:r>
            <w:r>
              <w:rPr>
                <w:rStyle w:val="Hyperlink"/>
                <w:rFonts w:ascii="Times New Roman" w:hAnsi="Times New Roman" w:cs="Times New Roman"/>
                <w:noProof/>
                <w:webHidden/>
                <w:color w:val="auto"/>
                <w:sz w:val="24"/>
                <w:szCs w:val="24"/>
              </w:rPr>
              <w:t>9</w:t>
            </w:r>
            <w:r>
              <w:rPr>
                <w:rStyle w:val="Hyperlink"/>
                <w:rFonts w:ascii="Times New Roman" w:hAnsi="Times New Roman" w:cs="Times New Roman"/>
                <w:noProof/>
                <w:webHidden/>
                <w:color w:val="auto"/>
                <w:sz w:val="24"/>
                <w:szCs w:val="24"/>
              </w:rPr>
              <w:fldChar w:fldCharType="end"/>
            </w:r>
          </w:hyperlink>
        </w:p>
        <w:p w14:paraId="2B501CE9" w14:textId="77777777" w:rsidR="00A47764" w:rsidRDefault="00A47764" w:rsidP="00A47764">
          <w:pPr>
            <w:pStyle w:val="TOC1"/>
            <w:tabs>
              <w:tab w:val="right" w:leader="dot" w:pos="9016"/>
            </w:tabs>
            <w:ind w:firstLine="0"/>
            <w:rPr>
              <w:rFonts w:ascii="Times New Roman" w:eastAsiaTheme="minorEastAsia" w:hAnsi="Times New Roman" w:cs="Times New Roman"/>
              <w:noProof/>
              <w:sz w:val="24"/>
              <w:szCs w:val="24"/>
              <w:lang w:eastAsia="en-IN"/>
            </w:rPr>
          </w:pPr>
          <w:hyperlink r:id="rId10" w:anchor="_Toc221720596" w:history="1">
            <w:r>
              <w:rPr>
                <w:rStyle w:val="Hyperlink"/>
                <w:rFonts w:ascii="Times New Roman" w:hAnsi="Times New Roman" w:cs="Times New Roman"/>
                <w:noProof/>
                <w:sz w:val="24"/>
                <w:szCs w:val="24"/>
              </w:rPr>
              <w:t>References</w:t>
            </w:r>
            <w:r>
              <w:rPr>
                <w:rStyle w:val="Hyperlink"/>
                <w:rFonts w:ascii="Times New Roman" w:hAnsi="Times New Roman" w:cs="Times New Roman"/>
                <w:noProof/>
                <w:webHidden/>
                <w:color w:val="auto"/>
                <w:sz w:val="24"/>
                <w:szCs w:val="24"/>
              </w:rPr>
              <w:tab/>
            </w:r>
            <w:r>
              <w:rPr>
                <w:rStyle w:val="Hyperlink"/>
                <w:rFonts w:ascii="Times New Roman" w:hAnsi="Times New Roman" w:cs="Times New Roman"/>
                <w:noProof/>
                <w:webHidden/>
                <w:color w:val="auto"/>
                <w:sz w:val="24"/>
                <w:szCs w:val="24"/>
              </w:rPr>
              <w:fldChar w:fldCharType="begin"/>
            </w:r>
            <w:r>
              <w:rPr>
                <w:rStyle w:val="Hyperlink"/>
                <w:rFonts w:ascii="Times New Roman" w:hAnsi="Times New Roman" w:cs="Times New Roman"/>
                <w:noProof/>
                <w:webHidden/>
                <w:color w:val="auto"/>
                <w:sz w:val="24"/>
                <w:szCs w:val="24"/>
              </w:rPr>
              <w:instrText xml:space="preserve"> PAGEREF _Toc221720596 \h </w:instrText>
            </w:r>
            <w:r>
              <w:rPr>
                <w:rStyle w:val="Hyperlink"/>
                <w:rFonts w:ascii="Times New Roman" w:hAnsi="Times New Roman" w:cs="Times New Roman"/>
                <w:noProof/>
                <w:webHidden/>
                <w:color w:val="auto"/>
                <w:sz w:val="24"/>
                <w:szCs w:val="24"/>
              </w:rPr>
            </w:r>
            <w:r>
              <w:rPr>
                <w:rStyle w:val="Hyperlink"/>
                <w:rFonts w:ascii="Times New Roman" w:hAnsi="Times New Roman" w:cs="Times New Roman"/>
                <w:noProof/>
                <w:webHidden/>
                <w:color w:val="auto"/>
                <w:sz w:val="24"/>
                <w:szCs w:val="24"/>
              </w:rPr>
              <w:fldChar w:fldCharType="separate"/>
            </w:r>
            <w:r>
              <w:rPr>
                <w:rStyle w:val="Hyperlink"/>
                <w:rFonts w:ascii="Times New Roman" w:hAnsi="Times New Roman" w:cs="Times New Roman"/>
                <w:noProof/>
                <w:webHidden/>
                <w:color w:val="auto"/>
                <w:sz w:val="24"/>
                <w:szCs w:val="24"/>
              </w:rPr>
              <w:t>11</w:t>
            </w:r>
            <w:r>
              <w:rPr>
                <w:rStyle w:val="Hyperlink"/>
                <w:rFonts w:ascii="Times New Roman" w:hAnsi="Times New Roman" w:cs="Times New Roman"/>
                <w:noProof/>
                <w:webHidden/>
                <w:color w:val="auto"/>
                <w:sz w:val="24"/>
                <w:szCs w:val="24"/>
              </w:rPr>
              <w:fldChar w:fldCharType="end"/>
            </w:r>
          </w:hyperlink>
        </w:p>
        <w:p w14:paraId="3B71DF83" w14:textId="77777777" w:rsidR="00A47764" w:rsidRDefault="00A47764" w:rsidP="00A47764">
          <w:pPr>
            <w:jc w:val="center"/>
            <w:rPr>
              <w:rFonts w:ascii="Times New Roman" w:hAnsi="Times New Roman" w:cs="Times New Roman"/>
              <w:sz w:val="24"/>
              <w:szCs w:val="24"/>
            </w:rPr>
          </w:pPr>
          <w:r>
            <w:rPr>
              <w:rFonts w:ascii="Times New Roman" w:hAnsi="Times New Roman" w:cs="Times New Roman"/>
              <w:b/>
              <w:bCs/>
              <w:noProof/>
              <w:color w:val="000000" w:themeColor="text1"/>
              <w:sz w:val="24"/>
              <w:szCs w:val="24"/>
            </w:rPr>
            <w:fldChar w:fldCharType="end"/>
          </w:r>
        </w:p>
      </w:sdtContent>
    </w:sdt>
    <w:p w14:paraId="1A988403" w14:textId="77777777" w:rsidR="00A47764" w:rsidRDefault="00A47764" w:rsidP="00A47764">
      <w:pPr>
        <w:rPr>
          <w:rFonts w:ascii="Times New Roman" w:eastAsiaTheme="majorEastAsia" w:hAnsi="Times New Roman" w:cs="Times New Roman"/>
          <w:b/>
          <w:sz w:val="24"/>
          <w:szCs w:val="24"/>
        </w:rPr>
      </w:pPr>
      <w:r>
        <w:rPr>
          <w:rFonts w:ascii="Times New Roman" w:hAnsi="Times New Roman" w:cs="Times New Roman"/>
          <w:kern w:val="0"/>
          <w:sz w:val="24"/>
          <w:szCs w:val="24"/>
          <w14:ligatures w14:val="none"/>
        </w:rPr>
        <w:br w:type="page"/>
      </w:r>
    </w:p>
    <w:p w14:paraId="680D39F5" w14:textId="77777777" w:rsidR="00A47764" w:rsidRDefault="00A47764" w:rsidP="00A47764">
      <w:pPr>
        <w:pStyle w:val="Heading1"/>
        <w:rPr>
          <w:rFonts w:ascii="Times New Roman" w:hAnsi="Times New Roman"/>
          <w:b/>
          <w:sz w:val="28"/>
        </w:rPr>
      </w:pPr>
      <w:r>
        <w:lastRenderedPageBreak/>
        <w:t xml:space="preserve"> </w:t>
      </w:r>
      <w:bookmarkStart w:id="0" w:name="_Toc221720590"/>
      <w:r>
        <w:t>Introduction</w:t>
      </w:r>
      <w:bookmarkEnd w:id="0"/>
      <w:r>
        <w:t xml:space="preserve"> </w:t>
      </w:r>
    </w:p>
    <w:p w14:paraId="5E756829" w14:textId="77777777" w:rsidR="00A47764" w:rsidRDefault="00A47764" w:rsidP="00A47764">
      <w:pPr>
        <w:ind w:firstLine="0"/>
        <w:jc w:val="both"/>
        <w:rPr>
          <w:rFonts w:ascii="Times New Roman" w:hAnsi="Times New Roman" w:cs="Times New Roman"/>
          <w:sz w:val="24"/>
          <w:szCs w:val="24"/>
        </w:rPr>
      </w:pPr>
      <w:r>
        <w:rPr>
          <w:rFonts w:ascii="Times New Roman" w:hAnsi="Times New Roman" w:cs="Times New Roman"/>
          <w:sz w:val="24"/>
          <w:szCs w:val="24"/>
        </w:rPr>
        <w:t xml:space="preserve">National health and social care systems are increasingly challenged by complex physical, social, and environmental factors that affect population health. These pressures require systems to respond to a broader range of needs than those for which they were originally designed. The current Health and Social Care systems need to provide more than just a diagnosis and treatment of the health condition or illness. A range of </w:t>
      </w:r>
      <w:proofErr w:type="gramStart"/>
      <w:r>
        <w:rPr>
          <w:rFonts w:ascii="Times New Roman" w:hAnsi="Times New Roman" w:cs="Times New Roman"/>
          <w:sz w:val="24"/>
          <w:szCs w:val="24"/>
        </w:rPr>
        <w:t>long term</w:t>
      </w:r>
      <w:proofErr w:type="gramEnd"/>
      <w:r>
        <w:rPr>
          <w:rFonts w:ascii="Times New Roman" w:hAnsi="Times New Roman" w:cs="Times New Roman"/>
          <w:sz w:val="24"/>
          <w:szCs w:val="24"/>
        </w:rPr>
        <w:t xml:space="preserve"> health conditions, mental health problems, social inequities, and environmental factors have created significant challenges to the delivery of services and to the capacity of the current Health and Social Care systems. Therefore, there is an urgent need for both the Health Care and Social Care sectors to work together to provide a holistic perspective to promoting health and wellbeing and sustainability (Musich et al., 2016) and to support individuals and communities in achieving better health outcomes so that the Health and Social Care System can also be maintained in a manner that can sustain future generations.</w:t>
      </w:r>
    </w:p>
    <w:p w14:paraId="5929C5E8" w14:textId="77777777" w:rsidR="00A47764" w:rsidRDefault="00A47764" w:rsidP="00A47764">
      <w:pPr>
        <w:ind w:firstLine="0"/>
        <w:jc w:val="both"/>
        <w:rPr>
          <w:rFonts w:ascii="Times New Roman" w:hAnsi="Times New Roman" w:cs="Times New Roman"/>
          <w:sz w:val="24"/>
          <w:szCs w:val="24"/>
        </w:rPr>
      </w:pPr>
      <w:r>
        <w:rPr>
          <w:rFonts w:ascii="Times New Roman" w:hAnsi="Times New Roman" w:cs="Times New Roman"/>
          <w:sz w:val="24"/>
          <w:szCs w:val="24"/>
        </w:rPr>
        <w:t>Three primary components associated with helping to improve overall population health are social factors, economic factors, and environmental factors; all these components are interconnected with healthcare and public health policies/practices via the concept of sustainable development (Dodgen et al., 2016).</w:t>
      </w:r>
    </w:p>
    <w:p w14:paraId="329A4D64" w14:textId="77777777" w:rsidR="00A47764" w:rsidRDefault="00A47764" w:rsidP="00A47764">
      <w:pPr>
        <w:ind w:firstLine="0"/>
        <w:jc w:val="both"/>
        <w:rPr>
          <w:rFonts w:ascii="Times New Roman" w:hAnsi="Times New Roman" w:cs="Times New Roman"/>
          <w:sz w:val="24"/>
          <w:szCs w:val="24"/>
        </w:rPr>
      </w:pPr>
      <w:r>
        <w:rPr>
          <w:rFonts w:ascii="Times New Roman" w:hAnsi="Times New Roman" w:cs="Times New Roman"/>
          <w:sz w:val="24"/>
          <w:szCs w:val="24"/>
        </w:rPr>
        <w:t>Achieving the United Nations’ Sustainable Development Goals (SDGs) will contribute to citizens leading healthy, gratifying lives, and in turn, will positively impact their respective communities (Gostin, Moon, and Meier, 2020).</w:t>
      </w:r>
    </w:p>
    <w:p w14:paraId="6497D5AF" w14:textId="77777777" w:rsidR="00A47764" w:rsidRDefault="00A47764" w:rsidP="00A47764">
      <w:pPr>
        <w:ind w:firstLine="0"/>
        <w:jc w:val="both"/>
        <w:rPr>
          <w:rFonts w:ascii="Times New Roman" w:hAnsi="Times New Roman" w:cs="Times New Roman"/>
          <w:sz w:val="24"/>
          <w:szCs w:val="24"/>
        </w:rPr>
      </w:pPr>
      <w:r>
        <w:rPr>
          <w:rFonts w:ascii="Times New Roman" w:hAnsi="Times New Roman" w:cs="Times New Roman"/>
          <w:sz w:val="24"/>
          <w:szCs w:val="24"/>
        </w:rPr>
        <w:t xml:space="preserve">By linking the 17 SDGs, especially Goal 3: Good Health </w:t>
      </w:r>
      <w:proofErr w:type="gramStart"/>
      <w:r>
        <w:rPr>
          <w:rFonts w:ascii="Times New Roman" w:hAnsi="Times New Roman" w:cs="Times New Roman"/>
          <w:sz w:val="24"/>
          <w:szCs w:val="24"/>
        </w:rPr>
        <w:t>and  Well</w:t>
      </w:r>
      <w:proofErr w:type="gramEnd"/>
      <w:r>
        <w:rPr>
          <w:rFonts w:ascii="Times New Roman" w:hAnsi="Times New Roman" w:cs="Times New Roman"/>
          <w:sz w:val="24"/>
          <w:szCs w:val="24"/>
        </w:rPr>
        <w:t xml:space="preserve">-Being and Goal 10: Reduced Inequalities, to promote equitable resource allocation (For example, social equity and structural equity) at both the social (individual) level and the determined structural community, others. level, there are tremendous opportunities to improve health globally; finally, it must be </w:t>
      </w:r>
      <w:r>
        <w:rPr>
          <w:rFonts w:ascii="Times New Roman" w:hAnsi="Times New Roman" w:cs="Times New Roman"/>
          <w:sz w:val="24"/>
          <w:szCs w:val="24"/>
        </w:rPr>
        <w:lastRenderedPageBreak/>
        <w:t xml:space="preserve">recognised and embraced that, </w:t>
      </w:r>
      <w:proofErr w:type="gramStart"/>
      <w:r>
        <w:rPr>
          <w:rFonts w:ascii="Times New Roman" w:hAnsi="Times New Roman" w:cs="Times New Roman"/>
          <w:sz w:val="24"/>
          <w:szCs w:val="24"/>
        </w:rPr>
        <w:t>in today’s society</w:t>
      </w:r>
      <w:proofErr w:type="gramEnd"/>
      <w:r>
        <w:rPr>
          <w:rFonts w:ascii="Times New Roman" w:hAnsi="Times New Roman" w:cs="Times New Roman"/>
          <w:sz w:val="24"/>
          <w:szCs w:val="24"/>
        </w:rPr>
        <w:t>, it takes a coordinated global effort to improve overall population health (</w:t>
      </w:r>
      <w:proofErr w:type="spellStart"/>
      <w:r>
        <w:rPr>
          <w:rFonts w:ascii="Times New Roman" w:hAnsi="Times New Roman" w:cs="Times New Roman"/>
          <w:sz w:val="24"/>
          <w:szCs w:val="24"/>
        </w:rPr>
        <w:t>Kufeoglu</w:t>
      </w:r>
      <w:proofErr w:type="spellEnd"/>
      <w:r>
        <w:rPr>
          <w:rFonts w:ascii="Times New Roman" w:hAnsi="Times New Roman" w:cs="Times New Roman"/>
          <w:sz w:val="24"/>
          <w:szCs w:val="24"/>
        </w:rPr>
        <w:t>, 2022).</w:t>
      </w:r>
    </w:p>
    <w:p w14:paraId="2FED8B0B" w14:textId="77777777" w:rsidR="00A47764" w:rsidRDefault="00A47764" w:rsidP="00A47764">
      <w:pPr>
        <w:ind w:firstLine="0"/>
        <w:jc w:val="both"/>
        <w:rPr>
          <w:rFonts w:ascii="Times New Roman" w:hAnsi="Times New Roman" w:cs="Times New Roman"/>
          <w:sz w:val="24"/>
          <w:szCs w:val="24"/>
        </w:rPr>
      </w:pPr>
      <w:r>
        <w:rPr>
          <w:rFonts w:ascii="Times New Roman" w:hAnsi="Times New Roman" w:cs="Times New Roman"/>
          <w:sz w:val="24"/>
          <w:szCs w:val="24"/>
        </w:rPr>
        <w:t>United Kingdom Health Policy aligns with global, NHS, and local initiatives: SDG 3 and SDG 10 's influence and investment provide health service improvement, including equity of access and sustainable long-term efforts (Lehman, David, and Gruber, 2017).</w:t>
      </w:r>
    </w:p>
    <w:p w14:paraId="46FBF120" w14:textId="77777777" w:rsidR="00A47764" w:rsidRDefault="00A47764" w:rsidP="00A47764">
      <w:pPr>
        <w:pStyle w:val="Heading1"/>
        <w:rPr>
          <w:rFonts w:ascii="Times New Roman" w:hAnsi="Times New Roman"/>
          <w:sz w:val="28"/>
        </w:rPr>
      </w:pPr>
      <w:bookmarkStart w:id="1" w:name="_Toc221720591"/>
      <w:r>
        <w:t xml:space="preserve">Models of Health and Wellbeing in Health </w:t>
      </w:r>
      <w:proofErr w:type="gramStart"/>
      <w:r>
        <w:t>and  Social</w:t>
      </w:r>
      <w:proofErr w:type="gramEnd"/>
      <w:r>
        <w:t xml:space="preserve"> Care</w:t>
      </w:r>
      <w:bookmarkEnd w:id="1"/>
    </w:p>
    <w:p w14:paraId="4A5E2115" w14:textId="77777777" w:rsidR="00A47764" w:rsidRDefault="00A47764" w:rsidP="00A47764">
      <w:pPr>
        <w:ind w:firstLine="0"/>
        <w:jc w:val="both"/>
        <w:rPr>
          <w:rFonts w:ascii="Times New Roman" w:hAnsi="Times New Roman" w:cs="Times New Roman"/>
          <w:sz w:val="24"/>
          <w:szCs w:val="24"/>
        </w:rPr>
      </w:pPr>
      <w:r>
        <w:rPr>
          <w:rFonts w:ascii="Times New Roman" w:hAnsi="Times New Roman" w:cs="Times New Roman"/>
          <w:sz w:val="24"/>
          <w:szCs w:val="24"/>
        </w:rPr>
        <w:t>There are multiple models with respect to defining Health, which have a significant impact on how services associated with Health and Social Care are planned and delivered. The 'medical model' was the traditional means of defining Health, and has historically existed as the primary means to establish the framework for how services would be provided through the Health Care service (House of Lords, 2017)</w:t>
      </w:r>
    </w:p>
    <w:p w14:paraId="1827EEE9" w14:textId="77777777" w:rsidR="00A47764" w:rsidRDefault="00A47764" w:rsidP="00A47764">
      <w:pPr>
        <w:ind w:firstLine="0"/>
        <w:jc w:val="both"/>
        <w:rPr>
          <w:rFonts w:ascii="Times New Roman" w:hAnsi="Times New Roman" w:cs="Times New Roman"/>
          <w:sz w:val="24"/>
          <w:szCs w:val="24"/>
        </w:rPr>
      </w:pPr>
      <w:r>
        <w:rPr>
          <w:rFonts w:ascii="Times New Roman" w:hAnsi="Times New Roman" w:cs="Times New Roman"/>
          <w:sz w:val="24"/>
          <w:szCs w:val="24"/>
        </w:rPr>
        <w:t xml:space="preserve">The medical model focuses on disease and illness; in this case, the doctor uses tests and treatments to help cure people and bring them back to good health. </w:t>
      </w:r>
      <w:proofErr w:type="gramStart"/>
      <w:r>
        <w:rPr>
          <w:rFonts w:ascii="Times New Roman" w:hAnsi="Times New Roman" w:cs="Times New Roman"/>
          <w:sz w:val="24"/>
          <w:szCs w:val="24"/>
        </w:rPr>
        <w:t>The majority of</w:t>
      </w:r>
      <w:proofErr w:type="gramEnd"/>
      <w:r>
        <w:rPr>
          <w:rFonts w:ascii="Times New Roman" w:hAnsi="Times New Roman" w:cs="Times New Roman"/>
          <w:sz w:val="24"/>
          <w:szCs w:val="24"/>
        </w:rPr>
        <w:t xml:space="preserve"> hospitals and other health services are designed around this philosophy, and </w:t>
      </w:r>
      <w:proofErr w:type="gramStart"/>
      <w:r>
        <w:rPr>
          <w:rFonts w:ascii="Times New Roman" w:hAnsi="Times New Roman" w:cs="Times New Roman"/>
          <w:sz w:val="24"/>
          <w:szCs w:val="24"/>
        </w:rPr>
        <w:t>as a result of</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all of</w:t>
      </w:r>
      <w:proofErr w:type="gramEnd"/>
      <w:r>
        <w:rPr>
          <w:rFonts w:ascii="Times New Roman" w:hAnsi="Times New Roman" w:cs="Times New Roman"/>
          <w:sz w:val="24"/>
          <w:szCs w:val="24"/>
        </w:rPr>
        <w:t xml:space="preserve"> the medical advancements made through the medical model, we can live longer and have a better quality of life (Osorio-González et al., 2020).</w:t>
      </w:r>
    </w:p>
    <w:p w14:paraId="4F0510AC" w14:textId="77777777" w:rsidR="00A47764" w:rsidRDefault="00A47764" w:rsidP="00A47764">
      <w:pPr>
        <w:ind w:firstLine="0"/>
        <w:jc w:val="both"/>
        <w:rPr>
          <w:rFonts w:ascii="Times New Roman" w:hAnsi="Times New Roman" w:cs="Times New Roman"/>
          <w:sz w:val="24"/>
          <w:szCs w:val="24"/>
        </w:rPr>
      </w:pPr>
      <w:r>
        <w:rPr>
          <w:rFonts w:ascii="Times New Roman" w:hAnsi="Times New Roman" w:cs="Times New Roman"/>
          <w:sz w:val="24"/>
          <w:szCs w:val="24"/>
        </w:rPr>
        <w:t>The medical model has been heavily criticized for only treating one part of the body—disease and illness, but the medical model should also take into consideration such factors as mental health, social conditions, and environment, all of which can have a significant impact on one’s overall well-being (Penman-Aguilar et al., 2016). Therefore, relying solely on treatment for a health care issue can lead to increased costs and/or limited access to health care. Therefore, health care services generally provide care only when the individual becomes ill rather than providing care before he or she becomes sick.</w:t>
      </w:r>
    </w:p>
    <w:p w14:paraId="105D80E3" w14:textId="77777777" w:rsidR="00A47764" w:rsidRDefault="00A47764" w:rsidP="00A47764">
      <w:pPr>
        <w:ind w:firstLine="0"/>
        <w:jc w:val="both"/>
        <w:rPr>
          <w:rFonts w:ascii="Times New Roman" w:hAnsi="Times New Roman" w:cs="Times New Roman"/>
          <w:sz w:val="24"/>
          <w:szCs w:val="24"/>
        </w:rPr>
      </w:pPr>
      <w:r>
        <w:rPr>
          <w:rFonts w:ascii="Times New Roman" w:hAnsi="Times New Roman" w:cs="Times New Roman"/>
          <w:sz w:val="24"/>
          <w:szCs w:val="24"/>
        </w:rPr>
        <w:lastRenderedPageBreak/>
        <w:t xml:space="preserve">According to the social model of health, an individual’s health can be influenced by community-level factors, such as income level, educational attainment, occupational status, and residential environment. This model shows that when people do not have access to adequate resources in their communities, it will negatively impact their ability to maintain good health. The social model of health also strengthens the arguments for supporting sustainable development and global goals to equalize the inequities around the world. To enhance communities and policies that help them attain equality regarding these issues. The biopsychosocial model of health takes a much broader view of health and states that an individual's health is dependent on the body, mind, and social environment, all working together. The reciprocal nature of how these three systems relate to each other means that multiple healthcare professionals need to collaborate on the delivery of comprehensive care to a person and on supporting the </w:t>
      </w:r>
      <w:proofErr w:type="gramStart"/>
      <w:r>
        <w:rPr>
          <w:rFonts w:ascii="Times New Roman" w:hAnsi="Times New Roman" w:cs="Times New Roman"/>
          <w:sz w:val="24"/>
          <w:szCs w:val="24"/>
        </w:rPr>
        <w:t>person as a whole, and</w:t>
      </w:r>
      <w:proofErr w:type="gramEnd"/>
      <w:r>
        <w:rPr>
          <w:rFonts w:ascii="Times New Roman" w:hAnsi="Times New Roman" w:cs="Times New Roman"/>
          <w:sz w:val="24"/>
          <w:szCs w:val="24"/>
        </w:rPr>
        <w:t xml:space="preserve"> not just in the treatment of their illness. (</w:t>
      </w:r>
      <w:proofErr w:type="spellStart"/>
      <w:r>
        <w:rPr>
          <w:rFonts w:ascii="Times New Roman" w:hAnsi="Times New Roman" w:cs="Times New Roman"/>
          <w:sz w:val="24"/>
          <w:szCs w:val="24"/>
        </w:rPr>
        <w:t>Tzenios</w:t>
      </w:r>
      <w:proofErr w:type="spellEnd"/>
      <w:r>
        <w:rPr>
          <w:rFonts w:ascii="Times New Roman" w:hAnsi="Times New Roman" w:cs="Times New Roman"/>
          <w:sz w:val="24"/>
          <w:szCs w:val="24"/>
        </w:rPr>
        <w:t>, 2019).</w:t>
      </w:r>
    </w:p>
    <w:p w14:paraId="6E26353E" w14:textId="77777777" w:rsidR="00A47764" w:rsidRDefault="00A47764" w:rsidP="00A47764">
      <w:pPr>
        <w:ind w:firstLine="0"/>
        <w:jc w:val="both"/>
        <w:rPr>
          <w:rFonts w:ascii="Times New Roman" w:hAnsi="Times New Roman" w:cs="Times New Roman"/>
          <w:sz w:val="24"/>
          <w:szCs w:val="24"/>
        </w:rPr>
      </w:pPr>
      <w:r>
        <w:rPr>
          <w:rFonts w:ascii="Times New Roman" w:hAnsi="Times New Roman" w:cs="Times New Roman"/>
          <w:sz w:val="24"/>
          <w:szCs w:val="24"/>
        </w:rPr>
        <w:t xml:space="preserve">The holistic model has an expansive framework for viewing a person, not simply an individual in a scenario (Rahman et al., 2024). This model uses cultural, environmental, and social variables to assist with self-management, empowerment, and prevention as outlined by Shaffer et al. In total, the combination of these models/proposals supports the development of sustainable health and social care systems through continued focus on prevention and long-term wellness. The development of the </w:t>
      </w:r>
      <w:proofErr w:type="gramStart"/>
      <w:r>
        <w:rPr>
          <w:rFonts w:ascii="Times New Roman" w:hAnsi="Times New Roman" w:cs="Times New Roman"/>
          <w:sz w:val="24"/>
          <w:szCs w:val="24"/>
        </w:rPr>
        <w:t>aforementioned models/proposals</w:t>
      </w:r>
      <w:proofErr w:type="gramEnd"/>
      <w:r>
        <w:rPr>
          <w:rFonts w:ascii="Times New Roman" w:hAnsi="Times New Roman" w:cs="Times New Roman"/>
          <w:sz w:val="24"/>
          <w:szCs w:val="24"/>
        </w:rPr>
        <w:t xml:space="preserve"> will support the achievement of SDG 3 (Good Health </w:t>
      </w:r>
      <w:proofErr w:type="gramStart"/>
      <w:r>
        <w:rPr>
          <w:rFonts w:ascii="Times New Roman" w:hAnsi="Times New Roman" w:cs="Times New Roman"/>
          <w:sz w:val="24"/>
          <w:szCs w:val="24"/>
        </w:rPr>
        <w:t>and  Well</w:t>
      </w:r>
      <w:proofErr w:type="gramEnd"/>
      <w:r>
        <w:rPr>
          <w:rFonts w:ascii="Times New Roman" w:hAnsi="Times New Roman" w:cs="Times New Roman"/>
          <w:sz w:val="24"/>
          <w:szCs w:val="24"/>
        </w:rPr>
        <w:t>-Being) and SDG 10 (Reduced Inequalities), as they help to increase health outcomes while decreasing the difference in health as experienced by different communities.</w:t>
      </w:r>
    </w:p>
    <w:p w14:paraId="4AD56EE1" w14:textId="77777777" w:rsidR="00A47764" w:rsidRDefault="00A47764" w:rsidP="00A47764">
      <w:pPr>
        <w:pStyle w:val="Heading1"/>
        <w:rPr>
          <w:rFonts w:ascii="Times New Roman" w:hAnsi="Times New Roman"/>
          <w:sz w:val="28"/>
        </w:rPr>
      </w:pPr>
      <w:bookmarkStart w:id="2" w:name="_Toc221720592"/>
      <w:r>
        <w:lastRenderedPageBreak/>
        <w:t>Health Initiatives at the Global, National, and Local Levels</w:t>
      </w:r>
      <w:bookmarkEnd w:id="2"/>
    </w:p>
    <w:p w14:paraId="790B822E" w14:textId="77777777" w:rsidR="00A47764" w:rsidRDefault="00A47764" w:rsidP="00A47764">
      <w:pPr>
        <w:ind w:firstLine="0"/>
        <w:jc w:val="both"/>
        <w:rPr>
          <w:rFonts w:ascii="Times New Roman" w:hAnsi="Times New Roman" w:cs="Times New Roman"/>
          <w:sz w:val="24"/>
          <w:szCs w:val="24"/>
        </w:rPr>
      </w:pPr>
      <w:r>
        <w:rPr>
          <w:rFonts w:ascii="Times New Roman" w:hAnsi="Times New Roman" w:cs="Times New Roman"/>
          <w:sz w:val="24"/>
          <w:szCs w:val="24"/>
        </w:rPr>
        <w:t>The World Health Organization (WHO) and United Nations (UN), along with other international organizations, have a large presence on an international scale, helping improve health and wellness through worldwide cooperation and coordinated disease prevention programs. One of the many initiatives developed by the WHO that focuses on global health is its immunization program, which works with different countries to immunize both children and adults with vaccinations. Vaccinating people prevents millions of individuals from dying each year, and it greatly decreases the likelihood of contagious diseases spreading between individuals; therefore, globally cooperating with these different organizations has proven that by working together as a collective group, there is a significant current impact on the long-term health of our global population.</w:t>
      </w:r>
    </w:p>
    <w:p w14:paraId="498E13C0" w14:textId="77777777" w:rsidR="00A47764" w:rsidRDefault="00A47764" w:rsidP="00A47764">
      <w:pPr>
        <w:ind w:firstLine="0"/>
        <w:jc w:val="both"/>
        <w:rPr>
          <w:rFonts w:ascii="Times New Roman" w:hAnsi="Times New Roman" w:cs="Times New Roman"/>
          <w:sz w:val="24"/>
          <w:szCs w:val="24"/>
        </w:rPr>
      </w:pPr>
      <w:r>
        <w:rPr>
          <w:rFonts w:ascii="Times New Roman" w:hAnsi="Times New Roman" w:cs="Times New Roman"/>
          <w:sz w:val="24"/>
          <w:szCs w:val="24"/>
        </w:rPr>
        <w:t xml:space="preserve">Nationally, numerous government initiatives are working to promote healthy populations, and the National Health Service (NHS) Long Term Plan focuses on providing preventive </w:t>
      </w:r>
      <w:proofErr w:type="gramStart"/>
      <w:r>
        <w:rPr>
          <w:rFonts w:ascii="Times New Roman" w:hAnsi="Times New Roman" w:cs="Times New Roman"/>
          <w:sz w:val="24"/>
          <w:szCs w:val="24"/>
        </w:rPr>
        <w:t>services;</w:t>
      </w:r>
      <w:proofErr w:type="gramEnd"/>
      <w:r>
        <w:rPr>
          <w:rFonts w:ascii="Times New Roman" w:hAnsi="Times New Roman" w:cs="Times New Roman"/>
          <w:sz w:val="24"/>
          <w:szCs w:val="24"/>
        </w:rPr>
        <w:t xml:space="preserve"> enhancing mental health services, integrating service delivery systems, and developing technology-based healthcare delivery systems. Among various national public health campaigns, the Change4Life campaign, the Sugar Reduction Programme, and the Stoptober smoking cessation programmes have all encouraged people to lead healthier lives through improved nutrition and physical </w:t>
      </w:r>
      <w:proofErr w:type="gramStart"/>
      <w:r>
        <w:rPr>
          <w:rFonts w:ascii="Times New Roman" w:hAnsi="Times New Roman" w:cs="Times New Roman"/>
          <w:sz w:val="24"/>
          <w:szCs w:val="24"/>
        </w:rPr>
        <w:t>activity, and</w:t>
      </w:r>
      <w:proofErr w:type="gramEnd"/>
      <w:r>
        <w:rPr>
          <w:rFonts w:ascii="Times New Roman" w:hAnsi="Times New Roman" w:cs="Times New Roman"/>
          <w:sz w:val="24"/>
          <w:szCs w:val="24"/>
        </w:rPr>
        <w:t xml:space="preserve"> reducing smoking prevalence. Overall, these initiatives have successfully improved the knowledge level in the </w:t>
      </w:r>
      <w:proofErr w:type="gramStart"/>
      <w:r>
        <w:rPr>
          <w:rFonts w:ascii="Times New Roman" w:hAnsi="Times New Roman" w:cs="Times New Roman"/>
          <w:sz w:val="24"/>
          <w:szCs w:val="24"/>
        </w:rPr>
        <w:t>general public</w:t>
      </w:r>
      <w:proofErr w:type="gramEnd"/>
      <w:r>
        <w:rPr>
          <w:rFonts w:ascii="Times New Roman" w:hAnsi="Times New Roman" w:cs="Times New Roman"/>
          <w:sz w:val="24"/>
          <w:szCs w:val="24"/>
        </w:rPr>
        <w:t xml:space="preserve"> and motivated people to include behaviours that encompass preventive measures to improve their health.</w:t>
      </w:r>
    </w:p>
    <w:p w14:paraId="6A987C19" w14:textId="77777777" w:rsidR="00A47764" w:rsidRDefault="00A47764" w:rsidP="00A47764">
      <w:pPr>
        <w:ind w:firstLine="0"/>
        <w:jc w:val="both"/>
        <w:rPr>
          <w:rFonts w:ascii="Times New Roman" w:hAnsi="Times New Roman" w:cs="Times New Roman"/>
          <w:sz w:val="24"/>
          <w:szCs w:val="24"/>
        </w:rPr>
      </w:pPr>
      <w:r>
        <w:rPr>
          <w:rFonts w:ascii="Times New Roman" w:hAnsi="Times New Roman" w:cs="Times New Roman"/>
          <w:sz w:val="24"/>
          <w:szCs w:val="24"/>
        </w:rPr>
        <w:t xml:space="preserve">Community-based initiatives at the local level play a very important part in connecting with individuals. Local programs for mental health support, smoking cessation, and community-based physical activity are used to get individuals to participate more in healthcare services, particularly vulnerable groups. These initiatives help improve the access of individuals to care, </w:t>
      </w:r>
      <w:r>
        <w:rPr>
          <w:rFonts w:ascii="Times New Roman" w:hAnsi="Times New Roman" w:cs="Times New Roman"/>
          <w:sz w:val="24"/>
          <w:szCs w:val="24"/>
        </w:rPr>
        <w:lastRenderedPageBreak/>
        <w:t>facilitate the early identification of disease, and promote the inclusion of individuals within the community.</w:t>
      </w:r>
    </w:p>
    <w:p w14:paraId="76DDB2A1" w14:textId="77777777" w:rsidR="00A47764" w:rsidRDefault="00A47764" w:rsidP="00A47764">
      <w:pPr>
        <w:ind w:firstLine="0"/>
        <w:jc w:val="both"/>
        <w:rPr>
          <w:rFonts w:ascii="Times New Roman" w:hAnsi="Times New Roman" w:cs="Times New Roman"/>
          <w:sz w:val="24"/>
          <w:szCs w:val="24"/>
        </w:rPr>
      </w:pPr>
      <w:r>
        <w:rPr>
          <w:rFonts w:ascii="Times New Roman" w:hAnsi="Times New Roman" w:cs="Times New Roman"/>
          <w:sz w:val="24"/>
          <w:szCs w:val="24"/>
        </w:rPr>
        <w:t>As a result of coordinated health action of these various initiatives, global, national, and local in nature, they have shown effectiveness through improved measures for early disease prevention; improving access to basic and necessary healthcare services by the community; and promoting and encouraging healthier lifestyle behaviours in the community. These coordinated health actions also help to reduce health and social inequalities by providing specific and targeted assistance to those communities that are vulnerable in many ways. Therefore, such coordinated health actions will assist in the achievement of Sustainable Development Goals 3 (Good Health and Well-being) and 10 (Reduced Inequalities) and towards the development of more inclusive and sustainable healthcare systems.</w:t>
      </w:r>
    </w:p>
    <w:p w14:paraId="321ACBBE" w14:textId="77777777" w:rsidR="00A47764" w:rsidRDefault="00A47764" w:rsidP="00A47764">
      <w:pPr>
        <w:pStyle w:val="Heading1"/>
        <w:rPr>
          <w:rFonts w:ascii="Times New Roman" w:hAnsi="Times New Roman"/>
          <w:sz w:val="28"/>
        </w:rPr>
      </w:pPr>
      <w:bookmarkStart w:id="3" w:name="_Toc221720593"/>
      <w:r>
        <w:t>Emerging technologies and innovation within health and social care</w:t>
      </w:r>
      <w:bookmarkEnd w:id="3"/>
    </w:p>
    <w:p w14:paraId="4906F83D" w14:textId="77777777" w:rsidR="00A47764" w:rsidRDefault="00A47764" w:rsidP="00A47764">
      <w:pPr>
        <w:ind w:firstLine="0"/>
        <w:jc w:val="both"/>
        <w:rPr>
          <w:rFonts w:ascii="Times New Roman" w:hAnsi="Times New Roman" w:cs="Times New Roman"/>
          <w:sz w:val="24"/>
          <w:szCs w:val="24"/>
        </w:rPr>
      </w:pPr>
      <w:r>
        <w:rPr>
          <w:rFonts w:ascii="Times New Roman" w:hAnsi="Times New Roman" w:cs="Times New Roman"/>
          <w:sz w:val="24"/>
          <w:szCs w:val="24"/>
        </w:rPr>
        <w:t xml:space="preserve">Recently, new and emerging technologies (For example, digital health tools, telehealth programs, and remote monitoring devices) have created a significant impact on the establishment of sustainable systems for the delivery of healthcare and social </w:t>
      </w:r>
      <w:proofErr w:type="gramStart"/>
      <w:r>
        <w:rPr>
          <w:rFonts w:ascii="Times New Roman" w:hAnsi="Times New Roman" w:cs="Times New Roman"/>
          <w:sz w:val="24"/>
          <w:szCs w:val="24"/>
        </w:rPr>
        <w:t>services  (</w:t>
      </w:r>
      <w:proofErr w:type="spellStart"/>
      <w:proofErr w:type="gramEnd"/>
      <w:r>
        <w:rPr>
          <w:rFonts w:ascii="Times New Roman" w:hAnsi="Times New Roman" w:cs="Times New Roman"/>
          <w:sz w:val="24"/>
          <w:szCs w:val="24"/>
        </w:rPr>
        <w:t>Kufeoglu</w:t>
      </w:r>
      <w:proofErr w:type="spellEnd"/>
      <w:r>
        <w:rPr>
          <w:rFonts w:ascii="Times New Roman" w:hAnsi="Times New Roman" w:cs="Times New Roman"/>
          <w:sz w:val="24"/>
          <w:szCs w:val="24"/>
        </w:rPr>
        <w:t xml:space="preserve">, 2022). Digital health resources provide healthcare providers, who historically would not be able to access healthcare services in traditional settings, with access to timely consultations and to receive treatment/monitoring on an ongoing basis from the comfort of their home or office without travelling to see a healthcare provider. Innovative technologies have also reduced the strain on the number of viable options for providing in-person service. Innovations in technology have provided opportunities for medical providers to perform early interventions and improve overall patient outcomes, while providing consumers with more opportunities to be proactive about their health (Lehman, David, and </w:t>
      </w:r>
      <w:r>
        <w:rPr>
          <w:rFonts w:ascii="Times New Roman" w:hAnsi="Times New Roman" w:cs="Times New Roman"/>
          <w:sz w:val="24"/>
          <w:szCs w:val="24"/>
        </w:rPr>
        <w:lastRenderedPageBreak/>
        <w:t>Gruber, 2017). Overall, through the improvement of efficiency, access to services, and overall sustainability, new and emerging technologies are supporting the creation of a higher level of improvements within today’s modern healthcare and social service delivery systems.</w:t>
      </w:r>
    </w:p>
    <w:p w14:paraId="2B6E0930" w14:textId="77777777" w:rsidR="00A47764" w:rsidRDefault="00A47764" w:rsidP="00A47764">
      <w:pPr>
        <w:pStyle w:val="Heading1"/>
        <w:rPr>
          <w:rFonts w:ascii="Times New Roman" w:hAnsi="Times New Roman"/>
          <w:sz w:val="28"/>
        </w:rPr>
      </w:pPr>
      <w:bookmarkStart w:id="4" w:name="_Toc221720594"/>
      <w:r>
        <w:t>Successes and Advantages of Aligning Health and Social Care with SDGs</w:t>
      </w:r>
      <w:bookmarkEnd w:id="4"/>
    </w:p>
    <w:p w14:paraId="376345CA" w14:textId="77777777" w:rsidR="00A47764" w:rsidRDefault="00A47764" w:rsidP="00A47764">
      <w:pPr>
        <w:ind w:firstLine="0"/>
        <w:jc w:val="both"/>
        <w:rPr>
          <w:rFonts w:ascii="Times New Roman" w:hAnsi="Times New Roman" w:cs="Times New Roman"/>
          <w:sz w:val="24"/>
          <w:szCs w:val="24"/>
        </w:rPr>
      </w:pPr>
      <w:r>
        <w:rPr>
          <w:rFonts w:ascii="Times New Roman" w:hAnsi="Times New Roman" w:cs="Times New Roman"/>
          <w:sz w:val="24"/>
          <w:szCs w:val="24"/>
        </w:rPr>
        <w:t>Numerous advantages can be derived from aligning health and social care systems with the Sustainable Development Goals (Lehman and Gruber, 2017). The goal of aligning with SDGs is to develop systems where preventative care, equity and long-term Sustainability are the focus to reduce the use of acute and emergency service by emphasizing the use of early intervention and addressing the social determinants of health; therefore improving population health and well-being; resulting in improved access to health care services by disadvantaged groups; reducing health inequities among other outcomes related to a successful implementation of the SDGs (Allen et al., 2018). Additionally, because systems aligned with the SDGs are more prepared to respond to public health threats, they have greater resiliency and sustainability. Overall, aligning with the SDGs will support the model of a more equitable, stronger, and effective health and social care system.</w:t>
      </w:r>
    </w:p>
    <w:p w14:paraId="76791791" w14:textId="77777777" w:rsidR="00A47764" w:rsidRDefault="00A47764" w:rsidP="00A47764">
      <w:pPr>
        <w:ind w:firstLine="0"/>
        <w:jc w:val="both"/>
        <w:rPr>
          <w:rFonts w:ascii="Times New Roman" w:hAnsi="Times New Roman" w:cs="Times New Roman"/>
          <w:sz w:val="24"/>
          <w:szCs w:val="24"/>
        </w:rPr>
      </w:pPr>
      <w:r>
        <w:rPr>
          <w:rFonts w:ascii="Times New Roman" w:hAnsi="Times New Roman" w:cs="Times New Roman"/>
          <w:sz w:val="24"/>
          <w:szCs w:val="24"/>
        </w:rPr>
        <w:t xml:space="preserve">Preventive health and social care measures help reduce long-term costs while also significantly improving people’s quality of life. By taking a preventive approach, risks can be identified early so progression of illness is </w:t>
      </w:r>
      <w:proofErr w:type="gramStart"/>
      <w:r>
        <w:rPr>
          <w:rFonts w:ascii="Times New Roman" w:hAnsi="Times New Roman" w:cs="Times New Roman"/>
          <w:sz w:val="24"/>
          <w:szCs w:val="24"/>
        </w:rPr>
        <w:t>limited, and</w:t>
      </w:r>
      <w:proofErr w:type="gramEnd"/>
      <w:r>
        <w:rPr>
          <w:rFonts w:ascii="Times New Roman" w:hAnsi="Times New Roman" w:cs="Times New Roman"/>
          <w:sz w:val="24"/>
          <w:szCs w:val="24"/>
        </w:rPr>
        <w:t xml:space="preserve"> thus decreasing the need for costly emergency and acute care. Integrated health and social care services enhance the quality of life by addressing all the physical, mental, and social needs of an individual together rather than separately (Raphael, 2016). This holistic approach promotes a more coordinated, patient-centred approach to care and ultimately produces better outcomes in both the short and long term for individuals and communities (Bhandari, 2024). Together, prevention and integration </w:t>
      </w:r>
      <w:r>
        <w:rPr>
          <w:rFonts w:ascii="Times New Roman" w:hAnsi="Times New Roman" w:cs="Times New Roman"/>
          <w:sz w:val="24"/>
          <w:szCs w:val="24"/>
        </w:rPr>
        <w:lastRenderedPageBreak/>
        <w:t>clearly illustrate the reasons why health and social care policy and practice must embed the Sustainable Development Goals as they promote equitable, efficient, and sustainable systems that lead to healthier populations both today and into the future.</w:t>
      </w:r>
    </w:p>
    <w:p w14:paraId="1E8A16EE" w14:textId="77777777" w:rsidR="00A47764" w:rsidRDefault="00A47764" w:rsidP="00A47764">
      <w:pPr>
        <w:pStyle w:val="Heading1"/>
        <w:rPr>
          <w:rFonts w:ascii="Times New Roman" w:hAnsi="Times New Roman"/>
          <w:sz w:val="28"/>
        </w:rPr>
      </w:pPr>
      <w:bookmarkStart w:id="5" w:name="_Toc221720595"/>
      <w:r>
        <w:t>Conclusion</w:t>
      </w:r>
      <w:bookmarkEnd w:id="5"/>
    </w:p>
    <w:p w14:paraId="329E68AD" w14:textId="77777777" w:rsidR="00A47764" w:rsidRDefault="00A47764" w:rsidP="00A47764">
      <w:pPr>
        <w:ind w:firstLine="0"/>
        <w:jc w:val="both"/>
        <w:rPr>
          <w:rFonts w:ascii="Times New Roman" w:hAnsi="Times New Roman" w:cs="Times New Roman"/>
          <w:sz w:val="24"/>
          <w:szCs w:val="24"/>
        </w:rPr>
      </w:pPr>
      <w:r>
        <w:rPr>
          <w:rFonts w:ascii="Times New Roman" w:hAnsi="Times New Roman" w:cs="Times New Roman"/>
          <w:sz w:val="24"/>
          <w:szCs w:val="24"/>
        </w:rPr>
        <w:t>This paper has examined how SDG 3 (Good Health) and SDG 10 (Reducing Inequalities) affect health and wellness, as well as how these objectives are being achieved through programs at the global, national, and local levels. SDG 3 emphasises the necessity of equitable access to high-quality health care, mental health support, and disease prevention, whereas SDG 10 addresses the systemic barriers that exist in society that contribute to poor health outcomes caused by social and economic inequality.</w:t>
      </w:r>
    </w:p>
    <w:p w14:paraId="022281E1" w14:textId="77777777" w:rsidR="00A47764" w:rsidRDefault="00A47764" w:rsidP="00A47764">
      <w:pPr>
        <w:ind w:firstLine="0"/>
        <w:jc w:val="both"/>
        <w:rPr>
          <w:rFonts w:ascii="Times New Roman" w:hAnsi="Times New Roman" w:cs="Times New Roman"/>
          <w:sz w:val="24"/>
          <w:szCs w:val="24"/>
        </w:rPr>
      </w:pPr>
      <w:r>
        <w:rPr>
          <w:rFonts w:ascii="Times New Roman" w:hAnsi="Times New Roman" w:cs="Times New Roman"/>
          <w:sz w:val="24"/>
          <w:szCs w:val="24"/>
        </w:rPr>
        <w:t>The combination of SDGs 3 and 10 emphasises that while health has often been considered primarily through the lens of clinical care, it is affected by a variety of other social determinants, including income, education, housing, and social inclusion.</w:t>
      </w:r>
    </w:p>
    <w:p w14:paraId="00DD3DBA" w14:textId="77777777" w:rsidR="00A47764" w:rsidRDefault="00A47764" w:rsidP="00A47764">
      <w:pPr>
        <w:ind w:firstLine="0"/>
        <w:jc w:val="both"/>
        <w:rPr>
          <w:rFonts w:ascii="Times New Roman" w:hAnsi="Times New Roman" w:cs="Times New Roman"/>
          <w:sz w:val="24"/>
          <w:szCs w:val="24"/>
        </w:rPr>
      </w:pPr>
      <w:r>
        <w:rPr>
          <w:rFonts w:ascii="Times New Roman" w:hAnsi="Times New Roman" w:cs="Times New Roman"/>
          <w:sz w:val="24"/>
          <w:szCs w:val="24"/>
        </w:rPr>
        <w:t>Despite continuing to make significant achievements through public health, policy changes, and technology, numerous obstacles have hindered progress toward achieving the objectives of SDG 3 and SDG 10. Issues such as health inequities, digital exclusion, and unequal access to all aspects of the health system have highlighted the necessity for more integrated and coordinated approaches across health and social care systems. Continued focus on developing sustainable, equitable, and preventative strategies will reduce inequities amongst individuals, increase resilience, and improve long-term health and well-being outcomes for current and future generations by focusing on collaboration, inclusion, and long-term objectives within health and social care systems.</w:t>
      </w:r>
    </w:p>
    <w:p w14:paraId="4295C9C3" w14:textId="77777777" w:rsidR="00A47764" w:rsidRDefault="00A47764" w:rsidP="00A47764">
      <w:pPr>
        <w:ind w:firstLine="0"/>
        <w:jc w:val="both"/>
        <w:rPr>
          <w:rFonts w:ascii="Times New Roman" w:hAnsi="Times New Roman" w:cs="Times New Roman"/>
          <w:sz w:val="24"/>
          <w:szCs w:val="24"/>
        </w:rPr>
      </w:pPr>
      <w:r>
        <w:rPr>
          <w:rFonts w:ascii="Times New Roman" w:hAnsi="Times New Roman" w:cs="Times New Roman"/>
          <w:sz w:val="24"/>
          <w:szCs w:val="24"/>
        </w:rPr>
        <w:lastRenderedPageBreak/>
        <w:t xml:space="preserve">All people need to work and act together long-term for SDG 3 (good health and well-being) and SDG 10 (reduced inequality). By working toward prevention, early intervention and equal access to services, we can create healthy and fair lives for everyone. </w:t>
      </w:r>
    </w:p>
    <w:p w14:paraId="076A095E" w14:textId="77777777" w:rsidR="00A47764" w:rsidRDefault="00A47764" w:rsidP="00A47764">
      <w:pPr>
        <w:ind w:firstLine="0"/>
        <w:jc w:val="both"/>
        <w:rPr>
          <w:rFonts w:ascii="Times New Roman" w:hAnsi="Times New Roman" w:cs="Times New Roman"/>
          <w:sz w:val="24"/>
          <w:szCs w:val="24"/>
        </w:rPr>
      </w:pPr>
    </w:p>
    <w:p w14:paraId="09F5FF1E" w14:textId="77777777" w:rsidR="00A47764" w:rsidRDefault="00A47764" w:rsidP="00A47764">
      <w:pPr>
        <w:ind w:firstLine="0"/>
        <w:rPr>
          <w:rFonts w:ascii="Times New Roman" w:hAnsi="Times New Roman" w:cs="Times New Roman"/>
          <w:b/>
          <w:bCs/>
          <w:sz w:val="24"/>
          <w:szCs w:val="24"/>
        </w:rPr>
      </w:pPr>
      <w:r>
        <w:rPr>
          <w:rFonts w:ascii="Times New Roman" w:hAnsi="Times New Roman" w:cs="Times New Roman"/>
          <w:b/>
          <w:bCs/>
          <w:kern w:val="0"/>
          <w:sz w:val="24"/>
          <w:szCs w:val="24"/>
          <w14:ligatures w14:val="none"/>
        </w:rPr>
        <w:br w:type="page"/>
      </w:r>
    </w:p>
    <w:p w14:paraId="3D48DC91" w14:textId="77777777" w:rsidR="00A47764" w:rsidRDefault="00A47764" w:rsidP="00A47764">
      <w:pPr>
        <w:pStyle w:val="Heading1"/>
        <w:rPr>
          <w:rFonts w:ascii="Times New Roman" w:hAnsi="Times New Roman"/>
          <w:b/>
          <w:sz w:val="28"/>
        </w:rPr>
      </w:pPr>
      <w:bookmarkStart w:id="6" w:name="_Toc221720596"/>
      <w:r>
        <w:lastRenderedPageBreak/>
        <w:t>References</w:t>
      </w:r>
      <w:bookmarkEnd w:id="6"/>
    </w:p>
    <w:p w14:paraId="2F428922" w14:textId="77777777" w:rsidR="00A47764" w:rsidRDefault="00A47764" w:rsidP="00A47764">
      <w:pPr>
        <w:ind w:firstLine="0"/>
        <w:jc w:val="both"/>
        <w:rPr>
          <w:rFonts w:ascii="Times New Roman" w:hAnsi="Times New Roman" w:cs="Times New Roman"/>
          <w:sz w:val="24"/>
          <w:szCs w:val="24"/>
        </w:rPr>
      </w:pPr>
      <w:r>
        <w:rPr>
          <w:rFonts w:ascii="Times New Roman" w:hAnsi="Times New Roman" w:cs="Times New Roman"/>
          <w:sz w:val="24"/>
          <w:szCs w:val="24"/>
        </w:rPr>
        <w:t xml:space="preserve">Allen, C., </w:t>
      </w:r>
      <w:proofErr w:type="spellStart"/>
      <w:r>
        <w:rPr>
          <w:rFonts w:ascii="Times New Roman" w:hAnsi="Times New Roman" w:cs="Times New Roman"/>
          <w:sz w:val="24"/>
          <w:szCs w:val="24"/>
        </w:rPr>
        <w:t>Metternicht</w:t>
      </w:r>
      <w:proofErr w:type="spellEnd"/>
      <w:r>
        <w:rPr>
          <w:rFonts w:ascii="Times New Roman" w:hAnsi="Times New Roman" w:cs="Times New Roman"/>
          <w:sz w:val="24"/>
          <w:szCs w:val="24"/>
        </w:rPr>
        <w:t xml:space="preserve">, G. and Wiedmann, T., 2018. Initial progress in implementing the Sustainable Development Goals (SDGs): A review of evidence from countries. Sustainability Science, 13(5), pp.1453–1467. </w:t>
      </w:r>
      <w:hyperlink r:id="rId11" w:history="1">
        <w:r>
          <w:rPr>
            <w:rStyle w:val="Hyperlink"/>
            <w:rFonts w:ascii="Times New Roman" w:hAnsi="Times New Roman" w:cs="Times New Roman"/>
            <w:sz w:val="24"/>
            <w:szCs w:val="24"/>
          </w:rPr>
          <w:t>https://link.springer.com/article/10.1007/s11625-018-0572-3</w:t>
        </w:r>
      </w:hyperlink>
    </w:p>
    <w:p w14:paraId="2693AAC1" w14:textId="77777777" w:rsidR="00A47764" w:rsidRDefault="00A47764" w:rsidP="00A47764">
      <w:pPr>
        <w:ind w:firstLine="0"/>
        <w:jc w:val="both"/>
        <w:rPr>
          <w:rFonts w:ascii="Times New Roman" w:hAnsi="Times New Roman" w:cs="Times New Roman"/>
          <w:sz w:val="24"/>
          <w:szCs w:val="24"/>
        </w:rPr>
      </w:pPr>
      <w:r>
        <w:rPr>
          <w:rFonts w:ascii="Times New Roman" w:hAnsi="Times New Roman" w:cs="Times New Roman"/>
          <w:sz w:val="24"/>
          <w:szCs w:val="24"/>
        </w:rPr>
        <w:t>Bhandari, M.P., 2024. What is next for the Sustainable Development Goals? What are the challenges concerning SDG 10—reduced inequalities? Sustainable Earth Reviews, 7(1), p.23.</w:t>
      </w:r>
    </w:p>
    <w:p w14:paraId="0A0A79F2" w14:textId="77777777" w:rsidR="00A47764" w:rsidRDefault="00A47764" w:rsidP="00A47764">
      <w:pPr>
        <w:ind w:firstLine="0"/>
        <w:jc w:val="both"/>
        <w:rPr>
          <w:rFonts w:ascii="Times New Roman" w:hAnsi="Times New Roman" w:cs="Times New Roman"/>
          <w:sz w:val="24"/>
          <w:szCs w:val="24"/>
        </w:rPr>
      </w:pPr>
      <w:hyperlink r:id="rId12" w:history="1">
        <w:r>
          <w:rPr>
            <w:rStyle w:val="Hyperlink"/>
            <w:rFonts w:ascii="Times New Roman" w:hAnsi="Times New Roman" w:cs="Times New Roman"/>
            <w:sz w:val="24"/>
            <w:szCs w:val="24"/>
          </w:rPr>
          <w:t>https://link.springer.com/article/10.1186/s42055-024-00093-8</w:t>
        </w:r>
      </w:hyperlink>
    </w:p>
    <w:p w14:paraId="4EF4E57F" w14:textId="77777777" w:rsidR="00A47764" w:rsidRDefault="00A47764" w:rsidP="00A47764">
      <w:pPr>
        <w:ind w:firstLine="0"/>
        <w:jc w:val="both"/>
        <w:rPr>
          <w:rFonts w:ascii="Times New Roman" w:hAnsi="Times New Roman" w:cs="Times New Roman"/>
          <w:sz w:val="24"/>
          <w:szCs w:val="24"/>
        </w:rPr>
      </w:pPr>
      <w:r>
        <w:rPr>
          <w:rFonts w:ascii="Times New Roman" w:hAnsi="Times New Roman" w:cs="Times New Roman"/>
          <w:sz w:val="24"/>
          <w:szCs w:val="24"/>
        </w:rPr>
        <w:t>Dodgen, D., Donato, D., Kelly, N., La Greca, A., Morganstein, J., Reser, J., Ruzek, J., Schweitzer, S., Shimamoto, M.M., Tart, K.T. and Ursano, R., 2016. Mental health and well-being. US Global Change Research Program.</w:t>
      </w:r>
    </w:p>
    <w:p w14:paraId="241515E6" w14:textId="77777777" w:rsidR="00A47764" w:rsidRDefault="00A47764" w:rsidP="00A47764">
      <w:pPr>
        <w:ind w:firstLine="0"/>
        <w:jc w:val="both"/>
        <w:rPr>
          <w:rFonts w:ascii="Times New Roman" w:hAnsi="Times New Roman" w:cs="Times New Roman"/>
          <w:sz w:val="24"/>
          <w:szCs w:val="24"/>
        </w:rPr>
      </w:pPr>
      <w:hyperlink r:id="rId13" w:history="1">
        <w:r>
          <w:rPr>
            <w:rStyle w:val="Hyperlink"/>
            <w:rFonts w:ascii="Times New Roman" w:hAnsi="Times New Roman" w:cs="Times New Roman"/>
            <w:sz w:val="24"/>
            <w:szCs w:val="24"/>
          </w:rPr>
          <w:t>https://research-repository.griffith.edu.au/items/8a454510-7298-47a4-9a10-5c71cbbc770a</w:t>
        </w:r>
      </w:hyperlink>
    </w:p>
    <w:p w14:paraId="57F5ED73" w14:textId="77777777" w:rsidR="00A47764" w:rsidRDefault="00A47764" w:rsidP="00A47764">
      <w:pPr>
        <w:ind w:firstLine="0"/>
        <w:jc w:val="both"/>
        <w:rPr>
          <w:rFonts w:ascii="Times New Roman" w:hAnsi="Times New Roman" w:cs="Times New Roman"/>
          <w:sz w:val="24"/>
          <w:szCs w:val="24"/>
        </w:rPr>
      </w:pPr>
      <w:r>
        <w:rPr>
          <w:rFonts w:ascii="Times New Roman" w:hAnsi="Times New Roman" w:cs="Times New Roman"/>
          <w:sz w:val="24"/>
          <w:szCs w:val="24"/>
        </w:rPr>
        <w:t>Gostin, L.O., Moon, S., and Meier, B.M., 2020. Reimagining global health governance in the age of COVID-19. American Journal of Public Health, 110(11), pp.1615–1619.</w:t>
      </w:r>
    </w:p>
    <w:p w14:paraId="10A326E7" w14:textId="77777777" w:rsidR="00A47764" w:rsidRDefault="00A47764" w:rsidP="00A47764">
      <w:pPr>
        <w:ind w:firstLine="0"/>
        <w:jc w:val="both"/>
        <w:rPr>
          <w:rFonts w:ascii="Times New Roman" w:hAnsi="Times New Roman" w:cs="Times New Roman"/>
          <w:sz w:val="24"/>
          <w:szCs w:val="24"/>
        </w:rPr>
      </w:pPr>
      <w:hyperlink r:id="rId14" w:history="1">
        <w:r>
          <w:rPr>
            <w:rStyle w:val="Hyperlink"/>
            <w:rFonts w:ascii="Times New Roman" w:hAnsi="Times New Roman" w:cs="Times New Roman"/>
            <w:sz w:val="24"/>
            <w:szCs w:val="24"/>
          </w:rPr>
          <w:t>https://ajph.aphapublications.org/doi/abs/10.2105/AJPH.2020.305933</w:t>
        </w:r>
      </w:hyperlink>
    </w:p>
    <w:p w14:paraId="5E182264" w14:textId="77777777" w:rsidR="00A47764" w:rsidRDefault="00A47764" w:rsidP="00A47764">
      <w:pPr>
        <w:ind w:firstLine="0"/>
        <w:jc w:val="both"/>
        <w:rPr>
          <w:rFonts w:ascii="Times New Roman" w:hAnsi="Times New Roman" w:cs="Times New Roman"/>
          <w:sz w:val="24"/>
          <w:szCs w:val="24"/>
        </w:rPr>
      </w:pPr>
      <w:proofErr w:type="spellStart"/>
      <w:r>
        <w:rPr>
          <w:rFonts w:ascii="Times New Roman" w:hAnsi="Times New Roman" w:cs="Times New Roman"/>
          <w:sz w:val="24"/>
          <w:szCs w:val="24"/>
        </w:rPr>
        <w:t>Kufeoglu</w:t>
      </w:r>
      <w:proofErr w:type="spellEnd"/>
      <w:r>
        <w:rPr>
          <w:rFonts w:ascii="Times New Roman" w:hAnsi="Times New Roman" w:cs="Times New Roman"/>
          <w:sz w:val="24"/>
          <w:szCs w:val="24"/>
        </w:rPr>
        <w:t xml:space="preserve">, S., 2022. SDG-3 Good health and well-being. In Emerging Technologies: Value Creation for Sustainable Development (pp.229–253). Cham: Springer International Publishing. </w:t>
      </w:r>
      <w:hyperlink r:id="rId15" w:history="1">
        <w:r>
          <w:rPr>
            <w:rStyle w:val="Hyperlink"/>
            <w:rFonts w:ascii="Times New Roman" w:hAnsi="Times New Roman" w:cs="Times New Roman"/>
            <w:sz w:val="24"/>
            <w:szCs w:val="24"/>
          </w:rPr>
          <w:t>https://link.springer.com/chapter/10.1007/978-3-031-07127-0_5</w:t>
        </w:r>
      </w:hyperlink>
    </w:p>
    <w:p w14:paraId="5EEC3230" w14:textId="77777777" w:rsidR="00A47764" w:rsidRDefault="00A47764" w:rsidP="00A47764">
      <w:pPr>
        <w:ind w:firstLine="0"/>
        <w:jc w:val="both"/>
        <w:rPr>
          <w:rFonts w:ascii="Times New Roman" w:hAnsi="Times New Roman" w:cs="Times New Roman"/>
          <w:sz w:val="24"/>
          <w:szCs w:val="24"/>
        </w:rPr>
      </w:pPr>
      <w:r>
        <w:rPr>
          <w:rFonts w:ascii="Times New Roman" w:hAnsi="Times New Roman" w:cs="Times New Roman"/>
          <w:sz w:val="24"/>
          <w:szCs w:val="24"/>
        </w:rPr>
        <w:t>Lehman, B.J., David, D.M., and Gruber, J.A., 2017. Rethinking the biopsychosocial model of health: Understanding health as a dynamic system. Social and Personality Psychology Compass, 11(8), p.e12328.</w:t>
      </w:r>
    </w:p>
    <w:p w14:paraId="264E4FCE" w14:textId="77777777" w:rsidR="00A47764" w:rsidRDefault="00A47764" w:rsidP="00A47764">
      <w:pPr>
        <w:ind w:firstLine="0"/>
        <w:jc w:val="both"/>
        <w:rPr>
          <w:rFonts w:ascii="Times New Roman" w:hAnsi="Times New Roman" w:cs="Times New Roman"/>
          <w:sz w:val="24"/>
          <w:szCs w:val="24"/>
        </w:rPr>
      </w:pPr>
      <w:hyperlink r:id="rId16" w:history="1">
        <w:r>
          <w:rPr>
            <w:rStyle w:val="Hyperlink"/>
            <w:rFonts w:ascii="Times New Roman" w:hAnsi="Times New Roman" w:cs="Times New Roman"/>
            <w:sz w:val="24"/>
            <w:szCs w:val="24"/>
          </w:rPr>
          <w:t>https://compass.onlinelibrary.wiley.com/doi/abs/10.1111/spc3.12328</w:t>
        </w:r>
      </w:hyperlink>
    </w:p>
    <w:p w14:paraId="255848AF" w14:textId="77777777" w:rsidR="00A47764" w:rsidRDefault="00A47764" w:rsidP="00A47764">
      <w:pPr>
        <w:ind w:firstLine="0"/>
        <w:jc w:val="both"/>
        <w:rPr>
          <w:rFonts w:ascii="Times New Roman" w:hAnsi="Times New Roman" w:cs="Times New Roman"/>
          <w:sz w:val="24"/>
          <w:szCs w:val="24"/>
        </w:rPr>
      </w:pPr>
      <w:r>
        <w:rPr>
          <w:rFonts w:ascii="Times New Roman" w:hAnsi="Times New Roman" w:cs="Times New Roman"/>
          <w:sz w:val="24"/>
          <w:szCs w:val="24"/>
        </w:rPr>
        <w:lastRenderedPageBreak/>
        <w:t xml:space="preserve">Lords, H., 2017. The long-term sustainability of the NHS and adult social care. London: House of Lords. </w:t>
      </w:r>
      <w:hyperlink r:id="rId17" w:history="1">
        <w:r>
          <w:rPr>
            <w:rStyle w:val="Hyperlink"/>
            <w:rFonts w:ascii="Times New Roman" w:hAnsi="Times New Roman" w:cs="Times New Roman"/>
            <w:sz w:val="24"/>
            <w:szCs w:val="24"/>
          </w:rPr>
          <w:t>https://www.abhi.org.uk/media/1501/hol-long-term-sustainability-of-nhs-report.pdf</w:t>
        </w:r>
      </w:hyperlink>
    </w:p>
    <w:p w14:paraId="46E939EA" w14:textId="77777777" w:rsidR="00A47764" w:rsidRDefault="00A47764" w:rsidP="00A47764">
      <w:pPr>
        <w:ind w:firstLine="0"/>
        <w:jc w:val="both"/>
        <w:rPr>
          <w:rFonts w:ascii="Times New Roman" w:hAnsi="Times New Roman" w:cs="Times New Roman"/>
          <w:sz w:val="24"/>
          <w:szCs w:val="24"/>
        </w:rPr>
      </w:pPr>
      <w:r>
        <w:rPr>
          <w:rFonts w:ascii="Times New Roman" w:hAnsi="Times New Roman" w:cs="Times New Roman"/>
          <w:sz w:val="24"/>
          <w:szCs w:val="24"/>
        </w:rPr>
        <w:t>Mato-Juhasz, A., Kiss-Toth, E. and Szegedi, K., 2016. Holistic health model of sustainable development. European Scientific Journal, 12(21).</w:t>
      </w:r>
    </w:p>
    <w:p w14:paraId="7C5FA5C3" w14:textId="77777777" w:rsidR="00A47764" w:rsidRDefault="00A47764" w:rsidP="00A47764">
      <w:pPr>
        <w:ind w:firstLine="0"/>
        <w:jc w:val="both"/>
        <w:rPr>
          <w:rFonts w:ascii="Times New Roman" w:hAnsi="Times New Roman" w:cs="Times New Roman"/>
          <w:sz w:val="24"/>
          <w:szCs w:val="24"/>
        </w:rPr>
      </w:pPr>
      <w:hyperlink r:id="rId18" w:history="1">
        <w:r>
          <w:rPr>
            <w:rStyle w:val="Hyperlink"/>
            <w:rFonts w:ascii="Times New Roman" w:hAnsi="Times New Roman" w:cs="Times New Roman"/>
            <w:sz w:val="24"/>
            <w:szCs w:val="24"/>
          </w:rPr>
          <w:t>https://www.researchgate.net/profile/Annamaria-Juhasz-3/publication/308549148</w:t>
        </w:r>
      </w:hyperlink>
    </w:p>
    <w:p w14:paraId="7C672F49" w14:textId="77777777" w:rsidR="00A47764" w:rsidRDefault="00A47764" w:rsidP="00A47764">
      <w:pPr>
        <w:ind w:firstLine="0"/>
        <w:jc w:val="both"/>
        <w:rPr>
          <w:rFonts w:ascii="Times New Roman" w:hAnsi="Times New Roman" w:cs="Times New Roman"/>
          <w:sz w:val="24"/>
          <w:szCs w:val="24"/>
        </w:rPr>
      </w:pPr>
      <w:r>
        <w:rPr>
          <w:rFonts w:ascii="Times New Roman" w:hAnsi="Times New Roman" w:cs="Times New Roman"/>
          <w:sz w:val="24"/>
          <w:szCs w:val="24"/>
        </w:rPr>
        <w:t xml:space="preserve">Miller, R., Glasby, J. and Dickinson, H., 2021. Integrated health and social care in England: Ten years on. International Journal of Integrated Care, 21(4), p.6. </w:t>
      </w:r>
      <w:hyperlink r:id="rId19" w:history="1">
        <w:r>
          <w:rPr>
            <w:rStyle w:val="Hyperlink"/>
            <w:rFonts w:ascii="Times New Roman" w:hAnsi="Times New Roman" w:cs="Times New Roman"/>
            <w:sz w:val="24"/>
            <w:szCs w:val="24"/>
          </w:rPr>
          <w:t>https://pmc.ncbi.nlm.nih.gov/articles/PMC8555479/</w:t>
        </w:r>
      </w:hyperlink>
    </w:p>
    <w:p w14:paraId="1D8DF0B1" w14:textId="77777777" w:rsidR="00A47764" w:rsidRDefault="00A47764" w:rsidP="00A47764">
      <w:pPr>
        <w:ind w:firstLine="0"/>
        <w:jc w:val="both"/>
        <w:rPr>
          <w:rFonts w:ascii="Times New Roman" w:hAnsi="Times New Roman" w:cs="Times New Roman"/>
          <w:sz w:val="24"/>
          <w:szCs w:val="24"/>
        </w:rPr>
      </w:pPr>
      <w:r>
        <w:rPr>
          <w:rFonts w:ascii="Times New Roman" w:hAnsi="Times New Roman" w:cs="Times New Roman"/>
          <w:sz w:val="24"/>
          <w:szCs w:val="24"/>
        </w:rPr>
        <w:t xml:space="preserve">Musich, S., Wang, S., Hawkins, K., and Klemes, A., 2016. The impact of personalized preventive care on health care quality, utilization, and expenditures. Population Health Management, 19(6), pp.389–397. </w:t>
      </w:r>
      <w:hyperlink r:id="rId20" w:history="1">
        <w:r>
          <w:rPr>
            <w:rStyle w:val="Hyperlink"/>
            <w:rFonts w:ascii="Times New Roman" w:hAnsi="Times New Roman" w:cs="Times New Roman"/>
            <w:sz w:val="24"/>
            <w:szCs w:val="24"/>
          </w:rPr>
          <w:t>https://www.liebertpub.com/doi/abs/10.1089/pop.2015.0171</w:t>
        </w:r>
      </w:hyperlink>
    </w:p>
    <w:p w14:paraId="695782CD" w14:textId="77777777" w:rsidR="00A47764" w:rsidRDefault="00A47764" w:rsidP="00A47764">
      <w:pPr>
        <w:ind w:firstLine="0"/>
        <w:jc w:val="both"/>
        <w:rPr>
          <w:rFonts w:ascii="Times New Roman" w:hAnsi="Times New Roman" w:cs="Times New Roman"/>
          <w:sz w:val="24"/>
          <w:szCs w:val="24"/>
        </w:rPr>
      </w:pPr>
      <w:r>
        <w:rPr>
          <w:rFonts w:ascii="Times New Roman" w:hAnsi="Times New Roman" w:cs="Times New Roman"/>
          <w:sz w:val="24"/>
          <w:szCs w:val="24"/>
        </w:rPr>
        <w:t xml:space="preserve">Osorio-González, C.S., Hegde, K., Brar, S.K., Avalos-Ramírez, A. and </w:t>
      </w:r>
      <w:proofErr w:type="spellStart"/>
      <w:r>
        <w:rPr>
          <w:rFonts w:ascii="Times New Roman" w:hAnsi="Times New Roman" w:cs="Times New Roman"/>
          <w:sz w:val="24"/>
          <w:szCs w:val="24"/>
        </w:rPr>
        <w:t>Surampalli</w:t>
      </w:r>
      <w:proofErr w:type="spellEnd"/>
      <w:r>
        <w:rPr>
          <w:rFonts w:ascii="Times New Roman" w:hAnsi="Times New Roman" w:cs="Times New Roman"/>
          <w:sz w:val="24"/>
          <w:szCs w:val="24"/>
        </w:rPr>
        <w:t xml:space="preserve">, R.Y., 2020. Sustainable healthcare systems. In Sustainability: Fundamentals and Applications (pp.375–396). </w:t>
      </w:r>
      <w:hyperlink r:id="rId21" w:history="1">
        <w:r>
          <w:rPr>
            <w:rStyle w:val="Hyperlink"/>
            <w:rFonts w:ascii="Times New Roman" w:hAnsi="Times New Roman" w:cs="Times New Roman"/>
            <w:sz w:val="24"/>
            <w:szCs w:val="24"/>
          </w:rPr>
          <w:t>https://onlinelibrary.wiley.com/doi/abs/10.1002/9781119434016.ch18</w:t>
        </w:r>
      </w:hyperlink>
    </w:p>
    <w:p w14:paraId="5D41DDC5" w14:textId="77777777" w:rsidR="00A47764" w:rsidRDefault="00A47764" w:rsidP="00A47764">
      <w:pPr>
        <w:ind w:firstLine="0"/>
        <w:jc w:val="both"/>
        <w:rPr>
          <w:rFonts w:ascii="Times New Roman" w:hAnsi="Times New Roman" w:cs="Times New Roman"/>
          <w:sz w:val="24"/>
          <w:szCs w:val="24"/>
        </w:rPr>
      </w:pPr>
      <w:r>
        <w:rPr>
          <w:rFonts w:ascii="Times New Roman" w:hAnsi="Times New Roman" w:cs="Times New Roman"/>
          <w:sz w:val="24"/>
          <w:szCs w:val="24"/>
        </w:rPr>
        <w:t xml:space="preserve">Penman-Aguilar, A., Talih, M., Huang, D., Moonesinghe, R., Bouye, K., and Beckles, G., 2016. Measurement of health disparities, health inequities, and social determinants of health. Journal of Public Health Management and Practice, 22, </w:t>
      </w:r>
      <w:proofErr w:type="gramStart"/>
      <w:r>
        <w:rPr>
          <w:rFonts w:ascii="Times New Roman" w:hAnsi="Times New Roman" w:cs="Times New Roman"/>
          <w:sz w:val="24"/>
          <w:szCs w:val="24"/>
        </w:rPr>
        <w:t>pp.S</w:t>
      </w:r>
      <w:proofErr w:type="gramEnd"/>
      <w:r>
        <w:rPr>
          <w:rFonts w:ascii="Times New Roman" w:hAnsi="Times New Roman" w:cs="Times New Roman"/>
          <w:sz w:val="24"/>
          <w:szCs w:val="24"/>
        </w:rPr>
        <w:t xml:space="preserve">33–S42. </w:t>
      </w:r>
      <w:hyperlink r:id="rId22" w:history="1">
        <w:r>
          <w:rPr>
            <w:rStyle w:val="Hyperlink"/>
            <w:rFonts w:ascii="Times New Roman" w:hAnsi="Times New Roman" w:cs="Times New Roman"/>
            <w:sz w:val="24"/>
            <w:szCs w:val="24"/>
          </w:rPr>
          <w:t>https://journals.lww.com/jphmp</w:t>
        </w:r>
      </w:hyperlink>
    </w:p>
    <w:p w14:paraId="42E5AC9A" w14:textId="77777777" w:rsidR="00A47764" w:rsidRDefault="00A47764" w:rsidP="00A47764">
      <w:pPr>
        <w:ind w:firstLine="0"/>
        <w:jc w:val="both"/>
        <w:rPr>
          <w:rFonts w:ascii="Times New Roman" w:hAnsi="Times New Roman" w:cs="Times New Roman"/>
          <w:sz w:val="24"/>
          <w:szCs w:val="24"/>
        </w:rPr>
      </w:pPr>
      <w:r>
        <w:rPr>
          <w:rFonts w:ascii="Times New Roman" w:hAnsi="Times New Roman" w:cs="Times New Roman"/>
          <w:sz w:val="24"/>
          <w:szCs w:val="24"/>
        </w:rPr>
        <w:t xml:space="preserve">Philip, P.M., Kannan, S., and </w:t>
      </w:r>
      <w:proofErr w:type="spellStart"/>
      <w:r>
        <w:rPr>
          <w:rFonts w:ascii="Times New Roman" w:hAnsi="Times New Roman" w:cs="Times New Roman"/>
          <w:sz w:val="24"/>
          <w:szCs w:val="24"/>
        </w:rPr>
        <w:t>Parambil</w:t>
      </w:r>
      <w:proofErr w:type="spellEnd"/>
      <w:r>
        <w:rPr>
          <w:rFonts w:ascii="Times New Roman" w:hAnsi="Times New Roman" w:cs="Times New Roman"/>
          <w:sz w:val="24"/>
          <w:szCs w:val="24"/>
        </w:rPr>
        <w:t>, N.A., 2018. Community-based interventions for health promotion and disease prevention. Journal of Education and Health Promotion, 7(1), p.141.</w:t>
      </w:r>
      <w:r>
        <w:rPr>
          <w:rFonts w:ascii="Times New Roman" w:hAnsi="Times New Roman" w:cs="Times New Roman"/>
          <w:sz w:val="24"/>
          <w:szCs w:val="24"/>
        </w:rPr>
        <w:br/>
      </w:r>
      <w:hyperlink r:id="rId23" w:tgtFrame="_new" w:history="1">
        <w:r>
          <w:rPr>
            <w:rStyle w:val="Hyperlink"/>
            <w:rFonts w:ascii="Times New Roman" w:hAnsi="Times New Roman" w:cs="Times New Roman"/>
            <w:sz w:val="24"/>
            <w:szCs w:val="24"/>
          </w:rPr>
          <w:t>https://journals.lww.com/jehp</w:t>
        </w:r>
      </w:hyperlink>
    </w:p>
    <w:p w14:paraId="001B6837" w14:textId="77777777" w:rsidR="00A47764" w:rsidRDefault="00A47764" w:rsidP="00A47764">
      <w:pPr>
        <w:ind w:firstLine="0"/>
        <w:jc w:val="both"/>
        <w:rPr>
          <w:rFonts w:ascii="Times New Roman" w:hAnsi="Times New Roman" w:cs="Times New Roman"/>
          <w:sz w:val="24"/>
          <w:szCs w:val="24"/>
        </w:rPr>
      </w:pPr>
      <w:r>
        <w:rPr>
          <w:rFonts w:ascii="Times New Roman" w:hAnsi="Times New Roman" w:cs="Times New Roman"/>
          <w:sz w:val="24"/>
          <w:szCs w:val="24"/>
          <w:lang w:val="nl-NL"/>
        </w:rPr>
        <w:t xml:space="preserve">Rahman, R., Reid, C., Kloer, P., Henchie, A., Thomas, A., and Zwiggelaar, R., 2024. </w:t>
      </w:r>
      <w:r>
        <w:rPr>
          <w:rFonts w:ascii="Times New Roman" w:hAnsi="Times New Roman" w:cs="Times New Roman"/>
          <w:sz w:val="24"/>
          <w:szCs w:val="24"/>
        </w:rPr>
        <w:t xml:space="preserve">Application of a social model of health and well-being. European Journal of Public Health, 34(3), pp.467–472. </w:t>
      </w:r>
      <w:hyperlink r:id="rId24" w:history="1">
        <w:r>
          <w:rPr>
            <w:rStyle w:val="Hyperlink"/>
            <w:rFonts w:ascii="Times New Roman" w:hAnsi="Times New Roman" w:cs="Times New Roman"/>
            <w:sz w:val="24"/>
            <w:szCs w:val="24"/>
          </w:rPr>
          <w:t>https://academic.oup.com/eurpub/article-abstract/34/3/467/7590328</w:t>
        </w:r>
      </w:hyperlink>
    </w:p>
    <w:p w14:paraId="3679B868" w14:textId="77777777" w:rsidR="00A47764" w:rsidRDefault="00A47764" w:rsidP="00A47764">
      <w:pPr>
        <w:ind w:firstLine="0"/>
        <w:jc w:val="both"/>
        <w:rPr>
          <w:rFonts w:ascii="Times New Roman" w:hAnsi="Times New Roman" w:cs="Times New Roman"/>
          <w:sz w:val="24"/>
          <w:szCs w:val="24"/>
        </w:rPr>
      </w:pPr>
      <w:r>
        <w:rPr>
          <w:rFonts w:ascii="Times New Roman" w:hAnsi="Times New Roman" w:cs="Times New Roman"/>
          <w:sz w:val="24"/>
          <w:szCs w:val="24"/>
        </w:rPr>
        <w:lastRenderedPageBreak/>
        <w:t xml:space="preserve">Raphael, D., 2016. Social determinants of health: Canadian perspectives. Canadian Scholars’ Press. </w:t>
      </w:r>
      <w:hyperlink r:id="rId25" w:history="1">
        <w:r>
          <w:rPr>
            <w:rStyle w:val="Hyperlink"/>
            <w:rFonts w:ascii="Times New Roman" w:hAnsi="Times New Roman" w:cs="Times New Roman"/>
            <w:sz w:val="24"/>
            <w:szCs w:val="24"/>
          </w:rPr>
          <w:t>https://books.google.com/books?id=CQkiDAAAQBAJ</w:t>
        </w:r>
      </w:hyperlink>
    </w:p>
    <w:p w14:paraId="76A450FC" w14:textId="77777777" w:rsidR="00A47764" w:rsidRDefault="00A47764" w:rsidP="00A47764">
      <w:pPr>
        <w:ind w:firstLine="0"/>
        <w:jc w:val="both"/>
        <w:rPr>
          <w:rFonts w:ascii="Times New Roman" w:hAnsi="Times New Roman" w:cs="Times New Roman"/>
          <w:sz w:val="24"/>
          <w:szCs w:val="24"/>
        </w:rPr>
      </w:pPr>
      <w:r>
        <w:rPr>
          <w:rFonts w:ascii="Times New Roman" w:hAnsi="Times New Roman" w:cs="Times New Roman"/>
          <w:sz w:val="24"/>
          <w:szCs w:val="24"/>
        </w:rPr>
        <w:t xml:space="preserve">Shaffer, K.M., Turner, K.L., Siwik, C., Gonzalez, B.D., Upasani, R., Glazer, J.V., Ferguson, R.J., Joshua, C., and Low, C.A., 2023. Digital health and telehealth in cancer care. The Lancet Digital Health, 5(5), </w:t>
      </w:r>
      <w:proofErr w:type="gramStart"/>
      <w:r>
        <w:rPr>
          <w:rFonts w:ascii="Times New Roman" w:hAnsi="Times New Roman" w:cs="Times New Roman"/>
          <w:sz w:val="24"/>
          <w:szCs w:val="24"/>
        </w:rPr>
        <w:t>pp.e</w:t>
      </w:r>
      <w:proofErr w:type="gramEnd"/>
      <w:r>
        <w:rPr>
          <w:rFonts w:ascii="Times New Roman" w:hAnsi="Times New Roman" w:cs="Times New Roman"/>
          <w:sz w:val="24"/>
          <w:szCs w:val="24"/>
        </w:rPr>
        <w:t>316–e327.</w:t>
      </w:r>
    </w:p>
    <w:p w14:paraId="18C3CEA8" w14:textId="77777777" w:rsidR="00A47764" w:rsidRDefault="00A47764" w:rsidP="00A47764">
      <w:pPr>
        <w:ind w:firstLine="0"/>
        <w:jc w:val="both"/>
        <w:rPr>
          <w:rFonts w:ascii="Times New Roman" w:hAnsi="Times New Roman" w:cs="Times New Roman"/>
          <w:sz w:val="24"/>
          <w:szCs w:val="24"/>
        </w:rPr>
      </w:pPr>
      <w:hyperlink r:id="rId26" w:history="1">
        <w:r>
          <w:rPr>
            <w:rStyle w:val="Hyperlink"/>
            <w:rFonts w:ascii="Times New Roman" w:hAnsi="Times New Roman" w:cs="Times New Roman"/>
            <w:sz w:val="24"/>
            <w:szCs w:val="24"/>
          </w:rPr>
          <w:t>https://www.thelancet.com/journals/landig</w:t>
        </w:r>
      </w:hyperlink>
    </w:p>
    <w:p w14:paraId="2ADBC74B" w14:textId="77777777" w:rsidR="00A47764" w:rsidRDefault="00A47764" w:rsidP="00A47764">
      <w:pPr>
        <w:ind w:firstLine="0"/>
        <w:jc w:val="both"/>
        <w:rPr>
          <w:rFonts w:ascii="Times New Roman" w:hAnsi="Times New Roman" w:cs="Times New Roman"/>
          <w:sz w:val="24"/>
          <w:szCs w:val="24"/>
        </w:rPr>
      </w:pPr>
      <w:r>
        <w:rPr>
          <w:rFonts w:ascii="Times New Roman" w:hAnsi="Times New Roman" w:cs="Times New Roman"/>
          <w:sz w:val="24"/>
          <w:szCs w:val="24"/>
        </w:rPr>
        <w:t>Tzenios, N., 2019. Determinants of access to healthcare. Journal of Humanities and Applied Science Research, 2(1), pp.1–14.</w:t>
      </w:r>
    </w:p>
    <w:p w14:paraId="4C794DEE" w14:textId="77777777" w:rsidR="00A47764" w:rsidRDefault="00A47764" w:rsidP="00A47764">
      <w:pPr>
        <w:ind w:firstLine="0"/>
        <w:jc w:val="both"/>
        <w:rPr>
          <w:rFonts w:ascii="Times New Roman" w:hAnsi="Times New Roman" w:cs="Times New Roman"/>
          <w:sz w:val="24"/>
          <w:szCs w:val="24"/>
        </w:rPr>
      </w:pPr>
      <w:hyperlink r:id="rId27" w:history="1">
        <w:r>
          <w:rPr>
            <w:rStyle w:val="Hyperlink"/>
            <w:rFonts w:ascii="Times New Roman" w:hAnsi="Times New Roman" w:cs="Times New Roman"/>
            <w:sz w:val="24"/>
            <w:szCs w:val="24"/>
          </w:rPr>
          <w:t>https://www.researchgate.net/profile/Nikolaos-Tzenios</w:t>
        </w:r>
      </w:hyperlink>
    </w:p>
    <w:p w14:paraId="64AF7A73" w14:textId="77777777" w:rsidR="00A47764" w:rsidRDefault="00A47764" w:rsidP="00A47764">
      <w:pPr>
        <w:ind w:firstLine="0"/>
        <w:jc w:val="both"/>
        <w:rPr>
          <w:rFonts w:ascii="Times New Roman" w:hAnsi="Times New Roman" w:cs="Times New Roman"/>
          <w:sz w:val="24"/>
          <w:szCs w:val="24"/>
        </w:rPr>
      </w:pPr>
      <w:r>
        <w:rPr>
          <w:rFonts w:ascii="Times New Roman" w:hAnsi="Times New Roman" w:cs="Times New Roman"/>
          <w:sz w:val="24"/>
          <w:szCs w:val="24"/>
        </w:rPr>
        <w:t>Van den Broucke, S., 2020. Why health promotion matters to the COVID-19 pandemic. Health Promotion International, 35(2), pp.181–186.</w:t>
      </w:r>
    </w:p>
    <w:p w14:paraId="3AF9898F" w14:textId="77777777" w:rsidR="00A47764" w:rsidRDefault="00A47764" w:rsidP="00A47764">
      <w:pPr>
        <w:ind w:firstLine="0"/>
        <w:jc w:val="both"/>
        <w:rPr>
          <w:rFonts w:ascii="Times New Roman" w:hAnsi="Times New Roman" w:cs="Times New Roman"/>
          <w:sz w:val="24"/>
          <w:szCs w:val="24"/>
        </w:rPr>
      </w:pPr>
      <w:hyperlink r:id="rId28" w:history="1">
        <w:r>
          <w:rPr>
            <w:rStyle w:val="Hyperlink"/>
            <w:rFonts w:ascii="Times New Roman" w:hAnsi="Times New Roman" w:cs="Times New Roman"/>
            <w:sz w:val="24"/>
            <w:szCs w:val="24"/>
          </w:rPr>
          <w:t>https://academic.oup.com/heapro</w:t>
        </w:r>
      </w:hyperlink>
    </w:p>
    <w:p w14:paraId="121F0F7D" w14:textId="77777777" w:rsidR="00A47764" w:rsidRDefault="00A47764" w:rsidP="00A47764">
      <w:pPr>
        <w:ind w:firstLine="0"/>
        <w:jc w:val="both"/>
        <w:rPr>
          <w:rFonts w:ascii="Times New Roman" w:hAnsi="Times New Roman" w:cs="Times New Roman"/>
          <w:sz w:val="24"/>
          <w:szCs w:val="24"/>
        </w:rPr>
      </w:pPr>
      <w:r>
        <w:rPr>
          <w:rFonts w:ascii="Times New Roman" w:hAnsi="Times New Roman" w:cs="Times New Roman"/>
          <w:sz w:val="24"/>
          <w:szCs w:val="24"/>
        </w:rPr>
        <w:t>Wing, C., Simon, K., and Bello-Gomez, R.A., 2018. Designing difference-in-difference studies. Annual Review of Public Health, 39, pp.453–469.</w:t>
      </w:r>
    </w:p>
    <w:p w14:paraId="4CA1EE66" w14:textId="77777777" w:rsidR="00A47764" w:rsidRDefault="00A47764" w:rsidP="00A47764">
      <w:pPr>
        <w:ind w:firstLine="0"/>
        <w:jc w:val="both"/>
        <w:rPr>
          <w:rFonts w:ascii="Times New Roman" w:hAnsi="Times New Roman" w:cs="Times New Roman"/>
          <w:sz w:val="24"/>
          <w:szCs w:val="24"/>
        </w:rPr>
      </w:pPr>
      <w:hyperlink r:id="rId29" w:history="1">
        <w:r>
          <w:rPr>
            <w:rStyle w:val="Hyperlink"/>
            <w:rFonts w:ascii="Times New Roman" w:hAnsi="Times New Roman" w:cs="Times New Roman"/>
            <w:sz w:val="24"/>
            <w:szCs w:val="24"/>
          </w:rPr>
          <w:t>https://www.annualreviews.org</w:t>
        </w:r>
      </w:hyperlink>
    </w:p>
    <w:p w14:paraId="7B439D89" w14:textId="77777777" w:rsidR="00A47764" w:rsidRDefault="00A47764" w:rsidP="00A47764">
      <w:pPr>
        <w:ind w:firstLine="0"/>
        <w:jc w:val="both"/>
        <w:rPr>
          <w:rFonts w:ascii="Times New Roman" w:hAnsi="Times New Roman" w:cs="Times New Roman"/>
          <w:sz w:val="24"/>
          <w:szCs w:val="24"/>
        </w:rPr>
      </w:pPr>
      <w:r>
        <w:rPr>
          <w:rFonts w:ascii="Times New Roman" w:hAnsi="Times New Roman" w:cs="Times New Roman"/>
          <w:sz w:val="24"/>
          <w:szCs w:val="24"/>
        </w:rPr>
        <w:t xml:space="preserve">Witter, S., Palmer, N., </w:t>
      </w:r>
      <w:proofErr w:type="spellStart"/>
      <w:r>
        <w:rPr>
          <w:rFonts w:ascii="Times New Roman" w:hAnsi="Times New Roman" w:cs="Times New Roman"/>
          <w:sz w:val="24"/>
          <w:szCs w:val="24"/>
        </w:rPr>
        <w:t>Balabanova</w:t>
      </w:r>
      <w:proofErr w:type="spellEnd"/>
      <w:r>
        <w:rPr>
          <w:rFonts w:ascii="Times New Roman" w:hAnsi="Times New Roman" w:cs="Times New Roman"/>
          <w:sz w:val="24"/>
          <w:szCs w:val="24"/>
        </w:rPr>
        <w:t xml:space="preserve">, D., Mounier-Jack, S., Martineau, T., </w:t>
      </w:r>
      <w:proofErr w:type="spellStart"/>
      <w:r>
        <w:rPr>
          <w:rFonts w:ascii="Times New Roman" w:hAnsi="Times New Roman" w:cs="Times New Roman"/>
          <w:sz w:val="24"/>
          <w:szCs w:val="24"/>
        </w:rPr>
        <w:t>Klicpera</w:t>
      </w:r>
      <w:proofErr w:type="spellEnd"/>
      <w:r>
        <w:rPr>
          <w:rFonts w:ascii="Times New Roman" w:hAnsi="Times New Roman" w:cs="Times New Roman"/>
          <w:sz w:val="24"/>
          <w:szCs w:val="24"/>
        </w:rPr>
        <w:t>, A., Jensen, C., Pugliese-Garcia, M., and Gilson, L., 2019. Health system strengthening. International Journal of Health Planning and Management, 34(4), pp.e1980–e1989.</w:t>
      </w:r>
      <w:r>
        <w:rPr>
          <w:rFonts w:ascii="Times New Roman" w:hAnsi="Times New Roman" w:cs="Times New Roman"/>
          <w:sz w:val="24"/>
          <w:szCs w:val="24"/>
        </w:rPr>
        <w:br/>
      </w:r>
      <w:hyperlink r:id="rId30" w:tgtFrame="_new" w:history="1">
        <w:r>
          <w:rPr>
            <w:rStyle w:val="Hyperlink"/>
            <w:rFonts w:ascii="Times New Roman" w:hAnsi="Times New Roman" w:cs="Times New Roman"/>
            <w:sz w:val="24"/>
            <w:szCs w:val="24"/>
          </w:rPr>
          <w:t>https://onlinelibrary.wiley.com/doi/abs/10.1002/hpm.2882</w:t>
        </w:r>
      </w:hyperlink>
    </w:p>
    <w:p w14:paraId="6BFF92D8" w14:textId="77777777" w:rsidR="00A47764" w:rsidRDefault="00A47764" w:rsidP="00A47764">
      <w:pPr>
        <w:ind w:firstLine="0"/>
        <w:jc w:val="both"/>
        <w:rPr>
          <w:rFonts w:ascii="Times New Roman" w:hAnsi="Times New Roman" w:cs="Times New Roman"/>
          <w:sz w:val="24"/>
          <w:szCs w:val="24"/>
        </w:rPr>
      </w:pPr>
    </w:p>
    <w:p w14:paraId="46B14EE5" w14:textId="77777777" w:rsidR="00A47764" w:rsidRDefault="00A47764" w:rsidP="00A47764">
      <w:pPr>
        <w:ind w:firstLine="0"/>
        <w:jc w:val="both"/>
        <w:rPr>
          <w:rFonts w:ascii="Times New Roman" w:hAnsi="Times New Roman" w:cs="Times New Roman"/>
          <w:sz w:val="24"/>
          <w:szCs w:val="24"/>
        </w:rPr>
      </w:pPr>
    </w:p>
    <w:p w14:paraId="7A99F789" w14:textId="77777777" w:rsidR="00764A89" w:rsidRDefault="00764A89"/>
    <w:sectPr w:rsidR="00764A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2471"/>
    <w:rsid w:val="00764A89"/>
    <w:rsid w:val="00A47764"/>
    <w:rsid w:val="00B228EC"/>
    <w:rsid w:val="00B92471"/>
    <w:rsid w:val="00FC52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5C39137-DC33-47E0-B03D-5F4AEACF4A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7764"/>
    <w:pPr>
      <w:spacing w:line="480" w:lineRule="auto"/>
      <w:ind w:firstLine="720"/>
    </w:pPr>
    <w:rPr>
      <w:lang w:val="en-IN"/>
    </w:rPr>
  </w:style>
  <w:style w:type="paragraph" w:styleId="Heading1">
    <w:name w:val="heading 1"/>
    <w:basedOn w:val="Normal"/>
    <w:next w:val="Normal"/>
    <w:link w:val="Heading1Char"/>
    <w:uiPriority w:val="9"/>
    <w:qFormat/>
    <w:rsid w:val="00B92471"/>
    <w:pPr>
      <w:keepNext/>
      <w:keepLines/>
      <w:spacing w:before="360" w:after="80" w:line="259" w:lineRule="auto"/>
      <w:ind w:firstLine="0"/>
      <w:outlineLvl w:val="0"/>
    </w:pPr>
    <w:rPr>
      <w:rFonts w:asciiTheme="majorHAnsi" w:eastAsiaTheme="majorEastAsia" w:hAnsiTheme="majorHAnsi" w:cstheme="majorBidi"/>
      <w:color w:val="0F4761" w:themeColor="accent1" w:themeShade="BF"/>
      <w:sz w:val="40"/>
      <w:szCs w:val="40"/>
      <w:lang w:val="en-GB"/>
    </w:rPr>
  </w:style>
  <w:style w:type="paragraph" w:styleId="Heading2">
    <w:name w:val="heading 2"/>
    <w:basedOn w:val="Normal"/>
    <w:next w:val="Normal"/>
    <w:link w:val="Heading2Char"/>
    <w:uiPriority w:val="9"/>
    <w:semiHidden/>
    <w:unhideWhenUsed/>
    <w:qFormat/>
    <w:rsid w:val="00B92471"/>
    <w:pPr>
      <w:keepNext/>
      <w:keepLines/>
      <w:spacing w:before="160" w:after="80" w:line="259" w:lineRule="auto"/>
      <w:ind w:firstLine="0"/>
      <w:outlineLvl w:val="1"/>
    </w:pPr>
    <w:rPr>
      <w:rFonts w:asciiTheme="majorHAnsi" w:eastAsiaTheme="majorEastAsia" w:hAnsiTheme="majorHAnsi" w:cstheme="majorBidi"/>
      <w:color w:val="0F4761" w:themeColor="accent1" w:themeShade="BF"/>
      <w:sz w:val="32"/>
      <w:szCs w:val="32"/>
      <w:lang w:val="en-GB"/>
    </w:rPr>
  </w:style>
  <w:style w:type="paragraph" w:styleId="Heading3">
    <w:name w:val="heading 3"/>
    <w:basedOn w:val="Normal"/>
    <w:next w:val="Normal"/>
    <w:link w:val="Heading3Char"/>
    <w:uiPriority w:val="9"/>
    <w:semiHidden/>
    <w:unhideWhenUsed/>
    <w:qFormat/>
    <w:rsid w:val="00B92471"/>
    <w:pPr>
      <w:keepNext/>
      <w:keepLines/>
      <w:spacing w:before="160" w:after="80" w:line="259" w:lineRule="auto"/>
      <w:ind w:firstLine="0"/>
      <w:outlineLvl w:val="2"/>
    </w:pPr>
    <w:rPr>
      <w:rFonts w:eastAsiaTheme="majorEastAsia" w:cstheme="majorBidi"/>
      <w:color w:val="0F4761" w:themeColor="accent1" w:themeShade="BF"/>
      <w:sz w:val="28"/>
      <w:szCs w:val="28"/>
      <w:lang w:val="en-GB"/>
    </w:rPr>
  </w:style>
  <w:style w:type="paragraph" w:styleId="Heading4">
    <w:name w:val="heading 4"/>
    <w:basedOn w:val="Normal"/>
    <w:next w:val="Normal"/>
    <w:link w:val="Heading4Char"/>
    <w:uiPriority w:val="9"/>
    <w:semiHidden/>
    <w:unhideWhenUsed/>
    <w:qFormat/>
    <w:rsid w:val="00B92471"/>
    <w:pPr>
      <w:keepNext/>
      <w:keepLines/>
      <w:spacing w:before="80" w:after="40" w:line="259" w:lineRule="auto"/>
      <w:ind w:firstLine="0"/>
      <w:outlineLvl w:val="3"/>
    </w:pPr>
    <w:rPr>
      <w:rFonts w:eastAsiaTheme="majorEastAsia" w:cstheme="majorBidi"/>
      <w:i/>
      <w:iCs/>
      <w:color w:val="0F4761" w:themeColor="accent1" w:themeShade="BF"/>
      <w:lang w:val="en-GB"/>
    </w:rPr>
  </w:style>
  <w:style w:type="paragraph" w:styleId="Heading5">
    <w:name w:val="heading 5"/>
    <w:basedOn w:val="Normal"/>
    <w:next w:val="Normal"/>
    <w:link w:val="Heading5Char"/>
    <w:uiPriority w:val="9"/>
    <w:semiHidden/>
    <w:unhideWhenUsed/>
    <w:qFormat/>
    <w:rsid w:val="00B92471"/>
    <w:pPr>
      <w:keepNext/>
      <w:keepLines/>
      <w:spacing w:before="80" w:after="40" w:line="259" w:lineRule="auto"/>
      <w:ind w:firstLine="0"/>
      <w:outlineLvl w:val="4"/>
    </w:pPr>
    <w:rPr>
      <w:rFonts w:eastAsiaTheme="majorEastAsia" w:cstheme="majorBidi"/>
      <w:color w:val="0F4761" w:themeColor="accent1" w:themeShade="BF"/>
      <w:lang w:val="en-GB"/>
    </w:rPr>
  </w:style>
  <w:style w:type="paragraph" w:styleId="Heading6">
    <w:name w:val="heading 6"/>
    <w:basedOn w:val="Normal"/>
    <w:next w:val="Normal"/>
    <w:link w:val="Heading6Char"/>
    <w:uiPriority w:val="9"/>
    <w:semiHidden/>
    <w:unhideWhenUsed/>
    <w:qFormat/>
    <w:rsid w:val="00B92471"/>
    <w:pPr>
      <w:keepNext/>
      <w:keepLines/>
      <w:spacing w:before="40" w:after="0" w:line="259" w:lineRule="auto"/>
      <w:ind w:firstLine="0"/>
      <w:outlineLvl w:val="5"/>
    </w:pPr>
    <w:rPr>
      <w:rFonts w:eastAsiaTheme="majorEastAsia" w:cstheme="majorBidi"/>
      <w:i/>
      <w:iCs/>
      <w:color w:val="595959" w:themeColor="text1" w:themeTint="A6"/>
      <w:lang w:val="en-GB"/>
    </w:rPr>
  </w:style>
  <w:style w:type="paragraph" w:styleId="Heading7">
    <w:name w:val="heading 7"/>
    <w:basedOn w:val="Normal"/>
    <w:next w:val="Normal"/>
    <w:link w:val="Heading7Char"/>
    <w:uiPriority w:val="9"/>
    <w:semiHidden/>
    <w:unhideWhenUsed/>
    <w:qFormat/>
    <w:rsid w:val="00B92471"/>
    <w:pPr>
      <w:keepNext/>
      <w:keepLines/>
      <w:spacing w:before="40" w:after="0" w:line="259" w:lineRule="auto"/>
      <w:ind w:firstLine="0"/>
      <w:outlineLvl w:val="6"/>
    </w:pPr>
    <w:rPr>
      <w:rFonts w:eastAsiaTheme="majorEastAsia" w:cstheme="majorBidi"/>
      <w:color w:val="595959" w:themeColor="text1" w:themeTint="A6"/>
      <w:lang w:val="en-GB"/>
    </w:rPr>
  </w:style>
  <w:style w:type="paragraph" w:styleId="Heading8">
    <w:name w:val="heading 8"/>
    <w:basedOn w:val="Normal"/>
    <w:next w:val="Normal"/>
    <w:link w:val="Heading8Char"/>
    <w:uiPriority w:val="9"/>
    <w:semiHidden/>
    <w:unhideWhenUsed/>
    <w:qFormat/>
    <w:rsid w:val="00B92471"/>
    <w:pPr>
      <w:keepNext/>
      <w:keepLines/>
      <w:spacing w:after="0" w:line="259" w:lineRule="auto"/>
      <w:ind w:firstLine="0"/>
      <w:outlineLvl w:val="7"/>
    </w:pPr>
    <w:rPr>
      <w:rFonts w:eastAsiaTheme="majorEastAsia" w:cstheme="majorBidi"/>
      <w:i/>
      <w:iCs/>
      <w:color w:val="272727" w:themeColor="text1" w:themeTint="D8"/>
      <w:lang w:val="en-GB"/>
    </w:rPr>
  </w:style>
  <w:style w:type="paragraph" w:styleId="Heading9">
    <w:name w:val="heading 9"/>
    <w:basedOn w:val="Normal"/>
    <w:next w:val="Normal"/>
    <w:link w:val="Heading9Char"/>
    <w:uiPriority w:val="9"/>
    <w:semiHidden/>
    <w:unhideWhenUsed/>
    <w:qFormat/>
    <w:rsid w:val="00B92471"/>
    <w:pPr>
      <w:keepNext/>
      <w:keepLines/>
      <w:spacing w:after="0" w:line="259" w:lineRule="auto"/>
      <w:ind w:firstLine="0"/>
      <w:outlineLvl w:val="8"/>
    </w:pPr>
    <w:rPr>
      <w:rFonts w:eastAsiaTheme="majorEastAsia" w:cstheme="majorBidi"/>
      <w:color w:val="272727" w:themeColor="text1" w:themeTint="D8"/>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24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24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24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24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24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24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24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24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2471"/>
    <w:rPr>
      <w:rFonts w:eastAsiaTheme="majorEastAsia" w:cstheme="majorBidi"/>
      <w:color w:val="272727" w:themeColor="text1" w:themeTint="D8"/>
    </w:rPr>
  </w:style>
  <w:style w:type="paragraph" w:styleId="Title">
    <w:name w:val="Title"/>
    <w:basedOn w:val="Normal"/>
    <w:next w:val="Normal"/>
    <w:link w:val="TitleChar"/>
    <w:uiPriority w:val="10"/>
    <w:qFormat/>
    <w:rsid w:val="00B92471"/>
    <w:pPr>
      <w:spacing w:after="80" w:line="240" w:lineRule="auto"/>
      <w:ind w:firstLine="0"/>
      <w:contextualSpacing/>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B924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2471"/>
    <w:pPr>
      <w:numPr>
        <w:ilvl w:val="1"/>
      </w:numPr>
      <w:spacing w:line="259" w:lineRule="auto"/>
    </w:pPr>
    <w:rPr>
      <w:rFonts w:eastAsiaTheme="majorEastAsia" w:cstheme="majorBidi"/>
      <w:color w:val="595959" w:themeColor="text1" w:themeTint="A6"/>
      <w:spacing w:val="15"/>
      <w:sz w:val="28"/>
      <w:szCs w:val="28"/>
      <w:lang w:val="en-GB"/>
    </w:rPr>
  </w:style>
  <w:style w:type="character" w:customStyle="1" w:styleId="SubtitleChar">
    <w:name w:val="Subtitle Char"/>
    <w:basedOn w:val="DefaultParagraphFont"/>
    <w:link w:val="Subtitle"/>
    <w:uiPriority w:val="11"/>
    <w:rsid w:val="00B924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2471"/>
    <w:pPr>
      <w:spacing w:before="160" w:line="259" w:lineRule="auto"/>
      <w:ind w:firstLine="0"/>
      <w:jc w:val="center"/>
    </w:pPr>
    <w:rPr>
      <w:i/>
      <w:iCs/>
      <w:color w:val="404040" w:themeColor="text1" w:themeTint="BF"/>
      <w:lang w:val="en-GB"/>
    </w:rPr>
  </w:style>
  <w:style w:type="character" w:customStyle="1" w:styleId="QuoteChar">
    <w:name w:val="Quote Char"/>
    <w:basedOn w:val="DefaultParagraphFont"/>
    <w:link w:val="Quote"/>
    <w:uiPriority w:val="29"/>
    <w:rsid w:val="00B92471"/>
    <w:rPr>
      <w:i/>
      <w:iCs/>
      <w:color w:val="404040" w:themeColor="text1" w:themeTint="BF"/>
    </w:rPr>
  </w:style>
  <w:style w:type="paragraph" w:styleId="ListParagraph">
    <w:name w:val="List Paragraph"/>
    <w:basedOn w:val="Normal"/>
    <w:uiPriority w:val="34"/>
    <w:qFormat/>
    <w:rsid w:val="00B92471"/>
    <w:pPr>
      <w:spacing w:line="259" w:lineRule="auto"/>
      <w:ind w:left="720" w:firstLine="0"/>
      <w:contextualSpacing/>
    </w:pPr>
    <w:rPr>
      <w:lang w:val="en-GB"/>
    </w:rPr>
  </w:style>
  <w:style w:type="character" w:styleId="IntenseEmphasis">
    <w:name w:val="Intense Emphasis"/>
    <w:basedOn w:val="DefaultParagraphFont"/>
    <w:uiPriority w:val="21"/>
    <w:qFormat/>
    <w:rsid w:val="00B92471"/>
    <w:rPr>
      <w:i/>
      <w:iCs/>
      <w:color w:val="0F4761" w:themeColor="accent1" w:themeShade="BF"/>
    </w:rPr>
  </w:style>
  <w:style w:type="paragraph" w:styleId="IntenseQuote">
    <w:name w:val="Intense Quote"/>
    <w:basedOn w:val="Normal"/>
    <w:next w:val="Normal"/>
    <w:link w:val="IntenseQuoteChar"/>
    <w:uiPriority w:val="30"/>
    <w:qFormat/>
    <w:rsid w:val="00B92471"/>
    <w:pPr>
      <w:pBdr>
        <w:top w:val="single" w:sz="4" w:space="10" w:color="0F4761" w:themeColor="accent1" w:themeShade="BF"/>
        <w:bottom w:val="single" w:sz="4" w:space="10" w:color="0F4761" w:themeColor="accent1" w:themeShade="BF"/>
      </w:pBdr>
      <w:spacing w:before="360" w:after="360" w:line="259" w:lineRule="auto"/>
      <w:ind w:left="864" w:right="864" w:firstLine="0"/>
      <w:jc w:val="center"/>
    </w:pPr>
    <w:rPr>
      <w:i/>
      <w:iCs/>
      <w:color w:val="0F4761" w:themeColor="accent1" w:themeShade="BF"/>
      <w:lang w:val="en-GB"/>
    </w:rPr>
  </w:style>
  <w:style w:type="character" w:customStyle="1" w:styleId="IntenseQuoteChar">
    <w:name w:val="Intense Quote Char"/>
    <w:basedOn w:val="DefaultParagraphFont"/>
    <w:link w:val="IntenseQuote"/>
    <w:uiPriority w:val="30"/>
    <w:rsid w:val="00B92471"/>
    <w:rPr>
      <w:i/>
      <w:iCs/>
      <w:color w:val="0F4761" w:themeColor="accent1" w:themeShade="BF"/>
    </w:rPr>
  </w:style>
  <w:style w:type="character" w:styleId="IntenseReference">
    <w:name w:val="Intense Reference"/>
    <w:basedOn w:val="DefaultParagraphFont"/>
    <w:uiPriority w:val="32"/>
    <w:qFormat/>
    <w:rsid w:val="00B92471"/>
    <w:rPr>
      <w:b/>
      <w:bCs/>
      <w:smallCaps/>
      <w:color w:val="0F4761" w:themeColor="accent1" w:themeShade="BF"/>
      <w:spacing w:val="5"/>
    </w:rPr>
  </w:style>
  <w:style w:type="character" w:styleId="Hyperlink">
    <w:name w:val="Hyperlink"/>
    <w:basedOn w:val="DefaultParagraphFont"/>
    <w:uiPriority w:val="99"/>
    <w:unhideWhenUsed/>
    <w:rsid w:val="00A47764"/>
    <w:rPr>
      <w:color w:val="467886" w:themeColor="hyperlink"/>
      <w:u w:val="single"/>
    </w:rPr>
  </w:style>
  <w:style w:type="character" w:styleId="UnresolvedMention">
    <w:name w:val="Unresolved Mention"/>
    <w:basedOn w:val="DefaultParagraphFont"/>
    <w:uiPriority w:val="99"/>
    <w:semiHidden/>
    <w:unhideWhenUsed/>
    <w:rsid w:val="00A47764"/>
    <w:rPr>
      <w:color w:val="605E5C"/>
      <w:shd w:val="clear" w:color="auto" w:fill="E1DFDD"/>
    </w:rPr>
  </w:style>
  <w:style w:type="paragraph" w:styleId="TOC1">
    <w:name w:val="toc 1"/>
    <w:basedOn w:val="Normal"/>
    <w:next w:val="Normal"/>
    <w:autoRedefine/>
    <w:uiPriority w:val="39"/>
    <w:semiHidden/>
    <w:unhideWhenUsed/>
    <w:rsid w:val="00A47764"/>
    <w:pPr>
      <w:spacing w:after="100"/>
    </w:pPr>
  </w:style>
  <w:style w:type="paragraph" w:styleId="TOCHeading">
    <w:name w:val="TOC Heading"/>
    <w:basedOn w:val="Heading1"/>
    <w:next w:val="Normal"/>
    <w:uiPriority w:val="39"/>
    <w:semiHidden/>
    <w:unhideWhenUsed/>
    <w:qFormat/>
    <w:rsid w:val="00A47764"/>
    <w:pPr>
      <w:spacing w:before="240" w:after="0" w:line="256" w:lineRule="auto"/>
      <w:outlineLvl w:val="9"/>
    </w:pPr>
    <w:rPr>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zoiko\Downloads\Health%20Wellbeing%20and%20Sustainable%20Development%20(2).docx" TargetMode="External"/><Relationship Id="rId13" Type="http://schemas.openxmlformats.org/officeDocument/2006/relationships/hyperlink" Target="https://research-repository.griffith.edu.au/items/8a454510-7298-47a4-9a10-5c71cbbc770a" TargetMode="External"/><Relationship Id="rId18" Type="http://schemas.openxmlformats.org/officeDocument/2006/relationships/hyperlink" Target="https://www.researchgate.net/profile/Annamaria-Juhasz-3/publication/308549148" TargetMode="External"/><Relationship Id="rId26" Type="http://schemas.openxmlformats.org/officeDocument/2006/relationships/hyperlink" Target="https://www.thelancet.com/journals/landig" TargetMode="External"/><Relationship Id="rId3" Type="http://schemas.openxmlformats.org/officeDocument/2006/relationships/webSettings" Target="webSettings.xml"/><Relationship Id="rId21" Type="http://schemas.openxmlformats.org/officeDocument/2006/relationships/hyperlink" Target="https://onlinelibrary.wiley.com/doi/abs/10.1002/9781119434016.ch18" TargetMode="External"/><Relationship Id="rId7" Type="http://schemas.openxmlformats.org/officeDocument/2006/relationships/hyperlink" Target="file:///C:\Users\zoiko\Downloads\Health%20Wellbeing%20and%20Sustainable%20Development%20(2).docx" TargetMode="External"/><Relationship Id="rId12" Type="http://schemas.openxmlformats.org/officeDocument/2006/relationships/hyperlink" Target="https://link.springer.com/article/10.1186/s42055-024-00093-8" TargetMode="External"/><Relationship Id="rId17" Type="http://schemas.openxmlformats.org/officeDocument/2006/relationships/hyperlink" Target="https://www.abhi.org.uk/media/1501/hol-long-term-sustainability-of-nhs-report.pdf" TargetMode="External"/><Relationship Id="rId25" Type="http://schemas.openxmlformats.org/officeDocument/2006/relationships/hyperlink" Target="https://books.google.com/books?id=CQkiDAAAQBAJ" TargetMode="External"/><Relationship Id="rId2" Type="http://schemas.openxmlformats.org/officeDocument/2006/relationships/settings" Target="settings.xml"/><Relationship Id="rId16" Type="http://schemas.openxmlformats.org/officeDocument/2006/relationships/hyperlink" Target="https://compass.onlinelibrary.wiley.com/doi/abs/10.1111/spc3.12328" TargetMode="External"/><Relationship Id="rId20" Type="http://schemas.openxmlformats.org/officeDocument/2006/relationships/hyperlink" Target="https://www.liebertpub.com/doi/abs/10.1089/pop.2015.0171" TargetMode="External"/><Relationship Id="rId29" Type="http://schemas.openxmlformats.org/officeDocument/2006/relationships/hyperlink" Target="https://www.annualreviews.org" TargetMode="External"/><Relationship Id="rId1" Type="http://schemas.openxmlformats.org/officeDocument/2006/relationships/styles" Target="styles.xml"/><Relationship Id="rId6" Type="http://schemas.openxmlformats.org/officeDocument/2006/relationships/hyperlink" Target="file:///C:\Users\zoiko\Downloads\Health%20Wellbeing%20and%20Sustainable%20Development%20(2).docx" TargetMode="External"/><Relationship Id="rId11" Type="http://schemas.openxmlformats.org/officeDocument/2006/relationships/hyperlink" Target="https://link.springer.com/article/10.1007/s11625-018-0572-3" TargetMode="External"/><Relationship Id="rId24" Type="http://schemas.openxmlformats.org/officeDocument/2006/relationships/hyperlink" Target="https://academic.oup.com/eurpub/article-abstract/34/3/467/7590328" TargetMode="External"/><Relationship Id="rId32" Type="http://schemas.openxmlformats.org/officeDocument/2006/relationships/theme" Target="theme/theme1.xml"/><Relationship Id="rId5" Type="http://schemas.openxmlformats.org/officeDocument/2006/relationships/hyperlink" Target="file:///C:\Users\zoiko\Downloads\Health%20Wellbeing%20and%20Sustainable%20Development%20(2).docx" TargetMode="External"/><Relationship Id="rId15" Type="http://schemas.openxmlformats.org/officeDocument/2006/relationships/hyperlink" Target="https://link.springer.com/chapter/10.1007/978-3-031-07127-0_5" TargetMode="External"/><Relationship Id="rId23" Type="http://schemas.openxmlformats.org/officeDocument/2006/relationships/hyperlink" Target="https://journals.lww.com/jehp" TargetMode="External"/><Relationship Id="rId28" Type="http://schemas.openxmlformats.org/officeDocument/2006/relationships/hyperlink" Target="https://academic.oup.com/heapro" TargetMode="External"/><Relationship Id="rId10" Type="http://schemas.openxmlformats.org/officeDocument/2006/relationships/hyperlink" Target="file:///C:\Users\zoiko\Downloads\Health%20Wellbeing%20and%20Sustainable%20Development%20(2).docx" TargetMode="External"/><Relationship Id="rId19" Type="http://schemas.openxmlformats.org/officeDocument/2006/relationships/hyperlink" Target="https://pmc.ncbi.nlm.nih.gov/articles/PMC8555479/" TargetMode="External"/><Relationship Id="rId31" Type="http://schemas.openxmlformats.org/officeDocument/2006/relationships/fontTable" Target="fontTable.xml"/><Relationship Id="rId4" Type="http://schemas.openxmlformats.org/officeDocument/2006/relationships/hyperlink" Target="file:///C:\Users\zoiko\Downloads\Health%20Wellbeing%20and%20Sustainable%20Development%20(2).docx" TargetMode="External"/><Relationship Id="rId9" Type="http://schemas.openxmlformats.org/officeDocument/2006/relationships/hyperlink" Target="file:///C:\Users\zoiko\Downloads\Health%20Wellbeing%20and%20Sustainable%20Development%20(2).docx" TargetMode="External"/><Relationship Id="rId14" Type="http://schemas.openxmlformats.org/officeDocument/2006/relationships/hyperlink" Target="https://ajph.aphapublications.org/doi/abs/10.2105/AJPH.2020.305933" TargetMode="External"/><Relationship Id="rId22" Type="http://schemas.openxmlformats.org/officeDocument/2006/relationships/hyperlink" Target="https://journals.lww.com/jphmp" TargetMode="External"/><Relationship Id="rId27" Type="http://schemas.openxmlformats.org/officeDocument/2006/relationships/hyperlink" Target="https://www.researchgate.net/profile/Nikolaos-Tzenios" TargetMode="External"/><Relationship Id="rId30" Type="http://schemas.openxmlformats.org/officeDocument/2006/relationships/hyperlink" Target="https://onlinelibrary.wiley.com/doi/abs/10.1002/hpm.288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2956</Words>
  <Characters>18659</Characters>
  <Application>Microsoft Office Word</Application>
  <DocSecurity>0</DocSecurity>
  <Lines>291</Lines>
  <Paragraphs>91</Paragraphs>
  <ScaleCrop>false</ScaleCrop>
  <Company/>
  <LinksUpToDate>false</LinksUpToDate>
  <CharactersWithSpaces>21524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Dimitar Hristov Zoykov</dc:creator>
  <cp:keywords/>
  <dc:description/>
  <cp:lastModifiedBy>Dimitar Hristov Zoykov</cp:lastModifiedBy>
  <cp:revision>2</cp:revision>
  <dcterms:created xsi:type="dcterms:W3CDTF">2026-03-21T19:37:00Z</dcterms:created>
  <dcterms:modified xsi:type="dcterms:W3CDTF">2026-03-21T19:37:00Z</dcterms:modified>
</cp:coreProperties>
</file>