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ADF6CD" w14:textId="77777777" w:rsidR="00283666" w:rsidRDefault="00283666" w:rsidP="00283666"/>
    <w:p w14:paraId="53E20571" w14:textId="77777777" w:rsidR="00283666" w:rsidRDefault="00283666" w:rsidP="00283666"/>
    <w:p w14:paraId="20F79A44" w14:textId="77777777" w:rsidR="00283666" w:rsidRDefault="00283666" w:rsidP="00283666"/>
    <w:p w14:paraId="55E5F0DA" w14:textId="77777777" w:rsidR="00283666" w:rsidRDefault="00283666" w:rsidP="00283666"/>
    <w:p w14:paraId="7155C657" w14:textId="77777777" w:rsidR="00283666" w:rsidRDefault="00283666" w:rsidP="00283666"/>
    <w:p w14:paraId="02A6EE12" w14:textId="77777777" w:rsidR="00283666" w:rsidRDefault="00283666" w:rsidP="00283666"/>
    <w:p w14:paraId="5907E2C2" w14:textId="77777777" w:rsidR="00283666" w:rsidRDefault="00283666" w:rsidP="00283666"/>
    <w:p w14:paraId="1E930B7E" w14:textId="77777777" w:rsidR="00283666" w:rsidRDefault="00283666" w:rsidP="00283666"/>
    <w:p w14:paraId="0A2C912E" w14:textId="77777777" w:rsidR="00403927" w:rsidRPr="00AF139A" w:rsidRDefault="00670D66" w:rsidP="00283666">
      <w:pPr>
        <w:jc w:val="center"/>
        <w:rPr>
          <w:b/>
          <w:sz w:val="28"/>
          <w:szCs w:val="28"/>
        </w:rPr>
      </w:pPr>
      <w:r w:rsidRPr="00AF139A">
        <w:rPr>
          <w:b/>
          <w:sz w:val="28"/>
          <w:szCs w:val="28"/>
        </w:rPr>
        <w:t>Module: Health, Wellbeing and Sustainable Development</w:t>
      </w:r>
    </w:p>
    <w:p w14:paraId="6ACA5239" w14:textId="77777777" w:rsidR="00463A29" w:rsidRPr="00AF139A" w:rsidRDefault="00670D66" w:rsidP="00283666">
      <w:pPr>
        <w:jc w:val="center"/>
        <w:rPr>
          <w:b/>
          <w:sz w:val="28"/>
          <w:szCs w:val="28"/>
        </w:rPr>
      </w:pPr>
      <w:r w:rsidRPr="00AF139A">
        <w:rPr>
          <w:b/>
          <w:sz w:val="28"/>
          <w:szCs w:val="28"/>
        </w:rPr>
        <w:t xml:space="preserve">Module </w:t>
      </w:r>
      <w:r w:rsidR="00283666" w:rsidRPr="00AF139A">
        <w:rPr>
          <w:b/>
          <w:sz w:val="28"/>
          <w:szCs w:val="28"/>
        </w:rPr>
        <w:t>C</w:t>
      </w:r>
      <w:r w:rsidRPr="00AF139A">
        <w:rPr>
          <w:b/>
          <w:sz w:val="28"/>
          <w:szCs w:val="28"/>
        </w:rPr>
        <w:t>ode: BMHP6030</w:t>
      </w:r>
    </w:p>
    <w:p w14:paraId="6EC13D9B" w14:textId="77777777" w:rsidR="005C0577" w:rsidRPr="00AF139A" w:rsidRDefault="00670D66" w:rsidP="00283666">
      <w:pPr>
        <w:jc w:val="center"/>
        <w:rPr>
          <w:b/>
          <w:sz w:val="28"/>
          <w:szCs w:val="28"/>
        </w:rPr>
      </w:pPr>
      <w:r w:rsidRPr="00AF139A">
        <w:rPr>
          <w:b/>
          <w:sz w:val="28"/>
          <w:szCs w:val="28"/>
        </w:rPr>
        <w:t>Assignment Title:</w:t>
      </w:r>
      <w:r w:rsidR="0081365C" w:rsidRPr="00AF139A">
        <w:rPr>
          <w:b/>
          <w:sz w:val="28"/>
          <w:szCs w:val="28"/>
        </w:rPr>
        <w:t xml:space="preserve"> </w:t>
      </w:r>
      <w:r w:rsidRPr="00AF139A">
        <w:rPr>
          <w:b/>
          <w:sz w:val="28"/>
          <w:szCs w:val="28"/>
        </w:rPr>
        <w:t>Component 2: Written Assignment (Report)</w:t>
      </w:r>
    </w:p>
    <w:p w14:paraId="0665488A" w14:textId="6DC0CFA1" w:rsidR="00403927" w:rsidRPr="00AF139A" w:rsidRDefault="00670D66" w:rsidP="00283666">
      <w:pPr>
        <w:jc w:val="center"/>
        <w:rPr>
          <w:b/>
          <w:sz w:val="28"/>
          <w:szCs w:val="28"/>
        </w:rPr>
      </w:pPr>
      <w:r w:rsidRPr="00AF139A">
        <w:rPr>
          <w:b/>
          <w:sz w:val="28"/>
          <w:szCs w:val="28"/>
        </w:rPr>
        <w:t>Student Name</w:t>
      </w:r>
      <w:r w:rsidR="00AF139A" w:rsidRPr="00AF139A">
        <w:rPr>
          <w:b/>
          <w:sz w:val="28"/>
          <w:szCs w:val="28"/>
        </w:rPr>
        <w:t>: Farha Bano</w:t>
      </w:r>
    </w:p>
    <w:p w14:paraId="769C98E4" w14:textId="4A757D2E" w:rsidR="00403927" w:rsidRPr="00AF139A" w:rsidRDefault="00AF139A" w:rsidP="00283666">
      <w:pPr>
        <w:jc w:val="center"/>
        <w:rPr>
          <w:b/>
          <w:sz w:val="28"/>
          <w:szCs w:val="28"/>
        </w:rPr>
      </w:pPr>
      <w:r w:rsidRPr="00AF139A">
        <w:rPr>
          <w:b/>
          <w:sz w:val="28"/>
          <w:szCs w:val="28"/>
        </w:rPr>
        <w:t>Student ID: 2238827</w:t>
      </w:r>
    </w:p>
    <w:p w14:paraId="4EA4ECC2" w14:textId="7A436ADB" w:rsidR="00AF139A" w:rsidRPr="00AF139A" w:rsidRDefault="00AF139A" w:rsidP="00283666">
      <w:pPr>
        <w:jc w:val="center"/>
        <w:rPr>
          <w:b/>
          <w:sz w:val="28"/>
          <w:szCs w:val="28"/>
        </w:rPr>
      </w:pPr>
      <w:r w:rsidRPr="00AF139A">
        <w:rPr>
          <w:b/>
          <w:sz w:val="28"/>
          <w:szCs w:val="28"/>
        </w:rPr>
        <w:t xml:space="preserve">Tutor Name: </w:t>
      </w:r>
      <w:proofErr w:type="spellStart"/>
      <w:r w:rsidRPr="00AF139A">
        <w:rPr>
          <w:b/>
          <w:sz w:val="28"/>
          <w:szCs w:val="28"/>
        </w:rPr>
        <w:t>Haamdi</w:t>
      </w:r>
      <w:proofErr w:type="spellEnd"/>
      <w:r w:rsidRPr="00AF139A">
        <w:rPr>
          <w:b/>
          <w:sz w:val="28"/>
          <w:szCs w:val="28"/>
        </w:rPr>
        <w:t xml:space="preserve"> Hussain</w:t>
      </w:r>
    </w:p>
    <w:p w14:paraId="70A25CF5" w14:textId="77777777" w:rsidR="00403927" w:rsidRDefault="00403927" w:rsidP="00403927"/>
    <w:p w14:paraId="1FD5260E" w14:textId="77777777" w:rsidR="0084739A" w:rsidRDefault="00670D66">
      <w:pPr>
        <w:spacing w:line="259" w:lineRule="auto"/>
      </w:pPr>
      <w:r>
        <w:br w:type="page"/>
      </w:r>
    </w:p>
    <w:sdt>
      <w:sdtPr>
        <w:rPr>
          <w:rFonts w:ascii="Times New Roman" w:eastAsiaTheme="minorHAnsi" w:hAnsi="Times New Roman" w:cstheme="minorBidi"/>
          <w:color w:val="auto"/>
          <w:sz w:val="24"/>
          <w:szCs w:val="22"/>
          <w:lang w:val="en-GB"/>
        </w:rPr>
        <w:id w:val="1036315441"/>
        <w:docPartObj>
          <w:docPartGallery w:val="Table of Contents"/>
          <w:docPartUnique/>
        </w:docPartObj>
      </w:sdtPr>
      <w:sdtEndPr>
        <w:rPr>
          <w:b/>
          <w:bCs/>
          <w:noProof/>
        </w:rPr>
      </w:sdtEndPr>
      <w:sdtContent>
        <w:p w14:paraId="4F21B516" w14:textId="77777777" w:rsidR="008A4349" w:rsidRPr="00AF139A" w:rsidRDefault="00670D66">
          <w:pPr>
            <w:pStyle w:val="TOCHeading"/>
            <w:rPr>
              <w:rFonts w:ascii="Arial" w:hAnsi="Arial" w:cs="Arial"/>
              <w:color w:val="auto"/>
              <w:sz w:val="24"/>
              <w:szCs w:val="24"/>
            </w:rPr>
          </w:pPr>
          <w:r w:rsidRPr="00AF139A">
            <w:rPr>
              <w:rFonts w:ascii="Arial" w:hAnsi="Arial" w:cs="Arial"/>
              <w:color w:val="auto"/>
              <w:sz w:val="24"/>
              <w:szCs w:val="24"/>
            </w:rPr>
            <w:t>Table of Contents</w:t>
          </w:r>
        </w:p>
        <w:p w14:paraId="5B2CEA34" w14:textId="77777777" w:rsidR="00AB2080" w:rsidRPr="00AF139A" w:rsidRDefault="00670D66">
          <w:pPr>
            <w:pStyle w:val="TOC1"/>
            <w:tabs>
              <w:tab w:val="right" w:leader="dot" w:pos="9350"/>
            </w:tabs>
            <w:rPr>
              <w:rFonts w:ascii="Arial" w:eastAsiaTheme="minorEastAsia" w:hAnsi="Arial" w:cs="Arial"/>
              <w:noProof/>
              <w:sz w:val="22"/>
              <w:lang w:eastAsia="en-GB"/>
            </w:rPr>
          </w:pPr>
          <w:r w:rsidRPr="00AF139A">
            <w:rPr>
              <w:rFonts w:ascii="Arial" w:hAnsi="Arial" w:cs="Arial"/>
              <w:szCs w:val="24"/>
            </w:rPr>
            <w:fldChar w:fldCharType="begin"/>
          </w:r>
          <w:r w:rsidRPr="00AF139A">
            <w:rPr>
              <w:rFonts w:ascii="Arial" w:hAnsi="Arial" w:cs="Arial"/>
              <w:szCs w:val="24"/>
            </w:rPr>
            <w:instrText xml:space="preserve"> TOC \o "1-3" \h \z \u </w:instrText>
          </w:r>
          <w:r w:rsidRPr="00AF139A">
            <w:rPr>
              <w:rFonts w:ascii="Arial" w:hAnsi="Arial" w:cs="Arial"/>
              <w:szCs w:val="24"/>
            </w:rPr>
            <w:fldChar w:fldCharType="separate"/>
          </w:r>
          <w:hyperlink w:anchor="_Toc234428771" w:history="1">
            <w:r w:rsidRPr="00AF139A">
              <w:rPr>
                <w:rStyle w:val="Hyperlink"/>
                <w:rFonts w:ascii="Arial" w:hAnsi="Arial" w:cs="Arial"/>
                <w:noProof/>
              </w:rPr>
              <w:t>Introduction</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_Toc234428771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3</w:t>
            </w:r>
            <w:r w:rsidRPr="00AF139A">
              <w:rPr>
                <w:rFonts w:ascii="Arial" w:hAnsi="Arial" w:cs="Arial"/>
                <w:noProof/>
                <w:webHidden/>
              </w:rPr>
              <w:fldChar w:fldCharType="end"/>
            </w:r>
          </w:hyperlink>
        </w:p>
        <w:p w14:paraId="6521A53B" w14:textId="77777777" w:rsidR="00AB2080" w:rsidRPr="00AF139A" w:rsidRDefault="00670D66">
          <w:pPr>
            <w:pStyle w:val="TOC1"/>
            <w:tabs>
              <w:tab w:val="right" w:leader="dot" w:pos="9350"/>
            </w:tabs>
            <w:rPr>
              <w:rFonts w:ascii="Arial" w:eastAsiaTheme="minorEastAsia" w:hAnsi="Arial" w:cs="Arial"/>
              <w:noProof/>
              <w:sz w:val="22"/>
              <w:lang w:eastAsia="en-GB"/>
            </w:rPr>
          </w:pPr>
          <w:hyperlink w:anchor="_Toc234428772" w:history="1">
            <w:r w:rsidRPr="00AF139A">
              <w:rPr>
                <w:rStyle w:val="Hyperlink"/>
                <w:rFonts w:ascii="Arial" w:hAnsi="Arial" w:cs="Arial"/>
                <w:noProof/>
              </w:rPr>
              <w:t>Theoretical and Policy Context</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_Toc234428772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3</w:t>
            </w:r>
            <w:r w:rsidRPr="00AF139A">
              <w:rPr>
                <w:rFonts w:ascii="Arial" w:hAnsi="Arial" w:cs="Arial"/>
                <w:noProof/>
                <w:webHidden/>
              </w:rPr>
              <w:fldChar w:fldCharType="end"/>
            </w:r>
          </w:hyperlink>
        </w:p>
        <w:p w14:paraId="56CCA831" w14:textId="77777777" w:rsidR="00AB2080" w:rsidRPr="00AF139A" w:rsidRDefault="00670D66">
          <w:pPr>
            <w:pStyle w:val="TOC1"/>
            <w:tabs>
              <w:tab w:val="right" w:leader="dot" w:pos="9350"/>
            </w:tabs>
            <w:rPr>
              <w:rFonts w:ascii="Arial" w:eastAsiaTheme="minorEastAsia" w:hAnsi="Arial" w:cs="Arial"/>
              <w:noProof/>
              <w:sz w:val="22"/>
              <w:lang w:eastAsia="en-GB"/>
            </w:rPr>
          </w:pPr>
          <w:hyperlink w:anchor="_Toc234428773" w:history="1">
            <w:r w:rsidRPr="00AF139A">
              <w:rPr>
                <w:rStyle w:val="Hyperlink"/>
                <w:rFonts w:ascii="Arial" w:hAnsi="Arial" w:cs="Arial"/>
                <w:noProof/>
              </w:rPr>
              <w:t>Critical Analysis of SDG 3: Good Health and Well-being</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_Toc234428773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4</w:t>
            </w:r>
            <w:r w:rsidRPr="00AF139A">
              <w:rPr>
                <w:rFonts w:ascii="Arial" w:hAnsi="Arial" w:cs="Arial"/>
                <w:noProof/>
                <w:webHidden/>
              </w:rPr>
              <w:fldChar w:fldCharType="end"/>
            </w:r>
          </w:hyperlink>
        </w:p>
        <w:p w14:paraId="045D3EE4" w14:textId="77777777" w:rsidR="00AB2080" w:rsidRPr="00AF139A" w:rsidRDefault="00670D66">
          <w:pPr>
            <w:pStyle w:val="TOC2"/>
            <w:tabs>
              <w:tab w:val="right" w:leader="dot" w:pos="9350"/>
            </w:tabs>
            <w:rPr>
              <w:rFonts w:ascii="Arial" w:eastAsiaTheme="minorEastAsia" w:hAnsi="Arial" w:cs="Arial"/>
              <w:noProof/>
              <w:sz w:val="22"/>
              <w:lang w:eastAsia="en-GB"/>
            </w:rPr>
          </w:pPr>
          <w:hyperlink w:anchor="_Toc234428774" w:history="1">
            <w:r w:rsidRPr="00AF139A">
              <w:rPr>
                <w:rStyle w:val="Hyperlink"/>
                <w:rFonts w:ascii="Arial" w:hAnsi="Arial" w:cs="Arial"/>
                <w:noProof/>
              </w:rPr>
              <w:t>Global Impact</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_Toc234428774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4</w:t>
            </w:r>
            <w:r w:rsidRPr="00AF139A">
              <w:rPr>
                <w:rFonts w:ascii="Arial" w:hAnsi="Arial" w:cs="Arial"/>
                <w:noProof/>
                <w:webHidden/>
              </w:rPr>
              <w:fldChar w:fldCharType="end"/>
            </w:r>
          </w:hyperlink>
        </w:p>
        <w:p w14:paraId="08425133" w14:textId="77777777" w:rsidR="00AB2080" w:rsidRPr="00AF139A" w:rsidRDefault="00670D66">
          <w:pPr>
            <w:pStyle w:val="TOC2"/>
            <w:tabs>
              <w:tab w:val="right" w:leader="dot" w:pos="9350"/>
            </w:tabs>
            <w:rPr>
              <w:rFonts w:ascii="Arial" w:eastAsiaTheme="minorEastAsia" w:hAnsi="Arial" w:cs="Arial"/>
              <w:noProof/>
              <w:sz w:val="22"/>
              <w:lang w:eastAsia="en-GB"/>
            </w:rPr>
          </w:pPr>
          <w:hyperlink w:anchor="_Toc234428775" w:history="1">
            <w:r w:rsidRPr="00AF139A">
              <w:rPr>
                <w:rStyle w:val="Hyperlink"/>
                <w:rFonts w:ascii="Arial" w:hAnsi="Arial" w:cs="Arial"/>
                <w:noProof/>
              </w:rPr>
              <w:t>UK National Impact</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_Toc234428775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5</w:t>
            </w:r>
            <w:r w:rsidRPr="00AF139A">
              <w:rPr>
                <w:rFonts w:ascii="Arial" w:hAnsi="Arial" w:cs="Arial"/>
                <w:noProof/>
                <w:webHidden/>
              </w:rPr>
              <w:fldChar w:fldCharType="end"/>
            </w:r>
          </w:hyperlink>
        </w:p>
        <w:p w14:paraId="7331D6FC" w14:textId="77777777" w:rsidR="00AB2080" w:rsidRPr="00AF139A" w:rsidRDefault="00670D66">
          <w:pPr>
            <w:pStyle w:val="TOC2"/>
            <w:tabs>
              <w:tab w:val="right" w:leader="dot" w:pos="9350"/>
            </w:tabs>
            <w:rPr>
              <w:rFonts w:ascii="Arial" w:eastAsiaTheme="minorEastAsia" w:hAnsi="Arial" w:cs="Arial"/>
              <w:noProof/>
              <w:sz w:val="22"/>
              <w:lang w:eastAsia="en-GB"/>
            </w:rPr>
          </w:pPr>
          <w:hyperlink w:anchor="_Toc234428776" w:history="1">
            <w:r w:rsidRPr="00AF139A">
              <w:rPr>
                <w:rStyle w:val="Hyperlink"/>
                <w:rFonts w:ascii="Arial" w:hAnsi="Arial" w:cs="Arial"/>
                <w:noProof/>
              </w:rPr>
              <w:t>Local Impact</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_Toc234428776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5</w:t>
            </w:r>
            <w:r w:rsidRPr="00AF139A">
              <w:rPr>
                <w:rFonts w:ascii="Arial" w:hAnsi="Arial" w:cs="Arial"/>
                <w:noProof/>
                <w:webHidden/>
              </w:rPr>
              <w:fldChar w:fldCharType="end"/>
            </w:r>
          </w:hyperlink>
        </w:p>
        <w:p w14:paraId="5A1169FF" w14:textId="77777777" w:rsidR="00AB2080" w:rsidRPr="00AF139A" w:rsidRDefault="00670D66">
          <w:pPr>
            <w:pStyle w:val="TOC1"/>
            <w:tabs>
              <w:tab w:val="right" w:leader="dot" w:pos="9350"/>
            </w:tabs>
            <w:rPr>
              <w:rFonts w:ascii="Arial" w:eastAsiaTheme="minorEastAsia" w:hAnsi="Arial" w:cs="Arial"/>
              <w:noProof/>
              <w:sz w:val="22"/>
              <w:lang w:eastAsia="en-GB"/>
            </w:rPr>
          </w:pPr>
          <w:hyperlink w:anchor="_Toc234428777" w:history="1">
            <w:r w:rsidRPr="00AF139A">
              <w:rPr>
                <w:rStyle w:val="Hyperlink"/>
                <w:rFonts w:ascii="Arial" w:hAnsi="Arial" w:cs="Arial"/>
                <w:noProof/>
              </w:rPr>
              <w:t>Critical Analysis of SDG 5: Gender Equality</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_Toc234428777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6</w:t>
            </w:r>
            <w:r w:rsidRPr="00AF139A">
              <w:rPr>
                <w:rFonts w:ascii="Arial" w:hAnsi="Arial" w:cs="Arial"/>
                <w:noProof/>
                <w:webHidden/>
              </w:rPr>
              <w:fldChar w:fldCharType="end"/>
            </w:r>
          </w:hyperlink>
        </w:p>
        <w:p w14:paraId="691C3D6A" w14:textId="77777777" w:rsidR="00AB2080" w:rsidRPr="00AF139A" w:rsidRDefault="00670D66">
          <w:pPr>
            <w:pStyle w:val="TOC3"/>
            <w:tabs>
              <w:tab w:val="right" w:leader="dot" w:pos="9350"/>
            </w:tabs>
            <w:rPr>
              <w:rFonts w:ascii="Arial" w:eastAsiaTheme="minorEastAsia" w:hAnsi="Arial" w:cs="Arial"/>
              <w:noProof/>
              <w:sz w:val="22"/>
              <w:lang w:eastAsia="en-GB"/>
            </w:rPr>
          </w:pPr>
          <w:hyperlink w:anchor="_Toc234428778" w:history="1">
            <w:r w:rsidRPr="00AF139A">
              <w:rPr>
                <w:rStyle w:val="Hyperlink"/>
                <w:rFonts w:ascii="Arial" w:hAnsi="Arial" w:cs="Arial"/>
                <w:noProof/>
              </w:rPr>
              <w:t>Global Impact</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_Toc234428778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6</w:t>
            </w:r>
            <w:r w:rsidRPr="00AF139A">
              <w:rPr>
                <w:rFonts w:ascii="Arial" w:hAnsi="Arial" w:cs="Arial"/>
                <w:noProof/>
                <w:webHidden/>
              </w:rPr>
              <w:fldChar w:fldCharType="end"/>
            </w:r>
          </w:hyperlink>
        </w:p>
        <w:p w14:paraId="7B6D0D48" w14:textId="77777777" w:rsidR="00AB2080" w:rsidRPr="00AF139A" w:rsidRDefault="00670D66">
          <w:pPr>
            <w:pStyle w:val="TOC3"/>
            <w:tabs>
              <w:tab w:val="right" w:leader="dot" w:pos="9350"/>
            </w:tabs>
            <w:rPr>
              <w:rFonts w:ascii="Arial" w:eastAsiaTheme="minorEastAsia" w:hAnsi="Arial" w:cs="Arial"/>
              <w:noProof/>
              <w:sz w:val="22"/>
              <w:lang w:eastAsia="en-GB"/>
            </w:rPr>
          </w:pPr>
          <w:hyperlink w:anchor="_Toc234428779" w:history="1">
            <w:r w:rsidRPr="00AF139A">
              <w:rPr>
                <w:rStyle w:val="Hyperlink"/>
                <w:rFonts w:ascii="Arial" w:hAnsi="Arial" w:cs="Arial"/>
                <w:noProof/>
              </w:rPr>
              <w:t>UK National Impact</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_Toc234428779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7</w:t>
            </w:r>
            <w:r w:rsidRPr="00AF139A">
              <w:rPr>
                <w:rFonts w:ascii="Arial" w:hAnsi="Arial" w:cs="Arial"/>
                <w:noProof/>
                <w:webHidden/>
              </w:rPr>
              <w:fldChar w:fldCharType="end"/>
            </w:r>
          </w:hyperlink>
        </w:p>
        <w:p w14:paraId="21A37413" w14:textId="77777777" w:rsidR="00AB2080" w:rsidRPr="00AF139A" w:rsidRDefault="00670D66">
          <w:pPr>
            <w:pStyle w:val="TOC3"/>
            <w:tabs>
              <w:tab w:val="right" w:leader="dot" w:pos="9350"/>
            </w:tabs>
            <w:rPr>
              <w:rFonts w:ascii="Arial" w:eastAsiaTheme="minorEastAsia" w:hAnsi="Arial" w:cs="Arial"/>
              <w:noProof/>
              <w:sz w:val="22"/>
              <w:lang w:eastAsia="en-GB"/>
            </w:rPr>
          </w:pPr>
          <w:hyperlink w:anchor="_Toc234428780" w:history="1">
            <w:r w:rsidRPr="00AF139A">
              <w:rPr>
                <w:rStyle w:val="Hyperlink"/>
                <w:rFonts w:ascii="Arial" w:hAnsi="Arial" w:cs="Arial"/>
                <w:noProof/>
              </w:rPr>
              <w:t>Local Impact</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_Toc234428780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7</w:t>
            </w:r>
            <w:r w:rsidRPr="00AF139A">
              <w:rPr>
                <w:rFonts w:ascii="Arial" w:hAnsi="Arial" w:cs="Arial"/>
                <w:noProof/>
                <w:webHidden/>
              </w:rPr>
              <w:fldChar w:fldCharType="end"/>
            </w:r>
          </w:hyperlink>
        </w:p>
        <w:p w14:paraId="16A8CC8E" w14:textId="77777777" w:rsidR="00AB2080" w:rsidRPr="00AF139A" w:rsidRDefault="00670D66">
          <w:pPr>
            <w:pStyle w:val="TOC1"/>
            <w:tabs>
              <w:tab w:val="right" w:leader="dot" w:pos="9350"/>
            </w:tabs>
            <w:rPr>
              <w:rFonts w:ascii="Arial" w:eastAsiaTheme="minorEastAsia" w:hAnsi="Arial" w:cs="Arial"/>
              <w:noProof/>
              <w:sz w:val="22"/>
              <w:lang w:eastAsia="en-GB"/>
            </w:rPr>
          </w:pPr>
          <w:hyperlink w:anchor="_Toc234428781" w:history="1">
            <w:r w:rsidRPr="00AF139A">
              <w:rPr>
                <w:rStyle w:val="Hyperlink"/>
                <w:rFonts w:ascii="Arial" w:hAnsi="Arial" w:cs="Arial"/>
                <w:noProof/>
              </w:rPr>
              <w:t>Evaluation of National and Local Health, Wellbeing and Sustainability Initiatives</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_Toc234428781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8</w:t>
            </w:r>
            <w:r w:rsidRPr="00AF139A">
              <w:rPr>
                <w:rFonts w:ascii="Arial" w:hAnsi="Arial" w:cs="Arial"/>
                <w:noProof/>
                <w:webHidden/>
              </w:rPr>
              <w:fldChar w:fldCharType="end"/>
            </w:r>
          </w:hyperlink>
        </w:p>
        <w:p w14:paraId="64BC1A48" w14:textId="77777777" w:rsidR="00AB2080" w:rsidRPr="00AF139A" w:rsidRDefault="00670D66">
          <w:pPr>
            <w:pStyle w:val="TOC1"/>
            <w:tabs>
              <w:tab w:val="right" w:leader="dot" w:pos="9350"/>
            </w:tabs>
            <w:rPr>
              <w:rFonts w:ascii="Arial" w:eastAsiaTheme="minorEastAsia" w:hAnsi="Arial" w:cs="Arial"/>
              <w:noProof/>
              <w:sz w:val="22"/>
              <w:lang w:eastAsia="en-GB"/>
            </w:rPr>
          </w:pPr>
          <w:hyperlink w:anchor="_Toc234428782" w:history="1">
            <w:r w:rsidRPr="00AF139A">
              <w:rPr>
                <w:rStyle w:val="Hyperlink"/>
                <w:rFonts w:ascii="Arial" w:hAnsi="Arial" w:cs="Arial"/>
                <w:noProof/>
              </w:rPr>
              <w:t>Recommendations for Policy and Practice</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_Toc234428782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8</w:t>
            </w:r>
            <w:r w:rsidRPr="00AF139A">
              <w:rPr>
                <w:rFonts w:ascii="Arial" w:hAnsi="Arial" w:cs="Arial"/>
                <w:noProof/>
                <w:webHidden/>
              </w:rPr>
              <w:fldChar w:fldCharType="end"/>
            </w:r>
          </w:hyperlink>
        </w:p>
        <w:p w14:paraId="1F492CED" w14:textId="77777777" w:rsidR="00AB2080" w:rsidRPr="00AF139A" w:rsidRDefault="00670D66">
          <w:pPr>
            <w:pStyle w:val="TOC1"/>
            <w:tabs>
              <w:tab w:val="right" w:leader="dot" w:pos="9350"/>
            </w:tabs>
            <w:rPr>
              <w:rFonts w:ascii="Arial" w:eastAsiaTheme="minorEastAsia" w:hAnsi="Arial" w:cs="Arial"/>
              <w:noProof/>
              <w:sz w:val="22"/>
              <w:lang w:eastAsia="en-GB"/>
            </w:rPr>
          </w:pPr>
          <w:hyperlink w:anchor="_Toc234428783" w:history="1">
            <w:r w:rsidRPr="00AF139A">
              <w:rPr>
                <w:rStyle w:val="Hyperlink"/>
                <w:rFonts w:ascii="Arial" w:hAnsi="Arial" w:cs="Arial"/>
                <w:noProof/>
              </w:rPr>
              <w:t>Conclusion</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_Toc234428783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9</w:t>
            </w:r>
            <w:r w:rsidRPr="00AF139A">
              <w:rPr>
                <w:rFonts w:ascii="Arial" w:hAnsi="Arial" w:cs="Arial"/>
                <w:noProof/>
                <w:webHidden/>
              </w:rPr>
              <w:fldChar w:fldCharType="end"/>
            </w:r>
          </w:hyperlink>
        </w:p>
        <w:p w14:paraId="554D41BC" w14:textId="77777777" w:rsidR="00AB2080" w:rsidRPr="00AF139A" w:rsidRDefault="00670D66">
          <w:pPr>
            <w:pStyle w:val="TOC1"/>
            <w:tabs>
              <w:tab w:val="right" w:leader="dot" w:pos="9350"/>
            </w:tabs>
            <w:rPr>
              <w:rFonts w:ascii="Arial" w:eastAsiaTheme="minorEastAsia" w:hAnsi="Arial" w:cs="Arial"/>
              <w:noProof/>
              <w:sz w:val="22"/>
              <w:lang w:eastAsia="en-GB"/>
            </w:rPr>
          </w:pPr>
          <w:hyperlink w:anchor="_Toc234428784" w:history="1">
            <w:r w:rsidRPr="00AF139A">
              <w:rPr>
                <w:rStyle w:val="Hyperlink"/>
                <w:rFonts w:ascii="Arial" w:hAnsi="Arial" w:cs="Arial"/>
                <w:noProof/>
              </w:rPr>
              <w:t>References</w:t>
            </w:r>
            <w:r w:rsidRPr="00AF139A">
              <w:rPr>
                <w:rFonts w:ascii="Arial" w:hAnsi="Arial" w:cs="Arial"/>
                <w:noProof/>
                <w:webHidden/>
              </w:rPr>
              <w:tab/>
            </w:r>
            <w:r w:rsidRPr="00AF139A">
              <w:rPr>
                <w:rFonts w:ascii="Arial" w:hAnsi="Arial" w:cs="Arial"/>
                <w:noProof/>
                <w:webHidden/>
              </w:rPr>
              <w:fldChar w:fldCharType="begin"/>
            </w:r>
            <w:r w:rsidRPr="00AF139A">
              <w:rPr>
                <w:rFonts w:ascii="Arial" w:hAnsi="Arial" w:cs="Arial"/>
                <w:noProof/>
                <w:webHidden/>
              </w:rPr>
              <w:instrText xml:space="preserve"> PAGEREF _Toc234428784 \h </w:instrText>
            </w:r>
            <w:r w:rsidRPr="00AF139A">
              <w:rPr>
                <w:rFonts w:ascii="Arial" w:hAnsi="Arial" w:cs="Arial"/>
                <w:noProof/>
                <w:webHidden/>
              </w:rPr>
            </w:r>
            <w:r w:rsidRPr="00AF139A">
              <w:rPr>
                <w:rFonts w:ascii="Arial" w:hAnsi="Arial" w:cs="Arial"/>
                <w:noProof/>
                <w:webHidden/>
              </w:rPr>
              <w:fldChar w:fldCharType="separate"/>
            </w:r>
            <w:r w:rsidRPr="00AF139A">
              <w:rPr>
                <w:rFonts w:ascii="Arial" w:hAnsi="Arial" w:cs="Arial"/>
                <w:noProof/>
                <w:webHidden/>
              </w:rPr>
              <w:t>10</w:t>
            </w:r>
            <w:r w:rsidRPr="00AF139A">
              <w:rPr>
                <w:rFonts w:ascii="Arial" w:hAnsi="Arial" w:cs="Arial"/>
                <w:noProof/>
                <w:webHidden/>
              </w:rPr>
              <w:fldChar w:fldCharType="end"/>
            </w:r>
          </w:hyperlink>
        </w:p>
        <w:p w14:paraId="0FDFA7A3" w14:textId="77777777" w:rsidR="008A4349" w:rsidRDefault="00670D66">
          <w:r w:rsidRPr="00AF139A">
            <w:rPr>
              <w:rFonts w:ascii="Arial" w:hAnsi="Arial" w:cs="Arial"/>
              <w:b/>
              <w:bCs/>
              <w:noProof/>
              <w:szCs w:val="24"/>
            </w:rPr>
            <w:fldChar w:fldCharType="end"/>
          </w:r>
        </w:p>
      </w:sdtContent>
    </w:sdt>
    <w:p w14:paraId="122EBFA1" w14:textId="77777777" w:rsidR="0084739A" w:rsidRDefault="0084739A" w:rsidP="00403927"/>
    <w:p w14:paraId="267A4BCC" w14:textId="77777777" w:rsidR="0084739A" w:rsidRDefault="0084739A" w:rsidP="00403927"/>
    <w:p w14:paraId="3CBA8F73" w14:textId="77777777" w:rsidR="00403927" w:rsidRDefault="00670D66">
      <w:pPr>
        <w:spacing w:line="259" w:lineRule="auto"/>
      </w:pPr>
      <w:r>
        <w:br w:type="page"/>
      </w:r>
    </w:p>
    <w:p w14:paraId="5C1E0D69" w14:textId="77777777" w:rsidR="00E964C7" w:rsidRPr="00AF139A" w:rsidRDefault="00670D66" w:rsidP="00E964C7">
      <w:pPr>
        <w:pStyle w:val="Heading1"/>
        <w:rPr>
          <w:rFonts w:ascii="Arial" w:hAnsi="Arial" w:cs="Arial"/>
          <w:i w:val="0"/>
          <w:iCs/>
          <w:szCs w:val="24"/>
        </w:rPr>
      </w:pPr>
      <w:bookmarkStart w:id="0" w:name="_Toc234428771"/>
      <w:r w:rsidRPr="00AF139A">
        <w:rPr>
          <w:rFonts w:ascii="Arial" w:hAnsi="Arial" w:cs="Arial"/>
          <w:i w:val="0"/>
          <w:iCs/>
          <w:szCs w:val="24"/>
        </w:rPr>
        <w:lastRenderedPageBreak/>
        <w:t>Introduction</w:t>
      </w:r>
      <w:bookmarkEnd w:id="0"/>
    </w:p>
    <w:p w14:paraId="07F55ECC" w14:textId="77777777" w:rsidR="004575DD" w:rsidRPr="00AF139A" w:rsidRDefault="00670D66" w:rsidP="005032D3">
      <w:pPr>
        <w:rPr>
          <w:rFonts w:ascii="Arial" w:hAnsi="Arial" w:cs="Arial"/>
          <w:sz w:val="22"/>
        </w:rPr>
      </w:pPr>
      <w:r w:rsidRPr="00AF139A">
        <w:rPr>
          <w:rFonts w:ascii="Arial" w:hAnsi="Arial" w:cs="Arial"/>
          <w:sz w:val="22"/>
        </w:rPr>
        <w:t>The concepts of health, well-being, and sustainability are closely connected and have an impact on the quality of people's and communities' lives. Health means physical health, mental health, and social health, and not being sick. Sustainability means today's needs are being satisfied without preventing future generations from being able to satisfy their needs (WHO, 1984). Understanding this interdependence, the United Nations in 2015 adopted the Sustainable Development Goals (SDGs) as the global solution to social, economic and environmental issues. Of these targets, SDG 3 is dedicated to healthy lives and well-being for all at all ages, and SDG 5 to gender equality and the empowerment of women and girls (WHO, 2022).</w:t>
      </w:r>
      <w:r w:rsidR="005032D3" w:rsidRPr="00AF139A">
        <w:rPr>
          <w:rFonts w:ascii="Arial" w:hAnsi="Arial" w:cs="Arial"/>
          <w:sz w:val="22"/>
        </w:rPr>
        <w:t xml:space="preserve"> </w:t>
      </w:r>
      <w:r w:rsidRPr="00AF139A">
        <w:rPr>
          <w:rFonts w:ascii="Arial" w:hAnsi="Arial" w:cs="Arial"/>
          <w:sz w:val="22"/>
        </w:rPr>
        <w:t>The evidence suggests that gender inequality has a significant impact on health outcomes as it can pose disparities in access to health services, in economic opportunities, and in violence exposure (Fedina et al., 2022). This report critically reviews the influence of SDG 3 and SDG 5 on citizens' health and wellbeing, globally, nationally and locally. The activity focuses on the national NHS Long Term Plan and the local Healthy Birmingham Partnership to assess their impact in supporting sustainable health and wellbeing outcomes.</w:t>
      </w:r>
    </w:p>
    <w:p w14:paraId="6B426FEE" w14:textId="77777777" w:rsidR="00E964C7" w:rsidRPr="00AF139A" w:rsidRDefault="00E964C7" w:rsidP="00E964C7">
      <w:pPr>
        <w:rPr>
          <w:rFonts w:ascii="Arial" w:hAnsi="Arial" w:cs="Arial"/>
          <w:sz w:val="22"/>
        </w:rPr>
      </w:pPr>
    </w:p>
    <w:p w14:paraId="6ECCE3A9" w14:textId="77777777" w:rsidR="00E964C7" w:rsidRPr="00AF139A" w:rsidRDefault="00670D66" w:rsidP="00E964C7">
      <w:pPr>
        <w:pStyle w:val="Heading1"/>
        <w:rPr>
          <w:rFonts w:ascii="Arial" w:hAnsi="Arial" w:cs="Arial"/>
          <w:i w:val="0"/>
          <w:iCs/>
          <w:szCs w:val="24"/>
        </w:rPr>
      </w:pPr>
      <w:bookmarkStart w:id="1" w:name="_Toc234428772"/>
      <w:r w:rsidRPr="00AF139A">
        <w:rPr>
          <w:rFonts w:ascii="Arial" w:hAnsi="Arial" w:cs="Arial"/>
          <w:i w:val="0"/>
          <w:iCs/>
          <w:szCs w:val="24"/>
        </w:rPr>
        <w:t>Theoretical and Policy Context</w:t>
      </w:r>
      <w:bookmarkEnd w:id="1"/>
    </w:p>
    <w:p w14:paraId="4546C14E" w14:textId="77777777" w:rsidR="000A1DA7" w:rsidRPr="00AF139A" w:rsidRDefault="00670D66" w:rsidP="005032D3">
      <w:pPr>
        <w:rPr>
          <w:rFonts w:ascii="Arial" w:hAnsi="Arial" w:cs="Arial"/>
          <w:sz w:val="22"/>
        </w:rPr>
      </w:pPr>
      <w:r w:rsidRPr="00AF139A">
        <w:rPr>
          <w:rFonts w:ascii="Arial" w:hAnsi="Arial" w:cs="Arial"/>
          <w:sz w:val="22"/>
        </w:rPr>
        <w:t xml:space="preserve">Theoretical models that consider multiple determinants of health need to be understood to understand the relationship between health, well-being, and sustainability. The Social Determinants of Health Model suggests that health is influenced by multiple layers of factors, such as individual behaviours, social and community services, conditions of the home, and broader socioeconomic, cultural, and environmental influences (Guevara et al., 2024). This approach rejects a purely biomedical definition of health and highlights the importance of income, education, housing and employment on health inequalities. This is confirmed by Marmot (2022), who shows that social and economic inequalities continue to be a significant driver of ill health throughout the United Kingdom. </w:t>
      </w:r>
      <w:r w:rsidR="000536DA" w:rsidRPr="00AF139A">
        <w:rPr>
          <w:rFonts w:ascii="Arial" w:hAnsi="Arial" w:cs="Arial"/>
          <w:sz w:val="22"/>
        </w:rPr>
        <w:t xml:space="preserve">Similarly, the Health Belief Model (HBM) suggests that the more people think they are at risk, think the risk is serious, think behavioural change will have a benefit, and feel there are few barriers to behavioural change, the more likely they are to engage in healthy behaviours (Alyafei and Easton-Carr, 2024). </w:t>
      </w:r>
    </w:p>
    <w:p w14:paraId="4672B15D" w14:textId="77777777" w:rsidR="00C750BC" w:rsidRPr="00AF139A" w:rsidRDefault="00670D66" w:rsidP="005032D3">
      <w:pPr>
        <w:rPr>
          <w:rFonts w:ascii="Arial" w:hAnsi="Arial" w:cs="Arial"/>
          <w:sz w:val="22"/>
        </w:rPr>
      </w:pPr>
      <w:r w:rsidRPr="00AF139A">
        <w:rPr>
          <w:rFonts w:ascii="Arial" w:hAnsi="Arial" w:cs="Arial"/>
          <w:sz w:val="22"/>
        </w:rPr>
        <w:t xml:space="preserve">Social Cognitive Theory (SCT) suggests that health behaviours are influenced by the interplay of personal beliefs, environmental factors, and behavioural experiences, with observational learning and self-efficacy being key variables in the promotion of behaviour change (Cervone, 2023). The HBM and SCT share the idea that health promotion is largely dependent on an individual's health knowledge and their capacity to establish supportive environments </w:t>
      </w:r>
      <w:proofErr w:type="gramStart"/>
      <w:r w:rsidRPr="00AF139A">
        <w:rPr>
          <w:rFonts w:ascii="Arial" w:hAnsi="Arial" w:cs="Arial"/>
          <w:sz w:val="22"/>
        </w:rPr>
        <w:t>in order to</w:t>
      </w:r>
      <w:proofErr w:type="gramEnd"/>
      <w:r w:rsidRPr="00AF139A">
        <w:rPr>
          <w:rFonts w:ascii="Arial" w:hAnsi="Arial" w:cs="Arial"/>
          <w:sz w:val="22"/>
        </w:rPr>
        <w:t xml:space="preserve"> turn intentions into lasting healthful behaviours. </w:t>
      </w:r>
      <w:r w:rsidR="00DB2C12" w:rsidRPr="00AF139A">
        <w:rPr>
          <w:rFonts w:ascii="Arial" w:hAnsi="Arial" w:cs="Arial"/>
          <w:sz w:val="22"/>
        </w:rPr>
        <w:t xml:space="preserve">Health, social equity and environmental sustainability go hand in hand and are reinforced by the Sustainable Development Framework. The interconnectedness of SDGs is demonstrated in Du et al. (2024), where the advancement of one SDG can positively impact the achievement of another. However, as critics point out, the implementation is not uniform because of political priorities, lack of resources, and different national capacities (Novovic, 2022). </w:t>
      </w:r>
      <w:r w:rsidR="00980766" w:rsidRPr="00AF139A">
        <w:rPr>
          <w:rFonts w:ascii="Arial" w:hAnsi="Arial" w:cs="Arial"/>
          <w:sz w:val="22"/>
        </w:rPr>
        <w:t>Nevertheless</w:t>
      </w:r>
      <w:r w:rsidR="00DB2C12" w:rsidRPr="00AF139A">
        <w:rPr>
          <w:rFonts w:ascii="Arial" w:hAnsi="Arial" w:cs="Arial"/>
          <w:sz w:val="22"/>
        </w:rPr>
        <w:t xml:space="preserve">, the SDGs offer a global policy framework </w:t>
      </w:r>
      <w:r w:rsidR="00DB2C12" w:rsidRPr="00AF139A">
        <w:rPr>
          <w:rFonts w:ascii="Arial" w:hAnsi="Arial" w:cs="Arial"/>
          <w:sz w:val="22"/>
        </w:rPr>
        <w:lastRenderedPageBreak/>
        <w:t>that compels governments and organisations to tackle complex health and well-being challenges in a coordinated and sustainable way.</w:t>
      </w:r>
    </w:p>
    <w:p w14:paraId="390B296F" w14:textId="77777777" w:rsidR="001F518A" w:rsidRPr="00AF139A" w:rsidRDefault="001F518A" w:rsidP="001F518A">
      <w:pPr>
        <w:rPr>
          <w:rFonts w:ascii="Arial" w:hAnsi="Arial" w:cs="Arial"/>
          <w:sz w:val="22"/>
        </w:rPr>
      </w:pPr>
    </w:p>
    <w:p w14:paraId="7C414955" w14:textId="77777777" w:rsidR="001F518A" w:rsidRPr="00AF139A" w:rsidRDefault="00670D66" w:rsidP="00154E4E">
      <w:pPr>
        <w:pStyle w:val="Heading1"/>
        <w:rPr>
          <w:rFonts w:ascii="Arial" w:hAnsi="Arial" w:cs="Arial"/>
          <w:sz w:val="22"/>
          <w:szCs w:val="22"/>
        </w:rPr>
      </w:pPr>
      <w:bookmarkStart w:id="2" w:name="_Toc234428773"/>
      <w:r w:rsidRPr="00AF139A">
        <w:rPr>
          <w:rFonts w:ascii="Arial" w:hAnsi="Arial" w:cs="Arial"/>
          <w:sz w:val="22"/>
          <w:szCs w:val="22"/>
        </w:rPr>
        <w:t>Critical Analysis of SDG 3: Good Health and Well-being</w:t>
      </w:r>
      <w:bookmarkEnd w:id="2"/>
    </w:p>
    <w:p w14:paraId="6FA7430D" w14:textId="77777777" w:rsidR="00154E4E" w:rsidRPr="00AF139A" w:rsidRDefault="00670D66" w:rsidP="00154E4E">
      <w:pPr>
        <w:pStyle w:val="Heading2"/>
        <w:rPr>
          <w:rFonts w:ascii="Arial" w:hAnsi="Arial" w:cs="Arial"/>
          <w:sz w:val="22"/>
          <w:szCs w:val="22"/>
        </w:rPr>
      </w:pPr>
      <w:bookmarkStart w:id="3" w:name="_Toc234428774"/>
      <w:r w:rsidRPr="00AF139A">
        <w:rPr>
          <w:rFonts w:ascii="Arial" w:hAnsi="Arial" w:cs="Arial"/>
          <w:sz w:val="22"/>
          <w:szCs w:val="22"/>
        </w:rPr>
        <w:t>Global Impact</w:t>
      </w:r>
      <w:bookmarkEnd w:id="3"/>
    </w:p>
    <w:p w14:paraId="7EC44F9E" w14:textId="77777777" w:rsidR="00BF2E01" w:rsidRPr="00AF139A" w:rsidRDefault="00670D66" w:rsidP="005032D3">
      <w:pPr>
        <w:rPr>
          <w:rFonts w:ascii="Arial" w:hAnsi="Arial" w:cs="Arial"/>
          <w:sz w:val="22"/>
          <w:highlight w:val="yellow"/>
        </w:rPr>
      </w:pPr>
      <w:r w:rsidRPr="00AF139A">
        <w:rPr>
          <w:rFonts w:ascii="Arial" w:hAnsi="Arial" w:cs="Arial"/>
          <w:sz w:val="22"/>
        </w:rPr>
        <w:t xml:space="preserve">SDG 3 aims to achieve health and well-being for all by addressing various aspects aimed at reducing maternal and child mortality, fighting communicable diseases, improving health systems, and ensuring universal health coverage. </w:t>
      </w:r>
      <w:r w:rsidR="00731AA4" w:rsidRPr="00AF139A">
        <w:rPr>
          <w:rFonts w:ascii="Arial" w:hAnsi="Arial" w:cs="Arial"/>
          <w:sz w:val="22"/>
        </w:rPr>
        <w:t>According to the United Nations (2020), s</w:t>
      </w:r>
      <w:r w:rsidRPr="00AF139A">
        <w:rPr>
          <w:rFonts w:ascii="Arial" w:hAnsi="Arial" w:cs="Arial"/>
          <w:sz w:val="22"/>
        </w:rPr>
        <w:t xml:space="preserve">ince 2000, there has been strong progress, with global under-five mortality rates reduced considerably, expanded vaccination programmes, and increased life expectancy at the global level. Globally, implementation is driven by the 2030 Agenda for Sustainable Development, the WHO Triple Billion Strategy, and the Global Action Plan for Healthy Lives and Well-being for All, which all allow for coordinated action across international agencies: Child mortality rates are significantly lower since 2000, and vaccines have saved millions of lives, and child health and well-being will improve by another 1.5 billion by 2024 through coordinated global action (WHO, 2024). </w:t>
      </w:r>
    </w:p>
    <w:p w14:paraId="4C2F5104" w14:textId="77777777" w:rsidR="00AD0A0B" w:rsidRPr="00AF139A" w:rsidRDefault="00670D66" w:rsidP="00AD0A0B">
      <w:pPr>
        <w:keepNext/>
        <w:jc w:val="center"/>
        <w:rPr>
          <w:rFonts w:ascii="Arial" w:hAnsi="Arial" w:cs="Arial"/>
          <w:sz w:val="22"/>
        </w:rPr>
      </w:pPr>
      <w:r w:rsidRPr="00AF139A">
        <w:rPr>
          <w:rFonts w:ascii="Arial" w:hAnsi="Arial" w:cs="Arial"/>
          <w:noProof/>
          <w:sz w:val="22"/>
        </w:rPr>
        <w:drawing>
          <wp:inline distT="0" distB="0" distL="0" distR="0" wp14:anchorId="45078E45" wp14:editId="4DE9CA0D">
            <wp:extent cx="2536619" cy="222118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42562" cy="2226389"/>
                    </a:xfrm>
                    <a:prstGeom prst="rect">
                      <a:avLst/>
                    </a:prstGeom>
                  </pic:spPr>
                </pic:pic>
              </a:graphicData>
            </a:graphic>
          </wp:inline>
        </w:drawing>
      </w:r>
    </w:p>
    <w:p w14:paraId="4E43E097" w14:textId="77777777" w:rsidR="007E4828" w:rsidRPr="00AF139A" w:rsidRDefault="00670D66" w:rsidP="00AD0A0B">
      <w:pPr>
        <w:pStyle w:val="Caption"/>
        <w:jc w:val="center"/>
        <w:rPr>
          <w:rFonts w:ascii="Arial" w:hAnsi="Arial" w:cs="Arial"/>
          <w:sz w:val="22"/>
          <w:szCs w:val="22"/>
        </w:rPr>
      </w:pPr>
      <w:r w:rsidRPr="00AF139A">
        <w:rPr>
          <w:rFonts w:ascii="Arial" w:hAnsi="Arial" w:cs="Arial"/>
          <w:sz w:val="22"/>
          <w:szCs w:val="22"/>
        </w:rPr>
        <w:t xml:space="preserve">Figure </w:t>
      </w:r>
      <w:r w:rsidRPr="00AF139A">
        <w:rPr>
          <w:rFonts w:ascii="Arial" w:hAnsi="Arial" w:cs="Arial"/>
          <w:sz w:val="22"/>
          <w:szCs w:val="22"/>
        </w:rPr>
        <w:fldChar w:fldCharType="begin"/>
      </w:r>
      <w:r w:rsidRPr="00AF139A">
        <w:rPr>
          <w:rFonts w:ascii="Arial" w:hAnsi="Arial" w:cs="Arial"/>
          <w:sz w:val="22"/>
          <w:szCs w:val="22"/>
        </w:rPr>
        <w:instrText xml:space="preserve"> SEQ Figure \* ARABIC </w:instrText>
      </w:r>
      <w:r w:rsidRPr="00AF139A">
        <w:rPr>
          <w:rFonts w:ascii="Arial" w:hAnsi="Arial" w:cs="Arial"/>
          <w:sz w:val="22"/>
          <w:szCs w:val="22"/>
        </w:rPr>
        <w:fldChar w:fldCharType="separate"/>
      </w:r>
      <w:r w:rsidR="008515E4" w:rsidRPr="00AF139A">
        <w:rPr>
          <w:rFonts w:ascii="Arial" w:hAnsi="Arial" w:cs="Arial"/>
          <w:noProof/>
          <w:sz w:val="22"/>
          <w:szCs w:val="22"/>
        </w:rPr>
        <w:t>1</w:t>
      </w:r>
      <w:r w:rsidRPr="00AF139A">
        <w:rPr>
          <w:rFonts w:ascii="Arial" w:hAnsi="Arial" w:cs="Arial"/>
          <w:sz w:val="22"/>
          <w:szCs w:val="22"/>
        </w:rPr>
        <w:fldChar w:fldCharType="end"/>
      </w:r>
      <w:r w:rsidRPr="00AF139A">
        <w:rPr>
          <w:rFonts w:ascii="Arial" w:hAnsi="Arial" w:cs="Arial"/>
          <w:sz w:val="22"/>
          <w:szCs w:val="22"/>
        </w:rPr>
        <w:t>: Worldwide</w:t>
      </w:r>
      <w:r w:rsidR="00292FAD" w:rsidRPr="00AF139A">
        <w:rPr>
          <w:rFonts w:ascii="Arial" w:hAnsi="Arial" w:cs="Arial"/>
          <w:sz w:val="22"/>
          <w:szCs w:val="22"/>
        </w:rPr>
        <w:t xml:space="preserve"> Number </w:t>
      </w:r>
      <w:proofErr w:type="gramStart"/>
      <w:r w:rsidR="00292FAD" w:rsidRPr="00AF139A">
        <w:rPr>
          <w:rFonts w:ascii="Arial" w:hAnsi="Arial" w:cs="Arial"/>
          <w:sz w:val="22"/>
          <w:szCs w:val="22"/>
        </w:rPr>
        <w:t>Of</w:t>
      </w:r>
      <w:proofErr w:type="gramEnd"/>
      <w:r w:rsidR="00292FAD" w:rsidRPr="00AF139A">
        <w:rPr>
          <w:rFonts w:ascii="Arial" w:hAnsi="Arial" w:cs="Arial"/>
          <w:sz w:val="22"/>
          <w:szCs w:val="22"/>
        </w:rPr>
        <w:t xml:space="preserve"> Additional People Expected To Be Enjoying Better Health And Wellbeing </w:t>
      </w:r>
      <w:r w:rsidR="005158BF" w:rsidRPr="00AF139A">
        <w:rPr>
          <w:rFonts w:ascii="Arial" w:hAnsi="Arial" w:cs="Arial"/>
          <w:sz w:val="22"/>
          <w:szCs w:val="22"/>
        </w:rPr>
        <w:t>(WHO, 2024)</w:t>
      </w:r>
    </w:p>
    <w:p w14:paraId="1D0BEE67" w14:textId="77777777" w:rsidR="00A05FEB" w:rsidRPr="00AF139A" w:rsidRDefault="00670D66" w:rsidP="005032D3">
      <w:pPr>
        <w:rPr>
          <w:rFonts w:ascii="Arial" w:hAnsi="Arial" w:cs="Arial"/>
          <w:sz w:val="22"/>
        </w:rPr>
      </w:pPr>
      <w:r w:rsidRPr="00AF139A">
        <w:rPr>
          <w:rFonts w:ascii="Arial" w:hAnsi="Arial" w:cs="Arial"/>
          <w:sz w:val="22"/>
        </w:rPr>
        <w:t>However, recent evidence shows progress has been slowed due to COVID-19, conflict, climate change and dampened funding for international health. In 2024, estimates are that approximately 4.9 million pre-school-age children died globally, the majority of whom, it is estimated, should have been prevented with affordable health care interventions (UNICEF, 2024). Moreover, the lack of healthcare workers and access to crucial medicines persists, deepening inequalities between high-income and low- and middle-income countries and highlighting the need to continue investing in healthcare services and bolstering stronger global health governance to ensure the achievement of SDG 3 (Filip et al., 2022).</w:t>
      </w:r>
    </w:p>
    <w:p w14:paraId="6DC5AE52" w14:textId="77777777" w:rsidR="00A05FEB" w:rsidRPr="00AF139A" w:rsidRDefault="00670D66" w:rsidP="00071F81">
      <w:pPr>
        <w:rPr>
          <w:rFonts w:ascii="Arial" w:hAnsi="Arial" w:cs="Arial"/>
          <w:sz w:val="22"/>
          <w:highlight w:val="yellow"/>
        </w:rPr>
      </w:pPr>
      <w:r w:rsidRPr="00AF139A">
        <w:rPr>
          <w:rFonts w:ascii="Arial" w:hAnsi="Arial" w:cs="Arial"/>
          <w:sz w:val="22"/>
          <w:highlight w:val="yellow"/>
        </w:rPr>
        <w:t xml:space="preserve"> </w:t>
      </w:r>
    </w:p>
    <w:p w14:paraId="53BD75E0" w14:textId="77777777" w:rsidR="00154E4E" w:rsidRPr="00AF139A" w:rsidRDefault="00670D66" w:rsidP="00154E4E">
      <w:pPr>
        <w:pStyle w:val="Heading2"/>
        <w:rPr>
          <w:rFonts w:ascii="Arial" w:hAnsi="Arial" w:cs="Arial"/>
          <w:i w:val="0"/>
          <w:iCs/>
          <w:sz w:val="22"/>
          <w:szCs w:val="22"/>
        </w:rPr>
      </w:pPr>
      <w:bookmarkStart w:id="4" w:name="_Toc234428775"/>
      <w:r w:rsidRPr="00AF139A">
        <w:rPr>
          <w:rFonts w:ascii="Arial" w:hAnsi="Arial" w:cs="Arial"/>
          <w:i w:val="0"/>
          <w:iCs/>
          <w:sz w:val="22"/>
          <w:szCs w:val="22"/>
        </w:rPr>
        <w:lastRenderedPageBreak/>
        <w:t>UK National Impact</w:t>
      </w:r>
      <w:bookmarkEnd w:id="4"/>
    </w:p>
    <w:p w14:paraId="265FF668" w14:textId="77777777" w:rsidR="005032D3" w:rsidRPr="00AF139A" w:rsidRDefault="00670D66" w:rsidP="005032D3">
      <w:pPr>
        <w:rPr>
          <w:rFonts w:ascii="Arial" w:hAnsi="Arial" w:cs="Arial"/>
          <w:sz w:val="22"/>
        </w:rPr>
      </w:pPr>
      <w:r w:rsidRPr="00AF139A">
        <w:rPr>
          <w:rFonts w:ascii="Arial" w:hAnsi="Arial" w:cs="Arial"/>
          <w:sz w:val="22"/>
        </w:rPr>
        <w:t>In the United Kingdom, SDG3 is primarily addressed through the national prevention programmes in cardiovascular disease, obesity, smoking and mental health, and the NHS Long Term Workforce Plan, as well as the Core20PLUS5 strategy and the NHS Long Term Plan (England, 2023). These efforts focus on both improving the health of the population and minimi</w:t>
      </w:r>
      <w:r w:rsidR="00ED605C" w:rsidRPr="00AF139A">
        <w:rPr>
          <w:rFonts w:ascii="Arial" w:hAnsi="Arial" w:cs="Arial"/>
          <w:sz w:val="22"/>
        </w:rPr>
        <w:t>s</w:t>
      </w:r>
      <w:r w:rsidRPr="00AF139A">
        <w:rPr>
          <w:rFonts w:ascii="Arial" w:hAnsi="Arial" w:cs="Arial"/>
          <w:sz w:val="22"/>
        </w:rPr>
        <w:t>ing health disparities through a multi-sector, person-centred approach to health services. NHS has improved the diagnosis of people with cancer, which was enabled by an increase in diagnostic capacity, with the proportion of those with cancer diagnosed on a digital pathway increasing from 32.1% to 78.9%, breaking the national plan to reach a 77% diagnostic pathway for cancer in England by 2024/25 (England, 2025).</w:t>
      </w:r>
    </w:p>
    <w:p w14:paraId="4A7CBA10" w14:textId="77777777" w:rsidR="00CD053B" w:rsidRPr="00AF139A" w:rsidRDefault="00670D66" w:rsidP="005032D3">
      <w:pPr>
        <w:rPr>
          <w:rFonts w:ascii="Arial" w:hAnsi="Arial" w:cs="Arial"/>
          <w:sz w:val="22"/>
          <w:highlight w:val="yellow"/>
        </w:rPr>
      </w:pPr>
      <w:r w:rsidRPr="00AF139A">
        <w:rPr>
          <w:rFonts w:ascii="Arial" w:hAnsi="Arial" w:cs="Arial"/>
          <w:sz w:val="22"/>
        </w:rPr>
        <w:t xml:space="preserve">In addition, the percentage of patients waiting more than 65 weeks for elective treatment dropped from 48,967 in March 2024 to 7,381 in March 2025, demonstrating substantial progress in tackling the post-pandemic backlog (England, 2025). </w:t>
      </w:r>
      <w:r w:rsidR="002C53E7" w:rsidRPr="00AF139A">
        <w:rPr>
          <w:rFonts w:ascii="Arial" w:hAnsi="Arial" w:cs="Arial"/>
          <w:sz w:val="22"/>
        </w:rPr>
        <w:t>However, according to Warner and Zaranko (2024), although there has been an improvement, NHS waiting lists are still more than 7 million, and shortages of staff are a problem in the provision of services in various disciplines. This criticism is echoed by the findings of Marmot (2022), which show that growing socioeconomic inequalities are continuing to hinder progress towards equitable health outcomes in the UK.</w:t>
      </w:r>
    </w:p>
    <w:p w14:paraId="2DFAE030" w14:textId="77777777" w:rsidR="008515E4" w:rsidRPr="00AF139A" w:rsidRDefault="00670D66" w:rsidP="008515E4">
      <w:pPr>
        <w:keepNext/>
        <w:jc w:val="center"/>
        <w:rPr>
          <w:rFonts w:ascii="Arial" w:hAnsi="Arial" w:cs="Arial"/>
          <w:sz w:val="22"/>
        </w:rPr>
      </w:pPr>
      <w:r w:rsidRPr="00AF139A">
        <w:rPr>
          <w:rFonts w:ascii="Arial" w:hAnsi="Arial" w:cs="Arial"/>
          <w:noProof/>
          <w:sz w:val="22"/>
        </w:rPr>
        <w:drawing>
          <wp:inline distT="0" distB="0" distL="0" distR="0" wp14:anchorId="1CF93E86" wp14:editId="20E06071">
            <wp:extent cx="4784651" cy="177555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804043" cy="1782750"/>
                    </a:xfrm>
                    <a:prstGeom prst="rect">
                      <a:avLst/>
                    </a:prstGeom>
                    <a:noFill/>
                  </pic:spPr>
                </pic:pic>
              </a:graphicData>
            </a:graphic>
          </wp:inline>
        </w:drawing>
      </w:r>
    </w:p>
    <w:p w14:paraId="0C776C41" w14:textId="77777777" w:rsidR="00E04A41" w:rsidRPr="00AF139A" w:rsidRDefault="00670D66" w:rsidP="008515E4">
      <w:pPr>
        <w:pStyle w:val="Caption"/>
        <w:jc w:val="center"/>
        <w:rPr>
          <w:rFonts w:ascii="Arial" w:hAnsi="Arial" w:cs="Arial"/>
          <w:sz w:val="22"/>
          <w:szCs w:val="22"/>
        </w:rPr>
      </w:pPr>
      <w:r w:rsidRPr="00AF139A">
        <w:rPr>
          <w:rFonts w:ascii="Arial" w:hAnsi="Arial" w:cs="Arial"/>
          <w:sz w:val="22"/>
          <w:szCs w:val="22"/>
        </w:rPr>
        <w:t xml:space="preserve">Figure </w:t>
      </w:r>
      <w:r w:rsidRPr="00AF139A">
        <w:rPr>
          <w:rFonts w:ascii="Arial" w:hAnsi="Arial" w:cs="Arial"/>
          <w:sz w:val="22"/>
          <w:szCs w:val="22"/>
        </w:rPr>
        <w:fldChar w:fldCharType="begin"/>
      </w:r>
      <w:r w:rsidRPr="00AF139A">
        <w:rPr>
          <w:rFonts w:ascii="Arial" w:hAnsi="Arial" w:cs="Arial"/>
          <w:sz w:val="22"/>
          <w:szCs w:val="22"/>
        </w:rPr>
        <w:instrText xml:space="preserve"> SEQ Figure \* ARABIC </w:instrText>
      </w:r>
      <w:r w:rsidRPr="00AF139A">
        <w:rPr>
          <w:rFonts w:ascii="Arial" w:hAnsi="Arial" w:cs="Arial"/>
          <w:sz w:val="22"/>
          <w:szCs w:val="22"/>
        </w:rPr>
        <w:fldChar w:fldCharType="separate"/>
      </w:r>
      <w:r w:rsidRPr="00AF139A">
        <w:rPr>
          <w:rFonts w:ascii="Arial" w:hAnsi="Arial" w:cs="Arial"/>
          <w:noProof/>
          <w:sz w:val="22"/>
          <w:szCs w:val="22"/>
        </w:rPr>
        <w:t>2</w:t>
      </w:r>
      <w:r w:rsidRPr="00AF139A">
        <w:rPr>
          <w:rFonts w:ascii="Arial" w:hAnsi="Arial" w:cs="Arial"/>
          <w:sz w:val="22"/>
          <w:szCs w:val="22"/>
        </w:rPr>
        <w:fldChar w:fldCharType="end"/>
      </w:r>
      <w:r w:rsidRPr="00AF139A">
        <w:rPr>
          <w:rFonts w:ascii="Arial" w:hAnsi="Arial" w:cs="Arial"/>
          <w:sz w:val="22"/>
          <w:szCs w:val="22"/>
        </w:rPr>
        <w:t>: 28 Day Faster Diagnosis Standard performance 2023/24 to 2024/25</w:t>
      </w:r>
      <w:r w:rsidR="005C5421" w:rsidRPr="00AF139A">
        <w:rPr>
          <w:rFonts w:ascii="Arial" w:hAnsi="Arial" w:cs="Arial"/>
          <w:sz w:val="22"/>
          <w:szCs w:val="22"/>
        </w:rPr>
        <w:t xml:space="preserve"> (England, 2025)</w:t>
      </w:r>
    </w:p>
    <w:p w14:paraId="5C80B2C8" w14:textId="77777777" w:rsidR="000A7455" w:rsidRPr="00AF139A" w:rsidRDefault="000A7455" w:rsidP="007C1C42">
      <w:pPr>
        <w:rPr>
          <w:rFonts w:ascii="Arial" w:hAnsi="Arial" w:cs="Arial"/>
          <w:sz w:val="22"/>
        </w:rPr>
      </w:pPr>
    </w:p>
    <w:p w14:paraId="50579333" w14:textId="77777777" w:rsidR="00154E4E" w:rsidRPr="00AF139A" w:rsidRDefault="00670D66" w:rsidP="00154E4E">
      <w:pPr>
        <w:pStyle w:val="Heading2"/>
        <w:rPr>
          <w:rFonts w:ascii="Arial" w:hAnsi="Arial" w:cs="Arial"/>
          <w:sz w:val="22"/>
          <w:szCs w:val="22"/>
        </w:rPr>
      </w:pPr>
      <w:bookmarkStart w:id="5" w:name="_Toc234428776"/>
      <w:r w:rsidRPr="00AF139A">
        <w:rPr>
          <w:rFonts w:ascii="Arial" w:hAnsi="Arial" w:cs="Arial"/>
          <w:sz w:val="22"/>
          <w:szCs w:val="22"/>
        </w:rPr>
        <w:t>Local Impact</w:t>
      </w:r>
      <w:bookmarkEnd w:id="5"/>
    </w:p>
    <w:p w14:paraId="4AB6DE9F" w14:textId="15E03959" w:rsidR="0099700B" w:rsidRPr="00AF139A" w:rsidRDefault="00670D66" w:rsidP="007939AE">
      <w:pPr>
        <w:rPr>
          <w:rFonts w:ascii="Arial" w:hAnsi="Arial" w:cs="Arial"/>
          <w:sz w:val="22"/>
        </w:rPr>
      </w:pPr>
      <w:r w:rsidRPr="00AF139A">
        <w:rPr>
          <w:rFonts w:ascii="Arial" w:hAnsi="Arial" w:cs="Arial"/>
          <w:sz w:val="22"/>
        </w:rPr>
        <w:t xml:space="preserve">Birmingham has led </w:t>
      </w:r>
      <w:r w:rsidR="00AF139A" w:rsidRPr="00AF139A">
        <w:rPr>
          <w:rFonts w:ascii="Arial" w:hAnsi="Arial" w:cs="Arial"/>
          <w:sz w:val="22"/>
        </w:rPr>
        <w:t>several</w:t>
      </w:r>
      <w:r w:rsidRPr="00AF139A">
        <w:rPr>
          <w:rFonts w:ascii="Arial" w:hAnsi="Arial" w:cs="Arial"/>
          <w:sz w:val="22"/>
        </w:rPr>
        <w:t xml:space="preserve"> local SDG 3 initiatives, including the Birmingham Public Health Strategy and the Healthy Birmingham Partnership. The programmes aim to address inequalities in health, encourage healthy living and enhance access to preventative care. The Birmingham City Council's report (2015) shows good results in the areas of smoking cessation, encouraging physical activity and health interventions in the community. </w:t>
      </w:r>
      <w:r w:rsidR="00E06E96" w:rsidRPr="00AF139A">
        <w:rPr>
          <w:rFonts w:ascii="Arial" w:hAnsi="Arial" w:cs="Arial"/>
          <w:sz w:val="22"/>
        </w:rPr>
        <w:t>These outcomes demonstrate the supporting elements for the Health Belief Model that raise the perceived benefits and lower the barriers of individuals adopting preventive behaviours.</w:t>
      </w:r>
    </w:p>
    <w:p w14:paraId="64876475" w14:textId="77777777" w:rsidR="007C1C42" w:rsidRPr="00AF139A" w:rsidRDefault="00670D66" w:rsidP="007939AE">
      <w:pPr>
        <w:rPr>
          <w:rFonts w:ascii="Arial" w:hAnsi="Arial" w:cs="Arial"/>
          <w:sz w:val="22"/>
        </w:rPr>
      </w:pPr>
      <w:r w:rsidRPr="00AF139A">
        <w:rPr>
          <w:rFonts w:ascii="Arial" w:hAnsi="Arial" w:cs="Arial"/>
          <w:sz w:val="22"/>
        </w:rPr>
        <w:lastRenderedPageBreak/>
        <w:t>However, Marmot et al. (2022) present evidence that deprived neighbourhoods in Birmingham still have significantly higher rates of chronic morbidity, obesity and premature death than more affluent neighbourhoods. Local authorities also have funding constraints that are helping to constrain the scope and sustainability of some interventions. In addition, the differences in the availability of services among communities highlight the ongoing importance of the Social Determinants of Health Model (Guevara et al., 2024). This is reinforced by the results of McSweeney et al. (2025), which indicate that socioeconomic disadvantage is still high, despite the efforts of local policies.</w:t>
      </w:r>
    </w:p>
    <w:p w14:paraId="3925CF85" w14:textId="77777777" w:rsidR="00154E4E" w:rsidRPr="00AF139A" w:rsidRDefault="00154E4E" w:rsidP="00154E4E">
      <w:pPr>
        <w:rPr>
          <w:rFonts w:ascii="Arial" w:hAnsi="Arial" w:cs="Arial"/>
          <w:sz w:val="22"/>
        </w:rPr>
      </w:pPr>
    </w:p>
    <w:p w14:paraId="7A96F42F" w14:textId="77777777" w:rsidR="001F518A" w:rsidRPr="00AF139A" w:rsidRDefault="00670D66" w:rsidP="00FF74DE">
      <w:pPr>
        <w:pStyle w:val="Heading1"/>
        <w:rPr>
          <w:rFonts w:ascii="Arial" w:hAnsi="Arial" w:cs="Arial"/>
          <w:sz w:val="22"/>
          <w:szCs w:val="22"/>
        </w:rPr>
      </w:pPr>
      <w:bookmarkStart w:id="6" w:name="_Toc234428777"/>
      <w:r w:rsidRPr="00AF139A">
        <w:rPr>
          <w:rFonts w:ascii="Arial" w:hAnsi="Arial" w:cs="Arial"/>
          <w:sz w:val="22"/>
          <w:szCs w:val="22"/>
        </w:rPr>
        <w:t>Critical Analysis of SDG 5: Gender Equality</w:t>
      </w:r>
      <w:bookmarkEnd w:id="6"/>
    </w:p>
    <w:p w14:paraId="0C22AB3C" w14:textId="77777777" w:rsidR="00FF74DE" w:rsidRPr="00AF139A" w:rsidRDefault="00670D66" w:rsidP="00FF74DE">
      <w:pPr>
        <w:pStyle w:val="Heading3"/>
        <w:rPr>
          <w:rFonts w:ascii="Arial" w:hAnsi="Arial" w:cs="Arial"/>
          <w:sz w:val="22"/>
          <w:szCs w:val="22"/>
        </w:rPr>
      </w:pPr>
      <w:bookmarkStart w:id="7" w:name="_Toc234428778"/>
      <w:r w:rsidRPr="00AF139A">
        <w:rPr>
          <w:rFonts w:ascii="Arial" w:hAnsi="Arial" w:cs="Arial"/>
          <w:sz w:val="22"/>
          <w:szCs w:val="22"/>
        </w:rPr>
        <w:t>Global Impact</w:t>
      </w:r>
      <w:bookmarkEnd w:id="7"/>
    </w:p>
    <w:p w14:paraId="290FCF86" w14:textId="77777777" w:rsidR="005B6A19" w:rsidRPr="00AF139A" w:rsidRDefault="00670D66" w:rsidP="00F16F62">
      <w:pPr>
        <w:rPr>
          <w:rFonts w:ascii="Arial" w:hAnsi="Arial" w:cs="Arial"/>
          <w:sz w:val="22"/>
        </w:rPr>
      </w:pPr>
      <w:r w:rsidRPr="00AF139A">
        <w:rPr>
          <w:rFonts w:ascii="Arial" w:hAnsi="Arial" w:cs="Arial"/>
          <w:sz w:val="22"/>
        </w:rPr>
        <w:t xml:space="preserve">SDG 5 acknowledges gender equality as a key factor in health, well-being, and sustainable development. </w:t>
      </w:r>
      <w:r w:rsidR="005B05F6" w:rsidRPr="00AF139A">
        <w:rPr>
          <w:rFonts w:ascii="Arial" w:hAnsi="Arial" w:cs="Arial"/>
          <w:sz w:val="22"/>
        </w:rPr>
        <w:t xml:space="preserve">It is endorsed by international instruments such as the Convention on the Elimination of All Forms of Discrimination against Women (CEDAW), the Beijing Declaration and Platform for Action, and the 2030 Agenda for Sustainable Development, all of which call on governments to increase legal protections and gender-responsive policies (Ward et al., 2024). The UN Women Gender Snapshot 2024 reveals that over the past five years, there have been 99 legal changes worldwide that have enhanced gender equality laws (UN WOMEN, 2024). </w:t>
      </w:r>
    </w:p>
    <w:p w14:paraId="5E992065" w14:textId="77777777" w:rsidR="00A95701" w:rsidRPr="00AF139A" w:rsidRDefault="005B05F6" w:rsidP="00F16F62">
      <w:pPr>
        <w:rPr>
          <w:rFonts w:ascii="Arial" w:hAnsi="Arial" w:cs="Arial"/>
          <w:sz w:val="22"/>
        </w:rPr>
      </w:pPr>
      <w:r w:rsidRPr="00AF139A">
        <w:rPr>
          <w:rFonts w:ascii="Arial" w:hAnsi="Arial" w:cs="Arial"/>
          <w:sz w:val="22"/>
        </w:rPr>
        <w:t>Despite this, however, there is still no full reali</w:t>
      </w:r>
      <w:r w:rsidR="00ED605C" w:rsidRPr="00AF139A">
        <w:rPr>
          <w:rFonts w:ascii="Arial" w:hAnsi="Arial" w:cs="Arial"/>
          <w:sz w:val="22"/>
        </w:rPr>
        <w:t>s</w:t>
      </w:r>
      <w:r w:rsidRPr="00AF139A">
        <w:rPr>
          <w:rFonts w:ascii="Arial" w:hAnsi="Arial" w:cs="Arial"/>
          <w:sz w:val="22"/>
        </w:rPr>
        <w:t>ation of the SDG 5 indicator, with over one in eight women (12.5%) aged 15-49 reporting physical or sexual intimate partner violence in the last 12 months (UN WOMEN, 2024). Moreover, there has been a reduction in maternal mortality of about 39.3% since 2000, which reflects the success of international investment in the health and well-being of women (UN WOMEN, 2024). However, even as legislation implements change, discriminatory social norms, conflict, economic differences and institutions' restrictions in enforcement continue to severely affect progress (Farooq, 2024; Stöckl and Sorenson, 2024).</w:t>
      </w:r>
    </w:p>
    <w:p w14:paraId="337C9EEE" w14:textId="77777777" w:rsidR="00AD470A" w:rsidRPr="00AF139A" w:rsidRDefault="00670D66" w:rsidP="00AD470A">
      <w:pPr>
        <w:keepNext/>
        <w:jc w:val="center"/>
        <w:rPr>
          <w:rFonts w:ascii="Arial" w:hAnsi="Arial" w:cs="Arial"/>
          <w:sz w:val="22"/>
        </w:rPr>
      </w:pPr>
      <w:r w:rsidRPr="00AF139A">
        <w:rPr>
          <w:rFonts w:ascii="Arial" w:hAnsi="Arial" w:cs="Arial"/>
          <w:noProof/>
          <w:sz w:val="22"/>
        </w:rPr>
        <w:lastRenderedPageBreak/>
        <w:drawing>
          <wp:inline distT="0" distB="0" distL="0" distR="0" wp14:anchorId="5AE086A5" wp14:editId="729A5F99">
            <wp:extent cx="5943600" cy="2503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943600" cy="2503170"/>
                    </a:xfrm>
                    <a:prstGeom prst="rect">
                      <a:avLst/>
                    </a:prstGeom>
                  </pic:spPr>
                </pic:pic>
              </a:graphicData>
            </a:graphic>
          </wp:inline>
        </w:drawing>
      </w:r>
    </w:p>
    <w:p w14:paraId="4EE9DAF0" w14:textId="77777777" w:rsidR="00FD1D10" w:rsidRPr="00AF139A" w:rsidRDefault="00670D66" w:rsidP="006169A0">
      <w:pPr>
        <w:pStyle w:val="Caption"/>
        <w:jc w:val="center"/>
        <w:rPr>
          <w:rFonts w:ascii="Arial" w:hAnsi="Arial" w:cs="Arial"/>
          <w:sz w:val="22"/>
          <w:szCs w:val="22"/>
        </w:rPr>
      </w:pPr>
      <w:r w:rsidRPr="00AF139A">
        <w:rPr>
          <w:rFonts w:ascii="Arial" w:hAnsi="Arial" w:cs="Arial"/>
          <w:sz w:val="22"/>
          <w:szCs w:val="22"/>
        </w:rPr>
        <w:t xml:space="preserve">Figure </w:t>
      </w:r>
      <w:r w:rsidRPr="00AF139A">
        <w:rPr>
          <w:rFonts w:ascii="Arial" w:hAnsi="Arial" w:cs="Arial"/>
          <w:sz w:val="22"/>
          <w:szCs w:val="22"/>
        </w:rPr>
        <w:fldChar w:fldCharType="begin"/>
      </w:r>
      <w:r w:rsidRPr="00AF139A">
        <w:rPr>
          <w:rFonts w:ascii="Arial" w:hAnsi="Arial" w:cs="Arial"/>
          <w:sz w:val="22"/>
          <w:szCs w:val="22"/>
        </w:rPr>
        <w:instrText xml:space="preserve"> SEQ Figure \* ARABIC </w:instrText>
      </w:r>
      <w:r w:rsidRPr="00AF139A">
        <w:rPr>
          <w:rFonts w:ascii="Arial" w:hAnsi="Arial" w:cs="Arial"/>
          <w:sz w:val="22"/>
          <w:szCs w:val="22"/>
        </w:rPr>
        <w:fldChar w:fldCharType="separate"/>
      </w:r>
      <w:r w:rsidR="008515E4" w:rsidRPr="00AF139A">
        <w:rPr>
          <w:rFonts w:ascii="Arial" w:hAnsi="Arial" w:cs="Arial"/>
          <w:noProof/>
          <w:sz w:val="22"/>
          <w:szCs w:val="22"/>
        </w:rPr>
        <w:t>3</w:t>
      </w:r>
      <w:r w:rsidRPr="00AF139A">
        <w:rPr>
          <w:rFonts w:ascii="Arial" w:hAnsi="Arial" w:cs="Arial"/>
          <w:sz w:val="22"/>
          <w:szCs w:val="22"/>
        </w:rPr>
        <w:fldChar w:fldCharType="end"/>
      </w:r>
      <w:r w:rsidRPr="00AF139A">
        <w:rPr>
          <w:rFonts w:ascii="Arial" w:hAnsi="Arial" w:cs="Arial"/>
          <w:sz w:val="22"/>
          <w:szCs w:val="22"/>
        </w:rPr>
        <w:t xml:space="preserve">: </w:t>
      </w:r>
      <w:r w:rsidR="00785CCC" w:rsidRPr="00AF139A">
        <w:rPr>
          <w:rFonts w:ascii="Arial" w:hAnsi="Arial" w:cs="Arial"/>
          <w:sz w:val="22"/>
          <w:szCs w:val="22"/>
        </w:rPr>
        <w:t>Proportion</w:t>
      </w:r>
      <w:r w:rsidRPr="00AF139A">
        <w:rPr>
          <w:rFonts w:ascii="Arial" w:hAnsi="Arial" w:cs="Arial"/>
          <w:sz w:val="22"/>
          <w:szCs w:val="22"/>
        </w:rPr>
        <w:t xml:space="preserve"> of Population That Feels Safe Walking Alone </w:t>
      </w:r>
      <w:proofErr w:type="gramStart"/>
      <w:r w:rsidRPr="00AF139A">
        <w:rPr>
          <w:rFonts w:ascii="Arial" w:hAnsi="Arial" w:cs="Arial"/>
          <w:sz w:val="22"/>
          <w:szCs w:val="22"/>
        </w:rPr>
        <w:t>At</w:t>
      </w:r>
      <w:proofErr w:type="gramEnd"/>
      <w:r w:rsidRPr="00AF139A">
        <w:rPr>
          <w:rFonts w:ascii="Arial" w:hAnsi="Arial" w:cs="Arial"/>
          <w:sz w:val="22"/>
          <w:szCs w:val="22"/>
        </w:rPr>
        <w:t xml:space="preserve"> Night Where They Live By Region And Sex</w:t>
      </w:r>
      <w:r w:rsidR="00736C85" w:rsidRPr="00AF139A">
        <w:rPr>
          <w:rFonts w:ascii="Arial" w:hAnsi="Arial" w:cs="Arial"/>
          <w:sz w:val="22"/>
          <w:szCs w:val="22"/>
        </w:rPr>
        <w:t xml:space="preserve"> </w:t>
      </w:r>
      <w:r w:rsidR="00785CCC" w:rsidRPr="00AF139A">
        <w:rPr>
          <w:rFonts w:ascii="Arial" w:hAnsi="Arial" w:cs="Arial"/>
          <w:sz w:val="22"/>
          <w:szCs w:val="22"/>
        </w:rPr>
        <w:t>(UN Women, 2024)</w:t>
      </w:r>
    </w:p>
    <w:p w14:paraId="7C811827" w14:textId="77777777" w:rsidR="00FF74DE" w:rsidRPr="00AF139A" w:rsidRDefault="00670D66" w:rsidP="00FF74DE">
      <w:pPr>
        <w:pStyle w:val="Heading3"/>
        <w:rPr>
          <w:rFonts w:ascii="Arial" w:hAnsi="Arial" w:cs="Arial"/>
          <w:sz w:val="22"/>
          <w:szCs w:val="22"/>
        </w:rPr>
      </w:pPr>
      <w:bookmarkStart w:id="8" w:name="_Toc234428779"/>
      <w:r w:rsidRPr="00AF139A">
        <w:rPr>
          <w:rFonts w:ascii="Arial" w:hAnsi="Arial" w:cs="Arial"/>
          <w:sz w:val="22"/>
          <w:szCs w:val="22"/>
        </w:rPr>
        <w:t>UK National Impact</w:t>
      </w:r>
      <w:bookmarkEnd w:id="8"/>
    </w:p>
    <w:p w14:paraId="7F8890BE" w14:textId="77777777" w:rsidR="00167D6B" w:rsidRPr="00AF139A" w:rsidRDefault="00670D66" w:rsidP="005B6A19">
      <w:pPr>
        <w:rPr>
          <w:rFonts w:ascii="Arial" w:hAnsi="Arial" w:cs="Arial"/>
          <w:sz w:val="22"/>
        </w:rPr>
      </w:pPr>
      <w:r w:rsidRPr="00AF139A">
        <w:rPr>
          <w:rFonts w:ascii="Arial" w:hAnsi="Arial" w:cs="Arial"/>
          <w:sz w:val="22"/>
        </w:rPr>
        <w:t>The Equality Act 2010, the Women's Health Strategy for England, and the Domestic Abuse Act 2021 are examples of legislation and policy that support SDG 5 in the UK (GOV.UK, 2010; Department of Health and Social Care, 2022; GOV.UK, 2021). The aim of these frameworks is to minimise discrimination, enhance women's health and bolster protection from GBV. The NHS is committed to ensuring that at least one Women's Health Hub is in place in every IYB to enhance integrated care and minimise fragmentation of services (Lassi et al., 2025). However, as of December 2024, there were 586,013 incomplete gynaecology treatment pathways in England, with 44.6% of patients waiting more than 18 weeks for the NHS target (18 weeks), and nearly 19,000 women having waited longer than 1 year for treatment pathway completion (Uberoi et al., 2026). Additionally, it is found that these disparities in maternal health persist for Black and Asian women, with ongoing structural inequalities (Caesar et al., 2025). The results indicated that there has been stronger legal protection, but more investment and focused services for equality are needed to achieve SDG 5.</w:t>
      </w:r>
    </w:p>
    <w:p w14:paraId="3525BD8A" w14:textId="77777777" w:rsidR="00FF74DE" w:rsidRPr="00AF139A" w:rsidRDefault="00670D66" w:rsidP="00FF74DE">
      <w:pPr>
        <w:pStyle w:val="Heading3"/>
        <w:rPr>
          <w:rFonts w:ascii="Arial" w:hAnsi="Arial" w:cs="Arial"/>
          <w:sz w:val="22"/>
          <w:szCs w:val="22"/>
        </w:rPr>
      </w:pPr>
      <w:bookmarkStart w:id="9" w:name="_Toc234428780"/>
      <w:r w:rsidRPr="00AF139A">
        <w:rPr>
          <w:rFonts w:ascii="Arial" w:hAnsi="Arial" w:cs="Arial"/>
          <w:sz w:val="22"/>
          <w:szCs w:val="22"/>
        </w:rPr>
        <w:t>Local Impact</w:t>
      </w:r>
      <w:bookmarkEnd w:id="9"/>
    </w:p>
    <w:p w14:paraId="03E51BFF" w14:textId="51F9F63D" w:rsidR="000733A8" w:rsidRPr="00AF139A" w:rsidRDefault="00670D66" w:rsidP="005B6A19">
      <w:pPr>
        <w:rPr>
          <w:rFonts w:ascii="Arial" w:hAnsi="Arial" w:cs="Arial"/>
          <w:sz w:val="22"/>
        </w:rPr>
      </w:pPr>
      <w:r w:rsidRPr="00AF139A">
        <w:rPr>
          <w:rFonts w:ascii="Arial" w:hAnsi="Arial" w:cs="Arial"/>
          <w:sz w:val="22"/>
        </w:rPr>
        <w:t xml:space="preserve">To address gender inequality in health and wellbeing, at the local level, there are programmes like Birmingham Women's and Children's NHS Foundation Trust and the London Violence Against Women and Girls Strategy. The programs offer targeted health care facilities, protective measures, and community services for population groups at risk. For instance, the interventions to increase awareness of domestic abuse services and enhance multi-agency responses to violence against women have been highlighted by Davies et al. (2023). Likewise, Monterrosa-Castro et al. (2023) document positive impacts on maternal health support and mental health services for women and youth. However, there are issues of accessibility and sustainability with the services. Trentin et al. (2023) </w:t>
      </w:r>
      <w:r w:rsidR="00AF139A" w:rsidRPr="00AF139A">
        <w:rPr>
          <w:rFonts w:ascii="Arial" w:hAnsi="Arial" w:cs="Arial"/>
          <w:sz w:val="22"/>
        </w:rPr>
        <w:t>argues</w:t>
      </w:r>
      <w:r w:rsidRPr="00AF139A">
        <w:rPr>
          <w:rFonts w:ascii="Arial" w:hAnsi="Arial" w:cs="Arial"/>
          <w:sz w:val="22"/>
        </w:rPr>
        <w:t xml:space="preserve"> that vulnerable groups, such as migrant women and those who experience socioeconomic disadvantage, are often vulnerable in accessing support </w:t>
      </w:r>
      <w:r w:rsidRPr="00AF139A">
        <w:rPr>
          <w:rFonts w:ascii="Arial" w:hAnsi="Arial" w:cs="Arial"/>
          <w:sz w:val="22"/>
        </w:rPr>
        <w:lastRenderedPageBreak/>
        <w:t>services. These challenges align with the Social Determinants of Health Model, which focuses on the socio-economic determinants of health impacting health outcomes (Guevara et al., 2024).</w:t>
      </w:r>
    </w:p>
    <w:p w14:paraId="076FB658" w14:textId="77777777" w:rsidR="00FF74DE" w:rsidRPr="00AF139A" w:rsidRDefault="00FF74DE" w:rsidP="00FF74DE">
      <w:pPr>
        <w:rPr>
          <w:rFonts w:ascii="Arial" w:hAnsi="Arial" w:cs="Arial"/>
          <w:sz w:val="22"/>
        </w:rPr>
      </w:pPr>
    </w:p>
    <w:p w14:paraId="63B303FD" w14:textId="77777777" w:rsidR="001F518A" w:rsidRPr="00AF139A" w:rsidRDefault="00670D66" w:rsidP="0029697E">
      <w:pPr>
        <w:pStyle w:val="Heading1"/>
        <w:rPr>
          <w:rFonts w:ascii="Arial" w:hAnsi="Arial" w:cs="Arial"/>
          <w:sz w:val="22"/>
          <w:szCs w:val="22"/>
        </w:rPr>
      </w:pPr>
      <w:bookmarkStart w:id="10" w:name="_Toc234428781"/>
      <w:r w:rsidRPr="00AF139A">
        <w:rPr>
          <w:rFonts w:ascii="Arial" w:hAnsi="Arial" w:cs="Arial"/>
          <w:sz w:val="22"/>
          <w:szCs w:val="22"/>
        </w:rPr>
        <w:t>Evaluation of National and Local Health, Wellbeing and Sustainability Initiatives</w:t>
      </w:r>
      <w:bookmarkEnd w:id="10"/>
    </w:p>
    <w:p w14:paraId="65ACFFB0" w14:textId="77777777" w:rsidR="009854F9" w:rsidRPr="00AF139A" w:rsidRDefault="00670D66" w:rsidP="00D33FAF">
      <w:pPr>
        <w:rPr>
          <w:rFonts w:ascii="Arial" w:hAnsi="Arial" w:cs="Arial"/>
          <w:sz w:val="22"/>
        </w:rPr>
      </w:pPr>
      <w:r w:rsidRPr="00AF139A">
        <w:rPr>
          <w:rFonts w:ascii="Arial" w:hAnsi="Arial" w:cs="Arial"/>
          <w:sz w:val="22"/>
        </w:rPr>
        <w:t>The NHS Long Term Plan is one of the UK's largest national plans to meet SDG 3, with its emphasis on prevention, integrated care, digital innovation and reducing health inequalities. The plan's goals include enhancing population health while sustaining the viability of health care services, according to Crane et al. (2022). There are evidence-based gains such as greater community health services provision, improved cancer screening programmes, and access to mental health services (Tuschick et al., 2024). This is supported by Cairney et al. (2024), who claim that there have been advancements in preventative health and integrated care systems. Critics, however, have pointed to a shortage of staff, financial limitations, and increased service demand as barriers to implementation (Correia et al., 2025). The Healthy Birmingham Partnership locally aims to tackle health inequalities by working together between health services, the Council and community organisations.</w:t>
      </w:r>
    </w:p>
    <w:p w14:paraId="38D9E9AA" w14:textId="77777777" w:rsidR="0029697E" w:rsidRPr="00AF139A" w:rsidRDefault="00670D66" w:rsidP="0029697E">
      <w:pPr>
        <w:rPr>
          <w:rFonts w:ascii="Arial" w:hAnsi="Arial" w:cs="Arial"/>
          <w:sz w:val="22"/>
        </w:rPr>
      </w:pPr>
      <w:r w:rsidRPr="00AF139A">
        <w:rPr>
          <w:rFonts w:ascii="Arial" w:hAnsi="Arial" w:cs="Arial"/>
          <w:sz w:val="22"/>
        </w:rPr>
        <w:t xml:space="preserve">Birmingham City Council (2015) states that the programme has improved consultation with the local community and has encouraged early health interventions for vulnerable sections of society. Positive outcomes are high levels of public health awareness and better partnership working between sectors. Despite this, Marmot et al. (2022) argue that local strategies are failing to reduce socioeconomic inequalities, which are still significant in Birmingham. By comparing the two initiatives, one thing to notice is that both have grand policy goals that are countered by structural constraints. </w:t>
      </w:r>
      <w:r w:rsidR="00C27305" w:rsidRPr="00AF139A">
        <w:rPr>
          <w:rFonts w:ascii="Arial" w:hAnsi="Arial" w:cs="Arial"/>
          <w:sz w:val="22"/>
        </w:rPr>
        <w:t xml:space="preserve">Both are connected to the Social Determinants of Health Model, the Health Belief Model and Social Cognitive Theory, which underlie the need to tackle wider social conditions to help reduce health inequalities, as well as to support behaviour change through the enhancement of health beliefs, self-efficacy and supportive environments (Cervone, 2023). </w:t>
      </w:r>
      <w:r w:rsidRPr="00AF139A">
        <w:rPr>
          <w:rFonts w:ascii="Arial" w:hAnsi="Arial" w:cs="Arial"/>
          <w:sz w:val="22"/>
        </w:rPr>
        <w:t>This is confirmed by Hussain et al. (2024 who showed that sustainable gains in health need effective policies, alongside adequate resources, investment and increased action to tackle the drivers of inequality.</w:t>
      </w:r>
    </w:p>
    <w:p w14:paraId="1AE5F9B9" w14:textId="77777777" w:rsidR="00D33FAF" w:rsidRPr="00AF139A" w:rsidRDefault="00D33FAF" w:rsidP="0029697E">
      <w:pPr>
        <w:rPr>
          <w:rFonts w:ascii="Arial" w:hAnsi="Arial" w:cs="Arial"/>
          <w:sz w:val="22"/>
        </w:rPr>
      </w:pPr>
    </w:p>
    <w:p w14:paraId="03A9F551" w14:textId="77777777" w:rsidR="001F518A" w:rsidRPr="00AF139A" w:rsidRDefault="00670D66" w:rsidP="005A0DEB">
      <w:pPr>
        <w:pStyle w:val="Heading1"/>
        <w:rPr>
          <w:rFonts w:ascii="Arial" w:hAnsi="Arial" w:cs="Arial"/>
          <w:szCs w:val="24"/>
        </w:rPr>
      </w:pPr>
      <w:bookmarkStart w:id="11" w:name="_Toc234428782"/>
      <w:r w:rsidRPr="00AF139A">
        <w:rPr>
          <w:rFonts w:ascii="Arial" w:hAnsi="Arial" w:cs="Arial"/>
          <w:szCs w:val="24"/>
        </w:rPr>
        <w:t>Recommendations for Policy and Practice</w:t>
      </w:r>
      <w:bookmarkEnd w:id="11"/>
    </w:p>
    <w:p w14:paraId="2A34E65D" w14:textId="1285956E" w:rsidR="00D211CB" w:rsidRPr="00AF139A" w:rsidRDefault="00670D66" w:rsidP="005B6A19">
      <w:pPr>
        <w:rPr>
          <w:rFonts w:ascii="Arial" w:hAnsi="Arial" w:cs="Arial"/>
          <w:sz w:val="22"/>
          <w:highlight w:val="yellow"/>
        </w:rPr>
      </w:pPr>
      <w:r w:rsidRPr="00AF139A">
        <w:rPr>
          <w:rFonts w:ascii="Arial" w:hAnsi="Arial" w:cs="Arial"/>
          <w:sz w:val="22"/>
        </w:rPr>
        <w:t xml:space="preserve">Sustaining health and wellbeing improvements means investing more in prevention, health equity and inter-sectoral partnership. Increased resource focus should be placed on preventative and community-based health services; early interventions prevent unnecessary hospitalisation and long-term healthcare expenses (Mbata et al. 2024). This is within the NHS Core20PLUS5 programme, which focuses on the top 20% of the most deprived population and five important clinical priorities, including maternity, severe mental illness and early cancer diagnosis, </w:t>
      </w:r>
      <w:r w:rsidR="00AF139A" w:rsidRPr="00AF139A">
        <w:rPr>
          <w:rFonts w:ascii="Arial" w:hAnsi="Arial" w:cs="Arial"/>
          <w:sz w:val="22"/>
        </w:rPr>
        <w:t>to</w:t>
      </w:r>
      <w:r w:rsidRPr="00AF139A">
        <w:rPr>
          <w:rFonts w:ascii="Arial" w:hAnsi="Arial" w:cs="Arial"/>
          <w:sz w:val="22"/>
        </w:rPr>
        <w:t xml:space="preserve"> close health inequalities (England, 2023). Second, policies should consolidate action on the wider social determinants of health by bringing together healthcare policies with housing, education, employment and environmental policies (Gooding et al., 2022). </w:t>
      </w:r>
    </w:p>
    <w:p w14:paraId="4A7651A1" w14:textId="77777777" w:rsidR="00BD2FA9" w:rsidRPr="00AF139A" w:rsidRDefault="00670D66" w:rsidP="005B6A19">
      <w:pPr>
        <w:rPr>
          <w:rFonts w:ascii="Arial" w:hAnsi="Arial" w:cs="Arial"/>
          <w:sz w:val="22"/>
        </w:rPr>
      </w:pPr>
      <w:r w:rsidRPr="00AF139A">
        <w:rPr>
          <w:rFonts w:ascii="Arial" w:hAnsi="Arial" w:cs="Arial"/>
          <w:sz w:val="22"/>
        </w:rPr>
        <w:lastRenderedPageBreak/>
        <w:t xml:space="preserve">The UK Health Security Agency (2025) reported recent evidence of almost double the rates of emergency admission for infectious disease among people in the most socio-economically deprived communities in England compared with the least deprived. Third, governments nationally and locally should develop more gender-responsive and culturally responsive services for disadvantaged groups by investing in them and collaborating. Lastly, there is a need for strengthening robust monitoring systems based on real-time health data and outcome indicators to measure the efficacy of policies, assess service gaps and guide evidence-based policy decision-making. This, combined with current efforts on SDG 3 and SDG 5, would deliver more positive progress towards SDG 3 and SDG 5 and foresee more resilient and sustainable healthcare systems with greater equity. </w:t>
      </w:r>
    </w:p>
    <w:p w14:paraId="38267125" w14:textId="77777777" w:rsidR="005A0DEB" w:rsidRPr="00AF139A" w:rsidRDefault="005A0DEB" w:rsidP="005A0DEB">
      <w:pPr>
        <w:rPr>
          <w:rFonts w:ascii="Arial" w:hAnsi="Arial" w:cs="Arial"/>
          <w:sz w:val="22"/>
        </w:rPr>
      </w:pPr>
    </w:p>
    <w:p w14:paraId="35CF623F" w14:textId="77777777" w:rsidR="001F518A" w:rsidRPr="00AF139A" w:rsidRDefault="00670D66" w:rsidP="005A0DEB">
      <w:pPr>
        <w:pStyle w:val="Heading1"/>
        <w:rPr>
          <w:rFonts w:ascii="Arial" w:hAnsi="Arial" w:cs="Arial"/>
          <w:szCs w:val="24"/>
        </w:rPr>
      </w:pPr>
      <w:bookmarkStart w:id="12" w:name="_Toc234428783"/>
      <w:r w:rsidRPr="00AF139A">
        <w:rPr>
          <w:rFonts w:ascii="Arial" w:hAnsi="Arial" w:cs="Arial"/>
          <w:szCs w:val="24"/>
        </w:rPr>
        <w:t>Conclusion</w:t>
      </w:r>
      <w:bookmarkEnd w:id="12"/>
    </w:p>
    <w:p w14:paraId="6FF8E180" w14:textId="77777777" w:rsidR="009E4116" w:rsidRPr="00AF139A" w:rsidRDefault="00670D66" w:rsidP="008455F1">
      <w:pPr>
        <w:rPr>
          <w:rFonts w:ascii="Arial" w:hAnsi="Arial" w:cs="Arial"/>
          <w:sz w:val="22"/>
        </w:rPr>
      </w:pPr>
      <w:r w:rsidRPr="00AF139A">
        <w:rPr>
          <w:rFonts w:ascii="Arial" w:hAnsi="Arial" w:cs="Arial"/>
          <w:sz w:val="22"/>
        </w:rPr>
        <w:t>This report has shown that there is a close link between health, well-being, and sustainability and a multitude of social, economic, environmental and policy factors exerting an influence. Based on SDG 3 and SDG 5, both have been key to improving health outcomes, access to health and wellbeing and gender equality at the global, national and local levels. However, inequalities remain, and resource difficulties and implementation issues persist. The NHS Long Term Plan and Healthy Birmingham Partnership have brought about positive results, but there are still inequalities between vulnerable groups. Long-term investment, policy development and collaboration across sectors will be needed to create sustainable improvements to determinants of health and wellbeing beyond.</w:t>
      </w:r>
      <w:r w:rsidRPr="00AF139A">
        <w:rPr>
          <w:rFonts w:ascii="Arial" w:hAnsi="Arial" w:cs="Arial"/>
          <w:sz w:val="22"/>
        </w:rPr>
        <w:br w:type="page"/>
      </w:r>
    </w:p>
    <w:p w14:paraId="39EFEACE" w14:textId="77777777" w:rsidR="009E4116" w:rsidRDefault="00670D66" w:rsidP="00CD0088">
      <w:pPr>
        <w:pStyle w:val="Heading1"/>
      </w:pPr>
      <w:bookmarkStart w:id="13" w:name="_Toc234428784"/>
      <w:r>
        <w:lastRenderedPageBreak/>
        <w:t>References</w:t>
      </w:r>
      <w:bookmarkEnd w:id="13"/>
    </w:p>
    <w:p w14:paraId="440FABB0" w14:textId="77777777" w:rsidR="00A514C8" w:rsidRDefault="00A514C8" w:rsidP="00746E09">
      <w:pPr>
        <w:ind w:left="720" w:hanging="720"/>
      </w:pPr>
      <w:proofErr w:type="spellStart"/>
      <w:r w:rsidRPr="001200BF">
        <w:t>Alyafei</w:t>
      </w:r>
      <w:proofErr w:type="spellEnd"/>
      <w:r w:rsidRPr="001200BF">
        <w:t xml:space="preserve">, A. and Easton-Carr, R., </w:t>
      </w:r>
      <w:r>
        <w:t>(</w:t>
      </w:r>
      <w:r w:rsidRPr="001200BF">
        <w:t>2024</w:t>
      </w:r>
      <w:r>
        <w:t>)</w:t>
      </w:r>
      <w:r w:rsidRPr="001200BF">
        <w:t>. The health belief model of behavior change. </w:t>
      </w:r>
      <w:r w:rsidRPr="001200BF">
        <w:rPr>
          <w:i/>
          <w:iCs/>
        </w:rPr>
        <w:t>StatPearls</w:t>
      </w:r>
      <w:r w:rsidRPr="001200BF">
        <w:t>.</w:t>
      </w:r>
    </w:p>
    <w:p w14:paraId="283A6A63" w14:textId="77777777" w:rsidR="00A514C8" w:rsidRPr="00746E09" w:rsidRDefault="00A514C8" w:rsidP="00746E09">
      <w:pPr>
        <w:ind w:left="720" w:hanging="720"/>
        <w:rPr>
          <w:rFonts w:cs="Times New Roman"/>
          <w:szCs w:val="20"/>
          <w:shd w:val="clear" w:color="auto" w:fill="FFFFFF"/>
        </w:rPr>
      </w:pPr>
      <w:r w:rsidRPr="00746E09">
        <w:rPr>
          <w:rFonts w:cs="Times New Roman"/>
          <w:szCs w:val="20"/>
          <w:shd w:val="clear" w:color="auto" w:fill="FFFFFF"/>
        </w:rPr>
        <w:t xml:space="preserve">Caesar, M.A., Baer, R. and Bandoli, G., </w:t>
      </w:r>
      <w:r>
        <w:rPr>
          <w:rFonts w:cs="Times New Roman"/>
          <w:szCs w:val="20"/>
          <w:shd w:val="clear" w:color="auto" w:fill="FFFFFF"/>
        </w:rPr>
        <w:t>(</w:t>
      </w:r>
      <w:r w:rsidRPr="00746E09">
        <w:rPr>
          <w:rFonts w:cs="Times New Roman"/>
          <w:szCs w:val="20"/>
          <w:shd w:val="clear" w:color="auto" w:fill="FFFFFF"/>
        </w:rPr>
        <w:t>2025</w:t>
      </w:r>
      <w:r>
        <w:rPr>
          <w:rFonts w:cs="Times New Roman"/>
          <w:szCs w:val="20"/>
          <w:shd w:val="clear" w:color="auto" w:fill="FFFFFF"/>
        </w:rPr>
        <w:t>)</w:t>
      </w:r>
      <w:r w:rsidRPr="00746E09">
        <w:rPr>
          <w:rFonts w:cs="Times New Roman"/>
          <w:szCs w:val="20"/>
          <w:shd w:val="clear" w:color="auto" w:fill="FFFFFF"/>
        </w:rPr>
        <w:t>. Persistence of racial and ethnic disparities in adverse maternal and birth outcomes among physicians. </w:t>
      </w:r>
      <w:r w:rsidRPr="00746E09">
        <w:rPr>
          <w:rFonts w:cs="Times New Roman"/>
          <w:i/>
          <w:iCs/>
          <w:szCs w:val="20"/>
          <w:shd w:val="clear" w:color="auto" w:fill="FFFFFF"/>
        </w:rPr>
        <w:t>O&amp;G Open</w:t>
      </w:r>
      <w:r w:rsidRPr="00746E09">
        <w:rPr>
          <w:rFonts w:cs="Times New Roman"/>
          <w:szCs w:val="20"/>
          <w:shd w:val="clear" w:color="auto" w:fill="FFFFFF"/>
        </w:rPr>
        <w:t>, </w:t>
      </w:r>
      <w:r w:rsidRPr="00746E09">
        <w:rPr>
          <w:rFonts w:cs="Times New Roman"/>
          <w:i/>
          <w:iCs/>
          <w:szCs w:val="20"/>
          <w:shd w:val="clear" w:color="auto" w:fill="FFFFFF"/>
        </w:rPr>
        <w:t>2</w:t>
      </w:r>
      <w:r w:rsidRPr="00746E09">
        <w:rPr>
          <w:rFonts w:cs="Times New Roman"/>
          <w:szCs w:val="20"/>
          <w:shd w:val="clear" w:color="auto" w:fill="FFFFFF"/>
        </w:rPr>
        <w:t>(3), p.e086.</w:t>
      </w:r>
    </w:p>
    <w:p w14:paraId="64101D92" w14:textId="77777777" w:rsidR="00A514C8" w:rsidRPr="00746E09" w:rsidRDefault="00A514C8" w:rsidP="00746E09">
      <w:pPr>
        <w:ind w:left="720" w:hanging="720"/>
        <w:rPr>
          <w:rFonts w:cs="Times New Roman"/>
          <w:szCs w:val="20"/>
          <w:shd w:val="clear" w:color="auto" w:fill="FFFFFF"/>
        </w:rPr>
      </w:pPr>
      <w:r w:rsidRPr="00746E09">
        <w:rPr>
          <w:rFonts w:cs="Times New Roman"/>
          <w:szCs w:val="20"/>
          <w:shd w:val="clear" w:color="auto" w:fill="FFFFFF"/>
        </w:rPr>
        <w:t xml:space="preserve">Cairney, P., Boswell, J., Bliss, A., Mahmood, H. and Raine, J., </w:t>
      </w:r>
      <w:r>
        <w:rPr>
          <w:rFonts w:cs="Times New Roman"/>
          <w:szCs w:val="20"/>
          <w:shd w:val="clear" w:color="auto" w:fill="FFFFFF"/>
        </w:rPr>
        <w:t>(</w:t>
      </w:r>
      <w:r w:rsidRPr="00746E09">
        <w:rPr>
          <w:rFonts w:cs="Times New Roman"/>
          <w:szCs w:val="20"/>
          <w:shd w:val="clear" w:color="auto" w:fill="FFFFFF"/>
        </w:rPr>
        <w:t>2024</w:t>
      </w:r>
      <w:r>
        <w:rPr>
          <w:rFonts w:cs="Times New Roman"/>
          <w:szCs w:val="20"/>
          <w:shd w:val="clear" w:color="auto" w:fill="FFFFFF"/>
        </w:rPr>
        <w:t>)</w:t>
      </w:r>
      <w:r w:rsidRPr="00746E09">
        <w:rPr>
          <w:rFonts w:cs="Times New Roman"/>
          <w:szCs w:val="20"/>
          <w:shd w:val="clear" w:color="auto" w:fill="FFFFFF"/>
        </w:rPr>
        <w:t>. Unlocking prevention in integrated care systems.</w:t>
      </w:r>
    </w:p>
    <w:p w14:paraId="594B606D" w14:textId="77777777" w:rsidR="00A514C8" w:rsidRDefault="00A514C8" w:rsidP="00746E09">
      <w:pPr>
        <w:ind w:left="720" w:hanging="720"/>
      </w:pPr>
      <w:r w:rsidRPr="00F86A2C">
        <w:t xml:space="preserve">Cervone, D., </w:t>
      </w:r>
      <w:r>
        <w:t>(</w:t>
      </w:r>
      <w:r w:rsidRPr="00F86A2C">
        <w:t>2023</w:t>
      </w:r>
      <w:r>
        <w:t>)</w:t>
      </w:r>
      <w:r w:rsidRPr="00F86A2C">
        <w:t>. Theory and application in personality science: The case of social-cognitive theory. </w:t>
      </w:r>
      <w:r w:rsidRPr="00F86A2C">
        <w:rPr>
          <w:i/>
          <w:iCs/>
        </w:rPr>
        <w:t>Psychology and Developing Societies</w:t>
      </w:r>
      <w:r w:rsidRPr="00F86A2C">
        <w:t>, </w:t>
      </w:r>
      <w:r w:rsidRPr="00F86A2C">
        <w:rPr>
          <w:i/>
          <w:iCs/>
        </w:rPr>
        <w:t>35</w:t>
      </w:r>
      <w:r w:rsidRPr="00F86A2C">
        <w:t>(2), pp.220-250.</w:t>
      </w:r>
    </w:p>
    <w:p w14:paraId="3BBF0F23" w14:textId="77777777" w:rsidR="00A514C8" w:rsidRPr="00746E09" w:rsidRDefault="00A514C8" w:rsidP="00746E09">
      <w:pPr>
        <w:ind w:left="720" w:hanging="720"/>
        <w:rPr>
          <w:rFonts w:cs="Times New Roman"/>
          <w:szCs w:val="20"/>
          <w:shd w:val="clear" w:color="auto" w:fill="FFFFFF"/>
        </w:rPr>
      </w:pPr>
      <w:r w:rsidRPr="00746E09">
        <w:rPr>
          <w:rFonts w:cs="Times New Roman"/>
          <w:szCs w:val="20"/>
          <w:shd w:val="clear" w:color="auto" w:fill="FFFFFF"/>
        </w:rPr>
        <w:t xml:space="preserve">Correia, T., Kuhlmann, E., Lotta, G., Beja, A., Morais, R., Zapata, T. and Campbell, J., </w:t>
      </w:r>
      <w:r>
        <w:rPr>
          <w:rFonts w:cs="Times New Roman"/>
          <w:szCs w:val="20"/>
          <w:shd w:val="clear" w:color="auto" w:fill="FFFFFF"/>
        </w:rPr>
        <w:t>(</w:t>
      </w:r>
      <w:r w:rsidRPr="00746E09">
        <w:rPr>
          <w:rFonts w:cs="Times New Roman"/>
          <w:szCs w:val="20"/>
          <w:shd w:val="clear" w:color="auto" w:fill="FFFFFF"/>
        </w:rPr>
        <w:t>2025</w:t>
      </w:r>
      <w:r>
        <w:rPr>
          <w:rFonts w:cs="Times New Roman"/>
          <w:szCs w:val="20"/>
          <w:shd w:val="clear" w:color="auto" w:fill="FFFFFF"/>
        </w:rPr>
        <w:t>)</w:t>
      </w:r>
      <w:r w:rsidRPr="00746E09">
        <w:rPr>
          <w:rFonts w:cs="Times New Roman"/>
          <w:szCs w:val="20"/>
          <w:shd w:val="clear" w:color="auto" w:fill="FFFFFF"/>
        </w:rPr>
        <w:t>. Turning the global health and care workforce crisis into action: The pathway to effective evidence‐based policy and implementation. </w:t>
      </w:r>
      <w:r w:rsidRPr="00746E09">
        <w:rPr>
          <w:rFonts w:cs="Times New Roman"/>
          <w:i/>
          <w:iCs/>
          <w:szCs w:val="20"/>
          <w:shd w:val="clear" w:color="auto" w:fill="FFFFFF"/>
        </w:rPr>
        <w:t>The International Journal of Health Planning and Management</w:t>
      </w:r>
      <w:r w:rsidRPr="00746E09">
        <w:rPr>
          <w:rFonts w:cs="Times New Roman"/>
          <w:szCs w:val="20"/>
          <w:shd w:val="clear" w:color="auto" w:fill="FFFFFF"/>
        </w:rPr>
        <w:t>, </w:t>
      </w:r>
      <w:r w:rsidRPr="00746E09">
        <w:rPr>
          <w:rFonts w:cs="Times New Roman"/>
          <w:i/>
          <w:iCs/>
          <w:szCs w:val="20"/>
          <w:shd w:val="clear" w:color="auto" w:fill="FFFFFF"/>
        </w:rPr>
        <w:t>40</w:t>
      </w:r>
      <w:r w:rsidRPr="00746E09">
        <w:rPr>
          <w:rFonts w:cs="Times New Roman"/>
          <w:szCs w:val="20"/>
          <w:shd w:val="clear" w:color="auto" w:fill="FFFFFF"/>
        </w:rPr>
        <w:t>(1), pp.224-233.</w:t>
      </w:r>
    </w:p>
    <w:p w14:paraId="2BB48DE1" w14:textId="77777777" w:rsidR="00A514C8" w:rsidRDefault="00A514C8" w:rsidP="00746E09">
      <w:pPr>
        <w:ind w:left="720" w:hanging="720"/>
      </w:pPr>
      <w:r w:rsidRPr="00FE0A7D">
        <w:t xml:space="preserve">Council, B.C. (2015). </w:t>
      </w:r>
      <w:r w:rsidRPr="00FE0A7D">
        <w:rPr>
          <w:i/>
          <w:iCs/>
        </w:rPr>
        <w:t>Birmingham City Council invests in local stop smoking support | Birmingham City Council</w:t>
      </w:r>
      <w:r w:rsidRPr="00FE0A7D">
        <w:t xml:space="preserve">. [online] Birmingham.gov.uk. Available at: </w:t>
      </w:r>
      <w:hyperlink r:id="rId11" w:history="1">
        <w:r w:rsidRPr="00F469DB">
          <w:rPr>
            <w:rStyle w:val="Hyperlink"/>
          </w:rPr>
          <w:t>https://www.birmingham.gov.uk/news/article/1635/birmingham_city_council_invests_in_local_stop_smoking_support</w:t>
        </w:r>
      </w:hyperlink>
      <w:r>
        <w:t xml:space="preserve"> </w:t>
      </w:r>
      <w:r w:rsidRPr="00FE0A7D">
        <w:t>[Accessed 1 Jun. 2026].</w:t>
      </w:r>
    </w:p>
    <w:p w14:paraId="48B3B440" w14:textId="77777777" w:rsidR="00A514C8" w:rsidRPr="00DF482C" w:rsidRDefault="00A514C8" w:rsidP="00746E09">
      <w:pPr>
        <w:ind w:left="720" w:hanging="720"/>
        <w:rPr>
          <w:rFonts w:cs="Times New Roman"/>
          <w:szCs w:val="20"/>
          <w:shd w:val="clear" w:color="auto" w:fill="FFFFFF"/>
        </w:rPr>
      </w:pPr>
      <w:r w:rsidRPr="00DF482C">
        <w:rPr>
          <w:rFonts w:cs="Times New Roman"/>
          <w:szCs w:val="20"/>
          <w:shd w:val="clear" w:color="auto" w:fill="FFFFFF"/>
        </w:rPr>
        <w:t xml:space="preserve">Crane, M., Nathan, N., McKay, H., Lee, K., Wiggers, J. and Bauman, A., </w:t>
      </w:r>
      <w:r>
        <w:rPr>
          <w:rFonts w:cs="Times New Roman"/>
          <w:szCs w:val="20"/>
          <w:shd w:val="clear" w:color="auto" w:fill="FFFFFF"/>
        </w:rPr>
        <w:t>(</w:t>
      </w:r>
      <w:r w:rsidRPr="00DF482C">
        <w:rPr>
          <w:rFonts w:cs="Times New Roman"/>
          <w:szCs w:val="20"/>
          <w:shd w:val="clear" w:color="auto" w:fill="FFFFFF"/>
        </w:rPr>
        <w:t>2022</w:t>
      </w:r>
      <w:r>
        <w:rPr>
          <w:rFonts w:cs="Times New Roman"/>
          <w:szCs w:val="20"/>
          <w:shd w:val="clear" w:color="auto" w:fill="FFFFFF"/>
        </w:rPr>
        <w:t>)</w:t>
      </w:r>
      <w:r w:rsidRPr="00DF482C">
        <w:rPr>
          <w:rFonts w:cs="Times New Roman"/>
          <w:szCs w:val="20"/>
          <w:shd w:val="clear" w:color="auto" w:fill="FFFFFF"/>
        </w:rPr>
        <w:t>. Understanding the sustainment of population health programmes from a whole-of-system approach. </w:t>
      </w:r>
      <w:r w:rsidRPr="00DF482C">
        <w:rPr>
          <w:rFonts w:cs="Times New Roman"/>
          <w:i/>
          <w:iCs/>
          <w:szCs w:val="20"/>
          <w:shd w:val="clear" w:color="auto" w:fill="FFFFFF"/>
        </w:rPr>
        <w:t>Health Research Policy and Systems</w:t>
      </w:r>
      <w:r w:rsidRPr="00DF482C">
        <w:rPr>
          <w:rFonts w:cs="Times New Roman"/>
          <w:szCs w:val="20"/>
          <w:shd w:val="clear" w:color="auto" w:fill="FFFFFF"/>
        </w:rPr>
        <w:t>, </w:t>
      </w:r>
      <w:r w:rsidRPr="00DF482C">
        <w:rPr>
          <w:rFonts w:cs="Times New Roman"/>
          <w:i/>
          <w:iCs/>
          <w:szCs w:val="20"/>
          <w:shd w:val="clear" w:color="auto" w:fill="FFFFFF"/>
        </w:rPr>
        <w:t>20</w:t>
      </w:r>
      <w:r w:rsidRPr="00DF482C">
        <w:rPr>
          <w:rFonts w:cs="Times New Roman"/>
          <w:szCs w:val="20"/>
          <w:shd w:val="clear" w:color="auto" w:fill="FFFFFF"/>
        </w:rPr>
        <w:t>(1), p.37.</w:t>
      </w:r>
    </w:p>
    <w:p w14:paraId="3116C7FA" w14:textId="77777777" w:rsidR="00A514C8" w:rsidRPr="00746E09" w:rsidRDefault="00A514C8" w:rsidP="00746E09">
      <w:pPr>
        <w:ind w:left="720" w:hanging="720"/>
        <w:rPr>
          <w:rFonts w:cs="Times New Roman"/>
          <w:szCs w:val="20"/>
          <w:shd w:val="clear" w:color="auto" w:fill="FFFFFF"/>
        </w:rPr>
      </w:pPr>
      <w:r w:rsidRPr="00746E09">
        <w:rPr>
          <w:rFonts w:cs="Times New Roman"/>
          <w:szCs w:val="20"/>
          <w:shd w:val="clear" w:color="auto" w:fill="FFFFFF"/>
        </w:rPr>
        <w:t xml:space="preserve">Davies, P., Barlow, C. and Fish, R., </w:t>
      </w:r>
      <w:r>
        <w:rPr>
          <w:rFonts w:cs="Times New Roman"/>
          <w:szCs w:val="20"/>
          <w:shd w:val="clear" w:color="auto" w:fill="FFFFFF"/>
        </w:rPr>
        <w:t>(</w:t>
      </w:r>
      <w:r w:rsidRPr="00746E09">
        <w:rPr>
          <w:rFonts w:cs="Times New Roman"/>
          <w:szCs w:val="20"/>
          <w:shd w:val="clear" w:color="auto" w:fill="FFFFFF"/>
        </w:rPr>
        <w:t>2023</w:t>
      </w:r>
      <w:r>
        <w:rPr>
          <w:rFonts w:cs="Times New Roman"/>
          <w:szCs w:val="20"/>
          <w:shd w:val="clear" w:color="auto" w:fill="FFFFFF"/>
        </w:rPr>
        <w:t>)</w:t>
      </w:r>
      <w:r w:rsidRPr="00746E09">
        <w:rPr>
          <w:rFonts w:cs="Times New Roman"/>
          <w:szCs w:val="20"/>
          <w:shd w:val="clear" w:color="auto" w:fill="FFFFFF"/>
        </w:rPr>
        <w:t>. The hard and complex work of implementing new multi-agency risk assessment approaches to policing domestic abuse. </w:t>
      </w:r>
      <w:r w:rsidRPr="00746E09">
        <w:rPr>
          <w:rFonts w:cs="Times New Roman"/>
          <w:i/>
          <w:iCs/>
          <w:szCs w:val="20"/>
          <w:shd w:val="clear" w:color="auto" w:fill="FFFFFF"/>
        </w:rPr>
        <w:t>Crime Prevention and Community Safety</w:t>
      </w:r>
      <w:r w:rsidRPr="00746E09">
        <w:rPr>
          <w:rFonts w:cs="Times New Roman"/>
          <w:szCs w:val="20"/>
          <w:shd w:val="clear" w:color="auto" w:fill="FFFFFF"/>
        </w:rPr>
        <w:t>, </w:t>
      </w:r>
      <w:r w:rsidRPr="00746E09">
        <w:rPr>
          <w:rFonts w:cs="Times New Roman"/>
          <w:i/>
          <w:iCs/>
          <w:szCs w:val="20"/>
          <w:shd w:val="clear" w:color="auto" w:fill="FFFFFF"/>
        </w:rPr>
        <w:t>25</w:t>
      </w:r>
      <w:r w:rsidRPr="00746E09">
        <w:rPr>
          <w:rFonts w:cs="Times New Roman"/>
          <w:szCs w:val="20"/>
          <w:shd w:val="clear" w:color="auto" w:fill="FFFFFF"/>
        </w:rPr>
        <w:t>(2), p.148.</w:t>
      </w:r>
    </w:p>
    <w:p w14:paraId="52029BA9" w14:textId="77777777" w:rsidR="00A514C8" w:rsidRDefault="00A514C8" w:rsidP="00746E09">
      <w:pPr>
        <w:ind w:left="720" w:hanging="720"/>
      </w:pPr>
      <w:r w:rsidRPr="00746E09">
        <w:t xml:space="preserve">Department of Health and Social Care (2022). </w:t>
      </w:r>
      <w:r w:rsidRPr="00746E09">
        <w:rPr>
          <w:i/>
          <w:iCs/>
        </w:rPr>
        <w:t>Women’s Health Strategy for England</w:t>
      </w:r>
      <w:r w:rsidRPr="00746E09">
        <w:t xml:space="preserve">. [online] GOV.UK. Available at: </w:t>
      </w:r>
      <w:hyperlink r:id="rId12" w:history="1">
        <w:r w:rsidRPr="00F469DB">
          <w:rPr>
            <w:rStyle w:val="Hyperlink"/>
          </w:rPr>
          <w:t>https://www.gov.uk/government/publications/womens-health-strategy-for-england/womens-health-strategy-for-england</w:t>
        </w:r>
      </w:hyperlink>
      <w:r>
        <w:t xml:space="preserve"> </w:t>
      </w:r>
      <w:r w:rsidRPr="00746E09">
        <w:t>[Accessed 1 Jun. 2026].</w:t>
      </w:r>
    </w:p>
    <w:p w14:paraId="491A7411" w14:textId="77777777" w:rsidR="00A514C8" w:rsidRPr="00DF482C" w:rsidRDefault="00A514C8" w:rsidP="00746E09">
      <w:pPr>
        <w:ind w:left="720" w:hanging="720"/>
        <w:rPr>
          <w:rFonts w:cs="Times New Roman"/>
          <w:szCs w:val="20"/>
          <w:shd w:val="clear" w:color="auto" w:fill="FFFFFF"/>
        </w:rPr>
      </w:pPr>
      <w:r w:rsidRPr="00DF482C">
        <w:rPr>
          <w:rFonts w:cs="Times New Roman"/>
          <w:szCs w:val="20"/>
          <w:shd w:val="clear" w:color="auto" w:fill="FFFFFF"/>
        </w:rPr>
        <w:t xml:space="preserve">Du, J., Liu, Y., Xu, Z., Duan, H., Zhuang, M., Hu, Y., Wang, Q., Dong, J., Wang, Y. and Fu, B., </w:t>
      </w:r>
      <w:r>
        <w:rPr>
          <w:rFonts w:cs="Times New Roman"/>
          <w:szCs w:val="20"/>
          <w:shd w:val="clear" w:color="auto" w:fill="FFFFFF"/>
        </w:rPr>
        <w:t>(</w:t>
      </w:r>
      <w:r w:rsidRPr="00DF482C">
        <w:rPr>
          <w:rFonts w:cs="Times New Roman"/>
          <w:szCs w:val="20"/>
          <w:shd w:val="clear" w:color="auto" w:fill="FFFFFF"/>
        </w:rPr>
        <w:t>2024</w:t>
      </w:r>
      <w:r>
        <w:rPr>
          <w:rFonts w:cs="Times New Roman"/>
          <w:szCs w:val="20"/>
          <w:shd w:val="clear" w:color="auto" w:fill="FFFFFF"/>
        </w:rPr>
        <w:t>)</w:t>
      </w:r>
      <w:r w:rsidRPr="00DF482C">
        <w:rPr>
          <w:rFonts w:cs="Times New Roman"/>
          <w:szCs w:val="20"/>
          <w:shd w:val="clear" w:color="auto" w:fill="FFFFFF"/>
        </w:rPr>
        <w:t>. Global effects of progress towards Sustainable Development Goals on subjective well-being. </w:t>
      </w:r>
      <w:r w:rsidRPr="00DF482C">
        <w:rPr>
          <w:rFonts w:cs="Times New Roman"/>
          <w:i/>
          <w:iCs/>
          <w:szCs w:val="20"/>
          <w:shd w:val="clear" w:color="auto" w:fill="FFFFFF"/>
        </w:rPr>
        <w:t>Nature Sustainability</w:t>
      </w:r>
      <w:r w:rsidRPr="00DF482C">
        <w:rPr>
          <w:rFonts w:cs="Times New Roman"/>
          <w:szCs w:val="20"/>
          <w:shd w:val="clear" w:color="auto" w:fill="FFFFFF"/>
        </w:rPr>
        <w:t>, </w:t>
      </w:r>
      <w:r w:rsidRPr="00DF482C">
        <w:rPr>
          <w:rFonts w:cs="Times New Roman"/>
          <w:i/>
          <w:iCs/>
          <w:szCs w:val="20"/>
          <w:shd w:val="clear" w:color="auto" w:fill="FFFFFF"/>
        </w:rPr>
        <w:t>7</w:t>
      </w:r>
      <w:r w:rsidRPr="00DF482C">
        <w:rPr>
          <w:rFonts w:cs="Times New Roman"/>
          <w:szCs w:val="20"/>
          <w:shd w:val="clear" w:color="auto" w:fill="FFFFFF"/>
        </w:rPr>
        <w:t>(3), pp.360-367.</w:t>
      </w:r>
    </w:p>
    <w:p w14:paraId="16E38991" w14:textId="77777777" w:rsidR="00A514C8" w:rsidRDefault="00A514C8" w:rsidP="001D5B27">
      <w:pPr>
        <w:ind w:left="720" w:hanging="720"/>
      </w:pPr>
      <w:r w:rsidRPr="001D5B27">
        <w:t xml:space="preserve">England, N. (2025). </w:t>
      </w:r>
      <w:r w:rsidRPr="001D5B27">
        <w:rPr>
          <w:i/>
          <w:iCs/>
        </w:rPr>
        <w:t>NHS England » Performance report</w:t>
      </w:r>
      <w:r w:rsidRPr="001D5B27">
        <w:t xml:space="preserve">. [online] England.nhs.uk. Available at: </w:t>
      </w:r>
      <w:hyperlink r:id="rId13" w:history="1">
        <w:r w:rsidRPr="00DD0F7B">
          <w:rPr>
            <w:rStyle w:val="Hyperlink"/>
          </w:rPr>
          <w:t>https://www.england.nhs.uk/long-read/performance-report-24-25/</w:t>
        </w:r>
      </w:hyperlink>
      <w:r>
        <w:t xml:space="preserve"> </w:t>
      </w:r>
      <w:r w:rsidRPr="001D5B27">
        <w:t>[Accessed 8 July 2026b].</w:t>
      </w:r>
    </w:p>
    <w:p w14:paraId="32214DE7" w14:textId="77777777" w:rsidR="00A514C8" w:rsidRPr="00DF482C" w:rsidRDefault="00A514C8" w:rsidP="00746E09">
      <w:pPr>
        <w:ind w:left="720" w:hanging="720"/>
        <w:rPr>
          <w:rFonts w:cs="Times New Roman"/>
          <w:szCs w:val="20"/>
          <w:shd w:val="clear" w:color="auto" w:fill="FFFFFF"/>
        </w:rPr>
      </w:pPr>
      <w:r w:rsidRPr="00DF482C">
        <w:rPr>
          <w:rFonts w:cs="Times New Roman"/>
          <w:szCs w:val="20"/>
          <w:shd w:val="clear" w:color="auto" w:fill="FFFFFF"/>
        </w:rPr>
        <w:t xml:space="preserve">England, N.H.S., </w:t>
      </w:r>
      <w:r>
        <w:rPr>
          <w:rFonts w:cs="Times New Roman"/>
          <w:szCs w:val="20"/>
          <w:shd w:val="clear" w:color="auto" w:fill="FFFFFF"/>
        </w:rPr>
        <w:t>(</w:t>
      </w:r>
      <w:r w:rsidRPr="00DF482C">
        <w:rPr>
          <w:rFonts w:cs="Times New Roman"/>
          <w:szCs w:val="20"/>
          <w:shd w:val="clear" w:color="auto" w:fill="FFFFFF"/>
        </w:rPr>
        <w:t>2023</w:t>
      </w:r>
      <w:r>
        <w:rPr>
          <w:rFonts w:cs="Times New Roman"/>
          <w:szCs w:val="20"/>
          <w:shd w:val="clear" w:color="auto" w:fill="FFFFFF"/>
        </w:rPr>
        <w:t>)</w:t>
      </w:r>
      <w:r w:rsidRPr="00DF482C">
        <w:rPr>
          <w:rFonts w:cs="Times New Roman"/>
          <w:szCs w:val="20"/>
          <w:shd w:val="clear" w:color="auto" w:fill="FFFFFF"/>
        </w:rPr>
        <w:t>. </w:t>
      </w:r>
      <w:r w:rsidRPr="00DF482C">
        <w:rPr>
          <w:rFonts w:cs="Times New Roman"/>
          <w:i/>
          <w:iCs/>
          <w:szCs w:val="20"/>
          <w:shd w:val="clear" w:color="auto" w:fill="FFFFFF"/>
        </w:rPr>
        <w:t>NHS long term workforce plan</w:t>
      </w:r>
      <w:r w:rsidRPr="00DF482C">
        <w:rPr>
          <w:rFonts w:cs="Times New Roman"/>
          <w:szCs w:val="20"/>
          <w:shd w:val="clear" w:color="auto" w:fill="FFFFFF"/>
        </w:rPr>
        <w:t> [online]</w:t>
      </w:r>
    </w:p>
    <w:p w14:paraId="42B662AC" w14:textId="77777777" w:rsidR="00A514C8" w:rsidRPr="00DF482C" w:rsidRDefault="00A514C8" w:rsidP="00746E09">
      <w:pPr>
        <w:ind w:left="720" w:hanging="720"/>
        <w:rPr>
          <w:rFonts w:cs="Times New Roman"/>
          <w:szCs w:val="20"/>
          <w:shd w:val="clear" w:color="auto" w:fill="FFFFFF"/>
        </w:rPr>
      </w:pPr>
      <w:r w:rsidRPr="00DF482C">
        <w:rPr>
          <w:rFonts w:cs="Times New Roman"/>
          <w:szCs w:val="20"/>
          <w:shd w:val="clear" w:color="auto" w:fill="FFFFFF"/>
        </w:rPr>
        <w:t xml:space="preserve">Farooq, Z.U., </w:t>
      </w:r>
      <w:r>
        <w:rPr>
          <w:rFonts w:cs="Times New Roman"/>
          <w:szCs w:val="20"/>
          <w:shd w:val="clear" w:color="auto" w:fill="FFFFFF"/>
        </w:rPr>
        <w:t>(</w:t>
      </w:r>
      <w:r w:rsidRPr="00DF482C">
        <w:rPr>
          <w:rFonts w:cs="Times New Roman"/>
          <w:szCs w:val="20"/>
          <w:shd w:val="clear" w:color="auto" w:fill="FFFFFF"/>
        </w:rPr>
        <w:t>2024</w:t>
      </w:r>
      <w:r>
        <w:rPr>
          <w:rFonts w:cs="Times New Roman"/>
          <w:szCs w:val="20"/>
          <w:shd w:val="clear" w:color="auto" w:fill="FFFFFF"/>
        </w:rPr>
        <w:t>)</w:t>
      </w:r>
      <w:r w:rsidRPr="00DF482C">
        <w:rPr>
          <w:rFonts w:cs="Times New Roman"/>
          <w:szCs w:val="20"/>
          <w:shd w:val="clear" w:color="auto" w:fill="FFFFFF"/>
        </w:rPr>
        <w:t xml:space="preserve">. Gender-Based Violence: Causes, Impact </w:t>
      </w:r>
      <w:proofErr w:type="gramStart"/>
      <w:r w:rsidRPr="00DF482C">
        <w:rPr>
          <w:rFonts w:cs="Times New Roman"/>
          <w:szCs w:val="20"/>
          <w:shd w:val="clear" w:color="auto" w:fill="FFFFFF"/>
        </w:rPr>
        <w:t>And</w:t>
      </w:r>
      <w:proofErr w:type="gramEnd"/>
      <w:r w:rsidRPr="00DF482C">
        <w:rPr>
          <w:rFonts w:cs="Times New Roman"/>
          <w:szCs w:val="20"/>
          <w:shd w:val="clear" w:color="auto" w:fill="FFFFFF"/>
        </w:rPr>
        <w:t xml:space="preserve"> Consequences. </w:t>
      </w:r>
      <w:r w:rsidRPr="00DF482C">
        <w:rPr>
          <w:rFonts w:cs="Times New Roman"/>
          <w:i/>
          <w:iCs/>
          <w:szCs w:val="20"/>
          <w:shd w:val="clear" w:color="auto" w:fill="FFFFFF"/>
        </w:rPr>
        <w:t xml:space="preserve">A Handbook </w:t>
      </w:r>
      <w:proofErr w:type="gramStart"/>
      <w:r w:rsidRPr="00DF482C">
        <w:rPr>
          <w:rFonts w:cs="Times New Roman"/>
          <w:i/>
          <w:iCs/>
          <w:szCs w:val="20"/>
          <w:shd w:val="clear" w:color="auto" w:fill="FFFFFF"/>
        </w:rPr>
        <w:t>Of</w:t>
      </w:r>
      <w:proofErr w:type="gramEnd"/>
      <w:r w:rsidRPr="00DF482C">
        <w:rPr>
          <w:rFonts w:cs="Times New Roman"/>
          <w:i/>
          <w:iCs/>
          <w:szCs w:val="20"/>
          <w:shd w:val="clear" w:color="auto" w:fill="FFFFFF"/>
        </w:rPr>
        <w:t xml:space="preserve"> Women’s Human Rights</w:t>
      </w:r>
      <w:r w:rsidRPr="00DF482C">
        <w:rPr>
          <w:rFonts w:cs="Times New Roman"/>
          <w:szCs w:val="20"/>
          <w:shd w:val="clear" w:color="auto" w:fill="FFFFFF"/>
        </w:rPr>
        <w:t>, </w:t>
      </w:r>
      <w:r w:rsidRPr="00DF482C">
        <w:rPr>
          <w:rFonts w:cs="Times New Roman"/>
          <w:i/>
          <w:iCs/>
          <w:szCs w:val="20"/>
          <w:shd w:val="clear" w:color="auto" w:fill="FFFFFF"/>
        </w:rPr>
        <w:t>45</w:t>
      </w:r>
      <w:r w:rsidRPr="00DF482C">
        <w:rPr>
          <w:rFonts w:cs="Times New Roman"/>
          <w:szCs w:val="20"/>
          <w:shd w:val="clear" w:color="auto" w:fill="FFFFFF"/>
        </w:rPr>
        <w:t>, pp.18-26.</w:t>
      </w:r>
    </w:p>
    <w:p w14:paraId="69F42C76" w14:textId="77777777" w:rsidR="00A514C8" w:rsidRPr="00DF482C" w:rsidRDefault="00A514C8" w:rsidP="00746E09">
      <w:pPr>
        <w:ind w:left="720" w:hanging="720"/>
        <w:rPr>
          <w:rFonts w:cs="Times New Roman"/>
          <w:szCs w:val="20"/>
          <w:shd w:val="clear" w:color="auto" w:fill="FFFFFF"/>
        </w:rPr>
      </w:pPr>
      <w:proofErr w:type="spellStart"/>
      <w:r w:rsidRPr="00DF482C">
        <w:rPr>
          <w:rFonts w:cs="Times New Roman"/>
          <w:szCs w:val="20"/>
          <w:shd w:val="clear" w:color="auto" w:fill="FFFFFF"/>
        </w:rPr>
        <w:lastRenderedPageBreak/>
        <w:t>Fedina</w:t>
      </w:r>
      <w:proofErr w:type="spellEnd"/>
      <w:r w:rsidRPr="00DF482C">
        <w:rPr>
          <w:rFonts w:cs="Times New Roman"/>
          <w:szCs w:val="20"/>
          <w:shd w:val="clear" w:color="auto" w:fill="FFFFFF"/>
        </w:rPr>
        <w:t xml:space="preserve">, L., Ashwell, L., Bright, C., Backes, B., Newman, M., Hafner, S. and Rosay, A.B., </w:t>
      </w:r>
      <w:r>
        <w:rPr>
          <w:rFonts w:cs="Times New Roman"/>
          <w:szCs w:val="20"/>
          <w:shd w:val="clear" w:color="auto" w:fill="FFFFFF"/>
        </w:rPr>
        <w:t>(</w:t>
      </w:r>
      <w:r w:rsidRPr="00DF482C">
        <w:rPr>
          <w:rFonts w:cs="Times New Roman"/>
          <w:szCs w:val="20"/>
          <w:shd w:val="clear" w:color="auto" w:fill="FFFFFF"/>
        </w:rPr>
        <w:t>2022</w:t>
      </w:r>
      <w:r>
        <w:rPr>
          <w:rFonts w:cs="Times New Roman"/>
          <w:szCs w:val="20"/>
          <w:shd w:val="clear" w:color="auto" w:fill="FFFFFF"/>
        </w:rPr>
        <w:t>)</w:t>
      </w:r>
      <w:r w:rsidRPr="00DF482C">
        <w:rPr>
          <w:rFonts w:cs="Times New Roman"/>
          <w:szCs w:val="20"/>
          <w:shd w:val="clear" w:color="auto" w:fill="FFFFFF"/>
        </w:rPr>
        <w:t>. Racial and gender inequalities in food, housing, and healthcare insecurity associated with intimate partner and sexual violence. </w:t>
      </w:r>
      <w:r w:rsidRPr="00DF482C">
        <w:rPr>
          <w:rFonts w:cs="Times New Roman"/>
          <w:i/>
          <w:iCs/>
          <w:szCs w:val="20"/>
          <w:shd w:val="clear" w:color="auto" w:fill="FFFFFF"/>
        </w:rPr>
        <w:t>Journal of Interpersonal Violence</w:t>
      </w:r>
      <w:r w:rsidRPr="00DF482C">
        <w:rPr>
          <w:rFonts w:cs="Times New Roman"/>
          <w:szCs w:val="20"/>
          <w:shd w:val="clear" w:color="auto" w:fill="FFFFFF"/>
        </w:rPr>
        <w:t>, </w:t>
      </w:r>
      <w:r w:rsidRPr="00DF482C">
        <w:rPr>
          <w:rFonts w:cs="Times New Roman"/>
          <w:i/>
          <w:iCs/>
          <w:szCs w:val="20"/>
          <w:shd w:val="clear" w:color="auto" w:fill="FFFFFF"/>
        </w:rPr>
        <w:t>37</w:t>
      </w:r>
      <w:r w:rsidRPr="00DF482C">
        <w:rPr>
          <w:rFonts w:cs="Times New Roman"/>
          <w:szCs w:val="20"/>
          <w:shd w:val="clear" w:color="auto" w:fill="FFFFFF"/>
        </w:rPr>
        <w:t>(23-24), pp.NP23202-NP23221.</w:t>
      </w:r>
    </w:p>
    <w:p w14:paraId="575A8BC0" w14:textId="77777777" w:rsidR="00A514C8" w:rsidRPr="00DF482C" w:rsidRDefault="00A514C8" w:rsidP="00746E09">
      <w:pPr>
        <w:ind w:left="720" w:hanging="720"/>
        <w:rPr>
          <w:rFonts w:cs="Times New Roman"/>
          <w:szCs w:val="20"/>
          <w:shd w:val="clear" w:color="auto" w:fill="FFFFFF"/>
        </w:rPr>
      </w:pPr>
      <w:r w:rsidRPr="00DF482C">
        <w:rPr>
          <w:rFonts w:cs="Times New Roman"/>
          <w:szCs w:val="20"/>
          <w:shd w:val="clear" w:color="auto" w:fill="FFFFFF"/>
        </w:rPr>
        <w:t xml:space="preserve">Filip, R., Gheorghita Puscaselu, R., Anchidin-Norocel, L., Dimian, M. and Savage, W.K., </w:t>
      </w:r>
      <w:r>
        <w:rPr>
          <w:rFonts w:cs="Times New Roman"/>
          <w:szCs w:val="20"/>
          <w:shd w:val="clear" w:color="auto" w:fill="FFFFFF"/>
        </w:rPr>
        <w:t>(</w:t>
      </w:r>
      <w:r w:rsidRPr="00DF482C">
        <w:rPr>
          <w:rFonts w:cs="Times New Roman"/>
          <w:szCs w:val="20"/>
          <w:shd w:val="clear" w:color="auto" w:fill="FFFFFF"/>
        </w:rPr>
        <w:t>2022</w:t>
      </w:r>
      <w:r>
        <w:rPr>
          <w:rFonts w:cs="Times New Roman"/>
          <w:szCs w:val="20"/>
          <w:shd w:val="clear" w:color="auto" w:fill="FFFFFF"/>
        </w:rPr>
        <w:t>)</w:t>
      </w:r>
      <w:r w:rsidRPr="00DF482C">
        <w:rPr>
          <w:rFonts w:cs="Times New Roman"/>
          <w:szCs w:val="20"/>
          <w:shd w:val="clear" w:color="auto" w:fill="FFFFFF"/>
        </w:rPr>
        <w:t>. Global challenges to public health care systems during the COVID-19 pandemic: a review of pandemic measures and problems. </w:t>
      </w:r>
      <w:r w:rsidRPr="00DF482C">
        <w:rPr>
          <w:rFonts w:cs="Times New Roman"/>
          <w:i/>
          <w:iCs/>
          <w:szCs w:val="20"/>
          <w:shd w:val="clear" w:color="auto" w:fill="FFFFFF"/>
        </w:rPr>
        <w:t>Journal of personalised medicine</w:t>
      </w:r>
      <w:r w:rsidRPr="00DF482C">
        <w:rPr>
          <w:rFonts w:cs="Times New Roman"/>
          <w:szCs w:val="20"/>
          <w:shd w:val="clear" w:color="auto" w:fill="FFFFFF"/>
        </w:rPr>
        <w:t>, </w:t>
      </w:r>
      <w:r w:rsidRPr="00DF482C">
        <w:rPr>
          <w:rFonts w:cs="Times New Roman"/>
          <w:i/>
          <w:iCs/>
          <w:szCs w:val="20"/>
          <w:shd w:val="clear" w:color="auto" w:fill="FFFFFF"/>
        </w:rPr>
        <w:t>12</w:t>
      </w:r>
      <w:r w:rsidRPr="00DF482C">
        <w:rPr>
          <w:rFonts w:cs="Times New Roman"/>
          <w:szCs w:val="20"/>
          <w:shd w:val="clear" w:color="auto" w:fill="FFFFFF"/>
        </w:rPr>
        <w:t>(8), p.1295.</w:t>
      </w:r>
    </w:p>
    <w:p w14:paraId="47B01945" w14:textId="77777777" w:rsidR="00A514C8" w:rsidRPr="00746E09" w:rsidRDefault="00A514C8" w:rsidP="00746E09">
      <w:pPr>
        <w:ind w:left="720" w:hanging="720"/>
        <w:rPr>
          <w:rFonts w:cs="Times New Roman"/>
          <w:szCs w:val="20"/>
          <w:shd w:val="clear" w:color="auto" w:fill="FFFFFF"/>
        </w:rPr>
      </w:pPr>
      <w:r w:rsidRPr="00746E09">
        <w:rPr>
          <w:rFonts w:cs="Times New Roman"/>
          <w:szCs w:val="20"/>
          <w:shd w:val="clear" w:color="auto" w:fill="FFFFFF"/>
        </w:rPr>
        <w:t xml:space="preserve">Gooding, K., Bertone, M.P., Loffreda, G. and Witter, S., </w:t>
      </w:r>
      <w:r>
        <w:rPr>
          <w:rFonts w:cs="Times New Roman"/>
          <w:szCs w:val="20"/>
          <w:shd w:val="clear" w:color="auto" w:fill="FFFFFF"/>
        </w:rPr>
        <w:t>(</w:t>
      </w:r>
      <w:r w:rsidRPr="00746E09">
        <w:rPr>
          <w:rFonts w:cs="Times New Roman"/>
          <w:szCs w:val="20"/>
          <w:shd w:val="clear" w:color="auto" w:fill="FFFFFF"/>
        </w:rPr>
        <w:t>2022</w:t>
      </w:r>
      <w:r>
        <w:rPr>
          <w:rFonts w:cs="Times New Roman"/>
          <w:szCs w:val="20"/>
          <w:shd w:val="clear" w:color="auto" w:fill="FFFFFF"/>
        </w:rPr>
        <w:t>)</w:t>
      </w:r>
      <w:r w:rsidRPr="00746E09">
        <w:rPr>
          <w:rFonts w:cs="Times New Roman"/>
          <w:szCs w:val="20"/>
          <w:shd w:val="clear" w:color="auto" w:fill="FFFFFF"/>
        </w:rPr>
        <w:t>. How can we strengthen partnership and coordination for health system emergency preparedness and response? Findings from a synthesis of experience across countries facing shocks. </w:t>
      </w:r>
      <w:r w:rsidRPr="00746E09">
        <w:rPr>
          <w:rFonts w:cs="Times New Roman"/>
          <w:i/>
          <w:iCs/>
          <w:szCs w:val="20"/>
          <w:shd w:val="clear" w:color="auto" w:fill="FFFFFF"/>
        </w:rPr>
        <w:t>BMC Health Services Research</w:t>
      </w:r>
      <w:r w:rsidRPr="00746E09">
        <w:rPr>
          <w:rFonts w:cs="Times New Roman"/>
          <w:szCs w:val="20"/>
          <w:shd w:val="clear" w:color="auto" w:fill="FFFFFF"/>
        </w:rPr>
        <w:t>, </w:t>
      </w:r>
      <w:r w:rsidRPr="00746E09">
        <w:rPr>
          <w:rFonts w:cs="Times New Roman"/>
          <w:i/>
          <w:iCs/>
          <w:szCs w:val="20"/>
          <w:shd w:val="clear" w:color="auto" w:fill="FFFFFF"/>
        </w:rPr>
        <w:t>22</w:t>
      </w:r>
      <w:r w:rsidRPr="00746E09">
        <w:rPr>
          <w:rFonts w:cs="Times New Roman"/>
          <w:szCs w:val="20"/>
          <w:shd w:val="clear" w:color="auto" w:fill="FFFFFF"/>
        </w:rPr>
        <w:t>(1), p.1441.</w:t>
      </w:r>
    </w:p>
    <w:p w14:paraId="49C641B6" w14:textId="77777777" w:rsidR="00A514C8" w:rsidRDefault="00A514C8" w:rsidP="00746E09">
      <w:pPr>
        <w:ind w:left="720" w:hanging="720"/>
      </w:pPr>
      <w:r w:rsidRPr="00746E09">
        <w:t xml:space="preserve">GOV.UK (2010). </w:t>
      </w:r>
      <w:r w:rsidRPr="00746E09">
        <w:rPr>
          <w:i/>
          <w:iCs/>
        </w:rPr>
        <w:t>Equality Act 2010</w:t>
      </w:r>
      <w:r w:rsidRPr="00746E09">
        <w:t xml:space="preserve">. [online] Legislation.gov.uk. Available at: </w:t>
      </w:r>
      <w:hyperlink r:id="rId14" w:history="1">
        <w:r w:rsidRPr="00F469DB">
          <w:rPr>
            <w:rStyle w:val="Hyperlink"/>
          </w:rPr>
          <w:t>https://www.legislation.gov.uk/ukpga/2010/15/contents</w:t>
        </w:r>
      </w:hyperlink>
      <w:r>
        <w:t xml:space="preserve"> </w:t>
      </w:r>
      <w:r w:rsidRPr="00746E09">
        <w:t>[Accessed 1 Jun. 2026].</w:t>
      </w:r>
    </w:p>
    <w:p w14:paraId="55D3AE32" w14:textId="77777777" w:rsidR="00A514C8" w:rsidRDefault="00A514C8" w:rsidP="00746E09">
      <w:pPr>
        <w:ind w:left="720" w:hanging="720"/>
      </w:pPr>
      <w:r w:rsidRPr="00746E09">
        <w:t xml:space="preserve">GOV.UK (2021). </w:t>
      </w:r>
      <w:r w:rsidRPr="00746E09">
        <w:rPr>
          <w:i/>
          <w:iCs/>
        </w:rPr>
        <w:t>Domestic Abuse Act 2021</w:t>
      </w:r>
      <w:r w:rsidRPr="00746E09">
        <w:t xml:space="preserve">. [online] Legislation.gov.uk. Available at: </w:t>
      </w:r>
      <w:hyperlink r:id="rId15" w:history="1">
        <w:r w:rsidRPr="00F469DB">
          <w:rPr>
            <w:rStyle w:val="Hyperlink"/>
          </w:rPr>
          <w:t>https://www.legislation.gov.uk/ukpga/2021/17/contents</w:t>
        </w:r>
      </w:hyperlink>
      <w:r>
        <w:t xml:space="preserve"> </w:t>
      </w:r>
      <w:r w:rsidRPr="00746E09">
        <w:t>[Accessed 1 Jun. 2026].</w:t>
      </w:r>
    </w:p>
    <w:p w14:paraId="34CE8E27" w14:textId="77777777" w:rsidR="00A514C8" w:rsidRPr="00DF482C" w:rsidRDefault="00A514C8" w:rsidP="00746E09">
      <w:pPr>
        <w:ind w:left="720" w:hanging="720"/>
        <w:rPr>
          <w:rFonts w:cs="Times New Roman"/>
          <w:szCs w:val="20"/>
          <w:shd w:val="clear" w:color="auto" w:fill="FFFFFF"/>
        </w:rPr>
      </w:pPr>
      <w:r w:rsidRPr="00DF482C">
        <w:rPr>
          <w:rFonts w:cs="Times New Roman"/>
          <w:szCs w:val="20"/>
          <w:shd w:val="clear" w:color="auto" w:fill="FFFFFF"/>
        </w:rPr>
        <w:t xml:space="preserve">Guevara, M., Chen, S., Thomas, S., Chaunzwa, T.L., Franco, I., Kann, B.H., Moningi, S., Qian, J.M., Goldstein, M., Harper, S. and Aerts, H.J., </w:t>
      </w:r>
      <w:r>
        <w:rPr>
          <w:rFonts w:cs="Times New Roman"/>
          <w:szCs w:val="20"/>
          <w:shd w:val="clear" w:color="auto" w:fill="FFFFFF"/>
        </w:rPr>
        <w:t>(</w:t>
      </w:r>
      <w:r w:rsidRPr="00DF482C">
        <w:rPr>
          <w:rFonts w:cs="Times New Roman"/>
          <w:szCs w:val="20"/>
          <w:shd w:val="clear" w:color="auto" w:fill="FFFFFF"/>
        </w:rPr>
        <w:t>2024</w:t>
      </w:r>
      <w:r>
        <w:rPr>
          <w:rFonts w:cs="Times New Roman"/>
          <w:szCs w:val="20"/>
          <w:shd w:val="clear" w:color="auto" w:fill="FFFFFF"/>
        </w:rPr>
        <w:t>)</w:t>
      </w:r>
      <w:r w:rsidRPr="00DF482C">
        <w:rPr>
          <w:rFonts w:cs="Times New Roman"/>
          <w:szCs w:val="20"/>
          <w:shd w:val="clear" w:color="auto" w:fill="FFFFFF"/>
        </w:rPr>
        <w:t>. Large language models to identify social determinants of health in electronic health records. </w:t>
      </w:r>
      <w:r w:rsidRPr="00DF482C">
        <w:rPr>
          <w:rFonts w:cs="Times New Roman"/>
          <w:i/>
          <w:iCs/>
          <w:szCs w:val="20"/>
          <w:shd w:val="clear" w:color="auto" w:fill="FFFFFF"/>
        </w:rPr>
        <w:t>NPJ digital medicine</w:t>
      </w:r>
      <w:r w:rsidRPr="00DF482C">
        <w:rPr>
          <w:rFonts w:cs="Times New Roman"/>
          <w:szCs w:val="20"/>
          <w:shd w:val="clear" w:color="auto" w:fill="FFFFFF"/>
        </w:rPr>
        <w:t>, </w:t>
      </w:r>
      <w:r w:rsidRPr="00DF482C">
        <w:rPr>
          <w:rFonts w:cs="Times New Roman"/>
          <w:i/>
          <w:iCs/>
          <w:szCs w:val="20"/>
          <w:shd w:val="clear" w:color="auto" w:fill="FFFFFF"/>
        </w:rPr>
        <w:t>7</w:t>
      </w:r>
      <w:r w:rsidRPr="00DF482C">
        <w:rPr>
          <w:rFonts w:cs="Times New Roman"/>
          <w:szCs w:val="20"/>
          <w:shd w:val="clear" w:color="auto" w:fill="FFFFFF"/>
        </w:rPr>
        <w:t>(1), p.6.</w:t>
      </w:r>
    </w:p>
    <w:p w14:paraId="73304DC6" w14:textId="77777777" w:rsidR="00A514C8" w:rsidRPr="00746E09" w:rsidRDefault="00A514C8" w:rsidP="00746E09">
      <w:pPr>
        <w:ind w:left="720" w:hanging="720"/>
        <w:rPr>
          <w:rFonts w:cs="Times New Roman"/>
          <w:szCs w:val="20"/>
          <w:shd w:val="clear" w:color="auto" w:fill="FFFFFF"/>
        </w:rPr>
      </w:pPr>
      <w:r w:rsidRPr="00746E09">
        <w:rPr>
          <w:rFonts w:cs="Times New Roman"/>
          <w:szCs w:val="20"/>
          <w:shd w:val="clear" w:color="auto" w:fill="FFFFFF"/>
        </w:rPr>
        <w:t xml:space="preserve">Hussain, A., Umair, M., Khan, S., Alonazi, W.B., Almutairi, S.S. and Malik, A., </w:t>
      </w:r>
      <w:r>
        <w:rPr>
          <w:rFonts w:cs="Times New Roman"/>
          <w:szCs w:val="20"/>
          <w:shd w:val="clear" w:color="auto" w:fill="FFFFFF"/>
        </w:rPr>
        <w:t>(</w:t>
      </w:r>
      <w:r w:rsidRPr="00746E09">
        <w:rPr>
          <w:rFonts w:cs="Times New Roman"/>
          <w:szCs w:val="20"/>
          <w:shd w:val="clear" w:color="auto" w:fill="FFFFFF"/>
        </w:rPr>
        <w:t>2024</w:t>
      </w:r>
      <w:r>
        <w:rPr>
          <w:rFonts w:cs="Times New Roman"/>
          <w:szCs w:val="20"/>
          <w:shd w:val="clear" w:color="auto" w:fill="FFFFFF"/>
        </w:rPr>
        <w:t>)</w:t>
      </w:r>
      <w:r w:rsidRPr="00746E09">
        <w:rPr>
          <w:rFonts w:cs="Times New Roman"/>
          <w:szCs w:val="20"/>
          <w:shd w:val="clear" w:color="auto" w:fill="FFFFFF"/>
        </w:rPr>
        <w:t>. Exploring sustainable healthcare: innovations in health economics, social policy, and management. </w:t>
      </w:r>
      <w:r w:rsidRPr="00746E09">
        <w:rPr>
          <w:rFonts w:cs="Times New Roman"/>
          <w:i/>
          <w:iCs/>
          <w:szCs w:val="20"/>
          <w:shd w:val="clear" w:color="auto" w:fill="FFFFFF"/>
        </w:rPr>
        <w:t>Heliyon</w:t>
      </w:r>
      <w:r w:rsidRPr="00746E09">
        <w:rPr>
          <w:rFonts w:cs="Times New Roman"/>
          <w:szCs w:val="20"/>
          <w:shd w:val="clear" w:color="auto" w:fill="FFFFFF"/>
        </w:rPr>
        <w:t>, </w:t>
      </w:r>
      <w:r w:rsidRPr="00746E09">
        <w:rPr>
          <w:rFonts w:cs="Times New Roman"/>
          <w:i/>
          <w:iCs/>
          <w:szCs w:val="20"/>
          <w:shd w:val="clear" w:color="auto" w:fill="FFFFFF"/>
        </w:rPr>
        <w:t>10</w:t>
      </w:r>
      <w:r w:rsidRPr="00746E09">
        <w:rPr>
          <w:rFonts w:cs="Times New Roman"/>
          <w:szCs w:val="20"/>
          <w:shd w:val="clear" w:color="auto" w:fill="FFFFFF"/>
        </w:rPr>
        <w:t>(13).</w:t>
      </w:r>
    </w:p>
    <w:p w14:paraId="1F249C71" w14:textId="77777777" w:rsidR="00A514C8" w:rsidRPr="00746E09" w:rsidRDefault="00A514C8" w:rsidP="00746E09">
      <w:pPr>
        <w:ind w:left="720" w:hanging="720"/>
        <w:rPr>
          <w:rFonts w:cs="Times New Roman"/>
          <w:szCs w:val="20"/>
          <w:shd w:val="clear" w:color="auto" w:fill="FFFFFF"/>
        </w:rPr>
      </w:pPr>
      <w:r w:rsidRPr="00746E09">
        <w:rPr>
          <w:rFonts w:cs="Times New Roman"/>
          <w:szCs w:val="20"/>
          <w:shd w:val="clear" w:color="auto" w:fill="FFFFFF"/>
        </w:rPr>
        <w:t xml:space="preserve">Lassi, Z.S., Wade, J.M. and Ameyaw, E.K., </w:t>
      </w:r>
      <w:r>
        <w:rPr>
          <w:rFonts w:cs="Times New Roman"/>
          <w:szCs w:val="20"/>
          <w:shd w:val="clear" w:color="auto" w:fill="FFFFFF"/>
        </w:rPr>
        <w:t>(</w:t>
      </w:r>
      <w:r w:rsidRPr="00746E09">
        <w:rPr>
          <w:rFonts w:cs="Times New Roman"/>
          <w:szCs w:val="20"/>
          <w:shd w:val="clear" w:color="auto" w:fill="FFFFFF"/>
        </w:rPr>
        <w:t>2025</w:t>
      </w:r>
      <w:r>
        <w:rPr>
          <w:rFonts w:cs="Times New Roman"/>
          <w:szCs w:val="20"/>
          <w:shd w:val="clear" w:color="auto" w:fill="FFFFFF"/>
        </w:rPr>
        <w:t>)</w:t>
      </w:r>
      <w:r w:rsidRPr="00746E09">
        <w:rPr>
          <w:rFonts w:cs="Times New Roman"/>
          <w:szCs w:val="20"/>
          <w:shd w:val="clear" w:color="auto" w:fill="FFFFFF"/>
        </w:rPr>
        <w:t>. Stages and future of women’s health: A call for a life-course approach. </w:t>
      </w:r>
      <w:r w:rsidRPr="00746E09">
        <w:rPr>
          <w:rFonts w:cs="Times New Roman"/>
          <w:i/>
          <w:iCs/>
          <w:szCs w:val="20"/>
          <w:shd w:val="clear" w:color="auto" w:fill="FFFFFF"/>
        </w:rPr>
        <w:t>Women's Health</w:t>
      </w:r>
      <w:r w:rsidRPr="00746E09">
        <w:rPr>
          <w:rFonts w:cs="Times New Roman"/>
          <w:szCs w:val="20"/>
          <w:shd w:val="clear" w:color="auto" w:fill="FFFFFF"/>
        </w:rPr>
        <w:t>, </w:t>
      </w:r>
      <w:r w:rsidRPr="00746E09">
        <w:rPr>
          <w:rFonts w:cs="Times New Roman"/>
          <w:i/>
          <w:iCs/>
          <w:szCs w:val="20"/>
          <w:shd w:val="clear" w:color="auto" w:fill="FFFFFF"/>
        </w:rPr>
        <w:t>21</w:t>
      </w:r>
      <w:r w:rsidRPr="00746E09">
        <w:rPr>
          <w:rFonts w:cs="Times New Roman"/>
          <w:szCs w:val="20"/>
          <w:shd w:val="clear" w:color="auto" w:fill="FFFFFF"/>
        </w:rPr>
        <w:t>, p.17455057251331721.</w:t>
      </w:r>
    </w:p>
    <w:p w14:paraId="5A926A19" w14:textId="77777777" w:rsidR="00A514C8" w:rsidRPr="00DF482C" w:rsidRDefault="00A514C8" w:rsidP="00746E09">
      <w:pPr>
        <w:ind w:left="720" w:hanging="720"/>
        <w:rPr>
          <w:rFonts w:cs="Times New Roman"/>
          <w:szCs w:val="20"/>
          <w:shd w:val="clear" w:color="auto" w:fill="FFFFFF"/>
        </w:rPr>
      </w:pPr>
      <w:r w:rsidRPr="00DF482C">
        <w:rPr>
          <w:rFonts w:cs="Times New Roman"/>
          <w:szCs w:val="20"/>
          <w:shd w:val="clear" w:color="auto" w:fill="FFFFFF"/>
        </w:rPr>
        <w:t xml:space="preserve">Marmot, M.G., </w:t>
      </w:r>
      <w:r>
        <w:rPr>
          <w:rFonts w:cs="Times New Roman"/>
          <w:szCs w:val="20"/>
          <w:shd w:val="clear" w:color="auto" w:fill="FFFFFF"/>
        </w:rPr>
        <w:t>(</w:t>
      </w:r>
      <w:r w:rsidRPr="00DF482C">
        <w:rPr>
          <w:rFonts w:cs="Times New Roman"/>
          <w:szCs w:val="20"/>
          <w:shd w:val="clear" w:color="auto" w:fill="FFFFFF"/>
        </w:rPr>
        <w:t>2022</w:t>
      </w:r>
      <w:r>
        <w:rPr>
          <w:rFonts w:cs="Times New Roman"/>
          <w:szCs w:val="20"/>
          <w:shd w:val="clear" w:color="auto" w:fill="FFFFFF"/>
        </w:rPr>
        <w:t>)</w:t>
      </w:r>
      <w:r w:rsidRPr="00DF482C">
        <w:rPr>
          <w:rFonts w:cs="Times New Roman"/>
          <w:szCs w:val="20"/>
          <w:shd w:val="clear" w:color="auto" w:fill="FFFFFF"/>
        </w:rPr>
        <w:t>. Social inequalities in mortality: the social environment. In </w:t>
      </w:r>
      <w:r w:rsidRPr="00DF482C">
        <w:rPr>
          <w:rFonts w:cs="Times New Roman"/>
          <w:i/>
          <w:iCs/>
          <w:szCs w:val="20"/>
          <w:shd w:val="clear" w:color="auto" w:fill="FFFFFF"/>
        </w:rPr>
        <w:t>Class and health</w:t>
      </w:r>
      <w:r w:rsidRPr="00DF482C">
        <w:rPr>
          <w:rFonts w:cs="Times New Roman"/>
          <w:szCs w:val="20"/>
          <w:shd w:val="clear" w:color="auto" w:fill="FFFFFF"/>
        </w:rPr>
        <w:t> (pp. 21-33). Routledge.</w:t>
      </w:r>
    </w:p>
    <w:p w14:paraId="3DFD3320" w14:textId="77777777" w:rsidR="00A514C8" w:rsidRPr="00746E09" w:rsidRDefault="00A514C8" w:rsidP="00746E09">
      <w:pPr>
        <w:ind w:left="720" w:hanging="720"/>
        <w:rPr>
          <w:rFonts w:cs="Times New Roman"/>
          <w:szCs w:val="20"/>
          <w:shd w:val="clear" w:color="auto" w:fill="FFFFFF"/>
        </w:rPr>
      </w:pPr>
      <w:proofErr w:type="spellStart"/>
      <w:r w:rsidRPr="00746E09">
        <w:rPr>
          <w:rFonts w:cs="Times New Roman"/>
          <w:szCs w:val="20"/>
          <w:shd w:val="clear" w:color="auto" w:fill="FFFFFF"/>
        </w:rPr>
        <w:t>Mbata</w:t>
      </w:r>
      <w:proofErr w:type="spellEnd"/>
      <w:r w:rsidRPr="00746E09">
        <w:rPr>
          <w:rFonts w:cs="Times New Roman"/>
          <w:szCs w:val="20"/>
          <w:shd w:val="clear" w:color="auto" w:fill="FFFFFF"/>
        </w:rPr>
        <w:t xml:space="preserve">, A.O., </w:t>
      </w:r>
      <w:proofErr w:type="spellStart"/>
      <w:r w:rsidRPr="00746E09">
        <w:rPr>
          <w:rFonts w:cs="Times New Roman"/>
          <w:szCs w:val="20"/>
          <w:shd w:val="clear" w:color="auto" w:fill="FFFFFF"/>
        </w:rPr>
        <w:t>Soyege</w:t>
      </w:r>
      <w:proofErr w:type="spellEnd"/>
      <w:r w:rsidRPr="00746E09">
        <w:rPr>
          <w:rFonts w:cs="Times New Roman"/>
          <w:szCs w:val="20"/>
          <w:shd w:val="clear" w:color="auto" w:fill="FFFFFF"/>
        </w:rPr>
        <w:t xml:space="preserve">, O.S., Nwokedi, C.N., Tomoh, B.O., Mustapha, A.Y., Balogun, O.D., Forkuo, A.Y. and Iguma, D.R., </w:t>
      </w:r>
      <w:r>
        <w:rPr>
          <w:rFonts w:cs="Times New Roman"/>
          <w:szCs w:val="20"/>
          <w:shd w:val="clear" w:color="auto" w:fill="FFFFFF"/>
        </w:rPr>
        <w:t>(</w:t>
      </w:r>
      <w:r w:rsidRPr="00746E09">
        <w:rPr>
          <w:rFonts w:cs="Times New Roman"/>
          <w:szCs w:val="20"/>
          <w:shd w:val="clear" w:color="auto" w:fill="FFFFFF"/>
        </w:rPr>
        <w:t>2024</w:t>
      </w:r>
      <w:r>
        <w:rPr>
          <w:rFonts w:cs="Times New Roman"/>
          <w:szCs w:val="20"/>
          <w:shd w:val="clear" w:color="auto" w:fill="FFFFFF"/>
        </w:rPr>
        <w:t>)</w:t>
      </w:r>
      <w:r w:rsidRPr="00746E09">
        <w:rPr>
          <w:rFonts w:cs="Times New Roman"/>
          <w:szCs w:val="20"/>
          <w:shd w:val="clear" w:color="auto" w:fill="FFFFFF"/>
        </w:rPr>
        <w:t>. Preventative medicine and chronic disease management: reducing healthcare costs and improving long-term public health. </w:t>
      </w:r>
      <w:r w:rsidRPr="00746E09">
        <w:rPr>
          <w:rFonts w:cs="Times New Roman"/>
          <w:i/>
          <w:iCs/>
          <w:szCs w:val="20"/>
          <w:shd w:val="clear" w:color="auto" w:fill="FFFFFF"/>
        </w:rPr>
        <w:t>International Journal of Multidisciplinary Research and Growth Evaluation</w:t>
      </w:r>
      <w:r w:rsidRPr="00746E09">
        <w:rPr>
          <w:rFonts w:cs="Times New Roman"/>
          <w:szCs w:val="20"/>
          <w:shd w:val="clear" w:color="auto" w:fill="FFFFFF"/>
        </w:rPr>
        <w:t>, </w:t>
      </w:r>
      <w:r w:rsidRPr="00746E09">
        <w:rPr>
          <w:rFonts w:cs="Times New Roman"/>
          <w:i/>
          <w:iCs/>
          <w:szCs w:val="20"/>
          <w:shd w:val="clear" w:color="auto" w:fill="FFFFFF"/>
        </w:rPr>
        <w:t>5</w:t>
      </w:r>
      <w:r w:rsidRPr="00746E09">
        <w:rPr>
          <w:rFonts w:cs="Times New Roman"/>
          <w:szCs w:val="20"/>
          <w:shd w:val="clear" w:color="auto" w:fill="FFFFFF"/>
        </w:rPr>
        <w:t>(06), pp.1584-1600.</w:t>
      </w:r>
    </w:p>
    <w:p w14:paraId="359F17A3" w14:textId="77777777" w:rsidR="00A514C8" w:rsidRPr="00DF482C" w:rsidRDefault="00A514C8" w:rsidP="00746E09">
      <w:pPr>
        <w:ind w:left="720" w:hanging="720"/>
        <w:rPr>
          <w:rFonts w:cs="Times New Roman"/>
          <w:szCs w:val="20"/>
          <w:shd w:val="clear" w:color="auto" w:fill="FFFFFF"/>
        </w:rPr>
      </w:pPr>
      <w:r w:rsidRPr="00DF482C">
        <w:rPr>
          <w:rFonts w:cs="Times New Roman"/>
          <w:szCs w:val="20"/>
          <w:shd w:val="clear" w:color="auto" w:fill="FFFFFF"/>
        </w:rPr>
        <w:t xml:space="preserve">McSweeney, L., Lally, J., Parbery-Clark, C., Murrell, K., Thomson, R.G. and Sowden, S., </w:t>
      </w:r>
      <w:r>
        <w:rPr>
          <w:rFonts w:cs="Times New Roman"/>
          <w:szCs w:val="20"/>
          <w:shd w:val="clear" w:color="auto" w:fill="FFFFFF"/>
        </w:rPr>
        <w:t>(</w:t>
      </w:r>
      <w:r w:rsidRPr="00DF482C">
        <w:rPr>
          <w:rFonts w:cs="Times New Roman"/>
          <w:szCs w:val="20"/>
          <w:shd w:val="clear" w:color="auto" w:fill="FFFFFF"/>
        </w:rPr>
        <w:t>2025</w:t>
      </w:r>
      <w:r>
        <w:rPr>
          <w:rFonts w:cs="Times New Roman"/>
          <w:szCs w:val="20"/>
          <w:shd w:val="clear" w:color="auto" w:fill="FFFFFF"/>
        </w:rPr>
        <w:t>)</w:t>
      </w:r>
      <w:r w:rsidRPr="00DF482C">
        <w:rPr>
          <w:rFonts w:cs="Times New Roman"/>
          <w:szCs w:val="20"/>
          <w:shd w:val="clear" w:color="auto" w:fill="FFFFFF"/>
        </w:rPr>
        <w:t>. Understanding the challenges, opportunities, and drivers to addressing health inequalities within local health systems: the UNFAIR case study qualitative project. </w:t>
      </w:r>
      <w:r w:rsidRPr="00DF482C">
        <w:rPr>
          <w:rFonts w:cs="Times New Roman"/>
          <w:i/>
          <w:iCs/>
          <w:szCs w:val="20"/>
          <w:shd w:val="clear" w:color="auto" w:fill="FFFFFF"/>
        </w:rPr>
        <w:t>BMC Health Services Research</w:t>
      </w:r>
      <w:r w:rsidRPr="00DF482C">
        <w:rPr>
          <w:rFonts w:cs="Times New Roman"/>
          <w:szCs w:val="20"/>
          <w:shd w:val="clear" w:color="auto" w:fill="FFFFFF"/>
        </w:rPr>
        <w:t>, </w:t>
      </w:r>
      <w:r w:rsidRPr="00DF482C">
        <w:rPr>
          <w:rFonts w:cs="Times New Roman"/>
          <w:i/>
          <w:iCs/>
          <w:szCs w:val="20"/>
          <w:shd w:val="clear" w:color="auto" w:fill="FFFFFF"/>
        </w:rPr>
        <w:t>25</w:t>
      </w:r>
      <w:r w:rsidRPr="00DF482C">
        <w:rPr>
          <w:rFonts w:cs="Times New Roman"/>
          <w:szCs w:val="20"/>
          <w:shd w:val="clear" w:color="auto" w:fill="FFFFFF"/>
        </w:rPr>
        <w:t>(1), p.810.</w:t>
      </w:r>
    </w:p>
    <w:p w14:paraId="335A86DB" w14:textId="77777777" w:rsidR="00A514C8" w:rsidRPr="00746E09" w:rsidRDefault="00A514C8" w:rsidP="00746E09">
      <w:pPr>
        <w:ind w:left="720" w:hanging="720"/>
        <w:rPr>
          <w:rFonts w:cs="Times New Roman"/>
          <w:szCs w:val="20"/>
          <w:shd w:val="clear" w:color="auto" w:fill="FFFFFF"/>
        </w:rPr>
      </w:pPr>
      <w:r w:rsidRPr="00746E09">
        <w:rPr>
          <w:rFonts w:cs="Times New Roman"/>
          <w:szCs w:val="20"/>
          <w:shd w:val="clear" w:color="auto" w:fill="FFFFFF"/>
        </w:rPr>
        <w:lastRenderedPageBreak/>
        <w:t xml:space="preserve">Monterrosa-Castro, Á., Romero-Martínez, S. and Monterrosa-Blanco, A., </w:t>
      </w:r>
      <w:r>
        <w:rPr>
          <w:rFonts w:cs="Times New Roman"/>
          <w:szCs w:val="20"/>
          <w:shd w:val="clear" w:color="auto" w:fill="FFFFFF"/>
        </w:rPr>
        <w:t>(</w:t>
      </w:r>
      <w:r w:rsidRPr="00746E09">
        <w:rPr>
          <w:rFonts w:cs="Times New Roman"/>
          <w:szCs w:val="20"/>
          <w:shd w:val="clear" w:color="auto" w:fill="FFFFFF"/>
        </w:rPr>
        <w:t>2023</w:t>
      </w:r>
      <w:r>
        <w:rPr>
          <w:rFonts w:cs="Times New Roman"/>
          <w:szCs w:val="20"/>
          <w:shd w:val="clear" w:color="auto" w:fill="FFFFFF"/>
        </w:rPr>
        <w:t>)</w:t>
      </w:r>
      <w:r w:rsidRPr="00746E09">
        <w:rPr>
          <w:rFonts w:cs="Times New Roman"/>
          <w:szCs w:val="20"/>
          <w:shd w:val="clear" w:color="auto" w:fill="FFFFFF"/>
        </w:rPr>
        <w:t>. Positive maternal mental health in pregnant women and its association with obstetric and psychosocial factors. </w:t>
      </w:r>
      <w:r w:rsidRPr="00746E09">
        <w:rPr>
          <w:rFonts w:cs="Times New Roman"/>
          <w:i/>
          <w:iCs/>
          <w:szCs w:val="20"/>
          <w:shd w:val="clear" w:color="auto" w:fill="FFFFFF"/>
        </w:rPr>
        <w:t>BMC Public Health</w:t>
      </w:r>
      <w:r w:rsidRPr="00746E09">
        <w:rPr>
          <w:rFonts w:cs="Times New Roman"/>
          <w:szCs w:val="20"/>
          <w:shd w:val="clear" w:color="auto" w:fill="FFFFFF"/>
        </w:rPr>
        <w:t>, </w:t>
      </w:r>
      <w:r w:rsidRPr="00746E09">
        <w:rPr>
          <w:rFonts w:cs="Times New Roman"/>
          <w:i/>
          <w:iCs/>
          <w:szCs w:val="20"/>
          <w:shd w:val="clear" w:color="auto" w:fill="FFFFFF"/>
        </w:rPr>
        <w:t>23</w:t>
      </w:r>
      <w:r w:rsidRPr="00746E09">
        <w:rPr>
          <w:rFonts w:cs="Times New Roman"/>
          <w:szCs w:val="20"/>
          <w:shd w:val="clear" w:color="auto" w:fill="FFFFFF"/>
        </w:rPr>
        <w:t>(1), p.1013.</w:t>
      </w:r>
    </w:p>
    <w:p w14:paraId="32F453B4" w14:textId="77777777" w:rsidR="00A514C8" w:rsidRPr="00DF482C" w:rsidRDefault="00A514C8" w:rsidP="00746E09">
      <w:pPr>
        <w:ind w:left="720" w:hanging="720"/>
        <w:rPr>
          <w:rFonts w:cs="Times New Roman"/>
          <w:szCs w:val="20"/>
          <w:shd w:val="clear" w:color="auto" w:fill="FFFFFF"/>
        </w:rPr>
      </w:pPr>
      <w:proofErr w:type="spellStart"/>
      <w:r w:rsidRPr="00DF482C">
        <w:rPr>
          <w:rFonts w:cs="Times New Roman"/>
          <w:szCs w:val="20"/>
          <w:shd w:val="clear" w:color="auto" w:fill="FFFFFF"/>
        </w:rPr>
        <w:t>Novovic</w:t>
      </w:r>
      <w:proofErr w:type="spellEnd"/>
      <w:r w:rsidRPr="00DF482C">
        <w:rPr>
          <w:rFonts w:cs="Times New Roman"/>
          <w:szCs w:val="20"/>
          <w:shd w:val="clear" w:color="auto" w:fill="FFFFFF"/>
        </w:rPr>
        <w:t xml:space="preserve">, G., </w:t>
      </w:r>
      <w:r>
        <w:rPr>
          <w:rFonts w:cs="Times New Roman"/>
          <w:szCs w:val="20"/>
          <w:shd w:val="clear" w:color="auto" w:fill="FFFFFF"/>
        </w:rPr>
        <w:t>(</w:t>
      </w:r>
      <w:r w:rsidRPr="00DF482C">
        <w:rPr>
          <w:rFonts w:cs="Times New Roman"/>
          <w:szCs w:val="20"/>
          <w:shd w:val="clear" w:color="auto" w:fill="FFFFFF"/>
        </w:rPr>
        <w:t>2022</w:t>
      </w:r>
      <w:r>
        <w:rPr>
          <w:rFonts w:cs="Times New Roman"/>
          <w:szCs w:val="20"/>
          <w:shd w:val="clear" w:color="auto" w:fill="FFFFFF"/>
        </w:rPr>
        <w:t>)</w:t>
      </w:r>
      <w:r w:rsidRPr="00DF482C">
        <w:rPr>
          <w:rFonts w:cs="Times New Roman"/>
          <w:szCs w:val="20"/>
          <w:shd w:val="clear" w:color="auto" w:fill="FFFFFF"/>
        </w:rPr>
        <w:t xml:space="preserve">. Can Agenda 2030 bring about "localisation"? Policy limitations of Agenda 2030 in the broader global governance system. </w:t>
      </w:r>
      <w:r w:rsidRPr="00DF482C">
        <w:rPr>
          <w:rFonts w:cs="Times New Roman"/>
          <w:i/>
          <w:iCs/>
          <w:szCs w:val="20"/>
          <w:shd w:val="clear" w:color="auto" w:fill="FFFFFF"/>
        </w:rPr>
        <w:t>Development Policy Review</w:t>
      </w:r>
      <w:r w:rsidRPr="00DF482C">
        <w:rPr>
          <w:rFonts w:cs="Times New Roman"/>
          <w:szCs w:val="20"/>
          <w:shd w:val="clear" w:color="auto" w:fill="FFFFFF"/>
        </w:rPr>
        <w:t>, </w:t>
      </w:r>
      <w:r w:rsidRPr="00DF482C">
        <w:rPr>
          <w:rFonts w:cs="Times New Roman"/>
          <w:i/>
          <w:iCs/>
          <w:szCs w:val="20"/>
          <w:shd w:val="clear" w:color="auto" w:fill="FFFFFF"/>
        </w:rPr>
        <w:t>40</w:t>
      </w:r>
      <w:r w:rsidRPr="00DF482C">
        <w:rPr>
          <w:rFonts w:cs="Times New Roman"/>
          <w:szCs w:val="20"/>
          <w:shd w:val="clear" w:color="auto" w:fill="FFFFFF"/>
        </w:rPr>
        <w:t>(4), p.e12587.</w:t>
      </w:r>
    </w:p>
    <w:p w14:paraId="623BF98E" w14:textId="77777777" w:rsidR="00A514C8" w:rsidRPr="00DF482C" w:rsidRDefault="00A514C8" w:rsidP="00746E09">
      <w:pPr>
        <w:ind w:left="720" w:hanging="720"/>
        <w:rPr>
          <w:rFonts w:cs="Times New Roman"/>
          <w:szCs w:val="20"/>
          <w:shd w:val="clear" w:color="auto" w:fill="FFFFFF"/>
        </w:rPr>
      </w:pPr>
      <w:proofErr w:type="spellStart"/>
      <w:r w:rsidRPr="00DF482C">
        <w:rPr>
          <w:rFonts w:cs="Times New Roman"/>
          <w:szCs w:val="20"/>
          <w:shd w:val="clear" w:color="auto" w:fill="FFFFFF"/>
        </w:rPr>
        <w:t>Stöckl</w:t>
      </w:r>
      <w:proofErr w:type="spellEnd"/>
      <w:r w:rsidRPr="00DF482C">
        <w:rPr>
          <w:rFonts w:cs="Times New Roman"/>
          <w:szCs w:val="20"/>
          <w:shd w:val="clear" w:color="auto" w:fill="FFFFFF"/>
        </w:rPr>
        <w:t xml:space="preserve">, H. and Sorenson, S.B., </w:t>
      </w:r>
      <w:r>
        <w:rPr>
          <w:rFonts w:cs="Times New Roman"/>
          <w:szCs w:val="20"/>
          <w:shd w:val="clear" w:color="auto" w:fill="FFFFFF"/>
        </w:rPr>
        <w:t>(</w:t>
      </w:r>
      <w:r w:rsidRPr="00DF482C">
        <w:rPr>
          <w:rFonts w:cs="Times New Roman"/>
          <w:szCs w:val="20"/>
          <w:shd w:val="clear" w:color="auto" w:fill="FFFFFF"/>
        </w:rPr>
        <w:t>2024</w:t>
      </w:r>
      <w:r>
        <w:rPr>
          <w:rFonts w:cs="Times New Roman"/>
          <w:szCs w:val="20"/>
          <w:shd w:val="clear" w:color="auto" w:fill="FFFFFF"/>
        </w:rPr>
        <w:t>)</w:t>
      </w:r>
      <w:r w:rsidRPr="00DF482C">
        <w:rPr>
          <w:rFonts w:cs="Times New Roman"/>
          <w:szCs w:val="20"/>
          <w:shd w:val="clear" w:color="auto" w:fill="FFFFFF"/>
        </w:rPr>
        <w:t>. Violence against women as a global public health issue. </w:t>
      </w:r>
      <w:r w:rsidRPr="00DF482C">
        <w:rPr>
          <w:rFonts w:cs="Times New Roman"/>
          <w:i/>
          <w:iCs/>
          <w:szCs w:val="20"/>
          <w:shd w:val="clear" w:color="auto" w:fill="FFFFFF"/>
        </w:rPr>
        <w:t>Annual review of public health</w:t>
      </w:r>
      <w:r w:rsidRPr="00DF482C">
        <w:rPr>
          <w:rFonts w:cs="Times New Roman"/>
          <w:szCs w:val="20"/>
          <w:shd w:val="clear" w:color="auto" w:fill="FFFFFF"/>
        </w:rPr>
        <w:t>, </w:t>
      </w:r>
      <w:r w:rsidRPr="00DF482C">
        <w:rPr>
          <w:rFonts w:cs="Times New Roman"/>
          <w:i/>
          <w:iCs/>
          <w:szCs w:val="20"/>
          <w:shd w:val="clear" w:color="auto" w:fill="FFFFFF"/>
        </w:rPr>
        <w:t>45</w:t>
      </w:r>
      <w:r w:rsidRPr="00DF482C">
        <w:rPr>
          <w:rFonts w:cs="Times New Roman"/>
          <w:szCs w:val="20"/>
          <w:shd w:val="clear" w:color="auto" w:fill="FFFFFF"/>
        </w:rPr>
        <w:t>(1), pp.277-294.</w:t>
      </w:r>
    </w:p>
    <w:p w14:paraId="31E19C45" w14:textId="77777777" w:rsidR="00A514C8" w:rsidRPr="00746E09" w:rsidRDefault="00A514C8" w:rsidP="00746E09">
      <w:pPr>
        <w:ind w:left="720" w:hanging="720"/>
        <w:rPr>
          <w:rFonts w:cs="Times New Roman"/>
          <w:szCs w:val="20"/>
          <w:shd w:val="clear" w:color="auto" w:fill="FFFFFF"/>
        </w:rPr>
      </w:pPr>
      <w:r w:rsidRPr="00746E09">
        <w:rPr>
          <w:rFonts w:cs="Times New Roman"/>
          <w:szCs w:val="20"/>
          <w:shd w:val="clear" w:color="auto" w:fill="FFFFFF"/>
        </w:rPr>
        <w:t xml:space="preserve">Trentin, M., Rubini, E., Bahattab, A., Loddo, M., Della Corte, F., Ragazzoni, L. and Valente, M., </w:t>
      </w:r>
      <w:r>
        <w:rPr>
          <w:rFonts w:cs="Times New Roman"/>
          <w:szCs w:val="20"/>
          <w:shd w:val="clear" w:color="auto" w:fill="FFFFFF"/>
        </w:rPr>
        <w:t>(</w:t>
      </w:r>
      <w:r w:rsidRPr="00746E09">
        <w:rPr>
          <w:rFonts w:cs="Times New Roman"/>
          <w:szCs w:val="20"/>
          <w:shd w:val="clear" w:color="auto" w:fill="FFFFFF"/>
        </w:rPr>
        <w:t>2023</w:t>
      </w:r>
      <w:r>
        <w:rPr>
          <w:rFonts w:cs="Times New Roman"/>
          <w:szCs w:val="20"/>
          <w:shd w:val="clear" w:color="auto" w:fill="FFFFFF"/>
        </w:rPr>
        <w:t>)</w:t>
      </w:r>
      <w:r w:rsidRPr="00746E09">
        <w:rPr>
          <w:rFonts w:cs="Times New Roman"/>
          <w:szCs w:val="20"/>
          <w:shd w:val="clear" w:color="auto" w:fill="FFFFFF"/>
        </w:rPr>
        <w:t>. Vulnerability of migrant women during disasters: a scoping review of the literature. </w:t>
      </w:r>
      <w:r w:rsidRPr="00746E09">
        <w:rPr>
          <w:rFonts w:cs="Times New Roman"/>
          <w:i/>
          <w:iCs/>
          <w:szCs w:val="20"/>
          <w:shd w:val="clear" w:color="auto" w:fill="FFFFFF"/>
        </w:rPr>
        <w:t>International Journal for Equity in Health</w:t>
      </w:r>
      <w:r w:rsidRPr="00746E09">
        <w:rPr>
          <w:rFonts w:cs="Times New Roman"/>
          <w:szCs w:val="20"/>
          <w:shd w:val="clear" w:color="auto" w:fill="FFFFFF"/>
        </w:rPr>
        <w:t>, </w:t>
      </w:r>
      <w:r w:rsidRPr="00746E09">
        <w:rPr>
          <w:rFonts w:cs="Times New Roman"/>
          <w:i/>
          <w:iCs/>
          <w:szCs w:val="20"/>
          <w:shd w:val="clear" w:color="auto" w:fill="FFFFFF"/>
        </w:rPr>
        <w:t>22</w:t>
      </w:r>
      <w:r w:rsidRPr="00746E09">
        <w:rPr>
          <w:rFonts w:cs="Times New Roman"/>
          <w:szCs w:val="20"/>
          <w:shd w:val="clear" w:color="auto" w:fill="FFFFFF"/>
        </w:rPr>
        <w:t>(1), p.135.</w:t>
      </w:r>
    </w:p>
    <w:p w14:paraId="3734DB2F" w14:textId="77777777" w:rsidR="00A514C8" w:rsidRPr="00746E09" w:rsidRDefault="00A514C8" w:rsidP="00746E09">
      <w:pPr>
        <w:ind w:left="720" w:hanging="720"/>
        <w:rPr>
          <w:rFonts w:cs="Times New Roman"/>
          <w:szCs w:val="20"/>
          <w:shd w:val="clear" w:color="auto" w:fill="FFFFFF"/>
        </w:rPr>
      </w:pPr>
      <w:proofErr w:type="spellStart"/>
      <w:r w:rsidRPr="00746E09">
        <w:rPr>
          <w:rFonts w:cs="Times New Roman"/>
          <w:szCs w:val="20"/>
          <w:shd w:val="clear" w:color="auto" w:fill="FFFFFF"/>
        </w:rPr>
        <w:t>Tuschick</w:t>
      </w:r>
      <w:proofErr w:type="spellEnd"/>
      <w:r w:rsidRPr="00746E09">
        <w:rPr>
          <w:rFonts w:cs="Times New Roman"/>
          <w:szCs w:val="20"/>
          <w:shd w:val="clear" w:color="auto" w:fill="FFFFFF"/>
        </w:rPr>
        <w:t xml:space="preserve">, E., Barker, J., Giles, E.L., Jones, S., Hogg, J., Kanmodi, K.K., Sill, J. and Sykes, K., </w:t>
      </w:r>
      <w:r>
        <w:rPr>
          <w:rFonts w:cs="Times New Roman"/>
          <w:szCs w:val="20"/>
          <w:shd w:val="clear" w:color="auto" w:fill="FFFFFF"/>
        </w:rPr>
        <w:t>(</w:t>
      </w:r>
      <w:r w:rsidRPr="00746E09">
        <w:rPr>
          <w:rFonts w:cs="Times New Roman"/>
          <w:szCs w:val="20"/>
          <w:shd w:val="clear" w:color="auto" w:fill="FFFFFF"/>
        </w:rPr>
        <w:t>2024</w:t>
      </w:r>
      <w:r>
        <w:rPr>
          <w:rFonts w:cs="Times New Roman"/>
          <w:szCs w:val="20"/>
          <w:shd w:val="clear" w:color="auto" w:fill="FFFFFF"/>
        </w:rPr>
        <w:t>)</w:t>
      </w:r>
      <w:r w:rsidRPr="00746E09">
        <w:rPr>
          <w:rFonts w:cs="Times New Roman"/>
          <w:szCs w:val="20"/>
          <w:shd w:val="clear" w:color="auto" w:fill="FFFFFF"/>
        </w:rPr>
        <w:t>. Barriers and facilitators for people with severe mental illness accessing cancer screening: A systematic review. </w:t>
      </w:r>
      <w:r w:rsidRPr="00746E09">
        <w:rPr>
          <w:rFonts w:cs="Times New Roman"/>
          <w:i/>
          <w:iCs/>
          <w:szCs w:val="20"/>
          <w:shd w:val="clear" w:color="auto" w:fill="FFFFFF"/>
        </w:rPr>
        <w:t>Psycho‐Oncology</w:t>
      </w:r>
      <w:r w:rsidRPr="00746E09">
        <w:rPr>
          <w:rFonts w:cs="Times New Roman"/>
          <w:szCs w:val="20"/>
          <w:shd w:val="clear" w:color="auto" w:fill="FFFFFF"/>
        </w:rPr>
        <w:t>, </w:t>
      </w:r>
      <w:r w:rsidRPr="00746E09">
        <w:rPr>
          <w:rFonts w:cs="Times New Roman"/>
          <w:i/>
          <w:iCs/>
          <w:szCs w:val="20"/>
          <w:shd w:val="clear" w:color="auto" w:fill="FFFFFF"/>
        </w:rPr>
        <w:t>33</w:t>
      </w:r>
      <w:r w:rsidRPr="00746E09">
        <w:rPr>
          <w:rFonts w:cs="Times New Roman"/>
          <w:szCs w:val="20"/>
          <w:shd w:val="clear" w:color="auto" w:fill="FFFFFF"/>
        </w:rPr>
        <w:t>(1), p.e6274.</w:t>
      </w:r>
    </w:p>
    <w:p w14:paraId="01C964EF" w14:textId="77777777" w:rsidR="00A514C8" w:rsidRDefault="00A514C8" w:rsidP="009D4307">
      <w:pPr>
        <w:ind w:left="720" w:hanging="720"/>
      </w:pPr>
      <w:proofErr w:type="spellStart"/>
      <w:r w:rsidRPr="009D4307">
        <w:t>Uberoi</w:t>
      </w:r>
      <w:proofErr w:type="spellEnd"/>
      <w:r w:rsidRPr="009D4307">
        <w:t xml:space="preserve">, E., Burnett, H. and Stiebahl, S. (2026). </w:t>
      </w:r>
      <w:r w:rsidRPr="009D4307">
        <w:rPr>
          <w:i/>
          <w:iCs/>
        </w:rPr>
        <w:t>Women’s health</w:t>
      </w:r>
      <w:r w:rsidRPr="009D4307">
        <w:t xml:space="preserve">. [online] House of Commons Library. Available at: </w:t>
      </w:r>
      <w:hyperlink r:id="rId16" w:history="1">
        <w:r w:rsidRPr="00DD0F7B">
          <w:rPr>
            <w:rStyle w:val="Hyperlink"/>
          </w:rPr>
          <w:t>https://commonslibrary.parliament.uk/research-briefings/cdp-2025-0038/</w:t>
        </w:r>
      </w:hyperlink>
      <w:r w:rsidRPr="009D4307">
        <w:t>?</w:t>
      </w:r>
      <w:r>
        <w:t xml:space="preserve"> </w:t>
      </w:r>
      <w:r w:rsidRPr="009D4307">
        <w:t>[Accessed 8 July 2026].</w:t>
      </w:r>
    </w:p>
    <w:p w14:paraId="2631C38C" w14:textId="77777777" w:rsidR="00A514C8" w:rsidRDefault="00A514C8" w:rsidP="00200206">
      <w:pPr>
        <w:ind w:left="720" w:hanging="720"/>
      </w:pPr>
      <w:r w:rsidRPr="00200206">
        <w:t xml:space="preserve">UK Health Security Agency (2025). </w:t>
      </w:r>
      <w:r w:rsidRPr="00200206">
        <w:rPr>
          <w:i/>
          <w:iCs/>
        </w:rPr>
        <w:t>Health inequalities in health protection report 2025</w:t>
      </w:r>
      <w:r w:rsidRPr="00200206">
        <w:t xml:space="preserve">. [online] GOV.UK. Available at: </w:t>
      </w:r>
      <w:hyperlink r:id="rId17" w:history="1">
        <w:r w:rsidRPr="00DD0F7B">
          <w:rPr>
            <w:rStyle w:val="Hyperlink"/>
          </w:rPr>
          <w:t>https://www.gov.uk/government/publications/health-inequalities-in-health-protection-report/health-inequalities-in-health-protection-report-2025</w:t>
        </w:r>
      </w:hyperlink>
      <w:r>
        <w:t xml:space="preserve"> </w:t>
      </w:r>
      <w:r w:rsidRPr="00200206">
        <w:t>[Accessed 8 July 2026].</w:t>
      </w:r>
    </w:p>
    <w:p w14:paraId="5E279778" w14:textId="77777777" w:rsidR="00A514C8" w:rsidRDefault="00A514C8" w:rsidP="001D5B27">
      <w:pPr>
        <w:ind w:left="720" w:hanging="720"/>
      </w:pPr>
      <w:bookmarkStart w:id="14" w:name="_Hlk234427399"/>
      <w:r w:rsidRPr="00FD1D10">
        <w:t>UN WOMEN (2024</w:t>
      </w:r>
      <w:bookmarkEnd w:id="14"/>
      <w:r w:rsidRPr="00FD1D10">
        <w:t xml:space="preserve">). </w:t>
      </w:r>
      <w:r w:rsidRPr="00FD1D10">
        <w:rPr>
          <w:i/>
          <w:iCs/>
        </w:rPr>
        <w:t>PROGRESS ON THE SUSTAINABLE DEVELOPMENT GOALS THE GENDER SNAPSHOT 2024</w:t>
      </w:r>
      <w:r w:rsidRPr="00FD1D10">
        <w:t xml:space="preserve">. [online] Available at: </w:t>
      </w:r>
      <w:hyperlink r:id="rId18" w:history="1">
        <w:r w:rsidRPr="00DD0F7B">
          <w:rPr>
            <w:rStyle w:val="Hyperlink"/>
          </w:rPr>
          <w:t>https://unstats.un.org/sdgs/gender-snapshot/2024/GenderSnapshot2024.pdf</w:t>
        </w:r>
      </w:hyperlink>
      <w:r>
        <w:t xml:space="preserve"> </w:t>
      </w:r>
      <w:r w:rsidRPr="00FD1D10">
        <w:t>[Accessed 8 July 2026].</w:t>
      </w:r>
    </w:p>
    <w:p w14:paraId="2FEABD9F" w14:textId="77777777" w:rsidR="00A514C8" w:rsidRDefault="00A514C8" w:rsidP="00AE0D10">
      <w:pPr>
        <w:ind w:left="720" w:hanging="720"/>
      </w:pPr>
      <w:bookmarkStart w:id="15" w:name="_Hlk234426512"/>
      <w:r w:rsidRPr="00AE0D10">
        <w:t>UNICEF (2024</w:t>
      </w:r>
      <w:bookmarkEnd w:id="15"/>
      <w:r w:rsidRPr="00AE0D10">
        <w:t xml:space="preserve">). </w:t>
      </w:r>
      <w:r w:rsidRPr="00AE0D10">
        <w:rPr>
          <w:i/>
          <w:iCs/>
        </w:rPr>
        <w:t xml:space="preserve">Progress in reducing child deaths slows as 4.9 million children under five </w:t>
      </w:r>
      <w:proofErr w:type="gramStart"/>
      <w:r w:rsidRPr="00AE0D10">
        <w:rPr>
          <w:i/>
          <w:iCs/>
        </w:rPr>
        <w:t>die</w:t>
      </w:r>
      <w:proofErr w:type="gramEnd"/>
      <w:r w:rsidRPr="00AE0D10">
        <w:rPr>
          <w:i/>
          <w:iCs/>
        </w:rPr>
        <w:t xml:space="preserve"> in 2024</w:t>
      </w:r>
      <w:r w:rsidRPr="00AE0D10">
        <w:t xml:space="preserve">. [online] Unicef.org. Available at: </w:t>
      </w:r>
      <w:hyperlink r:id="rId19" w:history="1">
        <w:r w:rsidRPr="00DD0F7B">
          <w:rPr>
            <w:rStyle w:val="Hyperlink"/>
          </w:rPr>
          <w:t>https://www.unicef.org/press-releases/progress-reducing-child-deaths-slows-49-million-children-under-five-die-2024</w:t>
        </w:r>
      </w:hyperlink>
      <w:r>
        <w:t xml:space="preserve"> </w:t>
      </w:r>
      <w:r w:rsidRPr="00AE0D10">
        <w:t>[Accessed 8 July 2026].</w:t>
      </w:r>
    </w:p>
    <w:p w14:paraId="5B794D3C" w14:textId="77777777" w:rsidR="00A514C8" w:rsidRDefault="00A514C8" w:rsidP="00746E09">
      <w:pPr>
        <w:ind w:left="720" w:hanging="720"/>
      </w:pPr>
      <w:r w:rsidRPr="00DF482C">
        <w:t xml:space="preserve">United Nations (2020). </w:t>
      </w:r>
      <w:r w:rsidRPr="00DF482C">
        <w:rPr>
          <w:i/>
          <w:iCs/>
        </w:rPr>
        <w:t>Health</w:t>
      </w:r>
      <w:r w:rsidRPr="00DF482C">
        <w:t xml:space="preserve">. [online] United Nations. Available at: </w:t>
      </w:r>
      <w:hyperlink r:id="rId20" w:history="1">
        <w:r w:rsidRPr="00F469DB">
          <w:rPr>
            <w:rStyle w:val="Hyperlink"/>
          </w:rPr>
          <w:t>https://www.un.org/en/global-issues/health</w:t>
        </w:r>
      </w:hyperlink>
      <w:r>
        <w:t xml:space="preserve"> </w:t>
      </w:r>
      <w:r w:rsidRPr="00DF482C">
        <w:t>[Accessed 1 Jun. 2026].</w:t>
      </w:r>
    </w:p>
    <w:p w14:paraId="5794D3C8" w14:textId="77777777" w:rsidR="00A514C8" w:rsidRPr="00DF482C" w:rsidRDefault="00A514C8" w:rsidP="00746E09">
      <w:pPr>
        <w:ind w:left="720" w:hanging="720"/>
        <w:rPr>
          <w:rFonts w:cs="Times New Roman"/>
          <w:szCs w:val="20"/>
          <w:shd w:val="clear" w:color="auto" w:fill="FFFFFF"/>
        </w:rPr>
      </w:pPr>
      <w:r w:rsidRPr="00DF482C">
        <w:rPr>
          <w:rFonts w:cs="Times New Roman"/>
          <w:szCs w:val="20"/>
          <w:shd w:val="clear" w:color="auto" w:fill="FFFFFF"/>
        </w:rPr>
        <w:t xml:space="preserve">Ward, Z.J., </w:t>
      </w:r>
      <w:proofErr w:type="spellStart"/>
      <w:r w:rsidRPr="00DF482C">
        <w:rPr>
          <w:rFonts w:cs="Times New Roman"/>
          <w:szCs w:val="20"/>
          <w:shd w:val="clear" w:color="auto" w:fill="FFFFFF"/>
        </w:rPr>
        <w:t>Atun</w:t>
      </w:r>
      <w:proofErr w:type="spellEnd"/>
      <w:r w:rsidRPr="00DF482C">
        <w:rPr>
          <w:rFonts w:cs="Times New Roman"/>
          <w:szCs w:val="20"/>
          <w:shd w:val="clear" w:color="auto" w:fill="FFFFFF"/>
        </w:rPr>
        <w:t xml:space="preserve">, R., King, G., Dmello, B.S. and Goldie, S.J., </w:t>
      </w:r>
      <w:r>
        <w:rPr>
          <w:rFonts w:cs="Times New Roman"/>
          <w:szCs w:val="20"/>
          <w:shd w:val="clear" w:color="auto" w:fill="FFFFFF"/>
        </w:rPr>
        <w:t>(</w:t>
      </w:r>
      <w:r w:rsidRPr="00DF482C">
        <w:rPr>
          <w:rFonts w:cs="Times New Roman"/>
          <w:szCs w:val="20"/>
          <w:shd w:val="clear" w:color="auto" w:fill="FFFFFF"/>
        </w:rPr>
        <w:t>2024</w:t>
      </w:r>
      <w:r>
        <w:rPr>
          <w:rFonts w:cs="Times New Roman"/>
          <w:szCs w:val="20"/>
          <w:shd w:val="clear" w:color="auto" w:fill="FFFFFF"/>
        </w:rPr>
        <w:t>)</w:t>
      </w:r>
      <w:r w:rsidRPr="00DF482C">
        <w:rPr>
          <w:rFonts w:cs="Times New Roman"/>
          <w:szCs w:val="20"/>
          <w:shd w:val="clear" w:color="auto" w:fill="FFFFFF"/>
        </w:rPr>
        <w:t>. Global maternal mortality projections by urban/rural location and education level: a simulation-based analysis. </w:t>
      </w:r>
      <w:r w:rsidRPr="00DF482C">
        <w:rPr>
          <w:rFonts w:cs="Times New Roman"/>
          <w:i/>
          <w:iCs/>
          <w:szCs w:val="20"/>
          <w:shd w:val="clear" w:color="auto" w:fill="FFFFFF"/>
        </w:rPr>
        <w:t>EClinicalMedicine</w:t>
      </w:r>
      <w:r w:rsidRPr="00DF482C">
        <w:rPr>
          <w:rFonts w:cs="Times New Roman"/>
          <w:szCs w:val="20"/>
          <w:shd w:val="clear" w:color="auto" w:fill="FFFFFF"/>
        </w:rPr>
        <w:t>, </w:t>
      </w:r>
      <w:r w:rsidRPr="00DF482C">
        <w:rPr>
          <w:rFonts w:cs="Times New Roman"/>
          <w:i/>
          <w:iCs/>
          <w:szCs w:val="20"/>
          <w:shd w:val="clear" w:color="auto" w:fill="FFFFFF"/>
        </w:rPr>
        <w:t>72</w:t>
      </w:r>
      <w:r w:rsidRPr="00DF482C">
        <w:rPr>
          <w:rFonts w:cs="Times New Roman"/>
          <w:szCs w:val="20"/>
          <w:shd w:val="clear" w:color="auto" w:fill="FFFFFF"/>
        </w:rPr>
        <w:t>.</w:t>
      </w:r>
    </w:p>
    <w:p w14:paraId="038D8976" w14:textId="77777777" w:rsidR="00A514C8" w:rsidRPr="00DF482C" w:rsidRDefault="00A514C8" w:rsidP="00746E09">
      <w:pPr>
        <w:ind w:left="720" w:hanging="720"/>
        <w:rPr>
          <w:rFonts w:cs="Times New Roman"/>
          <w:szCs w:val="20"/>
          <w:shd w:val="clear" w:color="auto" w:fill="FFFFFF"/>
        </w:rPr>
      </w:pPr>
      <w:r w:rsidRPr="00DF482C">
        <w:rPr>
          <w:rFonts w:cs="Times New Roman"/>
          <w:szCs w:val="20"/>
          <w:shd w:val="clear" w:color="auto" w:fill="FFFFFF"/>
        </w:rPr>
        <w:t xml:space="preserve">Warner, M. and Zaranko, B., </w:t>
      </w:r>
      <w:r>
        <w:rPr>
          <w:rFonts w:cs="Times New Roman"/>
          <w:szCs w:val="20"/>
          <w:shd w:val="clear" w:color="auto" w:fill="FFFFFF"/>
        </w:rPr>
        <w:t>(</w:t>
      </w:r>
      <w:r w:rsidRPr="00DF482C">
        <w:rPr>
          <w:rFonts w:cs="Times New Roman"/>
          <w:szCs w:val="20"/>
          <w:shd w:val="clear" w:color="auto" w:fill="FFFFFF"/>
        </w:rPr>
        <w:t>2024</w:t>
      </w:r>
      <w:r>
        <w:rPr>
          <w:rFonts w:cs="Times New Roman"/>
          <w:szCs w:val="20"/>
          <w:shd w:val="clear" w:color="auto" w:fill="FFFFFF"/>
        </w:rPr>
        <w:t>)</w:t>
      </w:r>
      <w:r w:rsidRPr="00DF482C">
        <w:rPr>
          <w:rFonts w:cs="Times New Roman"/>
          <w:szCs w:val="20"/>
          <w:shd w:val="clear" w:color="auto" w:fill="FFFFFF"/>
        </w:rPr>
        <w:t>. </w:t>
      </w:r>
      <w:r w:rsidRPr="00DF482C">
        <w:rPr>
          <w:rFonts w:cs="Times New Roman"/>
          <w:i/>
          <w:iCs/>
          <w:szCs w:val="20"/>
          <w:shd w:val="clear" w:color="auto" w:fill="FFFFFF"/>
        </w:rPr>
        <w:t>The past and future of NHS waiting lists in England</w:t>
      </w:r>
      <w:r w:rsidRPr="00DF482C">
        <w:rPr>
          <w:rFonts w:cs="Times New Roman"/>
          <w:szCs w:val="20"/>
          <w:shd w:val="clear" w:color="auto" w:fill="FFFFFF"/>
        </w:rPr>
        <w:t> (No. R302). IFS Report.</w:t>
      </w:r>
    </w:p>
    <w:p w14:paraId="67DF1343" w14:textId="77777777" w:rsidR="00A514C8" w:rsidRDefault="00A514C8" w:rsidP="005357CE">
      <w:pPr>
        <w:ind w:left="720" w:hanging="720"/>
      </w:pPr>
      <w:bookmarkStart w:id="16" w:name="_Hlk234426150"/>
      <w:r w:rsidRPr="005357CE">
        <w:lastRenderedPageBreak/>
        <w:t>WHO (2024</w:t>
      </w:r>
      <w:bookmarkEnd w:id="16"/>
      <w:r w:rsidRPr="005357CE">
        <w:t xml:space="preserve">). </w:t>
      </w:r>
      <w:r w:rsidRPr="005357CE">
        <w:rPr>
          <w:i/>
          <w:iCs/>
        </w:rPr>
        <w:t>WHO Triple Billion progress data (contributions)</w:t>
      </w:r>
      <w:r w:rsidRPr="005357CE">
        <w:t xml:space="preserve">. [online] Datadot. Available at: </w:t>
      </w:r>
      <w:hyperlink r:id="rId21" w:history="1">
        <w:r w:rsidRPr="00DD0F7B">
          <w:rPr>
            <w:rStyle w:val="Hyperlink"/>
          </w:rPr>
          <w:t>https://data.who.int/dashboards/global-progress/triple-billion</w:t>
        </w:r>
      </w:hyperlink>
      <w:r>
        <w:t xml:space="preserve"> </w:t>
      </w:r>
      <w:r w:rsidRPr="005357CE">
        <w:t>[Accessed 8 July 2026].</w:t>
      </w:r>
    </w:p>
    <w:p w14:paraId="73F2CF4C" w14:textId="77777777" w:rsidR="00A514C8" w:rsidRDefault="00A514C8" w:rsidP="00746E09">
      <w:pPr>
        <w:ind w:left="720" w:hanging="720"/>
      </w:pPr>
      <w:r w:rsidRPr="00FE0A7D">
        <w:t xml:space="preserve">World Health Organisation (2022). </w:t>
      </w:r>
      <w:r w:rsidRPr="00FE0A7D">
        <w:rPr>
          <w:i/>
          <w:iCs/>
        </w:rPr>
        <w:t>Sustainable Development Goals</w:t>
      </w:r>
      <w:r w:rsidRPr="00FE0A7D">
        <w:t xml:space="preserve">. [online] World Health Organisation. Available at: </w:t>
      </w:r>
      <w:hyperlink r:id="rId22" w:history="1">
        <w:r w:rsidRPr="00F469DB">
          <w:rPr>
            <w:rStyle w:val="Hyperlink"/>
          </w:rPr>
          <w:t>https://www.who.int/europe/about-us/our-work/sustainable-development-goals</w:t>
        </w:r>
      </w:hyperlink>
      <w:r>
        <w:t xml:space="preserve"> </w:t>
      </w:r>
      <w:r w:rsidRPr="00FE0A7D">
        <w:t>[Accessed 1 Jun. 2026].</w:t>
      </w:r>
    </w:p>
    <w:sectPr w:rsidR="00A514C8">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4B97E6" w14:textId="77777777" w:rsidR="001741FA" w:rsidRDefault="001741FA">
      <w:pPr>
        <w:spacing w:after="0" w:line="240" w:lineRule="auto"/>
      </w:pPr>
      <w:r>
        <w:separator/>
      </w:r>
    </w:p>
  </w:endnote>
  <w:endnote w:type="continuationSeparator" w:id="0">
    <w:p w14:paraId="14D3BFA0" w14:textId="77777777" w:rsidR="001741FA" w:rsidRDefault="00174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A73CD7" w14:textId="77777777" w:rsidR="005D659D" w:rsidRDefault="005D65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F329A6" w14:textId="77777777" w:rsidR="005D659D" w:rsidRDefault="005D65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1D84C" w14:textId="77777777" w:rsidR="005D659D" w:rsidRDefault="005D65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B914E3" w14:textId="77777777" w:rsidR="001741FA" w:rsidRDefault="001741FA">
      <w:pPr>
        <w:spacing w:after="0" w:line="240" w:lineRule="auto"/>
      </w:pPr>
      <w:r>
        <w:separator/>
      </w:r>
    </w:p>
  </w:footnote>
  <w:footnote w:type="continuationSeparator" w:id="0">
    <w:p w14:paraId="616D2FEC" w14:textId="77777777" w:rsidR="001741FA" w:rsidRDefault="001741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F05E2F" w14:textId="77777777" w:rsidR="005D659D" w:rsidRDefault="005D65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4327924"/>
      <w:docPartObj>
        <w:docPartGallery w:val="Page Numbers (Top of Page)"/>
        <w:docPartUnique/>
      </w:docPartObj>
    </w:sdtPr>
    <w:sdtEndPr>
      <w:rPr>
        <w:noProof/>
      </w:rPr>
    </w:sdtEndPr>
    <w:sdtContent>
      <w:p w14:paraId="0A42119E" w14:textId="77777777" w:rsidR="005D659D" w:rsidRDefault="00670D6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3AA8389" w14:textId="77777777" w:rsidR="005D659D" w:rsidRDefault="005D659D"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F42DC1" w14:textId="77777777" w:rsidR="005D659D" w:rsidRDefault="005D65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513D3"/>
    <w:multiLevelType w:val="multilevel"/>
    <w:tmpl w:val="76227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11F25"/>
    <w:multiLevelType w:val="hybridMultilevel"/>
    <w:tmpl w:val="25F0AD82"/>
    <w:lvl w:ilvl="0" w:tplc="C5CCB412">
      <w:start w:val="1"/>
      <w:numFmt w:val="bullet"/>
      <w:lvlText w:val=""/>
      <w:lvlJc w:val="left"/>
      <w:pPr>
        <w:ind w:left="720" w:hanging="360"/>
      </w:pPr>
      <w:rPr>
        <w:rFonts w:ascii="Symbol" w:hAnsi="Symbol" w:hint="default"/>
      </w:rPr>
    </w:lvl>
    <w:lvl w:ilvl="1" w:tplc="925A1A52" w:tentative="1">
      <w:start w:val="1"/>
      <w:numFmt w:val="bullet"/>
      <w:lvlText w:val="o"/>
      <w:lvlJc w:val="left"/>
      <w:pPr>
        <w:ind w:left="1440" w:hanging="360"/>
      </w:pPr>
      <w:rPr>
        <w:rFonts w:ascii="Courier New" w:hAnsi="Courier New" w:cs="Courier New" w:hint="default"/>
      </w:rPr>
    </w:lvl>
    <w:lvl w:ilvl="2" w:tplc="1E367E94" w:tentative="1">
      <w:start w:val="1"/>
      <w:numFmt w:val="bullet"/>
      <w:lvlText w:val=""/>
      <w:lvlJc w:val="left"/>
      <w:pPr>
        <w:ind w:left="2160" w:hanging="360"/>
      </w:pPr>
      <w:rPr>
        <w:rFonts w:ascii="Wingdings" w:hAnsi="Wingdings" w:hint="default"/>
      </w:rPr>
    </w:lvl>
    <w:lvl w:ilvl="3" w:tplc="88688084" w:tentative="1">
      <w:start w:val="1"/>
      <w:numFmt w:val="bullet"/>
      <w:lvlText w:val=""/>
      <w:lvlJc w:val="left"/>
      <w:pPr>
        <w:ind w:left="2880" w:hanging="360"/>
      </w:pPr>
      <w:rPr>
        <w:rFonts w:ascii="Symbol" w:hAnsi="Symbol" w:hint="default"/>
      </w:rPr>
    </w:lvl>
    <w:lvl w:ilvl="4" w:tplc="DD88279E" w:tentative="1">
      <w:start w:val="1"/>
      <w:numFmt w:val="bullet"/>
      <w:lvlText w:val="o"/>
      <w:lvlJc w:val="left"/>
      <w:pPr>
        <w:ind w:left="3600" w:hanging="360"/>
      </w:pPr>
      <w:rPr>
        <w:rFonts w:ascii="Courier New" w:hAnsi="Courier New" w:cs="Courier New" w:hint="default"/>
      </w:rPr>
    </w:lvl>
    <w:lvl w:ilvl="5" w:tplc="5B2CFA28" w:tentative="1">
      <w:start w:val="1"/>
      <w:numFmt w:val="bullet"/>
      <w:lvlText w:val=""/>
      <w:lvlJc w:val="left"/>
      <w:pPr>
        <w:ind w:left="4320" w:hanging="360"/>
      </w:pPr>
      <w:rPr>
        <w:rFonts w:ascii="Wingdings" w:hAnsi="Wingdings" w:hint="default"/>
      </w:rPr>
    </w:lvl>
    <w:lvl w:ilvl="6" w:tplc="567A0A24" w:tentative="1">
      <w:start w:val="1"/>
      <w:numFmt w:val="bullet"/>
      <w:lvlText w:val=""/>
      <w:lvlJc w:val="left"/>
      <w:pPr>
        <w:ind w:left="5040" w:hanging="360"/>
      </w:pPr>
      <w:rPr>
        <w:rFonts w:ascii="Symbol" w:hAnsi="Symbol" w:hint="default"/>
      </w:rPr>
    </w:lvl>
    <w:lvl w:ilvl="7" w:tplc="857EB840" w:tentative="1">
      <w:start w:val="1"/>
      <w:numFmt w:val="bullet"/>
      <w:lvlText w:val="o"/>
      <w:lvlJc w:val="left"/>
      <w:pPr>
        <w:ind w:left="5760" w:hanging="360"/>
      </w:pPr>
      <w:rPr>
        <w:rFonts w:ascii="Courier New" w:hAnsi="Courier New" w:cs="Courier New" w:hint="default"/>
      </w:rPr>
    </w:lvl>
    <w:lvl w:ilvl="8" w:tplc="E998EC5E" w:tentative="1">
      <w:start w:val="1"/>
      <w:numFmt w:val="bullet"/>
      <w:lvlText w:val=""/>
      <w:lvlJc w:val="left"/>
      <w:pPr>
        <w:ind w:left="6480" w:hanging="360"/>
      </w:pPr>
      <w:rPr>
        <w:rFonts w:ascii="Wingdings" w:hAnsi="Wingdings" w:hint="default"/>
      </w:rPr>
    </w:lvl>
  </w:abstractNum>
  <w:abstractNum w:abstractNumId="2" w15:restartNumberingAfterBreak="0">
    <w:nsid w:val="10E83DD0"/>
    <w:multiLevelType w:val="multilevel"/>
    <w:tmpl w:val="3228A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86BF2"/>
    <w:multiLevelType w:val="hybridMultilevel"/>
    <w:tmpl w:val="E5C8BE4E"/>
    <w:lvl w:ilvl="0" w:tplc="B5528EC8">
      <w:start w:val="1"/>
      <w:numFmt w:val="bullet"/>
      <w:lvlText w:val=""/>
      <w:lvlJc w:val="left"/>
      <w:pPr>
        <w:ind w:left="720" w:hanging="360"/>
      </w:pPr>
      <w:rPr>
        <w:rFonts w:ascii="Symbol" w:hAnsi="Symbol" w:hint="default"/>
      </w:rPr>
    </w:lvl>
    <w:lvl w:ilvl="1" w:tplc="0AA0DB42" w:tentative="1">
      <w:start w:val="1"/>
      <w:numFmt w:val="bullet"/>
      <w:lvlText w:val="o"/>
      <w:lvlJc w:val="left"/>
      <w:pPr>
        <w:ind w:left="1440" w:hanging="360"/>
      </w:pPr>
      <w:rPr>
        <w:rFonts w:ascii="Courier New" w:hAnsi="Courier New" w:cs="Courier New" w:hint="default"/>
      </w:rPr>
    </w:lvl>
    <w:lvl w:ilvl="2" w:tplc="2C2603A6" w:tentative="1">
      <w:start w:val="1"/>
      <w:numFmt w:val="bullet"/>
      <w:lvlText w:val=""/>
      <w:lvlJc w:val="left"/>
      <w:pPr>
        <w:ind w:left="2160" w:hanging="360"/>
      </w:pPr>
      <w:rPr>
        <w:rFonts w:ascii="Wingdings" w:hAnsi="Wingdings" w:hint="default"/>
      </w:rPr>
    </w:lvl>
    <w:lvl w:ilvl="3" w:tplc="53D69774" w:tentative="1">
      <w:start w:val="1"/>
      <w:numFmt w:val="bullet"/>
      <w:lvlText w:val=""/>
      <w:lvlJc w:val="left"/>
      <w:pPr>
        <w:ind w:left="2880" w:hanging="360"/>
      </w:pPr>
      <w:rPr>
        <w:rFonts w:ascii="Symbol" w:hAnsi="Symbol" w:hint="default"/>
      </w:rPr>
    </w:lvl>
    <w:lvl w:ilvl="4" w:tplc="A55C4508" w:tentative="1">
      <w:start w:val="1"/>
      <w:numFmt w:val="bullet"/>
      <w:lvlText w:val="o"/>
      <w:lvlJc w:val="left"/>
      <w:pPr>
        <w:ind w:left="3600" w:hanging="360"/>
      </w:pPr>
      <w:rPr>
        <w:rFonts w:ascii="Courier New" w:hAnsi="Courier New" w:cs="Courier New" w:hint="default"/>
      </w:rPr>
    </w:lvl>
    <w:lvl w:ilvl="5" w:tplc="C306404C" w:tentative="1">
      <w:start w:val="1"/>
      <w:numFmt w:val="bullet"/>
      <w:lvlText w:val=""/>
      <w:lvlJc w:val="left"/>
      <w:pPr>
        <w:ind w:left="4320" w:hanging="360"/>
      </w:pPr>
      <w:rPr>
        <w:rFonts w:ascii="Wingdings" w:hAnsi="Wingdings" w:hint="default"/>
      </w:rPr>
    </w:lvl>
    <w:lvl w:ilvl="6" w:tplc="24BE0B18" w:tentative="1">
      <w:start w:val="1"/>
      <w:numFmt w:val="bullet"/>
      <w:lvlText w:val=""/>
      <w:lvlJc w:val="left"/>
      <w:pPr>
        <w:ind w:left="5040" w:hanging="360"/>
      </w:pPr>
      <w:rPr>
        <w:rFonts w:ascii="Symbol" w:hAnsi="Symbol" w:hint="default"/>
      </w:rPr>
    </w:lvl>
    <w:lvl w:ilvl="7" w:tplc="F6D86182" w:tentative="1">
      <w:start w:val="1"/>
      <w:numFmt w:val="bullet"/>
      <w:lvlText w:val="o"/>
      <w:lvlJc w:val="left"/>
      <w:pPr>
        <w:ind w:left="5760" w:hanging="360"/>
      </w:pPr>
      <w:rPr>
        <w:rFonts w:ascii="Courier New" w:hAnsi="Courier New" w:cs="Courier New" w:hint="default"/>
      </w:rPr>
    </w:lvl>
    <w:lvl w:ilvl="8" w:tplc="2168FEFC" w:tentative="1">
      <w:start w:val="1"/>
      <w:numFmt w:val="bullet"/>
      <w:lvlText w:val=""/>
      <w:lvlJc w:val="left"/>
      <w:pPr>
        <w:ind w:left="6480" w:hanging="360"/>
      </w:pPr>
      <w:rPr>
        <w:rFonts w:ascii="Wingdings" w:hAnsi="Wingdings" w:hint="default"/>
      </w:rPr>
    </w:lvl>
  </w:abstractNum>
  <w:abstractNum w:abstractNumId="4" w15:restartNumberingAfterBreak="0">
    <w:nsid w:val="167529FE"/>
    <w:multiLevelType w:val="multilevel"/>
    <w:tmpl w:val="6E901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294065"/>
    <w:multiLevelType w:val="multilevel"/>
    <w:tmpl w:val="30826A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3A51C4"/>
    <w:multiLevelType w:val="multilevel"/>
    <w:tmpl w:val="47281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4312D0"/>
    <w:multiLevelType w:val="multilevel"/>
    <w:tmpl w:val="E4CE5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3E01A4"/>
    <w:multiLevelType w:val="multilevel"/>
    <w:tmpl w:val="2B745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8C25AB"/>
    <w:multiLevelType w:val="multilevel"/>
    <w:tmpl w:val="B3322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645926"/>
    <w:multiLevelType w:val="multilevel"/>
    <w:tmpl w:val="816209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237E0F"/>
    <w:multiLevelType w:val="multilevel"/>
    <w:tmpl w:val="AF06F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DF3546"/>
    <w:multiLevelType w:val="multilevel"/>
    <w:tmpl w:val="E236D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F041D7"/>
    <w:multiLevelType w:val="multilevel"/>
    <w:tmpl w:val="22A8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2B035A"/>
    <w:multiLevelType w:val="multilevel"/>
    <w:tmpl w:val="7B38A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05620C"/>
    <w:multiLevelType w:val="multilevel"/>
    <w:tmpl w:val="743ECE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800A68"/>
    <w:multiLevelType w:val="multilevel"/>
    <w:tmpl w:val="E4981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2674F0"/>
    <w:multiLevelType w:val="multilevel"/>
    <w:tmpl w:val="D362D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671407"/>
    <w:multiLevelType w:val="hybridMultilevel"/>
    <w:tmpl w:val="274E4772"/>
    <w:lvl w:ilvl="0" w:tplc="6F4291EA">
      <w:start w:val="1"/>
      <w:numFmt w:val="decimal"/>
      <w:lvlText w:val="%1."/>
      <w:lvlJc w:val="left"/>
      <w:pPr>
        <w:ind w:left="720" w:hanging="360"/>
      </w:pPr>
    </w:lvl>
    <w:lvl w:ilvl="1" w:tplc="2E782972" w:tentative="1">
      <w:start w:val="1"/>
      <w:numFmt w:val="lowerLetter"/>
      <w:lvlText w:val="%2."/>
      <w:lvlJc w:val="left"/>
      <w:pPr>
        <w:ind w:left="1440" w:hanging="360"/>
      </w:pPr>
    </w:lvl>
    <w:lvl w:ilvl="2" w:tplc="661E00CA" w:tentative="1">
      <w:start w:val="1"/>
      <w:numFmt w:val="lowerRoman"/>
      <w:lvlText w:val="%3."/>
      <w:lvlJc w:val="right"/>
      <w:pPr>
        <w:ind w:left="2160" w:hanging="180"/>
      </w:pPr>
    </w:lvl>
    <w:lvl w:ilvl="3" w:tplc="AECE7F98" w:tentative="1">
      <w:start w:val="1"/>
      <w:numFmt w:val="decimal"/>
      <w:lvlText w:val="%4."/>
      <w:lvlJc w:val="left"/>
      <w:pPr>
        <w:ind w:left="2880" w:hanging="360"/>
      </w:pPr>
    </w:lvl>
    <w:lvl w:ilvl="4" w:tplc="4F80795A" w:tentative="1">
      <w:start w:val="1"/>
      <w:numFmt w:val="lowerLetter"/>
      <w:lvlText w:val="%5."/>
      <w:lvlJc w:val="left"/>
      <w:pPr>
        <w:ind w:left="3600" w:hanging="360"/>
      </w:pPr>
    </w:lvl>
    <w:lvl w:ilvl="5" w:tplc="FE56DCF8" w:tentative="1">
      <w:start w:val="1"/>
      <w:numFmt w:val="lowerRoman"/>
      <w:lvlText w:val="%6."/>
      <w:lvlJc w:val="right"/>
      <w:pPr>
        <w:ind w:left="4320" w:hanging="180"/>
      </w:pPr>
    </w:lvl>
    <w:lvl w:ilvl="6" w:tplc="CD967BDC" w:tentative="1">
      <w:start w:val="1"/>
      <w:numFmt w:val="decimal"/>
      <w:lvlText w:val="%7."/>
      <w:lvlJc w:val="left"/>
      <w:pPr>
        <w:ind w:left="5040" w:hanging="360"/>
      </w:pPr>
    </w:lvl>
    <w:lvl w:ilvl="7" w:tplc="42E821AA" w:tentative="1">
      <w:start w:val="1"/>
      <w:numFmt w:val="lowerLetter"/>
      <w:lvlText w:val="%8."/>
      <w:lvlJc w:val="left"/>
      <w:pPr>
        <w:ind w:left="5760" w:hanging="360"/>
      </w:pPr>
    </w:lvl>
    <w:lvl w:ilvl="8" w:tplc="D44E65B0" w:tentative="1">
      <w:start w:val="1"/>
      <w:numFmt w:val="lowerRoman"/>
      <w:lvlText w:val="%9."/>
      <w:lvlJc w:val="right"/>
      <w:pPr>
        <w:ind w:left="6480" w:hanging="180"/>
      </w:pPr>
    </w:lvl>
  </w:abstractNum>
  <w:abstractNum w:abstractNumId="19" w15:restartNumberingAfterBreak="0">
    <w:nsid w:val="5CF748EF"/>
    <w:multiLevelType w:val="multilevel"/>
    <w:tmpl w:val="805E30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DB30A7"/>
    <w:multiLevelType w:val="multilevel"/>
    <w:tmpl w:val="40AEA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4A13D4"/>
    <w:multiLevelType w:val="multilevel"/>
    <w:tmpl w:val="B2F86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9259C1"/>
    <w:multiLevelType w:val="multilevel"/>
    <w:tmpl w:val="0DD06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1253413">
    <w:abstractNumId w:val="1"/>
  </w:num>
  <w:num w:numId="2" w16cid:durableId="4721361">
    <w:abstractNumId w:val="3"/>
  </w:num>
  <w:num w:numId="3" w16cid:durableId="1741901077">
    <w:abstractNumId w:val="18"/>
  </w:num>
  <w:num w:numId="4" w16cid:durableId="354038826">
    <w:abstractNumId w:val="15"/>
  </w:num>
  <w:num w:numId="5" w16cid:durableId="752312424">
    <w:abstractNumId w:val="14"/>
  </w:num>
  <w:num w:numId="6" w16cid:durableId="1078594687">
    <w:abstractNumId w:val="17"/>
  </w:num>
  <w:num w:numId="7" w16cid:durableId="353388574">
    <w:abstractNumId w:val="5"/>
  </w:num>
  <w:num w:numId="8" w16cid:durableId="855577806">
    <w:abstractNumId w:val="9"/>
  </w:num>
  <w:num w:numId="9" w16cid:durableId="1114133429">
    <w:abstractNumId w:val="4"/>
  </w:num>
  <w:num w:numId="10" w16cid:durableId="1544755256">
    <w:abstractNumId w:val="19"/>
  </w:num>
  <w:num w:numId="11" w16cid:durableId="1045563616">
    <w:abstractNumId w:val="2"/>
  </w:num>
  <w:num w:numId="12" w16cid:durableId="1186627529">
    <w:abstractNumId w:val="20"/>
  </w:num>
  <w:num w:numId="13" w16cid:durableId="909583237">
    <w:abstractNumId w:val="21"/>
  </w:num>
  <w:num w:numId="14" w16cid:durableId="227345928">
    <w:abstractNumId w:val="10"/>
  </w:num>
  <w:num w:numId="15" w16cid:durableId="840506213">
    <w:abstractNumId w:val="13"/>
  </w:num>
  <w:num w:numId="16" w16cid:durableId="1306005660">
    <w:abstractNumId w:val="0"/>
  </w:num>
  <w:num w:numId="17" w16cid:durableId="1899047550">
    <w:abstractNumId w:val="16"/>
  </w:num>
  <w:num w:numId="18" w16cid:durableId="1571114699">
    <w:abstractNumId w:val="12"/>
  </w:num>
  <w:num w:numId="19" w16cid:durableId="599995423">
    <w:abstractNumId w:val="22"/>
  </w:num>
  <w:num w:numId="20" w16cid:durableId="884099041">
    <w:abstractNumId w:val="8"/>
  </w:num>
  <w:num w:numId="21" w16cid:durableId="221839914">
    <w:abstractNumId w:val="7"/>
  </w:num>
  <w:num w:numId="22" w16cid:durableId="1691565263">
    <w:abstractNumId w:val="6"/>
  </w:num>
  <w:num w:numId="23" w16cid:durableId="190953674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02D90"/>
    <w:rsid w:val="00007F90"/>
    <w:rsid w:val="000144EF"/>
    <w:rsid w:val="00017183"/>
    <w:rsid w:val="00022609"/>
    <w:rsid w:val="00023905"/>
    <w:rsid w:val="00023B30"/>
    <w:rsid w:val="00034E85"/>
    <w:rsid w:val="000403DC"/>
    <w:rsid w:val="0004079A"/>
    <w:rsid w:val="00040DA7"/>
    <w:rsid w:val="00043794"/>
    <w:rsid w:val="00044758"/>
    <w:rsid w:val="00051405"/>
    <w:rsid w:val="000528D5"/>
    <w:rsid w:val="000536DA"/>
    <w:rsid w:val="0005636A"/>
    <w:rsid w:val="00062422"/>
    <w:rsid w:val="0006684D"/>
    <w:rsid w:val="00067278"/>
    <w:rsid w:val="0007155A"/>
    <w:rsid w:val="00071CEB"/>
    <w:rsid w:val="00071F81"/>
    <w:rsid w:val="000733A8"/>
    <w:rsid w:val="0007464B"/>
    <w:rsid w:val="0008149D"/>
    <w:rsid w:val="00082DB7"/>
    <w:rsid w:val="00093C6D"/>
    <w:rsid w:val="00093D05"/>
    <w:rsid w:val="000A1DA7"/>
    <w:rsid w:val="000A31C2"/>
    <w:rsid w:val="000A581E"/>
    <w:rsid w:val="000A7455"/>
    <w:rsid w:val="000B1BA4"/>
    <w:rsid w:val="000B2B02"/>
    <w:rsid w:val="000C4840"/>
    <w:rsid w:val="000D1AFE"/>
    <w:rsid w:val="000D56EF"/>
    <w:rsid w:val="000E4057"/>
    <w:rsid w:val="000E741E"/>
    <w:rsid w:val="000F0C31"/>
    <w:rsid w:val="00102444"/>
    <w:rsid w:val="00104C71"/>
    <w:rsid w:val="00105F0A"/>
    <w:rsid w:val="00107498"/>
    <w:rsid w:val="0011739B"/>
    <w:rsid w:val="001200BF"/>
    <w:rsid w:val="00123C6B"/>
    <w:rsid w:val="0012482C"/>
    <w:rsid w:val="00124993"/>
    <w:rsid w:val="00131028"/>
    <w:rsid w:val="001338C3"/>
    <w:rsid w:val="00133DAC"/>
    <w:rsid w:val="00137D5A"/>
    <w:rsid w:val="00141F7C"/>
    <w:rsid w:val="00144540"/>
    <w:rsid w:val="00144F69"/>
    <w:rsid w:val="00145415"/>
    <w:rsid w:val="00145914"/>
    <w:rsid w:val="00145C7E"/>
    <w:rsid w:val="001518CC"/>
    <w:rsid w:val="00154E4E"/>
    <w:rsid w:val="001574FE"/>
    <w:rsid w:val="00160724"/>
    <w:rsid w:val="001618DB"/>
    <w:rsid w:val="00167D6B"/>
    <w:rsid w:val="001732CE"/>
    <w:rsid w:val="001741FA"/>
    <w:rsid w:val="00175EA2"/>
    <w:rsid w:val="001817CB"/>
    <w:rsid w:val="0018235D"/>
    <w:rsid w:val="001832FF"/>
    <w:rsid w:val="0018545A"/>
    <w:rsid w:val="001863CD"/>
    <w:rsid w:val="00191971"/>
    <w:rsid w:val="00192B0D"/>
    <w:rsid w:val="001A1024"/>
    <w:rsid w:val="001A2186"/>
    <w:rsid w:val="001A3032"/>
    <w:rsid w:val="001A4F6D"/>
    <w:rsid w:val="001B02A7"/>
    <w:rsid w:val="001B0942"/>
    <w:rsid w:val="001B4BEC"/>
    <w:rsid w:val="001B5CA9"/>
    <w:rsid w:val="001B68B6"/>
    <w:rsid w:val="001C159B"/>
    <w:rsid w:val="001C1F3F"/>
    <w:rsid w:val="001C5D1B"/>
    <w:rsid w:val="001C6B61"/>
    <w:rsid w:val="001C6DB7"/>
    <w:rsid w:val="001D5B27"/>
    <w:rsid w:val="001D7C27"/>
    <w:rsid w:val="001E6B81"/>
    <w:rsid w:val="001F010D"/>
    <w:rsid w:val="001F44EB"/>
    <w:rsid w:val="001F47B9"/>
    <w:rsid w:val="001F518A"/>
    <w:rsid w:val="00200206"/>
    <w:rsid w:val="00205FBC"/>
    <w:rsid w:val="0022050C"/>
    <w:rsid w:val="00246C9C"/>
    <w:rsid w:val="00250BAF"/>
    <w:rsid w:val="00252656"/>
    <w:rsid w:val="00254A8B"/>
    <w:rsid w:val="00256E5C"/>
    <w:rsid w:val="00257C58"/>
    <w:rsid w:val="00260FFD"/>
    <w:rsid w:val="00276B66"/>
    <w:rsid w:val="00277A8F"/>
    <w:rsid w:val="00280DDF"/>
    <w:rsid w:val="00283666"/>
    <w:rsid w:val="00284C1E"/>
    <w:rsid w:val="0028772A"/>
    <w:rsid w:val="00287CD5"/>
    <w:rsid w:val="00287DEB"/>
    <w:rsid w:val="00292FAD"/>
    <w:rsid w:val="002941C2"/>
    <w:rsid w:val="0029697E"/>
    <w:rsid w:val="002A12B7"/>
    <w:rsid w:val="002A14E2"/>
    <w:rsid w:val="002A18F9"/>
    <w:rsid w:val="002A4DC9"/>
    <w:rsid w:val="002B1CBC"/>
    <w:rsid w:val="002B6862"/>
    <w:rsid w:val="002C3900"/>
    <w:rsid w:val="002C53E7"/>
    <w:rsid w:val="002D1357"/>
    <w:rsid w:val="002D45C2"/>
    <w:rsid w:val="002D4E24"/>
    <w:rsid w:val="002E08AA"/>
    <w:rsid w:val="002E1161"/>
    <w:rsid w:val="002E17B2"/>
    <w:rsid w:val="002E3B6A"/>
    <w:rsid w:val="002F31F6"/>
    <w:rsid w:val="0030183F"/>
    <w:rsid w:val="00307E34"/>
    <w:rsid w:val="00313FE7"/>
    <w:rsid w:val="00315AC1"/>
    <w:rsid w:val="00323610"/>
    <w:rsid w:val="00324C80"/>
    <w:rsid w:val="003262D7"/>
    <w:rsid w:val="00350909"/>
    <w:rsid w:val="00354E9B"/>
    <w:rsid w:val="0035604B"/>
    <w:rsid w:val="0038186E"/>
    <w:rsid w:val="00381AFE"/>
    <w:rsid w:val="00383899"/>
    <w:rsid w:val="003903D8"/>
    <w:rsid w:val="00392165"/>
    <w:rsid w:val="003966CB"/>
    <w:rsid w:val="00397A12"/>
    <w:rsid w:val="003A36C9"/>
    <w:rsid w:val="003A4A79"/>
    <w:rsid w:val="003B2E32"/>
    <w:rsid w:val="003B6220"/>
    <w:rsid w:val="003B6A75"/>
    <w:rsid w:val="003B6D98"/>
    <w:rsid w:val="003C5072"/>
    <w:rsid w:val="003D0192"/>
    <w:rsid w:val="003D3815"/>
    <w:rsid w:val="003E3B49"/>
    <w:rsid w:val="003E3EE2"/>
    <w:rsid w:val="003F0F03"/>
    <w:rsid w:val="003F1E6B"/>
    <w:rsid w:val="003F2565"/>
    <w:rsid w:val="003F3465"/>
    <w:rsid w:val="0040060E"/>
    <w:rsid w:val="00403927"/>
    <w:rsid w:val="00407E47"/>
    <w:rsid w:val="004261BF"/>
    <w:rsid w:val="00431405"/>
    <w:rsid w:val="00431D96"/>
    <w:rsid w:val="00440AD3"/>
    <w:rsid w:val="00440D8C"/>
    <w:rsid w:val="004446CC"/>
    <w:rsid w:val="00451038"/>
    <w:rsid w:val="00454DC2"/>
    <w:rsid w:val="004575DD"/>
    <w:rsid w:val="00463A29"/>
    <w:rsid w:val="0046442B"/>
    <w:rsid w:val="00466B61"/>
    <w:rsid w:val="00466B91"/>
    <w:rsid w:val="00471DA9"/>
    <w:rsid w:val="004768E0"/>
    <w:rsid w:val="004774BE"/>
    <w:rsid w:val="004862CC"/>
    <w:rsid w:val="00486402"/>
    <w:rsid w:val="00491C81"/>
    <w:rsid w:val="004959F3"/>
    <w:rsid w:val="0049655F"/>
    <w:rsid w:val="00496A07"/>
    <w:rsid w:val="004A02E4"/>
    <w:rsid w:val="004A351B"/>
    <w:rsid w:val="004B0727"/>
    <w:rsid w:val="004B5523"/>
    <w:rsid w:val="004C085F"/>
    <w:rsid w:val="004C0D17"/>
    <w:rsid w:val="004C30B1"/>
    <w:rsid w:val="004C3176"/>
    <w:rsid w:val="004C447C"/>
    <w:rsid w:val="004C5212"/>
    <w:rsid w:val="004C6E66"/>
    <w:rsid w:val="004D1F75"/>
    <w:rsid w:val="004D2EF2"/>
    <w:rsid w:val="004F70C6"/>
    <w:rsid w:val="005032D3"/>
    <w:rsid w:val="005158BF"/>
    <w:rsid w:val="00515A63"/>
    <w:rsid w:val="00515B5F"/>
    <w:rsid w:val="00521BE3"/>
    <w:rsid w:val="00522564"/>
    <w:rsid w:val="00523402"/>
    <w:rsid w:val="005234CB"/>
    <w:rsid w:val="00523645"/>
    <w:rsid w:val="005236E9"/>
    <w:rsid w:val="005264FC"/>
    <w:rsid w:val="00527D5A"/>
    <w:rsid w:val="00532E4D"/>
    <w:rsid w:val="005357CE"/>
    <w:rsid w:val="0054023C"/>
    <w:rsid w:val="00540FF6"/>
    <w:rsid w:val="005475A8"/>
    <w:rsid w:val="0055455E"/>
    <w:rsid w:val="00556949"/>
    <w:rsid w:val="00564630"/>
    <w:rsid w:val="005A0DEB"/>
    <w:rsid w:val="005A0FCA"/>
    <w:rsid w:val="005A3D92"/>
    <w:rsid w:val="005A468F"/>
    <w:rsid w:val="005A6D79"/>
    <w:rsid w:val="005B05F6"/>
    <w:rsid w:val="005B2A8C"/>
    <w:rsid w:val="005B61EA"/>
    <w:rsid w:val="005B6A19"/>
    <w:rsid w:val="005C0391"/>
    <w:rsid w:val="005C0577"/>
    <w:rsid w:val="005C1D9B"/>
    <w:rsid w:val="005C34D1"/>
    <w:rsid w:val="005C5421"/>
    <w:rsid w:val="005D3C41"/>
    <w:rsid w:val="005D5609"/>
    <w:rsid w:val="005D659D"/>
    <w:rsid w:val="005D78AD"/>
    <w:rsid w:val="005E1D3B"/>
    <w:rsid w:val="005E50C6"/>
    <w:rsid w:val="005F1FBF"/>
    <w:rsid w:val="005F685A"/>
    <w:rsid w:val="0060528A"/>
    <w:rsid w:val="006169A0"/>
    <w:rsid w:val="00632FB5"/>
    <w:rsid w:val="006364DC"/>
    <w:rsid w:val="00636C10"/>
    <w:rsid w:val="006468C0"/>
    <w:rsid w:val="006475B8"/>
    <w:rsid w:val="006548D4"/>
    <w:rsid w:val="006556E2"/>
    <w:rsid w:val="0065581E"/>
    <w:rsid w:val="00656C47"/>
    <w:rsid w:val="00670A6F"/>
    <w:rsid w:val="00670D66"/>
    <w:rsid w:val="006733FF"/>
    <w:rsid w:val="00675DD1"/>
    <w:rsid w:val="0068356E"/>
    <w:rsid w:val="006915E8"/>
    <w:rsid w:val="00693C5D"/>
    <w:rsid w:val="006948B8"/>
    <w:rsid w:val="006A3C3F"/>
    <w:rsid w:val="006A7E2F"/>
    <w:rsid w:val="006B7384"/>
    <w:rsid w:val="006C1099"/>
    <w:rsid w:val="006C2119"/>
    <w:rsid w:val="006C5AB0"/>
    <w:rsid w:val="006C7899"/>
    <w:rsid w:val="006D7BF8"/>
    <w:rsid w:val="006E4C6E"/>
    <w:rsid w:val="006E6917"/>
    <w:rsid w:val="006E7D34"/>
    <w:rsid w:val="006F5378"/>
    <w:rsid w:val="006F789B"/>
    <w:rsid w:val="007029F9"/>
    <w:rsid w:val="00705064"/>
    <w:rsid w:val="00713C96"/>
    <w:rsid w:val="00720D42"/>
    <w:rsid w:val="00730027"/>
    <w:rsid w:val="00731AA4"/>
    <w:rsid w:val="00735E8C"/>
    <w:rsid w:val="00735EBE"/>
    <w:rsid w:val="00736C85"/>
    <w:rsid w:val="007376A4"/>
    <w:rsid w:val="007414EA"/>
    <w:rsid w:val="00742BA4"/>
    <w:rsid w:val="00745758"/>
    <w:rsid w:val="00746E09"/>
    <w:rsid w:val="007521CF"/>
    <w:rsid w:val="00752822"/>
    <w:rsid w:val="007568D7"/>
    <w:rsid w:val="00767CFA"/>
    <w:rsid w:val="00773C2D"/>
    <w:rsid w:val="00775086"/>
    <w:rsid w:val="0077783B"/>
    <w:rsid w:val="00784D46"/>
    <w:rsid w:val="00785CCC"/>
    <w:rsid w:val="0079043A"/>
    <w:rsid w:val="00791442"/>
    <w:rsid w:val="007939AE"/>
    <w:rsid w:val="007978B8"/>
    <w:rsid w:val="007A3A32"/>
    <w:rsid w:val="007A6AB8"/>
    <w:rsid w:val="007B21A0"/>
    <w:rsid w:val="007B3780"/>
    <w:rsid w:val="007C1C42"/>
    <w:rsid w:val="007C1D00"/>
    <w:rsid w:val="007C5313"/>
    <w:rsid w:val="007D17BC"/>
    <w:rsid w:val="007D6850"/>
    <w:rsid w:val="007E07BB"/>
    <w:rsid w:val="007E2F67"/>
    <w:rsid w:val="007E4828"/>
    <w:rsid w:val="007E69F0"/>
    <w:rsid w:val="007E74A7"/>
    <w:rsid w:val="007F4276"/>
    <w:rsid w:val="007F54F4"/>
    <w:rsid w:val="007F56B4"/>
    <w:rsid w:val="007F7383"/>
    <w:rsid w:val="008006A9"/>
    <w:rsid w:val="00810BD7"/>
    <w:rsid w:val="00813250"/>
    <w:rsid w:val="0081365C"/>
    <w:rsid w:val="00820B5F"/>
    <w:rsid w:val="00823052"/>
    <w:rsid w:val="008248B5"/>
    <w:rsid w:val="00840E87"/>
    <w:rsid w:val="00842AC0"/>
    <w:rsid w:val="00843229"/>
    <w:rsid w:val="00843E71"/>
    <w:rsid w:val="008455F1"/>
    <w:rsid w:val="0084739A"/>
    <w:rsid w:val="00847F91"/>
    <w:rsid w:val="008515E4"/>
    <w:rsid w:val="00853131"/>
    <w:rsid w:val="00854362"/>
    <w:rsid w:val="008678FD"/>
    <w:rsid w:val="008718F9"/>
    <w:rsid w:val="00873CDF"/>
    <w:rsid w:val="00876AC0"/>
    <w:rsid w:val="0088274F"/>
    <w:rsid w:val="0089133E"/>
    <w:rsid w:val="008A40F7"/>
    <w:rsid w:val="008A4349"/>
    <w:rsid w:val="008A5E80"/>
    <w:rsid w:val="008B257E"/>
    <w:rsid w:val="008B3E1A"/>
    <w:rsid w:val="008D27B5"/>
    <w:rsid w:val="008D404B"/>
    <w:rsid w:val="008D6EAB"/>
    <w:rsid w:val="008D7305"/>
    <w:rsid w:val="008E78C9"/>
    <w:rsid w:val="008F0840"/>
    <w:rsid w:val="00900645"/>
    <w:rsid w:val="009045FC"/>
    <w:rsid w:val="0090498E"/>
    <w:rsid w:val="009125AD"/>
    <w:rsid w:val="0091483F"/>
    <w:rsid w:val="0091704F"/>
    <w:rsid w:val="00917A26"/>
    <w:rsid w:val="00921602"/>
    <w:rsid w:val="0092632C"/>
    <w:rsid w:val="00927825"/>
    <w:rsid w:val="00930600"/>
    <w:rsid w:val="00930672"/>
    <w:rsid w:val="00930A17"/>
    <w:rsid w:val="00931C9C"/>
    <w:rsid w:val="00935075"/>
    <w:rsid w:val="00937C07"/>
    <w:rsid w:val="00937C4B"/>
    <w:rsid w:val="0094411A"/>
    <w:rsid w:val="00953EAF"/>
    <w:rsid w:val="00953F29"/>
    <w:rsid w:val="00953FA0"/>
    <w:rsid w:val="00955871"/>
    <w:rsid w:val="00961FD5"/>
    <w:rsid w:val="00964AED"/>
    <w:rsid w:val="00970CFA"/>
    <w:rsid w:val="009721F0"/>
    <w:rsid w:val="00973921"/>
    <w:rsid w:val="00974BE1"/>
    <w:rsid w:val="00980766"/>
    <w:rsid w:val="00983947"/>
    <w:rsid w:val="009854F9"/>
    <w:rsid w:val="00986843"/>
    <w:rsid w:val="00991F89"/>
    <w:rsid w:val="0099341C"/>
    <w:rsid w:val="00993DE1"/>
    <w:rsid w:val="009953C5"/>
    <w:rsid w:val="0099700B"/>
    <w:rsid w:val="009A4EAD"/>
    <w:rsid w:val="009A5B17"/>
    <w:rsid w:val="009A5F09"/>
    <w:rsid w:val="009A6AA3"/>
    <w:rsid w:val="009B2D2A"/>
    <w:rsid w:val="009B6724"/>
    <w:rsid w:val="009C60F1"/>
    <w:rsid w:val="009C6E67"/>
    <w:rsid w:val="009D4307"/>
    <w:rsid w:val="009E0AC7"/>
    <w:rsid w:val="009E4116"/>
    <w:rsid w:val="009E7599"/>
    <w:rsid w:val="009F3F82"/>
    <w:rsid w:val="009F6BDF"/>
    <w:rsid w:val="00A029E5"/>
    <w:rsid w:val="00A030FF"/>
    <w:rsid w:val="00A05A71"/>
    <w:rsid w:val="00A05FEB"/>
    <w:rsid w:val="00A0768B"/>
    <w:rsid w:val="00A105DC"/>
    <w:rsid w:val="00A16D4C"/>
    <w:rsid w:val="00A16EFD"/>
    <w:rsid w:val="00A26720"/>
    <w:rsid w:val="00A27F5D"/>
    <w:rsid w:val="00A41716"/>
    <w:rsid w:val="00A478DB"/>
    <w:rsid w:val="00A514C8"/>
    <w:rsid w:val="00A53E0A"/>
    <w:rsid w:val="00A56384"/>
    <w:rsid w:val="00A57E59"/>
    <w:rsid w:val="00A610B5"/>
    <w:rsid w:val="00A67CE4"/>
    <w:rsid w:val="00A723F4"/>
    <w:rsid w:val="00A731A5"/>
    <w:rsid w:val="00A74605"/>
    <w:rsid w:val="00A84917"/>
    <w:rsid w:val="00A85BE5"/>
    <w:rsid w:val="00A87576"/>
    <w:rsid w:val="00A87622"/>
    <w:rsid w:val="00A90696"/>
    <w:rsid w:val="00A93715"/>
    <w:rsid w:val="00A94AE9"/>
    <w:rsid w:val="00A95701"/>
    <w:rsid w:val="00AA4050"/>
    <w:rsid w:val="00AA5AEF"/>
    <w:rsid w:val="00AB2080"/>
    <w:rsid w:val="00AC027C"/>
    <w:rsid w:val="00AC2BFA"/>
    <w:rsid w:val="00AC5484"/>
    <w:rsid w:val="00AC638A"/>
    <w:rsid w:val="00AD0A0B"/>
    <w:rsid w:val="00AD3547"/>
    <w:rsid w:val="00AD4684"/>
    <w:rsid w:val="00AD470A"/>
    <w:rsid w:val="00AD5B39"/>
    <w:rsid w:val="00AD7296"/>
    <w:rsid w:val="00AE0D10"/>
    <w:rsid w:val="00AE27C4"/>
    <w:rsid w:val="00AE6A12"/>
    <w:rsid w:val="00AF01F3"/>
    <w:rsid w:val="00AF1065"/>
    <w:rsid w:val="00AF139A"/>
    <w:rsid w:val="00AF7222"/>
    <w:rsid w:val="00B04C54"/>
    <w:rsid w:val="00B11E63"/>
    <w:rsid w:val="00B12550"/>
    <w:rsid w:val="00B133E0"/>
    <w:rsid w:val="00B214DE"/>
    <w:rsid w:val="00B27B99"/>
    <w:rsid w:val="00B43FC3"/>
    <w:rsid w:val="00B44CA7"/>
    <w:rsid w:val="00B45FD2"/>
    <w:rsid w:val="00B46594"/>
    <w:rsid w:val="00B47BEB"/>
    <w:rsid w:val="00B55170"/>
    <w:rsid w:val="00B56D50"/>
    <w:rsid w:val="00B609CE"/>
    <w:rsid w:val="00B628E6"/>
    <w:rsid w:val="00B63CDA"/>
    <w:rsid w:val="00B71AD8"/>
    <w:rsid w:val="00B7463A"/>
    <w:rsid w:val="00B7550E"/>
    <w:rsid w:val="00B83D0E"/>
    <w:rsid w:val="00B9492C"/>
    <w:rsid w:val="00BA4BE3"/>
    <w:rsid w:val="00BA5040"/>
    <w:rsid w:val="00BB0673"/>
    <w:rsid w:val="00BB7F9F"/>
    <w:rsid w:val="00BC2E3E"/>
    <w:rsid w:val="00BC590B"/>
    <w:rsid w:val="00BC6237"/>
    <w:rsid w:val="00BD2FA9"/>
    <w:rsid w:val="00BD6E6F"/>
    <w:rsid w:val="00BE04DC"/>
    <w:rsid w:val="00BE1926"/>
    <w:rsid w:val="00BE2228"/>
    <w:rsid w:val="00BE7E18"/>
    <w:rsid w:val="00BF00F6"/>
    <w:rsid w:val="00BF203F"/>
    <w:rsid w:val="00BF2E01"/>
    <w:rsid w:val="00BF5598"/>
    <w:rsid w:val="00C0092B"/>
    <w:rsid w:val="00C00AE5"/>
    <w:rsid w:val="00C01419"/>
    <w:rsid w:val="00C019D3"/>
    <w:rsid w:val="00C07098"/>
    <w:rsid w:val="00C0741B"/>
    <w:rsid w:val="00C112BB"/>
    <w:rsid w:val="00C125CC"/>
    <w:rsid w:val="00C21122"/>
    <w:rsid w:val="00C23055"/>
    <w:rsid w:val="00C23CE5"/>
    <w:rsid w:val="00C27305"/>
    <w:rsid w:val="00C308B9"/>
    <w:rsid w:val="00C33318"/>
    <w:rsid w:val="00C348D6"/>
    <w:rsid w:val="00C36769"/>
    <w:rsid w:val="00C404C2"/>
    <w:rsid w:val="00C40DF5"/>
    <w:rsid w:val="00C4185F"/>
    <w:rsid w:val="00C478A6"/>
    <w:rsid w:val="00C579D7"/>
    <w:rsid w:val="00C60C92"/>
    <w:rsid w:val="00C67B6F"/>
    <w:rsid w:val="00C71C6A"/>
    <w:rsid w:val="00C73537"/>
    <w:rsid w:val="00C750BC"/>
    <w:rsid w:val="00C75E33"/>
    <w:rsid w:val="00C75F79"/>
    <w:rsid w:val="00C76260"/>
    <w:rsid w:val="00C809C2"/>
    <w:rsid w:val="00C87318"/>
    <w:rsid w:val="00C91D4B"/>
    <w:rsid w:val="00C9395F"/>
    <w:rsid w:val="00C93A96"/>
    <w:rsid w:val="00C95983"/>
    <w:rsid w:val="00CA0925"/>
    <w:rsid w:val="00CA4D05"/>
    <w:rsid w:val="00CB0D40"/>
    <w:rsid w:val="00CB785B"/>
    <w:rsid w:val="00CC3D80"/>
    <w:rsid w:val="00CC5705"/>
    <w:rsid w:val="00CC6206"/>
    <w:rsid w:val="00CD0088"/>
    <w:rsid w:val="00CD053B"/>
    <w:rsid w:val="00CE149A"/>
    <w:rsid w:val="00CE1FCB"/>
    <w:rsid w:val="00CE20FE"/>
    <w:rsid w:val="00CE262C"/>
    <w:rsid w:val="00CE273F"/>
    <w:rsid w:val="00CE6A01"/>
    <w:rsid w:val="00CF40DB"/>
    <w:rsid w:val="00CF6D1D"/>
    <w:rsid w:val="00D011E3"/>
    <w:rsid w:val="00D144BF"/>
    <w:rsid w:val="00D150D6"/>
    <w:rsid w:val="00D165ED"/>
    <w:rsid w:val="00D211CB"/>
    <w:rsid w:val="00D23CDB"/>
    <w:rsid w:val="00D27D58"/>
    <w:rsid w:val="00D32862"/>
    <w:rsid w:val="00D337D0"/>
    <w:rsid w:val="00D33EED"/>
    <w:rsid w:val="00D33FAF"/>
    <w:rsid w:val="00D35459"/>
    <w:rsid w:val="00D357EF"/>
    <w:rsid w:val="00D410CC"/>
    <w:rsid w:val="00D44E19"/>
    <w:rsid w:val="00D51288"/>
    <w:rsid w:val="00D65323"/>
    <w:rsid w:val="00D67CF0"/>
    <w:rsid w:val="00D718B2"/>
    <w:rsid w:val="00D73115"/>
    <w:rsid w:val="00D754A5"/>
    <w:rsid w:val="00D80C50"/>
    <w:rsid w:val="00D82749"/>
    <w:rsid w:val="00D82995"/>
    <w:rsid w:val="00D829EA"/>
    <w:rsid w:val="00D95F26"/>
    <w:rsid w:val="00D97CDF"/>
    <w:rsid w:val="00DA1587"/>
    <w:rsid w:val="00DA1B36"/>
    <w:rsid w:val="00DB2C12"/>
    <w:rsid w:val="00DB6286"/>
    <w:rsid w:val="00DB6CEB"/>
    <w:rsid w:val="00DC2064"/>
    <w:rsid w:val="00DD0F7B"/>
    <w:rsid w:val="00DD23B3"/>
    <w:rsid w:val="00DD38F4"/>
    <w:rsid w:val="00DD5E48"/>
    <w:rsid w:val="00DD6690"/>
    <w:rsid w:val="00DE1E73"/>
    <w:rsid w:val="00DE35DE"/>
    <w:rsid w:val="00DE6274"/>
    <w:rsid w:val="00DF165B"/>
    <w:rsid w:val="00DF482C"/>
    <w:rsid w:val="00DF7E2E"/>
    <w:rsid w:val="00E02CB0"/>
    <w:rsid w:val="00E04A41"/>
    <w:rsid w:val="00E06630"/>
    <w:rsid w:val="00E06E96"/>
    <w:rsid w:val="00E07422"/>
    <w:rsid w:val="00E13095"/>
    <w:rsid w:val="00E13BAC"/>
    <w:rsid w:val="00E267C1"/>
    <w:rsid w:val="00E30880"/>
    <w:rsid w:val="00E35495"/>
    <w:rsid w:val="00E35E58"/>
    <w:rsid w:val="00E47C7D"/>
    <w:rsid w:val="00E52969"/>
    <w:rsid w:val="00E56D9A"/>
    <w:rsid w:val="00E62304"/>
    <w:rsid w:val="00E7014C"/>
    <w:rsid w:val="00E73DFE"/>
    <w:rsid w:val="00E77A26"/>
    <w:rsid w:val="00E836D3"/>
    <w:rsid w:val="00E91DF7"/>
    <w:rsid w:val="00E92923"/>
    <w:rsid w:val="00E964C7"/>
    <w:rsid w:val="00EA4778"/>
    <w:rsid w:val="00EA4D06"/>
    <w:rsid w:val="00EB191A"/>
    <w:rsid w:val="00EB5E21"/>
    <w:rsid w:val="00EB6749"/>
    <w:rsid w:val="00EC2436"/>
    <w:rsid w:val="00EC24C6"/>
    <w:rsid w:val="00EC60D9"/>
    <w:rsid w:val="00ED605C"/>
    <w:rsid w:val="00ED63A9"/>
    <w:rsid w:val="00ED7AB3"/>
    <w:rsid w:val="00EF6D1E"/>
    <w:rsid w:val="00EF7B52"/>
    <w:rsid w:val="00F01B92"/>
    <w:rsid w:val="00F04923"/>
    <w:rsid w:val="00F1212A"/>
    <w:rsid w:val="00F12903"/>
    <w:rsid w:val="00F150A3"/>
    <w:rsid w:val="00F16F62"/>
    <w:rsid w:val="00F20AC1"/>
    <w:rsid w:val="00F21DC9"/>
    <w:rsid w:val="00F307B6"/>
    <w:rsid w:val="00F32482"/>
    <w:rsid w:val="00F3521B"/>
    <w:rsid w:val="00F358F0"/>
    <w:rsid w:val="00F3599C"/>
    <w:rsid w:val="00F40AC5"/>
    <w:rsid w:val="00F42366"/>
    <w:rsid w:val="00F42650"/>
    <w:rsid w:val="00F453E3"/>
    <w:rsid w:val="00F469DB"/>
    <w:rsid w:val="00F47358"/>
    <w:rsid w:val="00F47FFB"/>
    <w:rsid w:val="00F52535"/>
    <w:rsid w:val="00F660B3"/>
    <w:rsid w:val="00F66F3F"/>
    <w:rsid w:val="00F71664"/>
    <w:rsid w:val="00F720F0"/>
    <w:rsid w:val="00F76964"/>
    <w:rsid w:val="00F83938"/>
    <w:rsid w:val="00F859EC"/>
    <w:rsid w:val="00F86A2C"/>
    <w:rsid w:val="00F9239F"/>
    <w:rsid w:val="00F9557E"/>
    <w:rsid w:val="00F9787E"/>
    <w:rsid w:val="00FA2FDF"/>
    <w:rsid w:val="00FB7310"/>
    <w:rsid w:val="00FC15D6"/>
    <w:rsid w:val="00FC32D4"/>
    <w:rsid w:val="00FC4228"/>
    <w:rsid w:val="00FC46A5"/>
    <w:rsid w:val="00FC501E"/>
    <w:rsid w:val="00FD1D10"/>
    <w:rsid w:val="00FD5D68"/>
    <w:rsid w:val="00FD65B9"/>
    <w:rsid w:val="00FD795E"/>
    <w:rsid w:val="00FE0A7D"/>
    <w:rsid w:val="00FE5044"/>
    <w:rsid w:val="00FF0591"/>
    <w:rsid w:val="00FF2BCC"/>
    <w:rsid w:val="00FF4FE2"/>
    <w:rsid w:val="00FF74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7B68D"/>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8A4349"/>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8A4349"/>
    <w:pPr>
      <w:spacing w:after="100"/>
    </w:pPr>
  </w:style>
  <w:style w:type="paragraph" w:styleId="TOC2">
    <w:name w:val="toc 2"/>
    <w:basedOn w:val="Normal"/>
    <w:next w:val="Normal"/>
    <w:autoRedefine/>
    <w:uiPriority w:val="39"/>
    <w:unhideWhenUsed/>
    <w:rsid w:val="008A4349"/>
    <w:pPr>
      <w:spacing w:after="100"/>
      <w:ind w:left="240"/>
    </w:pPr>
  </w:style>
  <w:style w:type="paragraph" w:styleId="TOC3">
    <w:name w:val="toc 3"/>
    <w:basedOn w:val="Normal"/>
    <w:next w:val="Normal"/>
    <w:autoRedefine/>
    <w:uiPriority w:val="39"/>
    <w:unhideWhenUsed/>
    <w:rsid w:val="008A434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performance-report-24-25/" TargetMode="External"/><Relationship Id="rId18" Type="http://schemas.openxmlformats.org/officeDocument/2006/relationships/hyperlink" Target="https://unstats.un.org/sdgs/gender-snapshot/2024/GenderSnapshot2024.pdf"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data.who.int/dashboards/global-progress/triple-billion" TargetMode="External"/><Relationship Id="rId7" Type="http://schemas.openxmlformats.org/officeDocument/2006/relationships/endnotes" Target="endnotes.xml"/><Relationship Id="rId12" Type="http://schemas.openxmlformats.org/officeDocument/2006/relationships/hyperlink" Target="https://www.gov.uk/government/publications/womens-health-strategy-for-england/womens-health-strategy-for-england" TargetMode="External"/><Relationship Id="rId17" Type="http://schemas.openxmlformats.org/officeDocument/2006/relationships/hyperlink" Target="https://www.gov.uk/government/publications/health-inequalities-in-health-protection-report/health-inequalities-in-health-protection-report-2025"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ommonslibrary.parliament.uk/research-briefings/cdp-2025-0038/" TargetMode="External"/><Relationship Id="rId20" Type="http://schemas.openxmlformats.org/officeDocument/2006/relationships/hyperlink" Target="https://www.un.org/en/global-issues/health"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rmingham.gov.uk/news/article/1635/birmingham_city_council_invests_in_local_stop_smoking_support"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legislation.gov.uk/ukpga/2021/17/contents"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www.unicef.org/press-releases/progress-reducing-child-deaths-slows-49-million-children-under-five-die-2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10/15/contents" TargetMode="External"/><Relationship Id="rId22" Type="http://schemas.openxmlformats.org/officeDocument/2006/relationships/hyperlink" Target="https://www.who.int/europe/about-us/our-work/sustainable-development-goals"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B030E8-6668-4CC0-A160-95D5D0259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4087</Words>
  <Characters>23298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asmasurajaftab@gmail.com</cp:lastModifiedBy>
  <cp:revision>2</cp:revision>
  <dcterms:created xsi:type="dcterms:W3CDTF">2026-07-12T21:27:00Z</dcterms:created>
  <dcterms:modified xsi:type="dcterms:W3CDTF">2026-07-12T21:27:00Z</dcterms:modified>
</cp:coreProperties>
</file>