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1867D77" w14:textId="77777777" w:rsidR="00035297" w:rsidRPr="00035297" w:rsidRDefault="00035297" w:rsidP="00737CC7">
      <w:pPr>
        <w:spacing w:line="360" w:lineRule="auto"/>
        <w:rPr>
          <w:rFonts w:ascii="Arial" w:hAnsi="Arial" w:cs="Arial"/>
          <w:b/>
          <w:bCs/>
          <w:sz w:val="22"/>
          <w:szCs w:val="22"/>
        </w:rPr>
      </w:pPr>
      <w:r w:rsidRPr="00035297">
        <w:rPr>
          <w:rFonts w:ascii="Arial" w:hAnsi="Arial" w:cs="Arial"/>
          <w:b/>
          <w:bCs/>
          <w:sz w:val="22"/>
          <w:szCs w:val="22"/>
        </w:rPr>
        <w:t>Introduction</w:t>
      </w:r>
    </w:p>
    <w:p w14:paraId="2F882A94" w14:textId="77777777" w:rsidR="00035297" w:rsidRPr="00737CC7" w:rsidRDefault="00035297" w:rsidP="00737CC7">
      <w:pPr>
        <w:spacing w:line="360" w:lineRule="auto"/>
        <w:rPr>
          <w:rFonts w:ascii="Arial" w:hAnsi="Arial" w:cs="Arial"/>
          <w:sz w:val="22"/>
          <w:szCs w:val="22"/>
        </w:rPr>
      </w:pPr>
      <w:r w:rsidRPr="00035297">
        <w:rPr>
          <w:rFonts w:ascii="Arial" w:hAnsi="Arial" w:cs="Arial"/>
          <w:sz w:val="22"/>
          <w:szCs w:val="22"/>
        </w:rPr>
        <w:t>Motivation is a fundamental concept in understanding human behaviour and performance. Robbins and Judge (2017) define motivation as the processes that account for an individual’s intensity, direction, and persistence of effort toward attaining a goal. In the context of health and social care, motivation is particularly important as it influences both the quality of care delivered by professionals and the engagement of service users. This report will explore the significance of motivation in health and social care, examine its impact on staff and service users, and distinguish between intrinsic and extrinsic forms of motivation.</w:t>
      </w:r>
    </w:p>
    <w:p w14:paraId="6D8746D6" w14:textId="77777777" w:rsidR="00035297" w:rsidRPr="00035297" w:rsidRDefault="00035297" w:rsidP="00737CC7">
      <w:pPr>
        <w:spacing w:line="360" w:lineRule="auto"/>
        <w:rPr>
          <w:rFonts w:ascii="Arial" w:hAnsi="Arial" w:cs="Arial"/>
          <w:b/>
          <w:bCs/>
          <w:sz w:val="22"/>
          <w:szCs w:val="22"/>
        </w:rPr>
      </w:pPr>
      <w:r w:rsidRPr="00035297">
        <w:rPr>
          <w:rFonts w:ascii="Arial" w:hAnsi="Arial" w:cs="Arial"/>
          <w:b/>
          <w:bCs/>
          <w:sz w:val="22"/>
          <w:szCs w:val="22"/>
        </w:rPr>
        <w:t>Importance of Motivation in Health and Social Care</w:t>
      </w:r>
    </w:p>
    <w:p w14:paraId="79B57959" w14:textId="77777777" w:rsidR="00035297" w:rsidRPr="00035297" w:rsidRDefault="00035297" w:rsidP="00737CC7">
      <w:pPr>
        <w:spacing w:line="360" w:lineRule="auto"/>
        <w:rPr>
          <w:rFonts w:ascii="Arial" w:hAnsi="Arial" w:cs="Arial"/>
          <w:sz w:val="22"/>
          <w:szCs w:val="22"/>
        </w:rPr>
      </w:pPr>
      <w:r w:rsidRPr="00035297">
        <w:rPr>
          <w:rFonts w:ascii="Arial" w:hAnsi="Arial" w:cs="Arial"/>
          <w:sz w:val="22"/>
          <w:szCs w:val="22"/>
        </w:rPr>
        <w:t>Motivation directly affects the quality of care provided. Healthcare professionals who are motivated demonstrate greater empathy, commitment, and responsiveness to patient needs, which enhances overall service delivery. Mullins (2016) highlights that motivation enhances job performance, especially in professions requiring emotional labour such as health and social care. Furthermore, motivation contributes to job satisfaction and retention. In a sector characterised by high demands and stress, Armstrong (2014) argues that employee motivation is essential in retaining skilled professionals and reducing burnout.</w:t>
      </w:r>
    </w:p>
    <w:p w14:paraId="081D48E4" w14:textId="02EC3D44" w:rsidR="00035297" w:rsidRPr="00737CC7" w:rsidRDefault="00035297" w:rsidP="00737CC7">
      <w:pPr>
        <w:spacing w:line="360" w:lineRule="auto"/>
        <w:rPr>
          <w:rFonts w:ascii="Arial" w:hAnsi="Arial" w:cs="Arial"/>
          <w:sz w:val="22"/>
          <w:szCs w:val="22"/>
        </w:rPr>
      </w:pPr>
      <w:r w:rsidRPr="00737CC7">
        <w:rPr>
          <w:rFonts w:ascii="Arial" w:hAnsi="Arial" w:cs="Arial"/>
          <w:sz w:val="22"/>
          <w:szCs w:val="22"/>
        </w:rPr>
        <w:t>Motivation also plays a critical role in service user engagement. Patients who are motivated are more likely to adhere to treatment plans, attend appointments, and adopt healthier behaviours. Glanz, Rimer and Viswanath (2015) emphasise that motivational strategies are vital for encouraging individuals to comply with care routines and make positive lifestyle changes. Thus, motivation benefits both providers and recipients of care, ensuring effective and sustainable health and social care services</w:t>
      </w:r>
      <w:r w:rsidRPr="00737CC7">
        <w:rPr>
          <w:rFonts w:ascii="Arial" w:hAnsi="Arial" w:cs="Arial"/>
          <w:sz w:val="22"/>
          <w:szCs w:val="22"/>
        </w:rPr>
        <w:t>.</w:t>
      </w:r>
    </w:p>
    <w:p w14:paraId="50C051E0" w14:textId="500E76FD" w:rsidR="00035297" w:rsidRPr="00035297" w:rsidRDefault="00035297" w:rsidP="00737CC7">
      <w:pPr>
        <w:spacing w:line="360" w:lineRule="auto"/>
        <w:rPr>
          <w:rFonts w:ascii="Arial" w:hAnsi="Arial" w:cs="Arial"/>
          <w:b/>
          <w:bCs/>
          <w:sz w:val="22"/>
          <w:szCs w:val="22"/>
        </w:rPr>
      </w:pPr>
      <w:r w:rsidRPr="00035297">
        <w:rPr>
          <w:rFonts w:ascii="Arial" w:hAnsi="Arial" w:cs="Arial"/>
          <w:b/>
          <w:bCs/>
          <w:sz w:val="22"/>
          <w:szCs w:val="22"/>
        </w:rPr>
        <w:t>Intrinsic and Extrinsic Motivation</w:t>
      </w:r>
    </w:p>
    <w:p w14:paraId="7D11DB22" w14:textId="77777777" w:rsidR="00035297" w:rsidRPr="00035297" w:rsidRDefault="00035297" w:rsidP="00737CC7">
      <w:pPr>
        <w:spacing w:line="360" w:lineRule="auto"/>
        <w:rPr>
          <w:rFonts w:ascii="Arial" w:hAnsi="Arial" w:cs="Arial"/>
          <w:sz w:val="22"/>
          <w:szCs w:val="22"/>
        </w:rPr>
      </w:pPr>
      <w:r w:rsidRPr="00035297">
        <w:rPr>
          <w:rFonts w:ascii="Arial" w:hAnsi="Arial" w:cs="Arial"/>
          <w:sz w:val="22"/>
          <w:szCs w:val="22"/>
        </w:rPr>
        <w:t>Motivation can be categorised into intrinsic and extrinsic forms. Intrinsic motivation refers to engaging in an activity because it is inherently interesting or enjoyable. Ryan and Deci (2000) explain that individuals who are intrinsically motivated act out of personal satisfaction, meaning, or fulfilment. For example, a nurse may comfort a patient out of genuine concern for their wellbeing, or a social worker may feel personally rewarded by supporting vulnerable individuals.</w:t>
      </w:r>
    </w:p>
    <w:p w14:paraId="3110A29C" w14:textId="77777777" w:rsidR="00035297" w:rsidRPr="00035297" w:rsidRDefault="00035297" w:rsidP="00737CC7">
      <w:pPr>
        <w:spacing w:line="360" w:lineRule="auto"/>
        <w:rPr>
          <w:rFonts w:ascii="Arial" w:hAnsi="Arial" w:cs="Arial"/>
          <w:sz w:val="22"/>
          <w:szCs w:val="22"/>
        </w:rPr>
      </w:pPr>
      <w:r w:rsidRPr="00035297">
        <w:rPr>
          <w:rFonts w:ascii="Arial" w:hAnsi="Arial" w:cs="Arial"/>
          <w:sz w:val="22"/>
          <w:szCs w:val="22"/>
        </w:rPr>
        <w:t xml:space="preserve">In contrast, extrinsic motivation is driven by external rewards or pressures. Ryan and Deci (2000) define extrinsic motivation as engaging in an activity to achieve a separable outcome, such as financial reward or avoiding punishment. Examples include a care assistant working overtime for extra pay or a nurse completing mandatory training to meet job requirements. Both forms of motivation are important in health and social care: intrinsic motivation fosters </w:t>
      </w:r>
      <w:r w:rsidRPr="00035297">
        <w:rPr>
          <w:rFonts w:ascii="Arial" w:hAnsi="Arial" w:cs="Arial"/>
          <w:sz w:val="22"/>
          <w:szCs w:val="22"/>
        </w:rPr>
        <w:lastRenderedPageBreak/>
        <w:t>compassion and long-term commitment, while extrinsic motivation ensures compliance with organisational standards and professional requirements.</w:t>
      </w:r>
    </w:p>
    <w:p w14:paraId="6B724BE0" w14:textId="77777777" w:rsidR="00035297" w:rsidRPr="00035297" w:rsidRDefault="00035297" w:rsidP="00737CC7">
      <w:pPr>
        <w:spacing w:line="360" w:lineRule="auto"/>
        <w:rPr>
          <w:rFonts w:ascii="Arial" w:hAnsi="Arial" w:cs="Arial"/>
          <w:b/>
          <w:bCs/>
          <w:sz w:val="22"/>
          <w:szCs w:val="22"/>
        </w:rPr>
      </w:pPr>
      <w:r w:rsidRPr="00035297">
        <w:rPr>
          <w:rFonts w:ascii="Arial" w:hAnsi="Arial" w:cs="Arial"/>
          <w:b/>
          <w:bCs/>
          <w:sz w:val="22"/>
          <w:szCs w:val="22"/>
        </w:rPr>
        <w:t>Conclusion</w:t>
      </w:r>
    </w:p>
    <w:p w14:paraId="1AD5CD48" w14:textId="46B384BD" w:rsidR="00035297" w:rsidRPr="00737CC7" w:rsidRDefault="00035297" w:rsidP="00737CC7">
      <w:pPr>
        <w:spacing w:line="360" w:lineRule="auto"/>
        <w:rPr>
          <w:rFonts w:ascii="Arial" w:hAnsi="Arial" w:cs="Arial"/>
          <w:sz w:val="22"/>
          <w:szCs w:val="22"/>
        </w:rPr>
      </w:pPr>
      <w:r w:rsidRPr="00035297">
        <w:rPr>
          <w:rFonts w:ascii="Arial" w:hAnsi="Arial" w:cs="Arial"/>
          <w:sz w:val="22"/>
          <w:szCs w:val="22"/>
        </w:rPr>
        <w:t>In conclusion, motivation is a critical factor in health and social care settings. It influences staff performance, job satisfaction, and retention, while also encouraging service user engagement and adherence to treatment. Both intrinsic and extrinsic motivation play complementary roles in sustaining effective care delivery. By fostering motivation through recognition, training, and supportive organisational practices, health and social care services such as the NHS can remain responsive, compassionate, and efficient in meeting the needs of those who rely on them</w:t>
      </w:r>
      <w:r w:rsidRPr="00737CC7">
        <w:rPr>
          <w:rFonts w:ascii="Arial" w:hAnsi="Arial" w:cs="Arial"/>
          <w:sz w:val="22"/>
          <w:szCs w:val="22"/>
        </w:rPr>
        <w:t>.</w:t>
      </w:r>
    </w:p>
    <w:p w14:paraId="483FB921" w14:textId="6524833D" w:rsidR="00035297" w:rsidRPr="00035297" w:rsidRDefault="00035297" w:rsidP="00035297">
      <w:r w:rsidRPr="00035297">
        <w:t xml:space="preserve">References </w:t>
      </w:r>
    </w:p>
    <w:p w14:paraId="4FAE0339" w14:textId="77777777" w:rsidR="00035297" w:rsidRPr="00035297" w:rsidRDefault="00035297" w:rsidP="00035297">
      <w:pPr>
        <w:numPr>
          <w:ilvl w:val="0"/>
          <w:numId w:val="3"/>
        </w:numPr>
      </w:pPr>
      <w:r w:rsidRPr="00035297">
        <w:t xml:space="preserve">Armstrong, M. (2014) </w:t>
      </w:r>
      <w:r w:rsidRPr="00035297">
        <w:rPr>
          <w:i/>
          <w:iCs/>
        </w:rPr>
        <w:t>Armstrong's Handbook of Human Resource Management Practice</w:t>
      </w:r>
      <w:r w:rsidRPr="00035297">
        <w:t>. 13th ed. London: Kogan Page.</w:t>
      </w:r>
    </w:p>
    <w:p w14:paraId="61BE928C" w14:textId="77777777" w:rsidR="00035297" w:rsidRPr="00035297" w:rsidRDefault="00035297" w:rsidP="00035297">
      <w:pPr>
        <w:numPr>
          <w:ilvl w:val="0"/>
          <w:numId w:val="3"/>
        </w:numPr>
      </w:pPr>
      <w:r w:rsidRPr="00035297">
        <w:t xml:space="preserve">Glanz, K., Rimer, B.K. and Viswanath, K. (2015) </w:t>
      </w:r>
      <w:r w:rsidRPr="00035297">
        <w:rPr>
          <w:i/>
          <w:iCs/>
        </w:rPr>
        <w:t>Health Behavior: Theory, Research, and Practice</w:t>
      </w:r>
      <w:r w:rsidRPr="00035297">
        <w:t>. 5th ed. San Francisco: Jossey-Bass.</w:t>
      </w:r>
    </w:p>
    <w:p w14:paraId="6708F3D3" w14:textId="77777777" w:rsidR="00035297" w:rsidRPr="00035297" w:rsidRDefault="00035297" w:rsidP="00035297">
      <w:pPr>
        <w:numPr>
          <w:ilvl w:val="0"/>
          <w:numId w:val="3"/>
        </w:numPr>
      </w:pPr>
      <w:r w:rsidRPr="00035297">
        <w:t xml:space="preserve">Mullins, L.J. (2016) </w:t>
      </w:r>
      <w:r w:rsidRPr="00035297">
        <w:rPr>
          <w:i/>
          <w:iCs/>
        </w:rPr>
        <w:t>Management and Organisational Behaviour</w:t>
      </w:r>
      <w:r w:rsidRPr="00035297">
        <w:t>. 11th ed. Harlow: Pearson Education.</w:t>
      </w:r>
    </w:p>
    <w:p w14:paraId="5D7EE63A" w14:textId="77777777" w:rsidR="00035297" w:rsidRPr="00035297" w:rsidRDefault="00035297" w:rsidP="00035297">
      <w:pPr>
        <w:numPr>
          <w:ilvl w:val="0"/>
          <w:numId w:val="3"/>
        </w:numPr>
      </w:pPr>
      <w:r w:rsidRPr="00035297">
        <w:t xml:space="preserve">Ryan, R.M. and Deci, E.L. (2000) ‘Intrinsic and extrinsic motivations: Classic definitions and new directions’, </w:t>
      </w:r>
      <w:r w:rsidRPr="00035297">
        <w:rPr>
          <w:i/>
          <w:iCs/>
        </w:rPr>
        <w:t>Contemporary Educational Psychology</w:t>
      </w:r>
      <w:r w:rsidRPr="00035297">
        <w:t>, 25(1), pp. 54–67.</w:t>
      </w:r>
    </w:p>
    <w:p w14:paraId="68533395" w14:textId="77777777" w:rsidR="00035297" w:rsidRDefault="00035297" w:rsidP="00035297">
      <w:pPr>
        <w:numPr>
          <w:ilvl w:val="0"/>
          <w:numId w:val="3"/>
        </w:numPr>
      </w:pPr>
      <w:r w:rsidRPr="00035297">
        <w:t xml:space="preserve">Robbins, S.P. and Judge, T.A. (2017) </w:t>
      </w:r>
      <w:r w:rsidRPr="00035297">
        <w:rPr>
          <w:i/>
          <w:iCs/>
        </w:rPr>
        <w:t>Organizational Behavior</w:t>
      </w:r>
      <w:r w:rsidRPr="00035297">
        <w:t>. 17th ed. Harlow: Pearson Education.</w:t>
      </w:r>
    </w:p>
    <w:p w14:paraId="7100085B" w14:textId="77777777" w:rsidR="00B12570" w:rsidRDefault="00B12570" w:rsidP="00A15F28"/>
    <w:p w14:paraId="466A8D19" w14:textId="7D8BA32E" w:rsidR="00A15F28" w:rsidRPr="00A15F28" w:rsidRDefault="00A15F28" w:rsidP="00B12570">
      <w:pPr>
        <w:spacing w:line="360" w:lineRule="auto"/>
        <w:rPr>
          <w:rFonts w:ascii="Arial" w:hAnsi="Arial" w:cs="Arial"/>
          <w:b/>
          <w:bCs/>
          <w:sz w:val="22"/>
          <w:szCs w:val="22"/>
        </w:rPr>
      </w:pPr>
      <w:r w:rsidRPr="00A15F28">
        <w:rPr>
          <w:rFonts w:ascii="Arial" w:hAnsi="Arial" w:cs="Arial"/>
          <w:b/>
          <w:bCs/>
          <w:sz w:val="22"/>
          <w:szCs w:val="22"/>
        </w:rPr>
        <w:t>Reflective Report</w:t>
      </w:r>
    </w:p>
    <w:p w14:paraId="00B3C244" w14:textId="77777777" w:rsidR="00A15F28" w:rsidRPr="00A15F28" w:rsidRDefault="00A15F28" w:rsidP="00B12570">
      <w:pPr>
        <w:spacing w:line="360" w:lineRule="auto"/>
        <w:rPr>
          <w:rFonts w:ascii="Arial" w:hAnsi="Arial" w:cs="Arial"/>
          <w:b/>
          <w:bCs/>
          <w:sz w:val="22"/>
          <w:szCs w:val="22"/>
        </w:rPr>
      </w:pPr>
      <w:r w:rsidRPr="00A15F28">
        <w:rPr>
          <w:rFonts w:ascii="Arial" w:hAnsi="Arial" w:cs="Arial"/>
          <w:b/>
          <w:bCs/>
          <w:sz w:val="22"/>
          <w:szCs w:val="22"/>
        </w:rPr>
        <w:t>Introduction</w:t>
      </w:r>
    </w:p>
    <w:p w14:paraId="0B305770" w14:textId="77777777" w:rsidR="00A15F28" w:rsidRPr="00A15F28" w:rsidRDefault="00A15F28" w:rsidP="00B12570">
      <w:pPr>
        <w:spacing w:line="360" w:lineRule="auto"/>
        <w:rPr>
          <w:rFonts w:ascii="Arial" w:hAnsi="Arial" w:cs="Arial"/>
          <w:sz w:val="22"/>
          <w:szCs w:val="22"/>
        </w:rPr>
      </w:pPr>
      <w:r w:rsidRPr="00A15F28">
        <w:rPr>
          <w:rFonts w:ascii="Arial" w:hAnsi="Arial" w:cs="Arial"/>
          <w:sz w:val="22"/>
          <w:szCs w:val="22"/>
        </w:rPr>
        <w:t>This reflective report explores my experience of delivering a video presentation on my career aspirations. Reflection enables individuals to critically evaluate their actions and identify areas for improvement (Schön, 1983). I will use Gibbs’ Reflective Cycle (1988) as a framework to analyse my experience, focusing on the challenges I faced, the skills and knowledge I gained, and the strategies I used to overcome obstacles. The reflection will also consider how this experience will inform my future practice.</w:t>
      </w:r>
    </w:p>
    <w:p w14:paraId="07C6C215" w14:textId="77777777" w:rsidR="00E061D8" w:rsidRPr="00B12570" w:rsidRDefault="00E061D8" w:rsidP="00B12570">
      <w:pPr>
        <w:spacing w:line="360" w:lineRule="auto"/>
        <w:rPr>
          <w:rFonts w:ascii="Arial" w:hAnsi="Arial" w:cs="Arial"/>
          <w:sz w:val="22"/>
          <w:szCs w:val="22"/>
        </w:rPr>
      </w:pPr>
    </w:p>
    <w:p w14:paraId="2E2DDD6B" w14:textId="77777777" w:rsidR="0012148A" w:rsidRPr="0012148A" w:rsidRDefault="0012148A" w:rsidP="00B12570">
      <w:pPr>
        <w:spacing w:line="360" w:lineRule="auto"/>
        <w:rPr>
          <w:rFonts w:ascii="Arial" w:hAnsi="Arial" w:cs="Arial"/>
          <w:b/>
          <w:bCs/>
          <w:sz w:val="22"/>
          <w:szCs w:val="22"/>
        </w:rPr>
      </w:pPr>
      <w:r w:rsidRPr="0012148A">
        <w:rPr>
          <w:rFonts w:ascii="Arial" w:hAnsi="Arial" w:cs="Arial"/>
          <w:b/>
          <w:bCs/>
          <w:sz w:val="22"/>
          <w:szCs w:val="22"/>
        </w:rPr>
        <w:lastRenderedPageBreak/>
        <w:t>Description</w:t>
      </w:r>
    </w:p>
    <w:p w14:paraId="309430CE" w14:textId="77777777" w:rsidR="0012148A" w:rsidRPr="00B12570" w:rsidRDefault="0012148A" w:rsidP="00B12570">
      <w:pPr>
        <w:spacing w:line="360" w:lineRule="auto"/>
        <w:rPr>
          <w:rFonts w:ascii="Arial" w:hAnsi="Arial" w:cs="Arial"/>
          <w:sz w:val="22"/>
          <w:szCs w:val="22"/>
        </w:rPr>
      </w:pPr>
      <w:r w:rsidRPr="0012148A">
        <w:rPr>
          <w:rFonts w:ascii="Arial" w:hAnsi="Arial" w:cs="Arial"/>
          <w:sz w:val="22"/>
          <w:szCs w:val="22"/>
        </w:rPr>
        <w:t>The presentation required me to explain my career goals and the skills necessary to achieve them. As I entered the classroom, I felt nervous because I had never presented before. However, once I began, I felt more relaxed and confident. I delivered my ideas clearly, but the time limit meant I could not cover all the points I had prepared.</w:t>
      </w:r>
    </w:p>
    <w:p w14:paraId="2BE0EC97" w14:textId="77777777" w:rsidR="0080476D" w:rsidRPr="0080476D" w:rsidRDefault="0080476D" w:rsidP="00B12570">
      <w:pPr>
        <w:spacing w:line="360" w:lineRule="auto"/>
        <w:rPr>
          <w:rFonts w:ascii="Arial" w:hAnsi="Arial" w:cs="Arial"/>
          <w:b/>
          <w:bCs/>
          <w:sz w:val="22"/>
          <w:szCs w:val="22"/>
        </w:rPr>
      </w:pPr>
      <w:r w:rsidRPr="0080476D">
        <w:rPr>
          <w:rFonts w:ascii="Arial" w:hAnsi="Arial" w:cs="Arial"/>
          <w:b/>
          <w:bCs/>
          <w:sz w:val="22"/>
          <w:szCs w:val="22"/>
        </w:rPr>
        <w:t>Feelings</w:t>
      </w:r>
    </w:p>
    <w:p w14:paraId="6EE12CCD" w14:textId="7B3D5DC1" w:rsidR="0080476D" w:rsidRPr="00B12570" w:rsidRDefault="0080476D" w:rsidP="00B12570">
      <w:pPr>
        <w:spacing w:line="360" w:lineRule="auto"/>
        <w:rPr>
          <w:rFonts w:ascii="Arial" w:hAnsi="Arial" w:cs="Arial"/>
          <w:sz w:val="22"/>
          <w:szCs w:val="22"/>
        </w:rPr>
      </w:pPr>
      <w:r w:rsidRPr="0080476D">
        <w:rPr>
          <w:rFonts w:ascii="Arial" w:hAnsi="Arial" w:cs="Arial"/>
          <w:sz w:val="22"/>
          <w:szCs w:val="22"/>
        </w:rPr>
        <w:t>Initially, I experienced anxiety and self-doubt, which is common when facing new challenges (Kolb, 1984). During the presentation, my nervousness decreased, and I felt more comfortable. I was surprised at how quickly the time passed, which left me slightly frustrated as I could not include all my planned content. Despite this, I felt proud of my ability to remain composed and communicate effectively</w:t>
      </w:r>
      <w:r w:rsidR="001B6B9C" w:rsidRPr="00B12570">
        <w:rPr>
          <w:rFonts w:ascii="Arial" w:hAnsi="Arial" w:cs="Arial"/>
          <w:sz w:val="22"/>
          <w:szCs w:val="22"/>
        </w:rPr>
        <w:t>.</w:t>
      </w:r>
    </w:p>
    <w:p w14:paraId="7A412A67" w14:textId="77777777" w:rsidR="001B6B9C" w:rsidRPr="001B6B9C" w:rsidRDefault="001B6B9C" w:rsidP="00B12570">
      <w:pPr>
        <w:spacing w:line="360" w:lineRule="auto"/>
        <w:rPr>
          <w:rFonts w:ascii="Arial" w:hAnsi="Arial" w:cs="Arial"/>
          <w:b/>
          <w:bCs/>
          <w:sz w:val="22"/>
          <w:szCs w:val="22"/>
        </w:rPr>
      </w:pPr>
      <w:r w:rsidRPr="001B6B9C">
        <w:rPr>
          <w:rFonts w:ascii="Arial" w:hAnsi="Arial" w:cs="Arial"/>
          <w:b/>
          <w:bCs/>
          <w:sz w:val="22"/>
          <w:szCs w:val="22"/>
        </w:rPr>
        <w:t>Evaluation</w:t>
      </w:r>
    </w:p>
    <w:p w14:paraId="3104B285" w14:textId="77777777" w:rsidR="001B6B9C" w:rsidRPr="00B12570" w:rsidRDefault="001B6B9C" w:rsidP="00B12570">
      <w:pPr>
        <w:spacing w:line="360" w:lineRule="auto"/>
        <w:rPr>
          <w:rFonts w:ascii="Arial" w:hAnsi="Arial" w:cs="Arial"/>
          <w:sz w:val="22"/>
          <w:szCs w:val="22"/>
        </w:rPr>
      </w:pPr>
      <w:r w:rsidRPr="001B6B9C">
        <w:rPr>
          <w:rFonts w:ascii="Arial" w:hAnsi="Arial" w:cs="Arial"/>
          <w:sz w:val="22"/>
          <w:szCs w:val="22"/>
        </w:rPr>
        <w:t>There were several positive aspects of my presentation. My introduction was clear and concise, my tone was appropriate, and my body language was confident, which helped engage the audience. However, I recognised areas for improvement. I could have prepared more effectively by rehearsing at home and ensuring my content was concise enough to fit within the time limit. Practice and preparation are key to effective presentations (Moon, 2013).</w:t>
      </w:r>
    </w:p>
    <w:p w14:paraId="68E719C0" w14:textId="77777777" w:rsidR="00395750" w:rsidRPr="00395750" w:rsidRDefault="00395750" w:rsidP="00B12570">
      <w:pPr>
        <w:spacing w:line="360" w:lineRule="auto"/>
        <w:rPr>
          <w:rFonts w:ascii="Arial" w:hAnsi="Arial" w:cs="Arial"/>
          <w:b/>
          <w:bCs/>
          <w:sz w:val="22"/>
          <w:szCs w:val="22"/>
        </w:rPr>
      </w:pPr>
      <w:r w:rsidRPr="00395750">
        <w:rPr>
          <w:rFonts w:ascii="Arial" w:hAnsi="Arial" w:cs="Arial"/>
          <w:b/>
          <w:bCs/>
          <w:sz w:val="22"/>
          <w:szCs w:val="22"/>
        </w:rPr>
        <w:t>Analysis</w:t>
      </w:r>
    </w:p>
    <w:p w14:paraId="3B795E33" w14:textId="23D0287B" w:rsidR="00395750" w:rsidRPr="00B12570" w:rsidRDefault="00395750" w:rsidP="00B12570">
      <w:pPr>
        <w:spacing w:line="360" w:lineRule="auto"/>
        <w:rPr>
          <w:rFonts w:ascii="Arial" w:hAnsi="Arial" w:cs="Arial"/>
          <w:sz w:val="22"/>
          <w:szCs w:val="22"/>
        </w:rPr>
      </w:pPr>
      <w:r w:rsidRPr="00395750">
        <w:rPr>
          <w:rFonts w:ascii="Arial" w:hAnsi="Arial" w:cs="Arial"/>
          <w:sz w:val="22"/>
          <w:szCs w:val="22"/>
        </w:rPr>
        <w:t>Reflecting on the experience, I realised that preparation and time management are essential skills for successful presentations. Gibbs (1988) highlights that reflection allows individuals to critically evaluate their performance and identify strategies for improvement. By researching presentation techniques and learning from experts, I can enhance my delivery and structure. This experience highlighted the importance of balancing content with clarity and timing.</w:t>
      </w:r>
    </w:p>
    <w:p w14:paraId="262D120C" w14:textId="77777777" w:rsidR="00395750" w:rsidRPr="00395750" w:rsidRDefault="00395750" w:rsidP="00B12570">
      <w:pPr>
        <w:spacing w:line="360" w:lineRule="auto"/>
        <w:rPr>
          <w:rFonts w:ascii="Arial" w:hAnsi="Arial" w:cs="Arial"/>
          <w:b/>
          <w:bCs/>
          <w:sz w:val="22"/>
          <w:szCs w:val="22"/>
        </w:rPr>
      </w:pPr>
      <w:r w:rsidRPr="00395750">
        <w:rPr>
          <w:rFonts w:ascii="Arial" w:hAnsi="Arial" w:cs="Arial"/>
          <w:b/>
          <w:bCs/>
          <w:sz w:val="22"/>
          <w:szCs w:val="22"/>
        </w:rPr>
        <w:t>Conclusion</w:t>
      </w:r>
    </w:p>
    <w:p w14:paraId="2A1A123B" w14:textId="77777777" w:rsidR="00395750" w:rsidRPr="00395750" w:rsidRDefault="00395750" w:rsidP="00B12570">
      <w:pPr>
        <w:spacing w:line="360" w:lineRule="auto"/>
        <w:rPr>
          <w:rFonts w:ascii="Arial" w:hAnsi="Arial" w:cs="Arial"/>
          <w:sz w:val="22"/>
          <w:szCs w:val="22"/>
        </w:rPr>
      </w:pPr>
      <w:r w:rsidRPr="00395750">
        <w:rPr>
          <w:rFonts w:ascii="Arial" w:hAnsi="Arial" w:cs="Arial"/>
          <w:sz w:val="22"/>
          <w:szCs w:val="22"/>
        </w:rPr>
        <w:t>Overall, the presentation was a valuable learning experience. It helped me develop confidence in public speaking and highlighted the importance of preparation. I believe I performed well but recognise that I need to refine my skills further. This reflection has shown me that presentations are not only about content but also about delivery, timing, and audience engagement.</w:t>
      </w:r>
    </w:p>
    <w:p w14:paraId="573F2363" w14:textId="77777777" w:rsidR="008503F9" w:rsidRPr="008503F9" w:rsidRDefault="008503F9" w:rsidP="00B12570">
      <w:pPr>
        <w:spacing w:line="360" w:lineRule="auto"/>
        <w:rPr>
          <w:rFonts w:ascii="Arial" w:hAnsi="Arial" w:cs="Arial"/>
          <w:b/>
          <w:bCs/>
          <w:sz w:val="22"/>
          <w:szCs w:val="22"/>
        </w:rPr>
      </w:pPr>
      <w:r w:rsidRPr="008503F9">
        <w:rPr>
          <w:rFonts w:ascii="Arial" w:hAnsi="Arial" w:cs="Arial"/>
          <w:b/>
          <w:bCs/>
          <w:sz w:val="22"/>
          <w:szCs w:val="22"/>
        </w:rPr>
        <w:t>Action Plan</w:t>
      </w:r>
    </w:p>
    <w:p w14:paraId="2C3D73FE" w14:textId="77777777" w:rsidR="008503F9" w:rsidRPr="00B12570" w:rsidRDefault="008503F9" w:rsidP="00B12570">
      <w:pPr>
        <w:spacing w:line="360" w:lineRule="auto"/>
        <w:rPr>
          <w:rFonts w:ascii="Arial" w:hAnsi="Arial" w:cs="Arial"/>
          <w:sz w:val="22"/>
          <w:szCs w:val="22"/>
        </w:rPr>
      </w:pPr>
      <w:r w:rsidRPr="008503F9">
        <w:rPr>
          <w:rFonts w:ascii="Arial" w:hAnsi="Arial" w:cs="Arial"/>
          <w:sz w:val="22"/>
          <w:szCs w:val="22"/>
        </w:rPr>
        <w:lastRenderedPageBreak/>
        <w:t>In future, I will rehearse my presentations to ensure they fit within the allocated time. I will also research effective presentation strategies and seek feedback from peers and tutors to improve my delivery. By applying reflective practice, I aim to continually develop my communication skills, which will be essential in my future career.</w:t>
      </w:r>
    </w:p>
    <w:p w14:paraId="43144CE7" w14:textId="77777777" w:rsidR="00166EFE" w:rsidRDefault="00166EFE" w:rsidP="00C66373">
      <w:pPr>
        <w:rPr>
          <w:rFonts w:ascii="Arial" w:hAnsi="Arial" w:cs="Arial"/>
          <w:sz w:val="22"/>
          <w:szCs w:val="22"/>
        </w:rPr>
      </w:pPr>
    </w:p>
    <w:p w14:paraId="1E778AA3" w14:textId="6408DD07" w:rsidR="00C66373" w:rsidRPr="00C66373" w:rsidRDefault="00C66373" w:rsidP="00C66373">
      <w:pPr>
        <w:rPr>
          <w:b/>
          <w:bCs/>
        </w:rPr>
      </w:pPr>
      <w:r w:rsidRPr="00C66373">
        <w:rPr>
          <w:b/>
          <w:bCs/>
        </w:rPr>
        <w:t xml:space="preserve">References </w:t>
      </w:r>
    </w:p>
    <w:p w14:paraId="6B0E4097" w14:textId="77777777" w:rsidR="00C66373" w:rsidRPr="00C66373" w:rsidRDefault="00C66373" w:rsidP="00C66373">
      <w:pPr>
        <w:numPr>
          <w:ilvl w:val="0"/>
          <w:numId w:val="4"/>
        </w:numPr>
      </w:pPr>
      <w:r w:rsidRPr="00C66373">
        <w:t xml:space="preserve">Gibbs, G. (1988) </w:t>
      </w:r>
      <w:r w:rsidRPr="00C66373">
        <w:rPr>
          <w:i/>
          <w:iCs/>
        </w:rPr>
        <w:t>Learning by Doing: A Guide to Teaching and Learning Methods</w:t>
      </w:r>
      <w:r w:rsidRPr="00C66373">
        <w:t>. Oxford: Oxford Polytechnic.</w:t>
      </w:r>
    </w:p>
    <w:p w14:paraId="1CD0D599" w14:textId="77777777" w:rsidR="00C66373" w:rsidRPr="00C66373" w:rsidRDefault="00C66373" w:rsidP="00C66373">
      <w:pPr>
        <w:numPr>
          <w:ilvl w:val="0"/>
          <w:numId w:val="4"/>
        </w:numPr>
      </w:pPr>
      <w:r w:rsidRPr="00C66373">
        <w:t xml:space="preserve">Kolb, D.A. (1984) </w:t>
      </w:r>
      <w:r w:rsidRPr="00C66373">
        <w:rPr>
          <w:i/>
          <w:iCs/>
        </w:rPr>
        <w:t>Experiential Learning: Experience as the Source of Learning and Development</w:t>
      </w:r>
      <w:r w:rsidRPr="00C66373">
        <w:t>. Englewood Cliffs, NJ: Prentice Hall.</w:t>
      </w:r>
    </w:p>
    <w:p w14:paraId="129F0210" w14:textId="77777777" w:rsidR="00C66373" w:rsidRPr="00C66373" w:rsidRDefault="00C66373" w:rsidP="00C66373">
      <w:pPr>
        <w:numPr>
          <w:ilvl w:val="0"/>
          <w:numId w:val="4"/>
        </w:numPr>
      </w:pPr>
      <w:r w:rsidRPr="00C66373">
        <w:t xml:space="preserve">Moon, J.A. (2013) </w:t>
      </w:r>
      <w:r w:rsidRPr="00C66373">
        <w:rPr>
          <w:i/>
          <w:iCs/>
        </w:rPr>
        <w:t>Reflection and Employability: Reflection on Learning and Employability</w:t>
      </w:r>
      <w:r w:rsidRPr="00C66373">
        <w:t>. London: Routledge.</w:t>
      </w:r>
    </w:p>
    <w:p w14:paraId="791ECB1E" w14:textId="77777777" w:rsidR="00C66373" w:rsidRDefault="00C66373" w:rsidP="00C66373">
      <w:pPr>
        <w:numPr>
          <w:ilvl w:val="0"/>
          <w:numId w:val="4"/>
        </w:numPr>
      </w:pPr>
      <w:r w:rsidRPr="00C66373">
        <w:t xml:space="preserve">Schön, D.A. (1983) </w:t>
      </w:r>
      <w:r w:rsidRPr="00C66373">
        <w:rPr>
          <w:i/>
          <w:iCs/>
        </w:rPr>
        <w:t>The Reflective Practitioner: How Professionals Think in Action</w:t>
      </w:r>
      <w:r w:rsidRPr="00C66373">
        <w:t>. New York: Basic Books.</w:t>
      </w:r>
    </w:p>
    <w:p w14:paraId="2D6DD480" w14:textId="77777777" w:rsidR="004D0317" w:rsidRDefault="004D0317" w:rsidP="004D0317"/>
    <w:p w14:paraId="2D33B96C" w14:textId="77777777" w:rsidR="004D0317" w:rsidRPr="00FC2715" w:rsidRDefault="004D0317" w:rsidP="004D0317">
      <w:pPr>
        <w:rPr>
          <w:rFonts w:ascii="Arial" w:hAnsi="Arial" w:cs="Arial"/>
          <w:b/>
          <w:bCs/>
          <w:sz w:val="22"/>
          <w:szCs w:val="22"/>
        </w:rPr>
      </w:pPr>
      <w:r w:rsidRPr="00FC2715">
        <w:rPr>
          <w:rFonts w:ascii="Arial" w:hAnsi="Arial" w:cs="Arial"/>
          <w:b/>
          <w:bCs/>
          <w:sz w:val="22"/>
          <w:szCs w:val="22"/>
        </w:rPr>
        <w:t>Activity 1 and 4</w:t>
      </w:r>
    </w:p>
    <w:p w14:paraId="345D33A9" w14:textId="77777777" w:rsidR="004D0317" w:rsidRPr="00FC2715" w:rsidRDefault="004D0317" w:rsidP="004D0317">
      <w:pPr>
        <w:rPr>
          <w:rFonts w:ascii="Arial" w:hAnsi="Arial" w:cs="Arial"/>
          <w:b/>
          <w:bCs/>
          <w:sz w:val="22"/>
          <w:szCs w:val="22"/>
          <w:u w:val="single"/>
        </w:rPr>
      </w:pPr>
      <w:r w:rsidRPr="00FC2715">
        <w:rPr>
          <w:rFonts w:ascii="Arial" w:hAnsi="Arial" w:cs="Arial"/>
          <w:b/>
          <w:bCs/>
          <w:sz w:val="22"/>
          <w:szCs w:val="22"/>
          <w:u w:val="single"/>
        </w:rPr>
        <w:t>Activity 1</w:t>
      </w:r>
    </w:p>
    <w:p w14:paraId="7693A28C" w14:textId="77777777" w:rsidR="004D0317" w:rsidRPr="00FC2715" w:rsidRDefault="004D0317" w:rsidP="004D0317">
      <w:pPr>
        <w:rPr>
          <w:rFonts w:ascii="Arial" w:hAnsi="Arial" w:cs="Arial"/>
          <w:b/>
          <w:bCs/>
          <w:color w:val="EE0000"/>
          <w:sz w:val="22"/>
          <w:szCs w:val="22"/>
        </w:rPr>
      </w:pPr>
      <w:r w:rsidRPr="00FC2715">
        <w:rPr>
          <w:rFonts w:ascii="Arial" w:hAnsi="Arial" w:cs="Arial"/>
          <w:b/>
          <w:bCs/>
          <w:sz w:val="22"/>
          <w:szCs w:val="22"/>
        </w:rPr>
        <w:t xml:space="preserve">Read the paragraph below: </w:t>
      </w:r>
    </w:p>
    <w:p w14:paraId="18CFD1FE" w14:textId="77777777" w:rsidR="004D0317" w:rsidRPr="00FC2715" w:rsidRDefault="004D0317" w:rsidP="004D0317">
      <w:pPr>
        <w:rPr>
          <w:rFonts w:ascii="Arial" w:hAnsi="Arial" w:cs="Arial"/>
          <w:sz w:val="22"/>
          <w:szCs w:val="22"/>
        </w:rPr>
      </w:pPr>
      <w:r w:rsidRPr="00FC2715">
        <w:rPr>
          <w:rFonts w:ascii="Arial" w:hAnsi="Arial" w:cs="Arial"/>
          <w:color w:val="EE0000"/>
          <w:sz w:val="22"/>
          <w:szCs w:val="22"/>
        </w:rPr>
        <w:t>The UK is facing a major health crisis due the high rates of obesity.</w:t>
      </w:r>
      <w:r w:rsidRPr="00FC2715">
        <w:rPr>
          <w:rFonts w:ascii="Arial" w:hAnsi="Arial" w:cs="Arial"/>
          <w:sz w:val="22"/>
          <w:szCs w:val="22"/>
        </w:rPr>
        <w:t xml:space="preserve"> </w:t>
      </w:r>
      <w:r w:rsidRPr="00FC2715">
        <w:rPr>
          <w:rFonts w:ascii="Arial" w:hAnsi="Arial" w:cs="Arial"/>
          <w:color w:val="45B0E1" w:themeColor="accent1" w:themeTint="99"/>
          <w:sz w:val="22"/>
          <w:szCs w:val="22"/>
        </w:rPr>
        <w:t xml:space="preserve">In 2018-19, there were 11,117 NHS hospital admissions directly attributable to obesity (NHS, 2020). If an adult has a BMI of 25 – 30, they are considered overweight, and a BMI of 30 or above is considered obese (NFS, 2021). Ritchie and Roser (2017) identify that over 60% of UK adults are considered to be overweight or obese, and the US is the only country in the world with a higher rate. A review commissioned by the UK Government, conducted by NHS digital (2020), identified that 20% of all children in Year 6 of primary school are already obese. </w:t>
      </w:r>
      <w:r w:rsidRPr="00FC2715">
        <w:rPr>
          <w:rFonts w:ascii="Arial" w:hAnsi="Arial" w:cs="Arial"/>
          <w:sz w:val="22"/>
          <w:szCs w:val="22"/>
        </w:rPr>
        <w:t>One possible way of reducing obesity in children is new legislation on the marketing of junk food to children.</w:t>
      </w:r>
    </w:p>
    <w:p w14:paraId="77B7BDEF" w14:textId="77777777" w:rsidR="004D0317" w:rsidRPr="00FC2715" w:rsidRDefault="004D0317" w:rsidP="004D0317">
      <w:pPr>
        <w:rPr>
          <w:rFonts w:ascii="Arial" w:hAnsi="Arial" w:cs="Arial"/>
          <w:sz w:val="22"/>
          <w:szCs w:val="22"/>
        </w:rPr>
      </w:pPr>
      <w:r w:rsidRPr="00FC2715">
        <w:rPr>
          <w:rFonts w:ascii="Arial" w:hAnsi="Arial" w:cs="Arial"/>
          <w:sz w:val="22"/>
          <w:szCs w:val="22"/>
        </w:rPr>
        <w:t xml:space="preserve">1. Highlight or underline the sentence that outlines the topic of the paragraph. </w:t>
      </w:r>
    </w:p>
    <w:p w14:paraId="5EFE70A9" w14:textId="77777777" w:rsidR="004D0317" w:rsidRPr="00FC2715" w:rsidRDefault="004D0317" w:rsidP="004D0317">
      <w:pPr>
        <w:rPr>
          <w:rFonts w:ascii="Arial" w:hAnsi="Arial" w:cs="Arial"/>
          <w:sz w:val="22"/>
          <w:szCs w:val="22"/>
        </w:rPr>
      </w:pPr>
      <w:r w:rsidRPr="00FC2715">
        <w:rPr>
          <w:rFonts w:ascii="Arial" w:hAnsi="Arial" w:cs="Arial"/>
          <w:sz w:val="22"/>
          <w:szCs w:val="22"/>
        </w:rPr>
        <w:t xml:space="preserve">2. Use a different colour or outline to highlight the sentences that develop the topic of discussion in the paragraph. </w:t>
      </w:r>
    </w:p>
    <w:p w14:paraId="6234E087" w14:textId="77777777" w:rsidR="004D0317" w:rsidRPr="00FC2715" w:rsidRDefault="004D0317" w:rsidP="004D0317">
      <w:pPr>
        <w:rPr>
          <w:rFonts w:ascii="Arial" w:hAnsi="Arial" w:cs="Arial"/>
          <w:sz w:val="22"/>
          <w:szCs w:val="22"/>
        </w:rPr>
      </w:pPr>
      <w:r w:rsidRPr="00FC2715">
        <w:rPr>
          <w:rFonts w:ascii="Arial" w:hAnsi="Arial" w:cs="Arial"/>
          <w:b/>
          <w:bCs/>
          <w:sz w:val="22"/>
          <w:szCs w:val="22"/>
        </w:rPr>
        <w:t xml:space="preserve">3. </w:t>
      </w:r>
      <w:r w:rsidRPr="00FC2715">
        <w:rPr>
          <w:rFonts w:ascii="Arial" w:hAnsi="Arial" w:cs="Arial"/>
          <w:sz w:val="22"/>
          <w:szCs w:val="22"/>
        </w:rPr>
        <w:t xml:space="preserve">Read the final sentence. Does this sentence </w:t>
      </w:r>
      <w:r w:rsidRPr="00FC2715">
        <w:rPr>
          <w:rFonts w:ascii="Arial" w:hAnsi="Arial" w:cs="Arial"/>
          <w:b/>
          <w:bCs/>
          <w:sz w:val="22"/>
          <w:szCs w:val="22"/>
        </w:rPr>
        <w:t>conclude</w:t>
      </w:r>
      <w:r w:rsidRPr="00FC2715">
        <w:rPr>
          <w:rFonts w:ascii="Arial" w:hAnsi="Arial" w:cs="Arial"/>
          <w:sz w:val="22"/>
          <w:szCs w:val="22"/>
        </w:rPr>
        <w:t xml:space="preserve"> the topic </w:t>
      </w:r>
      <w:r w:rsidRPr="00FC2715">
        <w:rPr>
          <w:rFonts w:ascii="Arial" w:hAnsi="Arial" w:cs="Arial"/>
          <w:b/>
          <w:bCs/>
          <w:sz w:val="22"/>
          <w:szCs w:val="22"/>
        </w:rPr>
        <w:t>or</w:t>
      </w:r>
      <w:r w:rsidRPr="00FC2715">
        <w:rPr>
          <w:rFonts w:ascii="Arial" w:hAnsi="Arial" w:cs="Arial"/>
          <w:sz w:val="22"/>
          <w:szCs w:val="22"/>
        </w:rPr>
        <w:t xml:space="preserve"> </w:t>
      </w:r>
      <w:r w:rsidRPr="00FC2715">
        <w:rPr>
          <w:rFonts w:ascii="Arial" w:hAnsi="Arial" w:cs="Arial"/>
          <w:b/>
          <w:bCs/>
          <w:sz w:val="22"/>
          <w:szCs w:val="22"/>
        </w:rPr>
        <w:t>link</w:t>
      </w:r>
      <w:r w:rsidRPr="00FC2715">
        <w:rPr>
          <w:rFonts w:ascii="Arial" w:hAnsi="Arial" w:cs="Arial"/>
          <w:sz w:val="22"/>
          <w:szCs w:val="22"/>
        </w:rPr>
        <w:t xml:space="preserve"> to further points? </w:t>
      </w:r>
    </w:p>
    <w:p w14:paraId="219692C8" w14:textId="77777777" w:rsidR="004D0317" w:rsidRPr="00FC2715" w:rsidRDefault="004D0317" w:rsidP="004D0317">
      <w:pPr>
        <w:rPr>
          <w:rFonts w:ascii="Arial" w:hAnsi="Arial" w:cs="Arial"/>
          <w:sz w:val="22"/>
          <w:szCs w:val="22"/>
        </w:rPr>
      </w:pPr>
      <w:r w:rsidRPr="00FC2715">
        <w:rPr>
          <w:rFonts w:ascii="Arial" w:hAnsi="Arial" w:cs="Arial"/>
          <w:sz w:val="22"/>
          <w:szCs w:val="22"/>
        </w:rPr>
        <w:t>The last sentence does not conclude the topic however it links to further points, which opens up another discussion regarding children obesity.</w:t>
      </w:r>
    </w:p>
    <w:p w14:paraId="20425E98" w14:textId="77777777" w:rsidR="004D0317" w:rsidRDefault="004D0317" w:rsidP="004D0317"/>
    <w:p w14:paraId="2DB388BE" w14:textId="77777777" w:rsidR="002B1967" w:rsidRDefault="002B1967" w:rsidP="004D0317"/>
    <w:p w14:paraId="53B3734D" w14:textId="77777777" w:rsidR="002B1967" w:rsidRPr="00FC2715" w:rsidRDefault="002B1967" w:rsidP="002B1967">
      <w:pPr>
        <w:rPr>
          <w:rFonts w:ascii="Arial" w:hAnsi="Arial" w:cs="Arial"/>
          <w:b/>
          <w:bCs/>
          <w:sz w:val="22"/>
          <w:szCs w:val="22"/>
        </w:rPr>
      </w:pPr>
      <w:r w:rsidRPr="00FC2715">
        <w:rPr>
          <w:rFonts w:ascii="Arial" w:hAnsi="Arial" w:cs="Arial"/>
          <w:b/>
          <w:bCs/>
          <w:sz w:val="22"/>
          <w:szCs w:val="22"/>
        </w:rPr>
        <w:lastRenderedPageBreak/>
        <w:t xml:space="preserve">Read the paragraph below: </w:t>
      </w:r>
    </w:p>
    <w:p w14:paraId="265B2FE9" w14:textId="77777777" w:rsidR="002B1967" w:rsidRPr="00FC2715" w:rsidRDefault="002B1967" w:rsidP="002B1967">
      <w:pPr>
        <w:rPr>
          <w:rFonts w:ascii="Arial" w:hAnsi="Arial" w:cs="Arial"/>
          <w:sz w:val="22"/>
          <w:szCs w:val="22"/>
        </w:rPr>
      </w:pPr>
      <w:r w:rsidRPr="00FC2715">
        <w:rPr>
          <w:rFonts w:ascii="Arial" w:hAnsi="Arial" w:cs="Arial"/>
          <w:color w:val="C00000"/>
          <w:sz w:val="22"/>
          <w:szCs w:val="22"/>
        </w:rPr>
        <w:t>The cost of living in the UK has been rising</w:t>
      </w:r>
      <w:r w:rsidRPr="00FC2715">
        <w:rPr>
          <w:rFonts w:ascii="Arial" w:hAnsi="Arial" w:cs="Arial"/>
          <w:sz w:val="22"/>
          <w:szCs w:val="22"/>
        </w:rPr>
        <w:t xml:space="preserve">. </w:t>
      </w:r>
      <w:r w:rsidRPr="00FC2715">
        <w:rPr>
          <w:rFonts w:ascii="Arial" w:hAnsi="Arial" w:cs="Arial"/>
          <w:color w:val="156082" w:themeColor="accent1"/>
          <w:sz w:val="22"/>
          <w:szCs w:val="22"/>
        </w:rPr>
        <w:t>Paleja (2022) outlined that in April 2022, households in the UK could expect a 6% increase in the cost of living</w:t>
      </w:r>
      <w:r w:rsidRPr="00FC2715">
        <w:rPr>
          <w:rFonts w:ascii="Arial" w:hAnsi="Arial" w:cs="Arial"/>
          <w:sz w:val="22"/>
          <w:szCs w:val="22"/>
        </w:rPr>
        <w:t xml:space="preserve">. </w:t>
      </w:r>
      <w:r w:rsidRPr="00FC2715">
        <w:rPr>
          <w:rFonts w:ascii="Arial" w:hAnsi="Arial" w:cs="Arial"/>
          <w:color w:val="156082" w:themeColor="accent1"/>
          <w:sz w:val="22"/>
          <w:szCs w:val="22"/>
        </w:rPr>
        <w:t>This was equivalent to a £100 weekly grocery bill becoming £106 and a £1000 annual energy bill increasing to £1060. Despite this rise in costs, Chan (2022) reported that the governor of the Bank of England, Andrew Bailey, suggested that employees should not be given any pay rises as this could lead to a spiral of inflation that could push costs for everyone even higher</w:t>
      </w:r>
      <w:r w:rsidRPr="00FC2715">
        <w:rPr>
          <w:rFonts w:ascii="Arial" w:hAnsi="Arial" w:cs="Arial"/>
          <w:sz w:val="22"/>
          <w:szCs w:val="22"/>
        </w:rPr>
        <w:t xml:space="preserve">. So, how does an employer motivate staff that are feeling the financial squeeze? </w:t>
      </w:r>
    </w:p>
    <w:p w14:paraId="1349B671" w14:textId="77777777" w:rsidR="002B1967" w:rsidRPr="00FC2715" w:rsidRDefault="002B1967" w:rsidP="002B1967">
      <w:pPr>
        <w:rPr>
          <w:rFonts w:ascii="Arial" w:hAnsi="Arial" w:cs="Arial"/>
          <w:sz w:val="22"/>
          <w:szCs w:val="22"/>
        </w:rPr>
      </w:pPr>
      <w:r w:rsidRPr="00FC2715">
        <w:rPr>
          <w:rFonts w:ascii="Arial" w:hAnsi="Arial" w:cs="Arial"/>
          <w:sz w:val="22"/>
          <w:szCs w:val="22"/>
        </w:rPr>
        <w:t xml:space="preserve">1. Highlight or underline the sentence that outlines the topic of the paragraph. </w:t>
      </w:r>
    </w:p>
    <w:p w14:paraId="0DE8DAC1" w14:textId="77777777" w:rsidR="002B1967" w:rsidRPr="00FC2715" w:rsidRDefault="002B1967" w:rsidP="002B1967">
      <w:pPr>
        <w:rPr>
          <w:rFonts w:ascii="Arial" w:hAnsi="Arial" w:cs="Arial"/>
          <w:sz w:val="22"/>
          <w:szCs w:val="22"/>
        </w:rPr>
      </w:pPr>
      <w:r w:rsidRPr="00FC2715">
        <w:rPr>
          <w:rFonts w:ascii="Arial" w:hAnsi="Arial" w:cs="Arial"/>
          <w:sz w:val="22"/>
          <w:szCs w:val="22"/>
        </w:rPr>
        <w:t xml:space="preserve">2. Use a different colour or outline to highlight the sentences that develop the topic of discussion in the paragraph. </w:t>
      </w:r>
    </w:p>
    <w:p w14:paraId="391CDF74" w14:textId="77777777" w:rsidR="002B1967" w:rsidRPr="00FC2715" w:rsidRDefault="002B1967" w:rsidP="002B1967">
      <w:pPr>
        <w:rPr>
          <w:rFonts w:ascii="Arial" w:hAnsi="Arial" w:cs="Arial"/>
          <w:b/>
          <w:bCs/>
          <w:sz w:val="22"/>
          <w:szCs w:val="22"/>
        </w:rPr>
      </w:pPr>
      <w:r w:rsidRPr="00FC2715">
        <w:rPr>
          <w:rFonts w:ascii="Arial" w:hAnsi="Arial" w:cs="Arial"/>
          <w:b/>
          <w:bCs/>
          <w:sz w:val="22"/>
          <w:szCs w:val="22"/>
        </w:rPr>
        <w:t xml:space="preserve">3. </w:t>
      </w:r>
      <w:r w:rsidRPr="00FC2715">
        <w:rPr>
          <w:rFonts w:ascii="Arial" w:hAnsi="Arial" w:cs="Arial"/>
          <w:sz w:val="22"/>
          <w:szCs w:val="22"/>
        </w:rPr>
        <w:t xml:space="preserve">Read the final sentence. Does this sentence </w:t>
      </w:r>
      <w:r w:rsidRPr="00FC2715">
        <w:rPr>
          <w:rFonts w:ascii="Arial" w:hAnsi="Arial" w:cs="Arial"/>
          <w:b/>
          <w:bCs/>
          <w:sz w:val="22"/>
          <w:szCs w:val="22"/>
        </w:rPr>
        <w:t>conclude</w:t>
      </w:r>
      <w:r w:rsidRPr="00FC2715">
        <w:rPr>
          <w:rFonts w:ascii="Arial" w:hAnsi="Arial" w:cs="Arial"/>
          <w:sz w:val="22"/>
          <w:szCs w:val="22"/>
        </w:rPr>
        <w:t xml:space="preserve"> the topic </w:t>
      </w:r>
      <w:r w:rsidRPr="00FC2715">
        <w:rPr>
          <w:rFonts w:ascii="Arial" w:hAnsi="Arial" w:cs="Arial"/>
          <w:b/>
          <w:bCs/>
          <w:sz w:val="22"/>
          <w:szCs w:val="22"/>
        </w:rPr>
        <w:t>or link</w:t>
      </w:r>
      <w:r w:rsidRPr="00FC2715">
        <w:rPr>
          <w:rFonts w:ascii="Arial" w:hAnsi="Arial" w:cs="Arial"/>
          <w:sz w:val="22"/>
          <w:szCs w:val="22"/>
        </w:rPr>
        <w:t xml:space="preserve"> to further points? </w:t>
      </w:r>
      <w:r w:rsidRPr="00FC2715">
        <w:rPr>
          <w:rFonts w:ascii="Arial" w:hAnsi="Arial" w:cs="Arial"/>
          <w:b/>
          <w:bCs/>
          <w:sz w:val="22"/>
          <w:szCs w:val="22"/>
        </w:rPr>
        <w:t xml:space="preserve"> </w:t>
      </w:r>
    </w:p>
    <w:p w14:paraId="23B5279B" w14:textId="77777777" w:rsidR="002B1967" w:rsidRPr="00FC2715" w:rsidRDefault="002B1967" w:rsidP="002B1967">
      <w:pPr>
        <w:rPr>
          <w:rFonts w:ascii="Arial" w:hAnsi="Arial" w:cs="Arial"/>
          <w:sz w:val="22"/>
          <w:szCs w:val="22"/>
        </w:rPr>
      </w:pPr>
      <w:r w:rsidRPr="00FC2715">
        <w:rPr>
          <w:rFonts w:ascii="Arial" w:hAnsi="Arial" w:cs="Arial"/>
          <w:sz w:val="22"/>
          <w:szCs w:val="22"/>
        </w:rPr>
        <w:t>The last sentence does not conclude the topic but makes links to further points that can be discussed after that.</w:t>
      </w:r>
    </w:p>
    <w:p w14:paraId="77BD1D34" w14:textId="77777777" w:rsidR="002B1967" w:rsidRPr="00FC2715" w:rsidRDefault="002B1967" w:rsidP="002B1967">
      <w:pPr>
        <w:rPr>
          <w:rFonts w:ascii="Arial" w:hAnsi="Arial" w:cs="Arial"/>
          <w:b/>
          <w:bCs/>
          <w:sz w:val="22"/>
          <w:szCs w:val="22"/>
        </w:rPr>
      </w:pPr>
      <w:r w:rsidRPr="00FC2715">
        <w:rPr>
          <w:rFonts w:ascii="Arial" w:hAnsi="Arial" w:cs="Arial"/>
          <w:b/>
          <w:bCs/>
          <w:sz w:val="22"/>
          <w:szCs w:val="22"/>
          <w:u w:val="single"/>
        </w:rPr>
        <w:t>Activity 4</w:t>
      </w:r>
    </w:p>
    <w:p w14:paraId="2D164110" w14:textId="77777777" w:rsidR="002B1967" w:rsidRPr="00FC2715" w:rsidRDefault="002B1967" w:rsidP="002B1967">
      <w:pPr>
        <w:rPr>
          <w:rFonts w:ascii="Arial" w:hAnsi="Arial" w:cs="Arial"/>
          <w:sz w:val="22"/>
          <w:szCs w:val="22"/>
        </w:rPr>
      </w:pPr>
      <w:r w:rsidRPr="00FC2715">
        <w:rPr>
          <w:rFonts w:ascii="Arial" w:hAnsi="Arial" w:cs="Arial"/>
          <w:b/>
          <w:bCs/>
          <w:sz w:val="22"/>
          <w:szCs w:val="22"/>
        </w:rPr>
        <w:t xml:space="preserve">Read the paragraph below and answer the questions below: </w:t>
      </w:r>
    </w:p>
    <w:p w14:paraId="49CACF50" w14:textId="77777777" w:rsidR="002B1967" w:rsidRPr="00FC2715" w:rsidRDefault="002B1967" w:rsidP="002B1967">
      <w:pPr>
        <w:rPr>
          <w:rFonts w:ascii="Arial" w:hAnsi="Arial" w:cs="Arial"/>
          <w:sz w:val="22"/>
          <w:szCs w:val="22"/>
        </w:rPr>
      </w:pPr>
      <w:r w:rsidRPr="00FC2715">
        <w:rPr>
          <w:rFonts w:ascii="Arial" w:hAnsi="Arial" w:cs="Arial"/>
          <w:sz w:val="22"/>
          <w:szCs w:val="22"/>
        </w:rPr>
        <w:t xml:space="preserve">In my opinion, there are too many of these kinds of medical conditions, more and more each year. Last year there were 10,700 people in Birmingham diagnosed and no doubt additional cases will be found. If you compared the numbers of patients in Birmingham with those found in London, there are clear differences. I believe the situation with progress and worsen in the next few years. </w:t>
      </w:r>
    </w:p>
    <w:p w14:paraId="41A67675" w14:textId="77777777" w:rsidR="002B1967" w:rsidRPr="00FC2715" w:rsidRDefault="002B1967" w:rsidP="002B1967">
      <w:pPr>
        <w:rPr>
          <w:rFonts w:ascii="Arial" w:hAnsi="Arial" w:cs="Arial"/>
          <w:sz w:val="22"/>
          <w:szCs w:val="22"/>
        </w:rPr>
      </w:pPr>
      <w:r w:rsidRPr="00FC2715">
        <w:rPr>
          <w:rFonts w:ascii="Arial" w:hAnsi="Arial" w:cs="Arial"/>
          <w:sz w:val="22"/>
          <w:szCs w:val="22"/>
        </w:rPr>
        <w:t>What are the main errors in the paragraph above?  How would you suggest the writer improved this paragraph?</w:t>
      </w:r>
    </w:p>
    <w:p w14:paraId="2A1B3EC5" w14:textId="77777777" w:rsidR="002B1967" w:rsidRPr="00FC2715" w:rsidRDefault="002B1967" w:rsidP="002B1967">
      <w:pPr>
        <w:rPr>
          <w:rFonts w:ascii="Arial" w:hAnsi="Arial" w:cs="Arial"/>
          <w:sz w:val="22"/>
          <w:szCs w:val="22"/>
        </w:rPr>
      </w:pPr>
      <w:r w:rsidRPr="00FC2715">
        <w:rPr>
          <w:rFonts w:ascii="Arial" w:hAnsi="Arial" w:cs="Arial"/>
          <w:sz w:val="22"/>
          <w:szCs w:val="22"/>
        </w:rPr>
        <w:t xml:space="preserve">The main errors in the paragraph are: </w:t>
      </w:r>
    </w:p>
    <w:p w14:paraId="7243E45B" w14:textId="77777777" w:rsidR="002B1967" w:rsidRPr="00FC2715" w:rsidRDefault="002B1967" w:rsidP="002B1967">
      <w:pPr>
        <w:pStyle w:val="ListParagraph"/>
        <w:numPr>
          <w:ilvl w:val="0"/>
          <w:numId w:val="5"/>
        </w:numPr>
        <w:spacing w:line="259" w:lineRule="auto"/>
        <w:rPr>
          <w:rFonts w:ascii="Arial" w:hAnsi="Arial" w:cs="Arial"/>
          <w:sz w:val="22"/>
          <w:szCs w:val="22"/>
        </w:rPr>
      </w:pPr>
      <w:r w:rsidRPr="00FC2715">
        <w:rPr>
          <w:rFonts w:ascii="Arial" w:hAnsi="Arial" w:cs="Arial"/>
          <w:sz w:val="22"/>
          <w:szCs w:val="22"/>
        </w:rPr>
        <w:t>Tone and language</w:t>
      </w:r>
    </w:p>
    <w:p w14:paraId="319C5A44" w14:textId="77777777" w:rsidR="002B1967" w:rsidRPr="00FC2715" w:rsidRDefault="002B1967" w:rsidP="002B1967">
      <w:pPr>
        <w:pStyle w:val="ListParagraph"/>
        <w:numPr>
          <w:ilvl w:val="0"/>
          <w:numId w:val="5"/>
        </w:numPr>
        <w:spacing w:line="259" w:lineRule="auto"/>
        <w:rPr>
          <w:rFonts w:ascii="Arial" w:hAnsi="Arial" w:cs="Arial"/>
          <w:sz w:val="22"/>
          <w:szCs w:val="22"/>
        </w:rPr>
      </w:pPr>
      <w:r w:rsidRPr="00FC2715">
        <w:rPr>
          <w:rFonts w:ascii="Arial" w:hAnsi="Arial" w:cs="Arial"/>
          <w:sz w:val="22"/>
          <w:szCs w:val="22"/>
        </w:rPr>
        <w:t>Lack of clarity</w:t>
      </w:r>
    </w:p>
    <w:p w14:paraId="563FA90F" w14:textId="77777777" w:rsidR="002B1967" w:rsidRPr="00FC2715" w:rsidRDefault="002B1967" w:rsidP="002B1967">
      <w:pPr>
        <w:pStyle w:val="ListParagraph"/>
        <w:numPr>
          <w:ilvl w:val="0"/>
          <w:numId w:val="5"/>
        </w:numPr>
        <w:spacing w:line="259" w:lineRule="auto"/>
        <w:rPr>
          <w:rFonts w:ascii="Arial" w:hAnsi="Arial" w:cs="Arial"/>
          <w:sz w:val="22"/>
          <w:szCs w:val="22"/>
        </w:rPr>
      </w:pPr>
      <w:r w:rsidRPr="00FC2715">
        <w:rPr>
          <w:rFonts w:ascii="Arial" w:hAnsi="Arial" w:cs="Arial"/>
          <w:sz w:val="22"/>
          <w:szCs w:val="22"/>
        </w:rPr>
        <w:t xml:space="preserve">Grammer and structure </w:t>
      </w:r>
    </w:p>
    <w:p w14:paraId="634593CA" w14:textId="77777777" w:rsidR="002B1967" w:rsidRPr="00FC2715" w:rsidRDefault="002B1967" w:rsidP="002B1967">
      <w:pPr>
        <w:pStyle w:val="ListParagraph"/>
        <w:numPr>
          <w:ilvl w:val="0"/>
          <w:numId w:val="5"/>
        </w:numPr>
        <w:spacing w:line="259" w:lineRule="auto"/>
        <w:rPr>
          <w:rFonts w:ascii="Arial" w:hAnsi="Arial" w:cs="Arial"/>
          <w:sz w:val="22"/>
          <w:szCs w:val="22"/>
        </w:rPr>
      </w:pPr>
      <w:r w:rsidRPr="00FC2715">
        <w:rPr>
          <w:rFonts w:ascii="Arial" w:hAnsi="Arial" w:cs="Arial"/>
          <w:sz w:val="22"/>
          <w:szCs w:val="22"/>
        </w:rPr>
        <w:t>Lack of supporting evidence</w:t>
      </w:r>
    </w:p>
    <w:p w14:paraId="7F43A96F" w14:textId="77777777" w:rsidR="002B1967" w:rsidRPr="00FC2715" w:rsidRDefault="002B1967" w:rsidP="002B1967">
      <w:pPr>
        <w:pStyle w:val="ListParagraph"/>
        <w:rPr>
          <w:rFonts w:ascii="Arial" w:hAnsi="Arial" w:cs="Arial"/>
          <w:sz w:val="22"/>
          <w:szCs w:val="22"/>
        </w:rPr>
      </w:pPr>
    </w:p>
    <w:p w14:paraId="61C80D98" w14:textId="77777777" w:rsidR="002B1967" w:rsidRPr="00FC2715" w:rsidRDefault="002B1967" w:rsidP="002B1967">
      <w:pPr>
        <w:rPr>
          <w:rFonts w:ascii="Arial" w:hAnsi="Arial" w:cs="Arial"/>
          <w:b/>
          <w:bCs/>
          <w:sz w:val="22"/>
          <w:szCs w:val="22"/>
        </w:rPr>
      </w:pPr>
      <w:r w:rsidRPr="00FC2715">
        <w:rPr>
          <w:rFonts w:ascii="Arial" w:hAnsi="Arial" w:cs="Arial"/>
          <w:b/>
          <w:bCs/>
          <w:sz w:val="22"/>
          <w:szCs w:val="22"/>
        </w:rPr>
        <w:t>Suggestions for Improvement:</w:t>
      </w:r>
    </w:p>
    <w:p w14:paraId="52BE6D3D" w14:textId="77777777" w:rsidR="002B1967" w:rsidRPr="00FC2715" w:rsidRDefault="002B1967" w:rsidP="002B1967">
      <w:pPr>
        <w:pStyle w:val="ListParagraph"/>
        <w:numPr>
          <w:ilvl w:val="0"/>
          <w:numId w:val="6"/>
        </w:numPr>
        <w:spacing w:line="259" w:lineRule="auto"/>
        <w:rPr>
          <w:rFonts w:ascii="Arial" w:hAnsi="Arial" w:cs="Arial"/>
          <w:sz w:val="22"/>
          <w:szCs w:val="22"/>
        </w:rPr>
      </w:pPr>
      <w:r w:rsidRPr="00FC2715">
        <w:rPr>
          <w:rFonts w:ascii="Arial" w:hAnsi="Arial" w:cs="Arial"/>
          <w:sz w:val="22"/>
          <w:szCs w:val="22"/>
        </w:rPr>
        <w:t>Use a formal tone.</w:t>
      </w:r>
    </w:p>
    <w:p w14:paraId="6E71A203" w14:textId="77777777" w:rsidR="002B1967" w:rsidRPr="00FC2715" w:rsidRDefault="002B1967" w:rsidP="002B1967">
      <w:pPr>
        <w:pStyle w:val="ListParagraph"/>
        <w:numPr>
          <w:ilvl w:val="0"/>
          <w:numId w:val="6"/>
        </w:numPr>
        <w:spacing w:line="259" w:lineRule="auto"/>
        <w:rPr>
          <w:rFonts w:ascii="Arial" w:hAnsi="Arial" w:cs="Arial"/>
          <w:sz w:val="22"/>
          <w:szCs w:val="22"/>
        </w:rPr>
      </w:pPr>
      <w:r w:rsidRPr="00FC2715">
        <w:rPr>
          <w:rFonts w:ascii="Arial" w:hAnsi="Arial" w:cs="Arial"/>
          <w:sz w:val="22"/>
          <w:szCs w:val="22"/>
        </w:rPr>
        <w:t>Clearly define the medical condition or topic.</w:t>
      </w:r>
    </w:p>
    <w:p w14:paraId="186139AA" w14:textId="77777777" w:rsidR="002B1967" w:rsidRPr="00FC2715" w:rsidRDefault="002B1967" w:rsidP="002B1967">
      <w:pPr>
        <w:pStyle w:val="ListParagraph"/>
        <w:numPr>
          <w:ilvl w:val="0"/>
          <w:numId w:val="6"/>
        </w:numPr>
        <w:spacing w:line="259" w:lineRule="auto"/>
        <w:rPr>
          <w:rFonts w:ascii="Arial" w:hAnsi="Arial" w:cs="Arial"/>
          <w:sz w:val="22"/>
          <w:szCs w:val="22"/>
        </w:rPr>
      </w:pPr>
      <w:r w:rsidRPr="00FC2715">
        <w:rPr>
          <w:rFonts w:ascii="Arial" w:hAnsi="Arial" w:cs="Arial"/>
          <w:sz w:val="22"/>
          <w:szCs w:val="22"/>
        </w:rPr>
        <w:t>Replace vague statements with specific comparisons or statistics.</w:t>
      </w:r>
    </w:p>
    <w:p w14:paraId="64EDE9E0" w14:textId="77777777" w:rsidR="002B1967" w:rsidRPr="00FC2715" w:rsidRDefault="002B1967" w:rsidP="002B1967">
      <w:pPr>
        <w:pStyle w:val="ListParagraph"/>
        <w:numPr>
          <w:ilvl w:val="0"/>
          <w:numId w:val="6"/>
        </w:numPr>
        <w:spacing w:line="259" w:lineRule="auto"/>
        <w:rPr>
          <w:rFonts w:ascii="Arial" w:hAnsi="Arial" w:cs="Arial"/>
          <w:sz w:val="22"/>
          <w:szCs w:val="22"/>
        </w:rPr>
      </w:pPr>
      <w:r w:rsidRPr="00FC2715">
        <w:rPr>
          <w:rFonts w:ascii="Arial" w:hAnsi="Arial" w:cs="Arial"/>
          <w:sz w:val="22"/>
          <w:szCs w:val="22"/>
        </w:rPr>
        <w:t>Use correct grammar and formal sentence structures.</w:t>
      </w:r>
    </w:p>
    <w:p w14:paraId="16321C48" w14:textId="77777777" w:rsidR="002B1967" w:rsidRPr="00FC2715" w:rsidRDefault="002B1967" w:rsidP="002B1967">
      <w:pPr>
        <w:pStyle w:val="ListParagraph"/>
        <w:numPr>
          <w:ilvl w:val="0"/>
          <w:numId w:val="6"/>
        </w:numPr>
        <w:spacing w:line="259" w:lineRule="auto"/>
        <w:rPr>
          <w:rFonts w:ascii="Arial" w:hAnsi="Arial" w:cs="Arial"/>
          <w:sz w:val="22"/>
          <w:szCs w:val="22"/>
        </w:rPr>
      </w:pPr>
      <w:r w:rsidRPr="00FC2715">
        <w:rPr>
          <w:rFonts w:ascii="Arial" w:hAnsi="Arial" w:cs="Arial"/>
          <w:sz w:val="22"/>
          <w:szCs w:val="22"/>
        </w:rPr>
        <w:t>Include evidence or cite a source if applicable.</w:t>
      </w:r>
    </w:p>
    <w:p w14:paraId="1B73AAD5" w14:textId="77777777" w:rsidR="002B1967" w:rsidRPr="00FC2715" w:rsidRDefault="002B1967" w:rsidP="002B1967">
      <w:pPr>
        <w:rPr>
          <w:rFonts w:ascii="Arial" w:hAnsi="Arial" w:cs="Arial"/>
          <w:sz w:val="22"/>
          <w:szCs w:val="22"/>
        </w:rPr>
      </w:pPr>
    </w:p>
    <w:p w14:paraId="3F6D7B74" w14:textId="77777777" w:rsidR="002B1967" w:rsidRPr="00FC2715" w:rsidRDefault="002B1967" w:rsidP="002B1967">
      <w:pPr>
        <w:rPr>
          <w:rFonts w:ascii="Arial" w:hAnsi="Arial" w:cs="Arial"/>
          <w:sz w:val="22"/>
          <w:szCs w:val="22"/>
        </w:rPr>
      </w:pPr>
      <w:r w:rsidRPr="00FC2715">
        <w:rPr>
          <w:rFonts w:ascii="Arial" w:hAnsi="Arial" w:cs="Arial"/>
          <w:sz w:val="22"/>
          <w:szCs w:val="22"/>
        </w:rPr>
        <w:t>Now rewrite the paragraph below:</w:t>
      </w:r>
    </w:p>
    <w:p w14:paraId="6625F551" w14:textId="77777777" w:rsidR="002B1967" w:rsidRDefault="002B1967" w:rsidP="002B1967">
      <w:pPr>
        <w:rPr>
          <w:rFonts w:ascii="Arial" w:hAnsi="Arial" w:cs="Arial"/>
          <w:sz w:val="22"/>
          <w:szCs w:val="22"/>
        </w:rPr>
      </w:pPr>
      <w:r w:rsidRPr="00FC2715">
        <w:rPr>
          <w:rFonts w:ascii="Arial" w:hAnsi="Arial" w:cs="Arial"/>
          <w:sz w:val="22"/>
          <w:szCs w:val="22"/>
        </w:rPr>
        <w:t xml:space="preserve">The number of individuals diagnosed with medical conditions such as e.g. Type 2 diabetes or asthma] is increasing each year. In 2024 10,700 people in Birmingham were diagnosed </w:t>
      </w:r>
      <w:r w:rsidRPr="00FC2715">
        <w:rPr>
          <w:rFonts w:ascii="Arial" w:hAnsi="Arial" w:cs="Arial"/>
          <w:sz w:val="22"/>
          <w:szCs w:val="22"/>
        </w:rPr>
        <w:lastRenderedPageBreak/>
        <w:t>with the condition, and it is likely that this figure will rise as more cases are identified. When comparing data from Birmingham and London, noticeable differences in diagnosis rates can be observed, possibly due to variations in lifestyle, healthcare access, or population density. Without effective intervention and public health strategies, this situation is likely to worsen in the coming years</w:t>
      </w:r>
      <w:r>
        <w:rPr>
          <w:rFonts w:ascii="Arial" w:hAnsi="Arial" w:cs="Arial"/>
          <w:sz w:val="22"/>
          <w:szCs w:val="22"/>
        </w:rPr>
        <w:t>.</w:t>
      </w:r>
    </w:p>
    <w:p w14:paraId="59411F02" w14:textId="77777777" w:rsidR="002B1967" w:rsidRDefault="002B1967" w:rsidP="002B1967">
      <w:pPr>
        <w:rPr>
          <w:rFonts w:ascii="Arial" w:hAnsi="Arial" w:cs="Arial"/>
          <w:sz w:val="22"/>
          <w:szCs w:val="22"/>
        </w:rPr>
      </w:pPr>
    </w:p>
    <w:p w14:paraId="324F6FDC" w14:textId="77777777" w:rsidR="002B1967" w:rsidRDefault="002B1967" w:rsidP="002B1967">
      <w:pPr>
        <w:rPr>
          <w:rFonts w:ascii="Arial" w:hAnsi="Arial" w:cs="Arial"/>
          <w:sz w:val="22"/>
          <w:szCs w:val="22"/>
        </w:rPr>
      </w:pPr>
    </w:p>
    <w:p w14:paraId="2C83267C" w14:textId="77777777" w:rsidR="002B1967" w:rsidRDefault="002B1967" w:rsidP="002B1967">
      <w:pPr>
        <w:rPr>
          <w:rFonts w:ascii="Arial" w:hAnsi="Arial" w:cs="Arial"/>
          <w:sz w:val="22"/>
          <w:szCs w:val="22"/>
        </w:rPr>
      </w:pPr>
    </w:p>
    <w:p w14:paraId="3E683B8A" w14:textId="77777777" w:rsidR="002B1967" w:rsidRDefault="002B1967" w:rsidP="002B1967">
      <w:pPr>
        <w:rPr>
          <w:rFonts w:ascii="Arial" w:hAnsi="Arial" w:cs="Arial"/>
          <w:sz w:val="22"/>
          <w:szCs w:val="22"/>
        </w:rPr>
      </w:pPr>
    </w:p>
    <w:p w14:paraId="3FC0E477" w14:textId="77777777" w:rsidR="002B1967" w:rsidRDefault="002B1967" w:rsidP="002B1967">
      <w:pPr>
        <w:rPr>
          <w:rFonts w:ascii="Arial" w:hAnsi="Arial" w:cs="Arial"/>
          <w:sz w:val="22"/>
          <w:szCs w:val="22"/>
        </w:rPr>
      </w:pPr>
    </w:p>
    <w:p w14:paraId="66098012" w14:textId="77777777" w:rsidR="002B1967" w:rsidRDefault="002B1967" w:rsidP="002B1967">
      <w:pPr>
        <w:rPr>
          <w:rFonts w:ascii="Arial" w:hAnsi="Arial" w:cs="Arial"/>
          <w:sz w:val="22"/>
          <w:szCs w:val="22"/>
        </w:rPr>
      </w:pPr>
    </w:p>
    <w:p w14:paraId="15832063" w14:textId="77777777" w:rsidR="002B1967" w:rsidRDefault="002B1967" w:rsidP="002B1967">
      <w:pPr>
        <w:rPr>
          <w:rFonts w:ascii="Arial" w:hAnsi="Arial" w:cs="Arial"/>
          <w:sz w:val="22"/>
          <w:szCs w:val="22"/>
        </w:rPr>
      </w:pPr>
    </w:p>
    <w:p w14:paraId="627E3461" w14:textId="77777777" w:rsidR="002B1967" w:rsidRDefault="002B1967" w:rsidP="002B1967">
      <w:pPr>
        <w:rPr>
          <w:rFonts w:ascii="Arial" w:hAnsi="Arial" w:cs="Arial"/>
          <w:sz w:val="22"/>
          <w:szCs w:val="22"/>
        </w:rPr>
      </w:pPr>
    </w:p>
    <w:p w14:paraId="1EAC52D8" w14:textId="77777777" w:rsidR="002B1967" w:rsidRDefault="002B1967" w:rsidP="002B1967">
      <w:pPr>
        <w:rPr>
          <w:rFonts w:ascii="Arial" w:hAnsi="Arial" w:cs="Arial"/>
          <w:sz w:val="22"/>
          <w:szCs w:val="22"/>
        </w:rPr>
      </w:pPr>
    </w:p>
    <w:p w14:paraId="53F2E7A2" w14:textId="77777777" w:rsidR="002B1967" w:rsidRDefault="002B1967" w:rsidP="002B1967">
      <w:pPr>
        <w:rPr>
          <w:rFonts w:ascii="Arial" w:hAnsi="Arial" w:cs="Arial"/>
          <w:sz w:val="22"/>
          <w:szCs w:val="22"/>
        </w:rPr>
      </w:pPr>
    </w:p>
    <w:p w14:paraId="28AD106A" w14:textId="77777777" w:rsidR="002B1967" w:rsidRDefault="002B1967" w:rsidP="002B1967">
      <w:pPr>
        <w:rPr>
          <w:rFonts w:ascii="Arial" w:hAnsi="Arial" w:cs="Arial"/>
          <w:sz w:val="22"/>
          <w:szCs w:val="22"/>
        </w:rPr>
      </w:pPr>
    </w:p>
    <w:p w14:paraId="7CA15128" w14:textId="77777777" w:rsidR="002B1967" w:rsidRPr="00C66373" w:rsidRDefault="002B1967" w:rsidP="004D0317"/>
    <w:p w14:paraId="29646EA8" w14:textId="77777777" w:rsidR="00C66373" w:rsidRPr="008503F9" w:rsidRDefault="00C66373" w:rsidP="008503F9"/>
    <w:p w14:paraId="769B1115" w14:textId="77777777" w:rsidR="008503F9" w:rsidRPr="001B6B9C" w:rsidRDefault="008503F9" w:rsidP="001B6B9C"/>
    <w:p w14:paraId="3689EC2F" w14:textId="77777777" w:rsidR="001B6B9C" w:rsidRPr="0080476D" w:rsidRDefault="001B6B9C" w:rsidP="0080476D"/>
    <w:p w14:paraId="5BE0D07D" w14:textId="77777777" w:rsidR="0080476D" w:rsidRPr="0012148A" w:rsidRDefault="0080476D" w:rsidP="0012148A"/>
    <w:p w14:paraId="777B4F34" w14:textId="1EA59FDF" w:rsidR="00FA0AD3" w:rsidRPr="00035297" w:rsidRDefault="00FA0AD3" w:rsidP="00E061D8"/>
    <w:sectPr w:rsidR="00FA0AD3" w:rsidRPr="0003529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CC4C02"/>
    <w:multiLevelType w:val="multilevel"/>
    <w:tmpl w:val="6868D9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86D27CC"/>
    <w:multiLevelType w:val="multilevel"/>
    <w:tmpl w:val="FC2258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DBB1A56"/>
    <w:multiLevelType w:val="multilevel"/>
    <w:tmpl w:val="1FD0C1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DEC6638"/>
    <w:multiLevelType w:val="multilevel"/>
    <w:tmpl w:val="81BA5B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79435A6"/>
    <w:multiLevelType w:val="hybridMultilevel"/>
    <w:tmpl w:val="B04860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A4E4262"/>
    <w:multiLevelType w:val="multilevel"/>
    <w:tmpl w:val="B59A41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38678957">
    <w:abstractNumId w:val="5"/>
  </w:num>
  <w:num w:numId="2" w16cid:durableId="1324311709">
    <w:abstractNumId w:val="0"/>
  </w:num>
  <w:num w:numId="3" w16cid:durableId="350425023">
    <w:abstractNumId w:val="2"/>
  </w:num>
  <w:num w:numId="4" w16cid:durableId="25523568">
    <w:abstractNumId w:val="1"/>
  </w:num>
  <w:num w:numId="5" w16cid:durableId="1928999585">
    <w:abstractNumId w:val="4"/>
  </w:num>
  <w:num w:numId="6" w16cid:durableId="70564257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5297"/>
    <w:rsid w:val="0000682C"/>
    <w:rsid w:val="00035297"/>
    <w:rsid w:val="0012148A"/>
    <w:rsid w:val="00155240"/>
    <w:rsid w:val="00166EFE"/>
    <w:rsid w:val="001B6B9C"/>
    <w:rsid w:val="002B1967"/>
    <w:rsid w:val="00395750"/>
    <w:rsid w:val="004D0317"/>
    <w:rsid w:val="00737CC7"/>
    <w:rsid w:val="0077257B"/>
    <w:rsid w:val="0080476D"/>
    <w:rsid w:val="008503F9"/>
    <w:rsid w:val="00A15F28"/>
    <w:rsid w:val="00B12570"/>
    <w:rsid w:val="00B364E7"/>
    <w:rsid w:val="00C66373"/>
    <w:rsid w:val="00E061D8"/>
    <w:rsid w:val="00E7049C"/>
    <w:rsid w:val="00FA0A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782AB0"/>
  <w15:chartTrackingRefBased/>
  <w15:docId w15:val="{5461D3C5-D63F-4BBF-A42D-67D327FAC9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3529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3529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3529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3529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3529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3529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3529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3529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3529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3529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3529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3529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3529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3529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3529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3529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3529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35297"/>
    <w:rPr>
      <w:rFonts w:eastAsiaTheme="majorEastAsia" w:cstheme="majorBidi"/>
      <w:color w:val="272727" w:themeColor="text1" w:themeTint="D8"/>
    </w:rPr>
  </w:style>
  <w:style w:type="paragraph" w:styleId="Title">
    <w:name w:val="Title"/>
    <w:basedOn w:val="Normal"/>
    <w:next w:val="Normal"/>
    <w:link w:val="TitleChar"/>
    <w:uiPriority w:val="10"/>
    <w:qFormat/>
    <w:rsid w:val="0003529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3529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3529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3529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35297"/>
    <w:pPr>
      <w:spacing w:before="160"/>
      <w:jc w:val="center"/>
    </w:pPr>
    <w:rPr>
      <w:i/>
      <w:iCs/>
      <w:color w:val="404040" w:themeColor="text1" w:themeTint="BF"/>
    </w:rPr>
  </w:style>
  <w:style w:type="character" w:customStyle="1" w:styleId="QuoteChar">
    <w:name w:val="Quote Char"/>
    <w:basedOn w:val="DefaultParagraphFont"/>
    <w:link w:val="Quote"/>
    <w:uiPriority w:val="29"/>
    <w:rsid w:val="00035297"/>
    <w:rPr>
      <w:i/>
      <w:iCs/>
      <w:color w:val="404040" w:themeColor="text1" w:themeTint="BF"/>
    </w:rPr>
  </w:style>
  <w:style w:type="paragraph" w:styleId="ListParagraph">
    <w:name w:val="List Paragraph"/>
    <w:basedOn w:val="Normal"/>
    <w:uiPriority w:val="34"/>
    <w:qFormat/>
    <w:rsid w:val="00035297"/>
    <w:pPr>
      <w:ind w:left="720"/>
      <w:contextualSpacing/>
    </w:pPr>
  </w:style>
  <w:style w:type="character" w:styleId="IntenseEmphasis">
    <w:name w:val="Intense Emphasis"/>
    <w:basedOn w:val="DefaultParagraphFont"/>
    <w:uiPriority w:val="21"/>
    <w:qFormat/>
    <w:rsid w:val="00035297"/>
    <w:rPr>
      <w:i/>
      <w:iCs/>
      <w:color w:val="0F4761" w:themeColor="accent1" w:themeShade="BF"/>
    </w:rPr>
  </w:style>
  <w:style w:type="paragraph" w:styleId="IntenseQuote">
    <w:name w:val="Intense Quote"/>
    <w:basedOn w:val="Normal"/>
    <w:next w:val="Normal"/>
    <w:link w:val="IntenseQuoteChar"/>
    <w:uiPriority w:val="30"/>
    <w:qFormat/>
    <w:rsid w:val="0003529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35297"/>
    <w:rPr>
      <w:i/>
      <w:iCs/>
      <w:color w:val="0F4761" w:themeColor="accent1" w:themeShade="BF"/>
    </w:rPr>
  </w:style>
  <w:style w:type="character" w:styleId="IntenseReference">
    <w:name w:val="Intense Reference"/>
    <w:basedOn w:val="DefaultParagraphFont"/>
    <w:uiPriority w:val="32"/>
    <w:qFormat/>
    <w:rsid w:val="00035297"/>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15</TotalTime>
  <Pages>6</Pages>
  <Words>1708</Words>
  <Characters>9740</Characters>
  <Application>Microsoft Office Word</Application>
  <DocSecurity>0</DocSecurity>
  <Lines>81</Lines>
  <Paragraphs>22</Paragraphs>
  <ScaleCrop>false</ScaleCrop>
  <Company/>
  <LinksUpToDate>false</LinksUpToDate>
  <CharactersWithSpaces>11426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Tayyaba Arshad</dc:creator>
  <cp:keywords/>
  <dc:description/>
  <cp:lastModifiedBy>Tayyaba Arshad</cp:lastModifiedBy>
  <cp:revision>19</cp:revision>
  <dcterms:created xsi:type="dcterms:W3CDTF">2025-11-26T21:36:00Z</dcterms:created>
  <dcterms:modified xsi:type="dcterms:W3CDTF">2025-11-26T21:55:00Z</dcterms:modified>
</cp:coreProperties>
</file>