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both"/>
        <w:rPr>
          <w:rFonts w:ascii="Times New Roman" w:cs="Times New Roman" w:hAnsi="Times New Roman"/>
          <w:b/>
          <w:bCs/>
          <w:color w:val="000000"/>
          <w:sz w:val="44"/>
          <w:szCs w:val="44"/>
          <w:u w:val="none"/>
        </w:rPr>
      </w:pPr>
      <w:r>
        <w:rPr>
          <w:rFonts w:ascii="Times New Roman" w:cs="Times New Roman" w:hAnsi="Times New Roman"/>
          <w:b/>
          <w:bCs/>
          <w:color w:val="000000"/>
          <w:sz w:val="44"/>
          <w:szCs w:val="44"/>
          <w:u w:val="none"/>
          <w:lang w:val="en-US"/>
        </w:rPr>
        <w:t>Module Name: Human Resource Management</w:t>
      </w:r>
    </w:p>
    <w:p>
      <w:pPr>
        <w:pStyle w:val="style0"/>
        <w:spacing w:lineRule="auto" w:line="360"/>
        <w:jc w:val="both"/>
        <w:rPr>
          <w:rFonts w:ascii="Times New Roman" w:cs="Times New Roman" w:hAnsi="Times New Roman"/>
          <w:b/>
          <w:bCs/>
          <w:color w:val="000000"/>
          <w:sz w:val="48"/>
          <w:szCs w:val="48"/>
          <w:u w:val="none"/>
        </w:rPr>
      </w:pPr>
      <w:r>
        <w:rPr>
          <w:rFonts w:ascii="Times New Roman" w:cs="Times New Roman" w:hAnsi="Times New Roman"/>
          <w:b/>
          <w:bCs/>
          <w:color w:val="000000"/>
          <w:sz w:val="44"/>
          <w:szCs w:val="44"/>
          <w:u w:val="none"/>
          <w:lang w:val="en-US"/>
        </w:rPr>
        <w:t xml:space="preserve">    </w:t>
      </w:r>
      <w:r>
        <w:rPr>
          <w:rFonts w:ascii="Times New Roman" w:cs="Times New Roman" w:hAnsi="Times New Roman"/>
          <w:b/>
          <w:bCs/>
          <w:color w:val="000000"/>
          <w:sz w:val="48"/>
          <w:szCs w:val="48"/>
          <w:u w:val="none"/>
          <w:lang w:val="en-US"/>
        </w:rPr>
        <w:t xml:space="preserve">                   Task: 1</w:t>
      </w:r>
    </w:p>
    <w:p>
      <w:pPr>
        <w:pStyle w:val="style0"/>
        <w:spacing w:lineRule="auto" w:line="360"/>
        <w:jc w:val="both"/>
        <w:rPr>
          <w:rFonts w:ascii="Times New Roman" w:cs="Times New Roman" w:hAnsi="Times New Roman"/>
          <w:b/>
          <w:bCs/>
          <w:color w:val="000000"/>
          <w:sz w:val="48"/>
          <w:szCs w:val="48"/>
          <w:u w:val="none"/>
        </w:rPr>
      </w:pPr>
      <w:r>
        <w:rPr>
          <w:rFonts w:ascii="Times New Roman" w:cs="Times New Roman" w:hAnsi="Times New Roman"/>
          <w:b/>
          <w:bCs/>
          <w:color w:val="000000"/>
          <w:sz w:val="48"/>
          <w:szCs w:val="48"/>
          <w:u w:val="none"/>
          <w:lang w:val="en-US"/>
        </w:rPr>
        <w:t xml:space="preserve">           Module number: LCMB7000</w:t>
      </w:r>
    </w:p>
    <w:p>
      <w:pPr>
        <w:pStyle w:val="style0"/>
        <w:spacing w:lineRule="auto" w:line="360"/>
        <w:jc w:val="both"/>
        <w:rPr>
          <w:rFonts w:ascii="Times New Roman" w:cs="Times New Roman" w:hAnsi="Times New Roman"/>
          <w:b/>
          <w:bCs/>
          <w:color w:val="000000"/>
          <w:sz w:val="48"/>
          <w:szCs w:val="48"/>
          <w:u w:val="none"/>
        </w:rPr>
      </w:pPr>
      <w:r>
        <w:rPr>
          <w:rFonts w:ascii="Times New Roman" w:cs="Times New Roman" w:hAnsi="Times New Roman"/>
          <w:b/>
          <w:bCs/>
          <w:color w:val="000000"/>
          <w:sz w:val="48"/>
          <w:szCs w:val="48"/>
          <w:u w:val="none"/>
          <w:lang w:val="en-US"/>
        </w:rPr>
        <w:t xml:space="preserve">                      Format: Report</w:t>
      </w:r>
    </w:p>
    <w:p>
      <w:pPr>
        <w:pStyle w:val="style0"/>
        <w:spacing w:lineRule="auto" w:line="360"/>
        <w:jc w:val="both"/>
        <w:rPr>
          <w:rFonts w:ascii="Times New Roman" w:cs="Times New Roman" w:hAnsi="Times New Roman"/>
          <w:b/>
          <w:bCs/>
          <w:color w:val="000000"/>
          <w:sz w:val="48"/>
          <w:szCs w:val="48"/>
          <w:u w:val="none"/>
          <w:lang w:val="en-US"/>
        </w:rPr>
      </w:pPr>
      <w:r>
        <w:rPr>
          <w:rFonts w:ascii="Times New Roman" w:cs="Times New Roman" w:hAnsi="Times New Roman"/>
          <w:b/>
          <w:bCs/>
          <w:color w:val="000000"/>
          <w:sz w:val="48"/>
          <w:szCs w:val="48"/>
          <w:u w:val="none"/>
          <w:lang w:val="en-US"/>
        </w:rPr>
        <w:t>Title: Human Resource Management Task  Student Name: Suraj kumar</w:t>
      </w:r>
    </w:p>
    <w:p>
      <w:pPr>
        <w:pStyle w:val="style0"/>
        <w:spacing w:lineRule="auto" w:line="360"/>
        <w:jc w:val="both"/>
        <w:rPr>
          <w:rFonts w:ascii="Times New Roman" w:cs="Times New Roman" w:hAnsi="Times New Roman"/>
          <w:b/>
          <w:bCs/>
          <w:color w:val="000000"/>
          <w:sz w:val="48"/>
          <w:szCs w:val="48"/>
          <w:u w:val="none"/>
        </w:rPr>
      </w:pPr>
      <w:r>
        <w:rPr>
          <w:rFonts w:ascii="Times New Roman" w:cs="Times New Roman" w:hAnsi="Times New Roman"/>
          <w:b/>
          <w:bCs/>
          <w:color w:val="000000"/>
          <w:sz w:val="48"/>
          <w:szCs w:val="48"/>
          <w:u w:val="none"/>
          <w:lang w:val="en-US"/>
        </w:rPr>
        <w:t>Student Code: 2126818</w:t>
      </w:r>
    </w:p>
    <w:p>
      <w:pPr>
        <w:pStyle w:val="style0"/>
        <w:spacing w:lineRule="auto" w:line="360"/>
        <w:jc w:val="both"/>
        <w:rPr>
          <w:rFonts w:ascii="Times New Roman" w:cs="Times New Roman" w:hAnsi="Times New Roman"/>
          <w:b/>
          <w:color w:val="000000"/>
          <w:sz w:val="48"/>
          <w:szCs w:val="48"/>
          <w:u w:val="none"/>
          <w:lang w:val="en-US"/>
        </w:rPr>
      </w:pPr>
      <w:r>
        <w:rPr>
          <w:rFonts w:ascii="Times New Roman" w:cs="Times New Roman" w:hAnsi="Times New Roman"/>
          <w:b/>
          <w:bCs/>
          <w:color w:val="000000"/>
          <w:sz w:val="48"/>
          <w:szCs w:val="48"/>
          <w:u w:val="none"/>
          <w:lang w:val="en-US"/>
        </w:rPr>
        <w:t>Course Name : Gernal Management</w:t>
      </w:r>
    </w:p>
    <w:p>
      <w:pPr>
        <w:pStyle w:val="style0"/>
        <w:spacing w:lineRule="auto" w:line="360"/>
        <w:jc w:val="both"/>
        <w:rPr>
          <w:rFonts w:ascii="Times New Roman" w:cs="Times New Roman" w:hAnsi="Times New Roman"/>
          <w:b/>
          <w:color w:val="000000"/>
          <w:sz w:val="44"/>
          <w:szCs w:val="44"/>
          <w:u w:val="none"/>
        </w:rPr>
      </w:pPr>
      <w:r>
        <w:rPr>
          <w:rFonts w:ascii="Times New Roman" w:cs="Times New Roman" w:hAnsi="Times New Roman"/>
          <w:b/>
          <w:color w:val="000000"/>
          <w:sz w:val="44"/>
          <w:szCs w:val="44"/>
          <w:u w:val="none"/>
          <w:lang w:val="en-US"/>
        </w:rPr>
        <w:t>Lecturer Name: Dr. Gladius Kulothothangan</w:t>
      </w:r>
    </w:p>
    <w:p>
      <w:pPr>
        <w:pStyle w:val="style0"/>
        <w:spacing w:lineRule="auto" w:line="360"/>
        <w:jc w:val="both"/>
        <w:rPr>
          <w:rFonts w:ascii="Times New Roman" w:cs="Times New Roman" w:hAnsi="Times New Roman"/>
          <w:b/>
          <w:color w:val="000000"/>
          <w:sz w:val="44"/>
          <w:szCs w:val="44"/>
          <w:u w:val="none"/>
        </w:rPr>
      </w:pPr>
    </w:p>
    <w:p>
      <w:pPr>
        <w:pStyle w:val="style0"/>
        <w:spacing w:lineRule="auto" w:line="360"/>
        <w:jc w:val="both"/>
        <w:rPr>
          <w:rFonts w:ascii="Times New Roman" w:cs="Times New Roman" w:hAnsi="Times New Roman"/>
          <w:b/>
          <w:color w:val="000000"/>
          <w:sz w:val="44"/>
          <w:szCs w:val="44"/>
          <w:u w:val="none"/>
        </w:rPr>
      </w:pPr>
    </w:p>
    <w:p>
      <w:pPr>
        <w:pStyle w:val="style0"/>
        <w:spacing w:lineRule="auto" w:line="360"/>
        <w:jc w:val="both"/>
        <w:rPr>
          <w:rFonts w:ascii="Times New Roman" w:cs="Times New Roman" w:hAnsi="Times New Roman"/>
          <w:b/>
          <w:color w:val="000000"/>
          <w:sz w:val="24"/>
          <w:szCs w:val="24"/>
          <w:u w:val="single"/>
        </w:rPr>
      </w:pPr>
    </w:p>
    <w:p>
      <w:pPr>
        <w:pStyle w:val="style0"/>
        <w:spacing w:lineRule="auto" w:line="360"/>
        <w:jc w:val="both"/>
        <w:rPr>
          <w:rFonts w:ascii="Times New Roman" w:cs="Times New Roman" w:hAnsi="Times New Roman"/>
          <w:b/>
          <w:color w:val="000000"/>
          <w:sz w:val="24"/>
          <w:szCs w:val="24"/>
          <w:u w:val="single"/>
        </w:rPr>
      </w:pPr>
    </w:p>
    <w:p>
      <w:pPr>
        <w:pStyle w:val="style0"/>
        <w:spacing w:lineRule="auto" w:line="360"/>
        <w:jc w:val="both"/>
        <w:rPr>
          <w:rFonts w:ascii="Times New Roman" w:cs="Times New Roman" w:hAnsi="Times New Roman"/>
          <w:b/>
          <w:color w:val="000000"/>
          <w:sz w:val="24"/>
          <w:szCs w:val="24"/>
          <w:u w:val="single"/>
        </w:rPr>
      </w:pPr>
    </w:p>
    <w:p>
      <w:pPr>
        <w:pStyle w:val="style0"/>
        <w:spacing w:lineRule="auto" w:line="360"/>
        <w:jc w:val="both"/>
        <w:rPr>
          <w:rFonts w:ascii="Times New Roman" w:cs="Times New Roman" w:hAnsi="Times New Roman"/>
          <w:b/>
          <w:color w:val="000000"/>
          <w:sz w:val="24"/>
          <w:szCs w:val="24"/>
          <w:u w:val="single"/>
        </w:rPr>
      </w:pPr>
    </w:p>
    <w:p>
      <w:pPr>
        <w:pStyle w:val="style0"/>
        <w:spacing w:lineRule="auto" w:line="360"/>
        <w:jc w:val="both"/>
        <w:rPr>
          <w:rFonts w:ascii="Times New Roman" w:cs="Times New Roman" w:hAnsi="Times New Roman"/>
          <w:b/>
          <w:color w:val="000000"/>
          <w:sz w:val="24"/>
          <w:szCs w:val="24"/>
          <w:u w:val="single"/>
        </w:rPr>
      </w:pPr>
      <w:r>
        <w:rPr>
          <w:rFonts w:ascii="Times New Roman" w:cs="Times New Roman" w:hAnsi="Times New Roman"/>
          <w:b/>
          <w:color w:val="000000"/>
          <w:sz w:val="24"/>
          <w:szCs w:val="24"/>
          <w:u w:val="single"/>
        </w:rPr>
        <w:t>Labour</w:t>
      </w:r>
      <w:r>
        <w:rPr>
          <w:rFonts w:ascii="Times New Roman" w:cs="Times New Roman" w:hAnsi="Times New Roman"/>
          <w:b/>
          <w:color w:val="000000"/>
          <w:sz w:val="24"/>
          <w:szCs w:val="24"/>
          <w:u w:val="single"/>
        </w:rPr>
        <w:t xml:space="preserve"> Market in the UK</w:t>
      </w:r>
    </w:p>
    <w:p>
      <w:pPr>
        <w:pStyle w:val="style179"/>
        <w:numPr>
          <w:ilvl w:val="0"/>
          <w:numId w:val="1"/>
        </w:numPr>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L</w:t>
      </w:r>
      <w:r>
        <w:rPr>
          <w:rFonts w:ascii="Times New Roman" w:cs="Times New Roman" w:hAnsi="Times New Roman"/>
          <w:b/>
          <w:color w:val="000000"/>
          <w:sz w:val="24"/>
          <w:szCs w:val="24"/>
        </w:rPr>
        <w:t>abour</w:t>
      </w:r>
      <w:r>
        <w:rPr>
          <w:rFonts w:ascii="Times New Roman" w:cs="Times New Roman" w:hAnsi="Times New Roman"/>
          <w:b/>
          <w:color w:val="000000"/>
          <w:sz w:val="24"/>
          <w:szCs w:val="24"/>
        </w:rPr>
        <w:t xml:space="preserve"> market? </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color w:val="000000"/>
          <w:sz w:val="24"/>
          <w:szCs w:val="24"/>
          <w:shd w:val="clear" w:color="auto" w:fill="ffffff"/>
        </w:rPr>
        <w:t>“</w:t>
      </w:r>
      <w:r>
        <w:rPr>
          <w:rFonts w:ascii="Times New Roman" w:cs="Times New Roman" w:hAnsi="Times New Roman"/>
          <w:color w:val="000000"/>
          <w:sz w:val="24"/>
          <w:szCs w:val="24"/>
          <w:shd w:val="clear" w:color="auto" w:fill="ffffff"/>
        </w:rPr>
        <w:t>When you </w:t>
      </w:r>
      <w:r>
        <w:rPr/>
        <w:fldChar w:fldCharType="begin"/>
      </w:r>
      <w:r>
        <w:instrText xml:space="preserve"> HYPERLINK "https://www.collinsdictionary.com/dictionary/english/talk" \o "Definition of talk" </w:instrText>
      </w:r>
      <w:r>
        <w:rPr/>
        <w:fldChar w:fldCharType="separate"/>
      </w:r>
      <w:r>
        <w:rPr>
          <w:rStyle w:val="style85"/>
          <w:rFonts w:ascii="Times New Roman" w:cs="Times New Roman" w:hAnsi="Times New Roman"/>
          <w:color w:val="000000"/>
          <w:sz w:val="24"/>
          <w:szCs w:val="24"/>
          <w:u w:val="none"/>
          <w:bdr w:val="none" w:sz="0" w:space="0" w:color="auto" w:frame="true"/>
          <w:shd w:val="clear" w:color="auto" w:fill="ffffff"/>
        </w:rPr>
        <w:t>talk</w:t>
      </w:r>
      <w:r>
        <w:rPr/>
        <w:fldChar w:fldCharType="end"/>
      </w:r>
      <w:r>
        <w:rPr>
          <w:rFonts w:ascii="Times New Roman" w:cs="Times New Roman" w:hAnsi="Times New Roman"/>
          <w:color w:val="000000"/>
          <w:sz w:val="24"/>
          <w:szCs w:val="24"/>
          <w:shd w:val="clear" w:color="auto" w:fill="ffffff"/>
        </w:rPr>
        <w:t> about </w:t>
      </w:r>
      <w:r>
        <w:rPr>
          <w:rStyle w:val="style4097"/>
          <w:rFonts w:ascii="Times New Roman" w:cs="Times New Roman" w:hAnsi="Times New Roman"/>
          <w:bCs/>
          <w:color w:val="000000"/>
          <w:sz w:val="24"/>
          <w:szCs w:val="24"/>
          <w:bdr w:val="none" w:sz="0" w:space="0" w:color="auto" w:frame="true"/>
          <w:shd w:val="clear" w:color="auto" w:fill="ffffff"/>
        </w:rPr>
        <w:t>the</w:t>
      </w:r>
      <w:r>
        <w:rPr>
          <w:rFonts w:ascii="Times New Roman" w:cs="Times New Roman" w:hAnsi="Times New Roman"/>
          <w:color w:val="000000"/>
          <w:sz w:val="24"/>
          <w:szCs w:val="24"/>
          <w:shd w:val="clear" w:color="auto" w:fill="ffffff"/>
        </w:rPr>
        <w:t> </w:t>
      </w:r>
      <w:r>
        <w:rPr>
          <w:rStyle w:val="style4097"/>
          <w:rFonts w:ascii="Times New Roman" w:cs="Times New Roman" w:hAnsi="Times New Roman"/>
          <w:bCs/>
          <w:color w:val="000000"/>
          <w:sz w:val="24"/>
          <w:szCs w:val="24"/>
          <w:bdr w:val="none" w:sz="0" w:space="0" w:color="auto" w:frame="true"/>
          <w:shd w:val="clear" w:color="auto" w:fill="ffffff"/>
        </w:rPr>
        <w:fldChar w:fldCharType="begin"/>
      </w:r>
      <w:r>
        <w:rPr>
          <w:rStyle w:val="style4097"/>
          <w:rFonts w:ascii="Times New Roman" w:cs="Times New Roman" w:hAnsi="Times New Roman"/>
          <w:bCs/>
          <w:color w:val="000000"/>
          <w:sz w:val="24"/>
          <w:szCs w:val="24"/>
          <w:bdr w:val="none" w:sz="0" w:space="0" w:color="auto" w:frame="true"/>
          <w:shd w:val="clear" w:color="auto" w:fill="ffffff"/>
        </w:rPr>
        <w:instrText xml:space="preserve"> HYPERLINK "https://www.collinsdictionary.com/dictionary/english/labour" \o "Definition of labour" </w:instrText>
      </w:r>
      <w:r>
        <w:rPr>
          <w:rStyle w:val="style4097"/>
          <w:rFonts w:ascii="Times New Roman" w:cs="Times New Roman" w:hAnsi="Times New Roman"/>
          <w:bCs/>
          <w:color w:val="000000"/>
          <w:sz w:val="24"/>
          <w:szCs w:val="24"/>
          <w:bdr w:val="none" w:sz="0" w:space="0" w:color="auto" w:frame="true"/>
          <w:shd w:val="clear" w:color="auto" w:fill="ffffff"/>
        </w:rPr>
        <w:fldChar w:fldCharType="separate"/>
      </w:r>
      <w:r>
        <w:rPr>
          <w:rStyle w:val="style85"/>
          <w:rFonts w:ascii="Times New Roman" w:cs="Times New Roman" w:hAnsi="Times New Roman"/>
          <w:bCs/>
          <w:color w:val="000000"/>
          <w:sz w:val="24"/>
          <w:szCs w:val="24"/>
          <w:u w:val="none"/>
          <w:bdr w:val="none" w:sz="0" w:space="0" w:color="auto" w:frame="true"/>
          <w:shd w:val="clear" w:color="auto" w:fill="ffffff"/>
        </w:rPr>
        <w:t>labour</w:t>
      </w:r>
      <w:r>
        <w:rPr>
          <w:rStyle w:val="style4097"/>
          <w:rFonts w:ascii="Times New Roman" w:cs="Times New Roman" w:hAnsi="Times New Roman"/>
          <w:bCs/>
          <w:color w:val="000000"/>
          <w:sz w:val="24"/>
          <w:szCs w:val="24"/>
          <w:bdr w:val="none" w:sz="0" w:space="0" w:color="auto" w:frame="true"/>
          <w:shd w:val="clear" w:color="auto" w:fill="ffffff"/>
        </w:rPr>
        <w:fldChar w:fldCharType="end"/>
      </w:r>
      <w:r>
        <w:rPr>
          <w:rStyle w:val="style4097"/>
          <w:rFonts w:ascii="Times New Roman" w:cs="Times New Roman" w:hAnsi="Times New Roman"/>
          <w:bCs/>
          <w:color w:val="000000"/>
          <w:sz w:val="24"/>
          <w:szCs w:val="24"/>
          <w:bdr w:val="none" w:sz="0" w:space="0" w:color="auto" w:frame="true"/>
          <w:shd w:val="clear" w:color="auto" w:fill="ffffff"/>
        </w:rPr>
        <w:t> market</w:t>
      </w:r>
      <w:r>
        <w:rPr>
          <w:rFonts w:ascii="Times New Roman" w:cs="Times New Roman" w:hAnsi="Times New Roman"/>
          <w:color w:val="000000"/>
          <w:sz w:val="24"/>
          <w:szCs w:val="24"/>
          <w:shd w:val="clear" w:color="auto" w:fill="ffffff"/>
        </w:rPr>
        <w:t>, you are </w:t>
      </w:r>
      <w:r>
        <w:rPr/>
        <w:fldChar w:fldCharType="begin"/>
      </w:r>
      <w:r>
        <w:instrText xml:space="preserve"> HYPERLINK "https://www.collinsdictionary.com/dictionary/english/refer" \o "Definition of referring" </w:instrText>
      </w:r>
      <w:r>
        <w:rPr/>
        <w:fldChar w:fldCharType="separate"/>
      </w:r>
      <w:r>
        <w:rPr>
          <w:rStyle w:val="style85"/>
          <w:rFonts w:ascii="Times New Roman" w:cs="Times New Roman" w:hAnsi="Times New Roman"/>
          <w:color w:val="000000"/>
          <w:sz w:val="24"/>
          <w:szCs w:val="24"/>
          <w:u w:val="none"/>
          <w:bdr w:val="none" w:sz="0" w:space="0" w:color="auto" w:frame="true"/>
          <w:shd w:val="clear" w:color="auto" w:fill="ffffff"/>
        </w:rPr>
        <w:t>referring</w:t>
      </w:r>
      <w:r>
        <w:rPr/>
        <w:fldChar w:fldCharType="end"/>
      </w:r>
      <w:r>
        <w:rPr>
          <w:rFonts w:ascii="Times New Roman" w:cs="Times New Roman" w:hAnsi="Times New Roman"/>
          <w:color w:val="000000"/>
          <w:sz w:val="24"/>
          <w:szCs w:val="24"/>
          <w:shd w:val="clear" w:color="auto" w:fill="ffffff"/>
        </w:rPr>
        <w:t> to all the people who are able to work and </w:t>
      </w:r>
      <w:r>
        <w:rPr/>
        <w:fldChar w:fldCharType="begin"/>
      </w:r>
      <w:r>
        <w:instrText xml:space="preserve"> HYPERLINK "https://www.collinsdictionary.com/dictionary/english/want" \o "Definition of want" </w:instrText>
      </w:r>
      <w:r>
        <w:rPr/>
        <w:fldChar w:fldCharType="separate"/>
      </w:r>
      <w:r>
        <w:rPr>
          <w:rStyle w:val="style85"/>
          <w:rFonts w:ascii="Times New Roman" w:cs="Times New Roman" w:hAnsi="Times New Roman"/>
          <w:color w:val="000000"/>
          <w:sz w:val="24"/>
          <w:szCs w:val="24"/>
          <w:u w:val="none"/>
          <w:bdr w:val="none" w:sz="0" w:space="0" w:color="auto" w:frame="true"/>
          <w:shd w:val="clear" w:color="auto" w:fill="ffffff"/>
        </w:rPr>
        <w:t>want</w:t>
      </w:r>
      <w:r>
        <w:rPr/>
        <w:fldChar w:fldCharType="end"/>
      </w:r>
      <w:r>
        <w:rPr>
          <w:rFonts w:ascii="Times New Roman" w:cs="Times New Roman" w:hAnsi="Times New Roman"/>
          <w:color w:val="000000"/>
          <w:sz w:val="24"/>
          <w:szCs w:val="24"/>
          <w:shd w:val="clear" w:color="auto" w:fill="ffffff"/>
        </w:rPr>
        <w:t> </w:t>
      </w:r>
      <w:r>
        <w:rPr/>
        <w:fldChar w:fldCharType="begin"/>
      </w:r>
      <w:r>
        <w:instrText xml:space="preserve"> HYPERLINK "https://www.collinsdictionary.com/dictionary/english/jobs" \o "Definition of jobs" </w:instrText>
      </w:r>
      <w:r>
        <w:rPr/>
        <w:fldChar w:fldCharType="separate"/>
      </w:r>
      <w:r>
        <w:rPr>
          <w:rStyle w:val="style85"/>
          <w:rFonts w:ascii="Times New Roman" w:cs="Times New Roman" w:hAnsi="Times New Roman"/>
          <w:color w:val="000000"/>
          <w:sz w:val="24"/>
          <w:szCs w:val="24"/>
          <w:u w:val="none"/>
          <w:bdr w:val="none" w:sz="0" w:space="0" w:color="auto" w:frame="true"/>
          <w:shd w:val="clear" w:color="auto" w:fill="ffffff"/>
        </w:rPr>
        <w:t>jobs</w:t>
      </w:r>
      <w:r>
        <w:rPr/>
        <w:fldChar w:fldCharType="end"/>
      </w:r>
      <w:r>
        <w:rPr>
          <w:rFonts w:ascii="Times New Roman" w:cs="Times New Roman" w:hAnsi="Times New Roman"/>
          <w:color w:val="000000"/>
          <w:sz w:val="24"/>
          <w:szCs w:val="24"/>
          <w:shd w:val="clear" w:color="auto" w:fill="ffffff"/>
        </w:rPr>
        <w:t> in a country or area, in </w:t>
      </w:r>
      <w:r>
        <w:rPr/>
        <w:fldChar w:fldCharType="begin"/>
      </w:r>
      <w:r>
        <w:instrText xml:space="preserve"> HYPERLINK "https://www.collinsdictionary.com/dictionary/english/relation" \o "Definition of relation" </w:instrText>
      </w:r>
      <w:r>
        <w:rPr/>
        <w:fldChar w:fldCharType="separate"/>
      </w:r>
      <w:r>
        <w:rPr>
          <w:rStyle w:val="style85"/>
          <w:rFonts w:ascii="Times New Roman" w:cs="Times New Roman" w:hAnsi="Times New Roman"/>
          <w:color w:val="000000"/>
          <w:sz w:val="24"/>
          <w:szCs w:val="24"/>
          <w:u w:val="none"/>
          <w:bdr w:val="none" w:sz="0" w:space="0" w:color="auto" w:frame="true"/>
          <w:shd w:val="clear" w:color="auto" w:fill="ffffff"/>
        </w:rPr>
        <w:t>relation</w:t>
      </w:r>
      <w:r>
        <w:rPr/>
        <w:fldChar w:fldCharType="end"/>
      </w:r>
      <w:r>
        <w:rPr>
          <w:rFonts w:ascii="Times New Roman" w:cs="Times New Roman" w:hAnsi="Times New Roman"/>
          <w:color w:val="000000"/>
          <w:sz w:val="24"/>
          <w:szCs w:val="24"/>
          <w:shd w:val="clear" w:color="auto" w:fill="ffffff"/>
        </w:rPr>
        <w:t> to the number of jobs there are </w:t>
      </w:r>
      <w:r>
        <w:rPr/>
        <w:fldChar w:fldCharType="begin"/>
      </w:r>
      <w:r>
        <w:instrText xml:space="preserve"> HYPERLINK "https://www.collinsdictionary.com/dictionary/english/available" \o "Definition of available" </w:instrText>
      </w:r>
      <w:r>
        <w:rPr/>
        <w:fldChar w:fldCharType="separate"/>
      </w:r>
      <w:r>
        <w:rPr>
          <w:rStyle w:val="style85"/>
          <w:rFonts w:ascii="Times New Roman" w:cs="Times New Roman" w:hAnsi="Times New Roman"/>
          <w:color w:val="000000"/>
          <w:sz w:val="24"/>
          <w:szCs w:val="24"/>
          <w:u w:val="none"/>
          <w:bdr w:val="none" w:sz="0" w:space="0" w:color="auto" w:frame="true"/>
          <w:shd w:val="clear" w:color="auto" w:fill="ffffff"/>
        </w:rPr>
        <w:t>available</w:t>
      </w:r>
      <w:r>
        <w:rPr/>
        <w:fldChar w:fldCharType="end"/>
      </w:r>
      <w:r>
        <w:rPr>
          <w:rFonts w:ascii="Times New Roman" w:cs="Times New Roman" w:hAnsi="Times New Roman"/>
          <w:color w:val="000000"/>
          <w:sz w:val="24"/>
          <w:szCs w:val="24"/>
          <w:shd w:val="clear" w:color="auto" w:fill="ffffff"/>
        </w:rPr>
        <w:t> in that country or area (</w:t>
      </w:r>
      <w:r>
        <w:rPr>
          <w:rFonts w:ascii="Times New Roman" w:cs="Times New Roman" w:hAnsi="Times New Roman"/>
          <w:color w:val="000000"/>
          <w:sz w:val="24"/>
          <w:szCs w:val="24"/>
          <w:shd w:val="clear" w:color="auto" w:fill="ffffff"/>
        </w:rPr>
        <w:t>Chiacchio</w:t>
      </w:r>
      <w:r>
        <w:rPr>
          <w:rFonts w:ascii="Times New Roman" w:cs="Times New Roman" w:hAnsi="Times New Roman"/>
          <w:color w:val="000000"/>
          <w:sz w:val="24"/>
          <w:szCs w:val="24"/>
          <w:shd w:val="clear" w:color="auto" w:fill="ffffff"/>
        </w:rPr>
        <w:t xml:space="preserve"> et al., 2018).</w:t>
      </w:r>
      <w:r>
        <w:rPr>
          <w:rFonts w:ascii="Times New Roman" w:cs="Times New Roman" w:hAnsi="Times New Roman"/>
          <w:color w:val="000000"/>
          <w:sz w:val="24"/>
          <w:szCs w:val="24"/>
          <w:shd w:val="clear" w:color="auto" w:fill="ffffff"/>
        </w:rPr>
        <w:t>”</w:t>
      </w:r>
    </w:p>
    <w:p>
      <w:pPr>
        <w:pStyle w:val="style179"/>
        <w:numPr>
          <w:ilvl w:val="0"/>
          <w:numId w:val="1"/>
        </w:numPr>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L</w:t>
      </w:r>
      <w:r>
        <w:rPr>
          <w:rFonts w:ascii="Times New Roman" w:cs="Times New Roman" w:hAnsi="Times New Roman"/>
          <w:b/>
          <w:color w:val="000000"/>
          <w:sz w:val="24"/>
          <w:szCs w:val="24"/>
        </w:rPr>
        <w:t>abour</w:t>
      </w:r>
      <w:r>
        <w:rPr>
          <w:rFonts w:ascii="Times New Roman" w:cs="Times New Roman" w:hAnsi="Times New Roman"/>
          <w:b/>
          <w:color w:val="000000"/>
          <w:sz w:val="24"/>
          <w:szCs w:val="24"/>
        </w:rPr>
        <w:t xml:space="preserve"> market </w:t>
      </w:r>
      <w:r>
        <w:rPr>
          <w:rFonts w:ascii="Times New Roman" w:cs="Times New Roman" w:hAnsi="Times New Roman"/>
          <w:b/>
          <w:color w:val="000000"/>
          <w:sz w:val="24"/>
          <w:szCs w:val="24"/>
        </w:rPr>
        <w:t>before</w:t>
      </w:r>
      <w:r>
        <w:rPr>
          <w:rFonts w:ascii="Times New Roman" w:cs="Times New Roman" w:hAnsi="Times New Roman"/>
          <w:b/>
          <w:color w:val="000000"/>
          <w:sz w:val="24"/>
          <w:szCs w:val="24"/>
        </w:rPr>
        <w:t xml:space="preserve"> and during</w:t>
      </w:r>
      <w:r>
        <w:rPr>
          <w:rFonts w:ascii="Times New Roman" w:cs="Times New Roman" w:hAnsi="Times New Roman"/>
          <w:b/>
          <w:color w:val="000000"/>
          <w:sz w:val="24"/>
          <w:szCs w:val="24"/>
        </w:rPr>
        <w:t xml:space="preserve"> COVID-19</w:t>
      </w:r>
      <w:r>
        <w:rPr>
          <w:rFonts w:ascii="Times New Roman" w:cs="Times New Roman" w:hAnsi="Times New Roman"/>
          <w:b/>
          <w:color w:val="000000"/>
          <w:sz w:val="24"/>
          <w:szCs w:val="24"/>
        </w:rPr>
        <w:t xml:space="preserve"> </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shd w:val="clear" w:color="auto" w:fill="ffffff"/>
        </w:rPr>
        <w:t xml:space="preserve">They researched work market execution in the United States and the United Kingdom before the beginning of the Covid-19 emergency. They then use the Economics of Walking </w:t>
      </w:r>
      <w:r>
        <w:rPr>
          <w:rFonts w:ascii="Times New Roman" w:cs="Times New Roman" w:hAnsi="Times New Roman"/>
          <w:color w:val="000000"/>
          <w:sz w:val="24"/>
          <w:szCs w:val="24"/>
          <w:shd w:val="clear" w:color="auto" w:fill="ffffff"/>
        </w:rPr>
        <w:t>Around</w:t>
      </w:r>
      <w:r>
        <w:rPr>
          <w:rFonts w:ascii="Times New Roman" w:cs="Times New Roman" w:hAnsi="Times New Roman"/>
          <w:color w:val="000000"/>
          <w:sz w:val="24"/>
          <w:szCs w:val="24"/>
          <w:shd w:val="clear" w:color="auto" w:fill="ffffff"/>
        </w:rPr>
        <w:t xml:space="preserve"> (EWA) to follow the progressions that have unfolded in the months and days from the very outset of March 2020, which portrays a breakdown multiple times speedier and significantly more profound than the Great Recession. They concentrate on joblessness protection claims in the United States by state and day and the weekly public measurements (Arthur, 2021). They follow the shock's distributional impact and observe that it is, as of now, excessively influencing the weakest populaces who are least ready to telecommute - the youthful, the most un-instructed, and minorities. They don't have official work market measurements for the UK after January. However, they secure signs that position postings have declined decisively (Arthur, 2021). They distribute information from a web-based study led from 11 to 16 April 2020, which uncovers that 33% of workers in Canada and the United States had lost to some degree half of their pay because of the Covid-19 issue, contrasted with a quarter in the United Kingdom and 45% in China. They expect the joblessness rate in the United States will be around 20% in April. Given the shortage of measurements, it is challenging to express whatever it is in the UK, even though it has risen altogether (Arthur, 2021). The decrease in opportunities is prominently striking for occupations other than wellbeing and social consideration, and the bounce back that might be seen toward the finish of April is similarly impressively more moderate for these different occupations. The creators' examination likewise uncovers that the ongoing minuscule bounce back in labor requests isn't uniform across work qualities, with more significant interest for occupations requiring close contact and those that are hard to do from a distance, for instance. It is problematic to assume that the new position opportunity blend is socially attractive since individual workers and organizations will probably not assimilate the irresistible externality or the (positive) externalities of innovative progression that favors remote work.</w:t>
      </w:r>
    </w:p>
    <w:p>
      <w:pPr>
        <w:pStyle w:val="style179"/>
        <w:numPr>
          <w:ilvl w:val="0"/>
          <w:numId w:val="1"/>
        </w:numPr>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L</w:t>
      </w:r>
      <w:r>
        <w:rPr>
          <w:rFonts w:ascii="Times New Roman" w:cs="Times New Roman" w:hAnsi="Times New Roman"/>
          <w:b/>
          <w:color w:val="000000"/>
          <w:sz w:val="24"/>
          <w:szCs w:val="24"/>
        </w:rPr>
        <w:t>abour</w:t>
      </w:r>
      <w:r>
        <w:rPr>
          <w:rFonts w:ascii="Times New Roman" w:cs="Times New Roman" w:hAnsi="Times New Roman"/>
          <w:b/>
          <w:color w:val="000000"/>
          <w:sz w:val="24"/>
          <w:szCs w:val="24"/>
        </w:rPr>
        <w:t xml:space="preserve"> market </w:t>
      </w:r>
      <w:r>
        <w:rPr>
          <w:rFonts w:ascii="Times New Roman" w:cs="Times New Roman" w:hAnsi="Times New Roman"/>
          <w:b/>
          <w:color w:val="000000"/>
          <w:sz w:val="24"/>
          <w:szCs w:val="24"/>
        </w:rPr>
        <w:t xml:space="preserve">after </w:t>
      </w:r>
      <w:r>
        <w:rPr>
          <w:rFonts w:ascii="Times New Roman" w:cs="Times New Roman" w:hAnsi="Times New Roman"/>
          <w:b/>
          <w:color w:val="000000"/>
          <w:sz w:val="24"/>
          <w:szCs w:val="24"/>
        </w:rPr>
        <w:t>Brexit</w:t>
      </w:r>
      <w:r>
        <w:rPr>
          <w:rFonts w:ascii="Times New Roman" w:cs="Times New Roman" w:hAnsi="Times New Roman"/>
          <w:b/>
          <w:color w:val="000000"/>
          <w:sz w:val="24"/>
          <w:szCs w:val="24"/>
        </w:rPr>
        <w:t xml:space="preserve"> </w:t>
      </w:r>
    </w:p>
    <w:p>
      <w:pPr>
        <w:pStyle w:val="style0"/>
        <w:spacing w:lineRule="auto" w:line="360"/>
        <w:ind w:left="360"/>
        <w:jc w:val="both"/>
        <w:rPr>
          <w:rFonts w:ascii="Times New Roman" w:cs="Times New Roman" w:hAnsi="Times New Roman"/>
          <w:color w:val="000000"/>
          <w:sz w:val="24"/>
          <w:szCs w:val="24"/>
        </w:rPr>
      </w:pPr>
      <w:r>
        <w:rPr>
          <w:rFonts w:ascii="Times New Roman" w:cs="Times New Roman" w:hAnsi="Times New Roman"/>
          <w:color w:val="000000"/>
          <w:sz w:val="24"/>
          <w:szCs w:val="24"/>
        </w:rPr>
        <w:br/>
      </w:r>
      <w:r>
        <w:rPr>
          <w:rFonts w:ascii="Times New Roman" w:cs="Times New Roman" w:hAnsi="Times New Roman"/>
          <w:color w:val="000000"/>
          <w:sz w:val="24"/>
          <w:szCs w:val="24"/>
        </w:rPr>
        <w:t xml:space="preserve">As indicated by a study delivered by Oxford University teachers, </w:t>
      </w:r>
      <w:r>
        <w:rPr>
          <w:rFonts w:ascii="Times New Roman" w:cs="Times New Roman" w:hAnsi="Times New Roman"/>
          <w:color w:val="000000"/>
          <w:sz w:val="24"/>
          <w:szCs w:val="24"/>
        </w:rPr>
        <w:t>Brexit</w:t>
      </w:r>
      <w:r>
        <w:rPr>
          <w:rFonts w:ascii="Times New Roman" w:cs="Times New Roman" w:hAnsi="Times New Roman"/>
          <w:color w:val="000000"/>
          <w:sz w:val="24"/>
          <w:szCs w:val="24"/>
        </w:rPr>
        <w:t xml:space="preserve"> has demolished the UK's work deficiencies over the past year, with organizations most ward on free development experiencing the most. As per the report, there has been a critical decline in the quantity of EU workers, a massive expansion in opportunities, and limited choices for organizations to enroll from non-EU countries in areas, for example, friendliness and corporate help administrations. The creators found little sign that organizations responded by helping pay to enlist UK-conceived people to supplant occupations previously held by people brought into the world in the EU (Ridgway, 2019). The creators of a complete examination were mindful not to pin all work deficiencies on </w:t>
      </w:r>
      <w:r>
        <w:rPr>
          <w:rFonts w:ascii="Times New Roman" w:cs="Times New Roman" w:hAnsi="Times New Roman"/>
          <w:color w:val="000000"/>
          <w:sz w:val="24"/>
          <w:szCs w:val="24"/>
        </w:rPr>
        <w:t>Brexit</w:t>
      </w:r>
      <w:r>
        <w:rPr>
          <w:rFonts w:ascii="Times New Roman" w:cs="Times New Roman" w:hAnsi="Times New Roman"/>
          <w:color w:val="000000"/>
          <w:sz w:val="24"/>
          <w:szCs w:val="24"/>
        </w:rPr>
        <w:t xml:space="preserve">, mainly because there have been selecting issues in regions like the travel industry in numerous countries recuperating from the pestilence. Irrelevant to </w:t>
      </w:r>
      <w:r>
        <w:rPr>
          <w:rFonts w:ascii="Times New Roman" w:cs="Times New Roman" w:hAnsi="Times New Roman"/>
          <w:color w:val="000000"/>
          <w:sz w:val="24"/>
          <w:szCs w:val="24"/>
        </w:rPr>
        <w:t>Brexit</w:t>
      </w:r>
      <w:r>
        <w:rPr>
          <w:rFonts w:ascii="Times New Roman" w:cs="Times New Roman" w:hAnsi="Times New Roman"/>
          <w:color w:val="000000"/>
          <w:sz w:val="24"/>
          <w:szCs w:val="24"/>
        </w:rPr>
        <w:t>, the exit from the workforce of representatives over 50 years old has also created extensive difficulties in the UK work market.</w:t>
      </w:r>
    </w:p>
    <w:p>
      <w:pPr>
        <w:pStyle w:val="style0"/>
        <w:spacing w:lineRule="auto" w:line="360"/>
        <w:ind w:left="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Notwithstanding, preceding the pandemic, faculty deficiencies and openings were most awful in enterprises dependent on EU workers, per the review. Managers in these enterprises couldn't use new visa pathways to recruit unfamiliar work, attributable to low compensation rates. Cordiality and backing administrations, for example, distribution center workers and security, were among the ventures addressed (Ridgway, 2019). As per the exploration, there has been a massive shift from EU to non-EU relocation in regions, for example, wellbeing and farming, where organizations approach non-EU representatives using unique visa programs. The information concentrated reached out up to June 2021, yet EU nationals in work were down 6% contrasted with that same month two years sooner, while non-EU transients in business were up 9%. As Madeleine </w:t>
      </w:r>
      <w:r>
        <w:rPr>
          <w:rFonts w:ascii="Times New Roman" w:cs="Times New Roman" w:hAnsi="Times New Roman"/>
          <w:color w:val="000000"/>
          <w:sz w:val="24"/>
          <w:szCs w:val="24"/>
        </w:rPr>
        <w:t>Sumption</w:t>
      </w:r>
      <w:r>
        <w:rPr>
          <w:rFonts w:ascii="Times New Roman" w:cs="Times New Roman" w:hAnsi="Times New Roman"/>
          <w:color w:val="000000"/>
          <w:sz w:val="24"/>
          <w:szCs w:val="24"/>
        </w:rPr>
        <w:t>, head of Oxford University's Migration Observatory and study lead creator, "restricting free development has made it harder for organizations in low-wage areas to draw in staff" (Ridgway, 2019).</w:t>
      </w:r>
    </w:p>
    <w:p>
      <w:pPr>
        <w:pStyle w:val="style0"/>
        <w:spacing w:lineRule="auto" w:line="360"/>
        <w:ind w:left="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xml:space="preserve">Current state of </w:t>
      </w:r>
      <w:r>
        <w:rPr>
          <w:rFonts w:ascii="Times New Roman" w:cs="Times New Roman" w:hAnsi="Times New Roman"/>
          <w:b/>
          <w:color w:val="000000"/>
          <w:sz w:val="24"/>
          <w:szCs w:val="24"/>
        </w:rPr>
        <w:t>Labour</w:t>
      </w:r>
      <w:r>
        <w:rPr>
          <w:rFonts w:ascii="Times New Roman" w:cs="Times New Roman" w:hAnsi="Times New Roman"/>
          <w:b/>
          <w:color w:val="000000"/>
          <w:sz w:val="24"/>
          <w:szCs w:val="24"/>
        </w:rPr>
        <w:t xml:space="preserve"> market </w:t>
      </w:r>
    </w:p>
    <w:p>
      <w:pPr>
        <w:pStyle w:val="style0"/>
        <w:spacing w:lineRule="auto" w:line="360"/>
        <w:ind w:left="360"/>
        <w:jc w:val="both"/>
        <w:rPr>
          <w:rFonts w:ascii="Times New Roman" w:cs="Times New Roman" w:hAnsi="Times New Roman"/>
          <w:color w:val="000000"/>
          <w:sz w:val="24"/>
          <w:szCs w:val="24"/>
        </w:rPr>
      </w:pPr>
      <w:r>
        <w:rPr>
          <w:rFonts w:ascii="Times New Roman" w:cs="Times New Roman" w:hAnsi="Times New Roman"/>
          <w:color w:val="000000"/>
          <w:sz w:val="24"/>
          <w:szCs w:val="24"/>
        </w:rPr>
        <w:br/>
      </w:r>
      <w:r>
        <w:rPr>
          <w:rFonts w:ascii="Times New Roman" w:cs="Times New Roman" w:hAnsi="Times New Roman"/>
          <w:color w:val="000000"/>
          <w:sz w:val="24"/>
          <w:szCs w:val="24"/>
        </w:rPr>
        <w:t xml:space="preserve">As per official figures delivered on Tuesday, the UK work market is hot, with the number of everyday laborers at an unequaled high and the number of openings at a record 1.3 million. </w:t>
      </w:r>
      <w:r>
        <w:rPr>
          <w:rFonts w:ascii="Times New Roman" w:cs="Times New Roman" w:hAnsi="Times New Roman"/>
          <w:color w:val="000000"/>
          <w:sz w:val="24"/>
          <w:szCs w:val="24"/>
        </w:rPr>
        <w:t xml:space="preserve">Nonetheless, the report uncovered a few early signs that the work market might turn, with recruiting easing back and joblessness rising (FT, 2022). While the numbers reinforced the case for the Bank of England to raise financing costs again at its gathering on Thursday, business analysts advised they could debilitate the case for a vast ascent or proceed with aggressive strategy fixing (FT, 2022). The Office for National Statistics said the business rate expanded to 75.6 percent in the three months to April, up 0.2 rate focuses from the past quarter, and a more considerable increment than specialists had anticipated. Regular work drove this, with part-time and independent work under pre-pandemic levels. Investec expert Sandra </w:t>
      </w:r>
      <w:r>
        <w:rPr>
          <w:rFonts w:ascii="Times New Roman" w:cs="Times New Roman" w:hAnsi="Times New Roman"/>
          <w:color w:val="000000"/>
          <w:sz w:val="24"/>
          <w:szCs w:val="24"/>
        </w:rPr>
        <w:t>Horsfield</w:t>
      </w:r>
      <w:r>
        <w:rPr>
          <w:rFonts w:ascii="Times New Roman" w:cs="Times New Roman" w:hAnsi="Times New Roman"/>
          <w:color w:val="000000"/>
          <w:sz w:val="24"/>
          <w:szCs w:val="24"/>
        </w:rPr>
        <w:t xml:space="preserve"> said, "solid work interest." with regards to </w:t>
      </w:r>
      <w:r>
        <w:rPr>
          <w:rFonts w:ascii="Times New Roman" w:cs="Times New Roman" w:hAnsi="Times New Roman"/>
          <w:color w:val="000000"/>
          <w:sz w:val="24"/>
          <w:szCs w:val="24"/>
        </w:rPr>
        <w:t>super hot</w:t>
      </w:r>
      <w:r>
        <w:rPr>
          <w:rFonts w:ascii="Times New Roman" w:cs="Times New Roman" w:hAnsi="Times New Roman"/>
          <w:color w:val="000000"/>
          <w:sz w:val="24"/>
          <w:szCs w:val="24"/>
        </w:rPr>
        <w:t xml:space="preserve"> purchaser cost expansion" would reinforce the case for additional money-related strategy fixing. In contrast, Hugh </w:t>
      </w:r>
      <w:r>
        <w:rPr>
          <w:rFonts w:ascii="Times New Roman" w:cs="Times New Roman" w:hAnsi="Times New Roman"/>
          <w:color w:val="000000"/>
          <w:sz w:val="24"/>
          <w:szCs w:val="24"/>
        </w:rPr>
        <w:t>Gimber</w:t>
      </w:r>
      <w:r>
        <w:rPr>
          <w:rFonts w:ascii="Times New Roman" w:cs="Times New Roman" w:hAnsi="Times New Roman"/>
          <w:color w:val="000000"/>
          <w:sz w:val="24"/>
          <w:szCs w:val="24"/>
        </w:rPr>
        <w:t>, a specialist at JPMorgan Asset Management, said the information uncovered the "problem" that the BoE is confronting, as "national banks are being compelled to fix when there are obvious indicators that development is easing back" (FT, 2022).</w:t>
      </w:r>
    </w:p>
    <w:p>
      <w:pPr>
        <w:pStyle w:val="style0"/>
        <w:spacing w:lineRule="auto" w:line="360"/>
        <w:ind w:left="360"/>
        <w:jc w:val="both"/>
        <w:rPr>
          <w:rFonts w:ascii="Times New Roman" w:cs="Times New Roman" w:hAnsi="Times New Roman"/>
          <w:b/>
          <w:color w:val="000000"/>
          <w:sz w:val="24"/>
          <w:szCs w:val="24"/>
          <w:u w:val="single"/>
        </w:rPr>
      </w:pPr>
      <w:r>
        <w:rPr>
          <w:rFonts w:ascii="Times New Roman" w:cs="Times New Roman" w:hAnsi="Times New Roman"/>
          <w:b/>
          <w:color w:val="000000"/>
          <w:sz w:val="24"/>
          <w:szCs w:val="24"/>
          <w:u w:val="single"/>
        </w:rPr>
        <w:t>Resourcing Strategies</w:t>
      </w:r>
    </w:p>
    <w:p>
      <w:pPr>
        <w:pStyle w:val="style179"/>
        <w:numPr>
          <w:ilvl w:val="0"/>
          <w:numId w:val="2"/>
        </w:numPr>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What do popular academic authors says about resourcing strategies?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Request anticipating, supply estimating, determining necessities, investigating interest and supply conjecture to distinguish future shortages or overflows; activity arranging alludes to the detailing of plans to manage figure shortfalls through inside advancements, preparing and outside enrollment, creating maintenance and adaptability systems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xml:space="preserve">, 2020). Keeping qualified, able, and gifted representatives inside the firm are essential. It is basic to foster data as far as maintenance strategies to hold them. Maintenance procedures incorporate the improvement of plans that might help maintain representatives inside the business. Inside the workspace, it is fundamental to assess the factors that might assemble inspiration among laborers and rouse interest and energy among them toward the successful execution of occupation commitments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HR feel quiet in the work environment whenever they are offered equivalent privileges and chances and opportunities in doing their obligations. The adaptability methodology imagines further developed adaptability in using HR to permit the organization to utilize human asset gifts and capacities while adjusting to evolving conditions. Adaptability might appear as isolating the labor force into a central gathering and at least one fringe bunches in specific occurrences (Cristian </w:t>
      </w:r>
      <w:r>
        <w:rPr>
          <w:rFonts w:ascii="Times New Roman" w:cs="Times New Roman" w:hAnsi="Times New Roman"/>
          <w:color w:val="000000"/>
          <w:sz w:val="24"/>
          <w:szCs w:val="24"/>
        </w:rPr>
        <w:t xml:space="preserve">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xml:space="preserve">, 2020). Rethinking is additionally connected with adaptability. It alludes to the work done by different associations or people. Representatives are supposed to embrace an assortment of work errands inside the firm. These incorporate archive readiness, navigation, leading gatherings, studios, and courses, partaking in underway and fabricating processes, making field trips, etc.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Accordingly, it very well may be guaranteed that representatives of the association should be versatile in their ways while completing assorted work commitments. Embracing adaptable ways allows HR to be peaceful while efficiently taking care of their responsibilities and commitments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u w:val="single"/>
        </w:rPr>
      </w:pPr>
      <w:r>
        <w:rPr>
          <w:rFonts w:ascii="Times New Roman" w:cs="Times New Roman" w:hAnsi="Times New Roman"/>
          <w:b/>
          <w:color w:val="000000"/>
          <w:sz w:val="24"/>
          <w:szCs w:val="24"/>
          <w:u w:val="single"/>
        </w:rPr>
        <w:t xml:space="preserve">Post </w:t>
      </w:r>
      <w:r>
        <w:rPr>
          <w:rFonts w:ascii="Times New Roman" w:cs="Times New Roman" w:hAnsi="Times New Roman"/>
          <w:b/>
          <w:color w:val="000000"/>
          <w:sz w:val="24"/>
          <w:szCs w:val="24"/>
          <w:u w:val="single"/>
        </w:rPr>
        <w:t>Covid</w:t>
      </w:r>
      <w:r>
        <w:rPr>
          <w:rFonts w:ascii="Times New Roman" w:cs="Times New Roman" w:hAnsi="Times New Roman"/>
          <w:b/>
          <w:color w:val="000000"/>
          <w:sz w:val="24"/>
          <w:szCs w:val="24"/>
          <w:u w:val="single"/>
        </w:rPr>
        <w:t xml:space="preserve"> Resourcing </w:t>
      </w:r>
      <w:r>
        <w:rPr>
          <w:rFonts w:ascii="Times New Roman" w:cs="Times New Roman" w:hAnsi="Times New Roman"/>
          <w:b/>
          <w:color w:val="000000"/>
          <w:sz w:val="24"/>
          <w:szCs w:val="24"/>
          <w:u w:val="single"/>
        </w:rPr>
        <w:t>Startegies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The general well-being response to COVID-19 has brought about sensational drops in labor interest in a few regions of the UK economy. The quick, authoritative response to the scourge required the conclusion of significant segments of the economy, including insignificant retail, neighborliness, and recreation undertakings. Air travel has practically stopped attributable to travel limitations. Before the emergency, these ventures alone utilized more than 5 million individuals in the UK, and many were laid off following the lockdown on March 23</w:t>
      </w:r>
      <w:r>
        <w:rPr>
          <w:rFonts w:ascii="Times New Roman" w:cs="Times New Roman" w:hAnsi="Times New Roman"/>
          <w:color w:val="000000"/>
          <w:sz w:val="24"/>
          <w:szCs w:val="24"/>
        </w:rPr>
        <w:t xml:space="preserve"> (Costa et al., 2020)</w:t>
      </w:r>
      <w:r>
        <w:rPr>
          <w:rFonts w:ascii="Times New Roman" w:cs="Times New Roman" w:hAnsi="Times New Roman"/>
          <w:color w:val="000000"/>
          <w:sz w:val="24"/>
          <w:szCs w:val="24"/>
        </w:rPr>
        <w:t>. When the thump on impacts of these terminations on different businesses in those areas' stockpile chains is calculated, the portion of the UK labor force left without helpful work in the initial not many months of this emergency has ascended with unmatched power. As per official information, toward the finish of May, almost 8 million individuals had lost their positions, briefly, because of leaves of absence. Official figures for long-lasting employment misfortunes are not yet accessible at the hour of composing. Yet, the fast ascent in general credit claims during April suggests they have expanded</w:t>
      </w:r>
      <w:r>
        <w:rPr>
          <w:rFonts w:ascii="Times New Roman" w:cs="Times New Roman" w:hAnsi="Times New Roman"/>
          <w:color w:val="000000"/>
          <w:sz w:val="24"/>
          <w:szCs w:val="24"/>
        </w:rPr>
        <w:t xml:space="preserve"> (Costa et al., 2020)</w:t>
      </w:r>
      <w:r>
        <w:rPr>
          <w:rFonts w:ascii="Times New Roman" w:cs="Times New Roman" w:hAnsi="Times New Roman"/>
          <w:color w:val="000000"/>
          <w:sz w:val="24"/>
          <w:szCs w:val="24"/>
        </w:rPr>
        <w:t>.</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At first, we saw substantial work defi</w:t>
      </w:r>
      <w:r>
        <w:rPr>
          <w:rFonts w:ascii="Times New Roman" w:cs="Times New Roman" w:hAnsi="Times New Roman"/>
          <w:color w:val="000000"/>
          <w:sz w:val="24"/>
          <w:szCs w:val="24"/>
        </w:rPr>
        <w:t xml:space="preserve">ciencies in different ventures. </w:t>
      </w:r>
      <w:r>
        <w:rPr>
          <w:rFonts w:ascii="Times New Roman" w:cs="Times New Roman" w:hAnsi="Times New Roman"/>
          <w:color w:val="000000"/>
          <w:sz w:val="24"/>
          <w:szCs w:val="24"/>
        </w:rPr>
        <w:t xml:space="preserve">To manage the </w:t>
      </w:r>
      <w:r>
        <w:rPr>
          <w:rFonts w:ascii="Times New Roman" w:cs="Times New Roman" w:hAnsi="Times New Roman"/>
          <w:color w:val="000000"/>
          <w:sz w:val="24"/>
          <w:szCs w:val="24"/>
        </w:rPr>
        <w:t>Covid</w:t>
      </w:r>
      <w:r>
        <w:rPr>
          <w:rFonts w:ascii="Times New Roman" w:cs="Times New Roman" w:hAnsi="Times New Roman"/>
          <w:color w:val="000000"/>
          <w:sz w:val="24"/>
          <w:szCs w:val="24"/>
        </w:rPr>
        <w:t xml:space="preserve"> flare-up, grocery stores, stockroom and conveyance firms, and the NHS sent off enrolling drives. Opportunities in these areas have diminished as these posts have been filled, even though they have stayed more noteworthy (in contrast with before the plague) than in different areas. Technology organizations, for example, Facebook and Google, have likewise begun selecting efforts in response to diminished recruiting by new businesses. The current emergency includes, </w:t>
      </w:r>
      <w:r>
        <w:rPr>
          <w:rFonts w:ascii="Times New Roman" w:cs="Times New Roman" w:hAnsi="Times New Roman"/>
          <w:color w:val="000000"/>
          <w:sz w:val="24"/>
          <w:szCs w:val="24"/>
        </w:rPr>
        <w:t>to a far more significant degree than a standard slump, an essential change in the blend of monetary exercises and an overall log jam in financial action</w:t>
      </w:r>
      <w:r>
        <w:rPr>
          <w:rFonts w:ascii="Times New Roman" w:cs="Times New Roman" w:hAnsi="Times New Roman"/>
          <w:color w:val="000000"/>
          <w:sz w:val="24"/>
          <w:szCs w:val="24"/>
        </w:rPr>
        <w:t xml:space="preserve"> (Costa et al., 2020)</w:t>
      </w:r>
      <w:r>
        <w:rPr>
          <w:rFonts w:ascii="Times New Roman" w:cs="Times New Roman" w:hAnsi="Times New Roman"/>
          <w:color w:val="000000"/>
          <w:sz w:val="24"/>
          <w:szCs w:val="24"/>
        </w:rPr>
        <w:t>.</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Workforce Management</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Human asset arranging is one more name for labor force arranging. It is generally recognized that the central role of any business is to ensure that work positions are loaded up with capable, equipped, and able individuals who will make a significant commitment to the execution of occupation exercises and the accomplishment of wanted objectives and goals. Besides, labor force arranging involves assessing future organization requests and settling decisions on human asset enrollment and choice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Making an association's Employee Value Proposition and Employer Brand</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The representative offer is what an organization gives to potential or current specialists that they would esteem and urge them to join or remain in the firm. The business brand is the firm's picture as a decent manager (Armstrong and Taylor, 2014).</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As recently said, a task investigation is performed when work opportunities are to be loaded up with competent, skilled, and experienced people.</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Retention Plan</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Maintenance plans are those with the essential objective of keeping representatives inside the business. Businesses endeavor to plan strategies to hold gifted, enterprising, moral, legit, and reliable people in their exhibitions. This may be for over five years or as long-lasting representatives. Therefore, to hold staff, it is essential to raise information about philosophies and approaches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Resource Plans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The procedures for working on individuals' information and capacities inside the organization are alluded to as resourcing plans. There have been enhancements with the approach of advancement and globalization. Individuals from creation, administration and different kinds of organizations need to make data about current, logical, and innovative methodologies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Plans for Flexibility</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The essential objective of adaptability plans is to encourage greater adaptability in utilizing HR. When HR completes their commitments, they mustn't feel stressed or under tension. For instance, if they are locked in on an exploration project, they ought to be permitted sufficient opportunity to get done with their responsibilities. Representatives might be expected to put a hold on work attributable to private matters in unambiguous occurrences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The executives of Talent</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The capacity and gifts of individuals to do a task or movement are alluded to as ability. All individuals have one fundamental point while completing their commitments: to do their work obligations efficiently and to accomplish the planned objectives and targets. HR should enhance its capacities to accomplish the expected outcomes. It is essential to take part in continuous practice to control one's abilities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Innovative Progress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Innovative upgrades are perceived as one of the significant elements that work with the execution of work exercises. People that use innovation can do their work liabilities more effectively and quicker than expected. Accordingly, HR must be knowledgeable in the utilization of innovation. With enough practice, one might become capable of utilizing innovation (Cristian and </w:t>
      </w:r>
      <w:r>
        <w:rPr>
          <w:rFonts w:ascii="Times New Roman" w:cs="Times New Roman" w:hAnsi="Times New Roman"/>
          <w:color w:val="000000"/>
          <w:sz w:val="24"/>
          <w:szCs w:val="24"/>
        </w:rPr>
        <w:t>Stefania</w:t>
      </w:r>
      <w:r>
        <w:rPr>
          <w:rFonts w:ascii="Times New Roman" w:cs="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u w:val="single"/>
        </w:rPr>
      </w:pPr>
      <w:r>
        <w:rPr>
          <w:rFonts w:ascii="Times New Roman" w:cs="Times New Roman" w:hAnsi="Times New Roman"/>
          <w:b/>
          <w:color w:val="000000"/>
          <w:sz w:val="24"/>
          <w:szCs w:val="24"/>
          <w:u w:val="single"/>
        </w:rPr>
        <w:t xml:space="preserve">Resourcing Strategies Following </w:t>
      </w:r>
      <w:r>
        <w:rPr>
          <w:rFonts w:ascii="Times New Roman" w:cs="Times New Roman" w:hAnsi="Times New Roman"/>
          <w:b/>
          <w:color w:val="000000"/>
          <w:sz w:val="24"/>
          <w:szCs w:val="24"/>
          <w:u w:val="single"/>
        </w:rPr>
        <w:t>Brexit</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Retention and enrollment of representatives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Perhaps the most disputable worry behind the mind-boggling choice to leave the EU was seen degrees of movement from the EU into the UK. While conversations to administer individual development are progressing, this issue stays essential to the future connection between the UK and the EU to restrict the possible financial harm (</w:t>
      </w:r>
      <w:r>
        <w:rPr>
          <w:rFonts w:ascii="Times New Roman" w:cs="Times New Roman" w:hAnsi="Times New Roman"/>
          <w:color w:val="000000"/>
          <w:sz w:val="24"/>
          <w:szCs w:val="24"/>
        </w:rPr>
        <w:t>Alfano</w:t>
      </w:r>
      <w:r>
        <w:rPr>
          <w:rFonts w:ascii="Times New Roman" w:cs="Times New Roman" w:hAnsi="Times New Roman"/>
          <w:color w:val="000000"/>
          <w:sz w:val="24"/>
          <w:szCs w:val="24"/>
        </w:rPr>
        <w:t xml:space="preserve"> et al., 2016). Regardless of the supposition that relocation influences work opportunities for UK residents, observational exploration recommends that there is no connection between rising movement and joblessness among the "English conceived" populace.</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Work-related range of abilities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There is a far and wide conviction that transient specialists from the EU often take part in untalented or low-talented positions. This perspective has been reinforced since the </w:t>
      </w:r>
      <w:r>
        <w:rPr>
          <w:rFonts w:ascii="Times New Roman" w:cs="Times New Roman" w:hAnsi="Times New Roman"/>
          <w:color w:val="000000"/>
          <w:sz w:val="24"/>
          <w:szCs w:val="24"/>
        </w:rPr>
        <w:t>Brexit</w:t>
      </w:r>
      <w:r>
        <w:rPr>
          <w:rFonts w:ascii="Times New Roman" w:cs="Times New Roman" w:hAnsi="Times New Roman"/>
          <w:color w:val="000000"/>
          <w:sz w:val="24"/>
          <w:szCs w:val="24"/>
        </w:rPr>
        <w:t xml:space="preserve"> vote by the distribution of studies showing that at firms like </w:t>
      </w:r>
      <w:r>
        <w:rPr>
          <w:rFonts w:ascii="Times New Roman" w:cs="Times New Roman" w:hAnsi="Times New Roman"/>
          <w:color w:val="000000"/>
          <w:sz w:val="24"/>
          <w:szCs w:val="24"/>
        </w:rPr>
        <w:t>Pret</w:t>
      </w:r>
      <w:r>
        <w:rPr>
          <w:rFonts w:ascii="Times New Roman" w:cs="Times New Roman" w:hAnsi="Times New Roman"/>
          <w:color w:val="000000"/>
          <w:sz w:val="24"/>
          <w:szCs w:val="24"/>
        </w:rPr>
        <w:t xml:space="preserve"> a Manger, scarcely half of the work applications are from the United Kingdom (Sullivan, 2017). As per Teague and </w:t>
      </w:r>
      <w:r>
        <w:rPr>
          <w:rFonts w:ascii="Times New Roman" w:cs="Times New Roman" w:hAnsi="Times New Roman"/>
          <w:color w:val="000000"/>
          <w:sz w:val="24"/>
          <w:szCs w:val="24"/>
        </w:rPr>
        <w:t>Donaghey</w:t>
      </w:r>
      <w:r>
        <w:rPr>
          <w:rFonts w:ascii="Times New Roman" w:cs="Times New Roman" w:hAnsi="Times New Roman"/>
          <w:color w:val="000000"/>
          <w:sz w:val="24"/>
          <w:szCs w:val="24"/>
        </w:rPr>
        <w:t xml:space="preserve"> (2018), admittance to work through the free development of individuals has brought about organizations underinvesting in expertise improvement.</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Expanded movement from nations other than the EU</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The ascent in relocation is an overall peculiarity that isn't remarkable in the United Kingdom (Varma and Russell, 2016; Ridgway and Robson, 2018); likewise, the development of the transient populace in the United Kingdom isn't unbalanced in different countries (</w:t>
      </w:r>
      <w:r>
        <w:rPr>
          <w:rFonts w:ascii="Times New Roman" w:cs="Times New Roman" w:hAnsi="Times New Roman"/>
          <w:color w:val="000000"/>
          <w:sz w:val="24"/>
          <w:szCs w:val="24"/>
        </w:rPr>
        <w:t>Alfano</w:t>
      </w:r>
      <w:r>
        <w:rPr>
          <w:rFonts w:ascii="Times New Roman" w:cs="Times New Roman" w:hAnsi="Times New Roman"/>
          <w:color w:val="000000"/>
          <w:sz w:val="24"/>
          <w:szCs w:val="24"/>
        </w:rPr>
        <w:t xml:space="preserve"> et al.</w:t>
      </w:r>
      <w:r>
        <w:rPr>
          <w:rFonts w:ascii="Times New Roman" w:cs="Times New Roman" w:hAnsi="Times New Roman"/>
          <w:color w:val="000000"/>
          <w:sz w:val="24"/>
          <w:szCs w:val="24"/>
        </w:rPr>
        <w:t>,2016</w:t>
      </w:r>
      <w:r>
        <w:rPr>
          <w:rFonts w:ascii="Times New Roman" w:cs="Times New Roman" w:hAnsi="Times New Roman"/>
          <w:color w:val="000000"/>
          <w:sz w:val="24"/>
          <w:szCs w:val="24"/>
        </w:rPr>
        <w:t xml:space="preserve">). Before </w:t>
      </w:r>
      <w:r>
        <w:rPr>
          <w:rFonts w:ascii="Times New Roman" w:cs="Times New Roman" w:hAnsi="Times New Roman"/>
          <w:color w:val="000000"/>
          <w:sz w:val="24"/>
          <w:szCs w:val="24"/>
        </w:rPr>
        <w:t>Brexit</w:t>
      </w:r>
      <w:r>
        <w:rPr>
          <w:rFonts w:ascii="Times New Roman" w:cs="Times New Roman" w:hAnsi="Times New Roman"/>
          <w:color w:val="000000"/>
          <w:sz w:val="24"/>
          <w:szCs w:val="24"/>
        </w:rPr>
        <w:t>, despite underscoring how capable traveler laborers helped the UK, a substantial legislative objective was to decrease reliance on financial movement outside the EEA (Migration Advisory Committee, 2015).</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More adaptable working circumstances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As per REC (2012), there is an expansion in flexible working in the UK. Flexible work has been recognized as a maintenance procedure (Chubb et al., 2010); even though it was an expense-cutting technique during the 2008-2009 downturn, it is presently utilized as a strategy for commitment, prize, and inspiration. Besides, it is accepted that adaptability draws in a broader assortment of abilities (Cheese, 2010). REC (2010) demonstrated that impermanent business, despite conceivable shakiness, is more engaging than extremely durable occupation attributable to its additional adaptability, as opposed to discernments that the 2008-2009 emergency was liable for a flood in short work.</w:t>
      </w:r>
    </w:p>
    <w:p>
      <w:pPr>
        <w:pStyle w:val="style0"/>
        <w:spacing w:lineRule="auto" w:line="360"/>
        <w:jc w:val="both"/>
        <w:rPr>
          <w:rFonts w:ascii="Times New Roman" w:cs="Times New Roman" w:hAnsi="Times New Roman"/>
          <w:b/>
          <w:color w:val="000000"/>
          <w:sz w:val="24"/>
          <w:szCs w:val="24"/>
          <w:u w:val="single"/>
        </w:rPr>
      </w:pPr>
      <w:r>
        <w:rPr>
          <w:rFonts w:ascii="Times New Roman" w:cs="Times New Roman" w:hAnsi="Times New Roman"/>
          <w:b/>
          <w:color w:val="000000"/>
          <w:sz w:val="24"/>
          <w:szCs w:val="24"/>
          <w:u w:val="single"/>
        </w:rPr>
        <w:t>Conclusion and Recommendation</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As a beautiful financial occasion, the 2008-2009 downturn gave a supportive difference to the ongoing climate; as anticipated, old questions, like the battle for ability, have returned. </w:t>
      </w:r>
      <w:r>
        <w:rPr>
          <w:rFonts w:ascii="Times New Roman" w:cs="Times New Roman" w:hAnsi="Times New Roman"/>
          <w:color w:val="000000"/>
          <w:sz w:val="24"/>
          <w:szCs w:val="24"/>
        </w:rPr>
        <w:t>Brexit</w:t>
      </w:r>
      <w:r>
        <w:rPr>
          <w:rFonts w:ascii="Times New Roman" w:cs="Times New Roman" w:hAnsi="Times New Roman"/>
          <w:color w:val="000000"/>
          <w:sz w:val="24"/>
          <w:szCs w:val="24"/>
        </w:rPr>
        <w:t xml:space="preserve"> may suggest "the same old thing" to help get a handle on what </w:t>
      </w:r>
      <w:r>
        <w:rPr>
          <w:rFonts w:ascii="Times New Roman" w:cs="Times New Roman" w:hAnsi="Times New Roman"/>
          <w:color w:val="000000"/>
          <w:sz w:val="24"/>
          <w:szCs w:val="24"/>
        </w:rPr>
        <w:t>Brexit</w:t>
      </w:r>
      <w:r>
        <w:rPr>
          <w:rFonts w:ascii="Times New Roman" w:cs="Times New Roman" w:hAnsi="Times New Roman"/>
          <w:color w:val="000000"/>
          <w:sz w:val="24"/>
          <w:szCs w:val="24"/>
        </w:rPr>
        <w:t xml:space="preserve"> implies as a general rule, especially regarding staff resourcing. The "fight for ability" and changing work environment socioeconomics are not exclusively </w:t>
      </w:r>
      <w:r>
        <w:rPr>
          <w:rFonts w:ascii="Times New Roman" w:cs="Times New Roman" w:hAnsi="Times New Roman"/>
          <w:color w:val="000000"/>
          <w:sz w:val="24"/>
          <w:szCs w:val="24"/>
        </w:rPr>
        <w:t>Brexit</w:t>
      </w:r>
      <w:r>
        <w:rPr>
          <w:rFonts w:ascii="Times New Roman" w:cs="Times New Roman" w:hAnsi="Times New Roman"/>
          <w:color w:val="000000"/>
          <w:sz w:val="24"/>
          <w:szCs w:val="24"/>
        </w:rPr>
        <w:t xml:space="preserve">-related concerns; the developing political setting has modified how these challenges may be tended to. Critical resourcing is an essential part of the vital </w:t>
      </w:r>
      <w:r>
        <w:rPr>
          <w:rFonts w:ascii="Times New Roman" w:cs="Times New Roman" w:hAnsi="Times New Roman"/>
          <w:color w:val="000000"/>
          <w:sz w:val="24"/>
          <w:szCs w:val="24"/>
        </w:rPr>
        <w:t>human asset of the executives. This involves likening HR to the association's key and functional objectives and guaranteeing full asset use. It is concerned with getting and keeping a labor force while picking and advancing staff workers, particularly those who are consistence with the association's essential requirements.</w:t>
      </w:r>
    </w:p>
    <w:p>
      <w:pPr>
        <w:pStyle w:val="style0"/>
        <w:rPr>
          <w:rFonts w:ascii="Times New Roman" w:cs="Times New Roman" w:hAnsi="Times New Roman"/>
          <w:color w:val="000000"/>
          <w:sz w:val="24"/>
          <w:szCs w:val="24"/>
        </w:rPr>
      </w:pPr>
      <w:r>
        <w:rPr>
          <w:rFonts w:ascii="Times New Roman" w:cs="Times New Roman" w:hAnsi="Times New Roman"/>
          <w:color w:val="000000"/>
          <w:sz w:val="24"/>
          <w:szCs w:val="24"/>
        </w:rPr>
        <w:br w:type="page"/>
      </w:r>
    </w:p>
    <w:bookmarkStart w:id="0" w:name="_GoBack"/>
    <w:bookmarkEnd w:id="0"/>
    <w:p>
      <w:pPr>
        <w:pStyle w:val="style0"/>
        <w:spacing w:lineRule="auto" w:line="360"/>
        <w:jc w:val="both"/>
        <w:rPr>
          <w:rFonts w:ascii="Times New Roman" w:cs="Times New Roman" w:hAnsi="Times New Roman"/>
          <w:color w:val="000000"/>
          <w:sz w:val="24"/>
          <w:szCs w:val="24"/>
        </w:rPr>
      </w:pP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Reference</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Alfano</w:t>
      </w:r>
      <w:r>
        <w:rPr>
          <w:rFonts w:ascii="Times New Roman" w:cs="Times New Roman" w:hAnsi="Times New Roman"/>
          <w:color w:val="000000"/>
          <w:sz w:val="24"/>
          <w:szCs w:val="24"/>
        </w:rPr>
        <w:t xml:space="preserve">, M., </w:t>
      </w:r>
      <w:r>
        <w:rPr>
          <w:rFonts w:ascii="Times New Roman" w:cs="Times New Roman" w:hAnsi="Times New Roman"/>
          <w:color w:val="000000"/>
          <w:sz w:val="24"/>
          <w:szCs w:val="24"/>
        </w:rPr>
        <w:t>Dustmann</w:t>
      </w:r>
      <w:r>
        <w:rPr>
          <w:rFonts w:ascii="Times New Roman" w:cs="Times New Roman" w:hAnsi="Times New Roman"/>
          <w:color w:val="000000"/>
          <w:sz w:val="24"/>
          <w:szCs w:val="24"/>
        </w:rPr>
        <w:t xml:space="preserve">, C. and </w:t>
      </w:r>
      <w:r>
        <w:rPr>
          <w:rFonts w:ascii="Times New Roman" w:cs="Times New Roman" w:hAnsi="Times New Roman"/>
          <w:color w:val="000000"/>
          <w:sz w:val="24"/>
          <w:szCs w:val="24"/>
        </w:rPr>
        <w:t>Frattini</w:t>
      </w:r>
      <w:r>
        <w:rPr>
          <w:rFonts w:ascii="Times New Roman" w:cs="Times New Roman" w:hAnsi="Times New Roman"/>
          <w:color w:val="000000"/>
          <w:sz w:val="24"/>
          <w:szCs w:val="24"/>
        </w:rPr>
        <w:t xml:space="preserve">, T. (2016), “Immigration and the UK: reflections after </w:t>
      </w:r>
      <w:r>
        <w:rPr>
          <w:rFonts w:ascii="Times New Roman" w:cs="Times New Roman" w:hAnsi="Times New Roman"/>
          <w:color w:val="000000"/>
          <w:sz w:val="24"/>
          <w:szCs w:val="24"/>
        </w:rPr>
        <w:t>Brexit</w:t>
      </w:r>
      <w:r>
        <w:rPr>
          <w:rFonts w:ascii="Times New Roman" w:cs="Times New Roman" w:hAnsi="Times New Roman"/>
          <w:color w:val="000000"/>
          <w:sz w:val="24"/>
          <w:szCs w:val="24"/>
        </w:rPr>
        <w:t>”, in</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Arthur, R., 2021. Studying the UK job market during the COVID-19 crisis with online job ads. </w:t>
      </w:r>
      <w:r>
        <w:rPr>
          <w:rFonts w:ascii="Times New Roman" w:cs="Times New Roman" w:hAnsi="Times New Roman"/>
          <w:i/>
          <w:iCs/>
          <w:color w:val="000000"/>
          <w:sz w:val="24"/>
          <w:szCs w:val="24"/>
          <w:shd w:val="clear" w:color="auto" w:fill="ffffff"/>
        </w:rPr>
        <w:t>PloS</w:t>
      </w:r>
      <w:r>
        <w:rPr>
          <w:rFonts w:ascii="Times New Roman" w:cs="Times New Roman" w:hAnsi="Times New Roman"/>
          <w:i/>
          <w:iCs/>
          <w:color w:val="000000"/>
          <w:sz w:val="24"/>
          <w:szCs w:val="24"/>
          <w:shd w:val="clear" w:color="auto" w:fill="ffffff"/>
        </w:rPr>
        <w:t xml:space="preserve"> one</w:t>
      </w:r>
      <w:r>
        <w:rPr>
          <w:rFonts w:ascii="Times New Roman" w:cs="Times New Roman" w:hAnsi="Times New Roman"/>
          <w:color w:val="000000"/>
          <w:sz w:val="24"/>
          <w:szCs w:val="24"/>
          <w:shd w:val="clear" w:color="auto" w:fill="ffffff"/>
        </w:rPr>
        <w:t>, </w:t>
      </w:r>
      <w:r>
        <w:rPr>
          <w:rFonts w:ascii="Times New Roman" w:cs="Times New Roman" w:hAnsi="Times New Roman"/>
          <w:i/>
          <w:iCs/>
          <w:color w:val="000000"/>
          <w:sz w:val="24"/>
          <w:szCs w:val="24"/>
          <w:shd w:val="clear" w:color="auto" w:fill="ffffff"/>
        </w:rPr>
        <w:t>16</w:t>
      </w:r>
      <w:r>
        <w:rPr>
          <w:rFonts w:ascii="Times New Roman" w:cs="Times New Roman" w:hAnsi="Times New Roman"/>
          <w:color w:val="000000"/>
          <w:sz w:val="24"/>
          <w:szCs w:val="24"/>
          <w:shd w:val="clear" w:color="auto" w:fill="ffffff"/>
        </w:rPr>
        <w:t>(5), p.e0251431.</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Chiacchio</w:t>
      </w:r>
      <w:r>
        <w:rPr>
          <w:rFonts w:ascii="Times New Roman" w:cs="Times New Roman" w:hAnsi="Times New Roman"/>
          <w:color w:val="000000"/>
          <w:sz w:val="24"/>
          <w:szCs w:val="24"/>
          <w:shd w:val="clear" w:color="auto" w:fill="ffffff"/>
        </w:rPr>
        <w:t xml:space="preserve">, F., Petropoulos, G. and </w:t>
      </w:r>
      <w:r>
        <w:rPr>
          <w:rFonts w:ascii="Times New Roman" w:cs="Times New Roman" w:hAnsi="Times New Roman"/>
          <w:color w:val="000000"/>
          <w:sz w:val="24"/>
          <w:szCs w:val="24"/>
          <w:shd w:val="clear" w:color="auto" w:fill="ffffff"/>
        </w:rPr>
        <w:t>Pichler</w:t>
      </w:r>
      <w:r>
        <w:rPr>
          <w:rFonts w:ascii="Times New Roman" w:cs="Times New Roman" w:hAnsi="Times New Roman"/>
          <w:color w:val="000000"/>
          <w:sz w:val="24"/>
          <w:szCs w:val="24"/>
          <w:shd w:val="clear" w:color="auto" w:fill="ffffff"/>
        </w:rPr>
        <w:t>, D., 2018. </w:t>
      </w:r>
      <w:r>
        <w:rPr>
          <w:rFonts w:ascii="Times New Roman" w:cs="Times New Roman" w:hAnsi="Times New Roman"/>
          <w:i/>
          <w:iCs/>
          <w:color w:val="000000"/>
          <w:sz w:val="24"/>
          <w:szCs w:val="24"/>
          <w:shd w:val="clear" w:color="auto" w:fill="ffffff"/>
        </w:rPr>
        <w:t xml:space="preserve">The impact of industrial robots on EU employment and wages: A local </w:t>
      </w:r>
      <w:r>
        <w:rPr>
          <w:rFonts w:ascii="Times New Roman" w:cs="Times New Roman" w:hAnsi="Times New Roman"/>
          <w:i/>
          <w:iCs/>
          <w:color w:val="000000"/>
          <w:sz w:val="24"/>
          <w:szCs w:val="24"/>
          <w:shd w:val="clear" w:color="auto" w:fill="ffffff"/>
        </w:rPr>
        <w:t>labour</w:t>
      </w:r>
      <w:r>
        <w:rPr>
          <w:rFonts w:ascii="Times New Roman" w:cs="Times New Roman" w:hAnsi="Times New Roman"/>
          <w:i/>
          <w:iCs/>
          <w:color w:val="000000"/>
          <w:sz w:val="24"/>
          <w:szCs w:val="24"/>
          <w:shd w:val="clear" w:color="auto" w:fill="ffffff"/>
        </w:rPr>
        <w:t xml:space="preserve"> market approach</w:t>
      </w:r>
      <w:r>
        <w:rPr>
          <w:rFonts w:ascii="Times New Roman" w:cs="Times New Roman" w:hAnsi="Times New Roman"/>
          <w:color w:val="000000"/>
          <w:sz w:val="24"/>
          <w:szCs w:val="24"/>
          <w:shd w:val="clear" w:color="auto" w:fill="ffffff"/>
        </w:rPr>
        <w:t> (No. 2018/02). Bruegel working paper.</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Chubb, C., Reilly, P. and Usher, T. (2010), Learning from the Downturn: Key Messages from an</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corporate</w:t>
      </w:r>
      <w:r>
        <w:rPr>
          <w:rFonts w:ascii="Times New Roman" w:cs="Times New Roman" w:hAnsi="Times New Roman"/>
          <w:color w:val="000000"/>
          <w:sz w:val="24"/>
          <w:szCs w:val="24"/>
        </w:rPr>
        <w:t xml:space="preserve"> HR function in the global recession”, Human Resource Management, Vol. 1 No. 78,</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 xml:space="preserve">Cristian, M. and </w:t>
      </w:r>
      <w:r>
        <w:rPr>
          <w:rFonts w:ascii="Times New Roman" w:cs="Times New Roman" w:hAnsi="Times New Roman"/>
          <w:color w:val="000000"/>
          <w:sz w:val="24"/>
          <w:szCs w:val="24"/>
          <w:shd w:val="clear" w:color="auto" w:fill="ffffff"/>
        </w:rPr>
        <w:t>Ştefania</w:t>
      </w:r>
      <w:r>
        <w:rPr>
          <w:rFonts w:ascii="Times New Roman" w:cs="Times New Roman" w:hAnsi="Times New Roman"/>
          <w:color w:val="000000"/>
          <w:sz w:val="24"/>
          <w:szCs w:val="24"/>
          <w:shd w:val="clear" w:color="auto" w:fill="ffffff"/>
        </w:rPr>
        <w:t>, P.R., 2020. Human Resources Strategies–Resourcing Strategy. </w:t>
      </w:r>
      <w:r>
        <w:rPr>
          <w:rFonts w:ascii="Times New Roman" w:cs="Times New Roman" w:hAnsi="Times New Roman"/>
          <w:i/>
          <w:iCs/>
          <w:color w:val="000000"/>
          <w:sz w:val="24"/>
          <w:szCs w:val="24"/>
          <w:shd w:val="clear" w:color="auto" w:fill="ffffff"/>
        </w:rPr>
        <w:t>MANAGEMENT AND MARKETING</w:t>
      </w:r>
      <w:r>
        <w:rPr>
          <w:rFonts w:ascii="Times New Roman" w:cs="Times New Roman" w:hAnsi="Times New Roman"/>
          <w:color w:val="000000"/>
          <w:sz w:val="24"/>
          <w:szCs w:val="24"/>
          <w:shd w:val="clear" w:color="auto" w:fill="ffffff"/>
        </w:rPr>
        <w:t>, p.1016.</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Employer Perspective, Institute for Employment Studies, Brighton.</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Fasani</w:t>
      </w:r>
      <w:r>
        <w:rPr>
          <w:rFonts w:ascii="Times New Roman" w:cs="Times New Roman" w:hAnsi="Times New Roman"/>
          <w:color w:val="000000"/>
          <w:sz w:val="24"/>
          <w:szCs w:val="24"/>
        </w:rPr>
        <w:t>, F. (Ed.), Refugees and Economic Migrants: Facts, Policies and Challenges, CEPR Press,</w:t>
      </w:r>
    </w:p>
    <w:p>
      <w:pPr>
        <w:pStyle w:val="style0"/>
        <w:spacing w:lineRule="auto" w:line="360"/>
        <w:jc w:val="both"/>
        <w:rPr>
          <w:rFonts w:ascii="Times New Roman" w:cs="Times New Roman" w:hAnsi="Times New Roman"/>
          <w:color w:val="000000"/>
          <w:sz w:val="24"/>
          <w:szCs w:val="24"/>
        </w:rPr>
      </w:pPr>
      <w:r>
        <w:rPr/>
        <w:fldChar w:fldCharType="begin"/>
      </w:r>
      <w:r>
        <w:instrText xml:space="preserve"> HYPERLINK "https://www.ft.com/content/812f3177-2d4d-47df-9c8a-919681f56946" </w:instrText>
      </w:r>
      <w:r>
        <w:rPr/>
        <w:fldChar w:fldCharType="separate"/>
      </w:r>
      <w:r>
        <w:rPr>
          <w:rStyle w:val="style85"/>
          <w:rFonts w:ascii="Times New Roman" w:cs="Times New Roman" w:hAnsi="Times New Roman"/>
          <w:color w:val="000000"/>
          <w:sz w:val="24"/>
          <w:szCs w:val="24"/>
        </w:rPr>
        <w:t>https://www.ft.com/content/812f3177-2d4d-47df-9c8a-919681f56946</w:t>
      </w:r>
      <w:r>
        <w:rPr/>
        <w:fldChar w:fldCharType="end"/>
      </w:r>
    </w:p>
    <w:p>
      <w:pPr>
        <w:pStyle w:val="style0"/>
        <w:spacing w:lineRule="auto" w:line="360"/>
        <w:jc w:val="both"/>
        <w:rPr>
          <w:rFonts w:ascii="Times New Roman" w:cs="Times New Roman" w:hAnsi="Times New Roman"/>
          <w:color w:val="000000"/>
          <w:sz w:val="24"/>
          <w:szCs w:val="24"/>
        </w:rPr>
      </w:pPr>
      <w:r>
        <w:rPr/>
        <w:fldChar w:fldCharType="begin"/>
      </w:r>
      <w:r>
        <w:instrText xml:space="preserve"> HYPERLINK "https://www.ft.com/content/a9677ee4-281d-4d0d-8456-661982890304" </w:instrText>
      </w:r>
      <w:r>
        <w:rPr/>
        <w:fldChar w:fldCharType="separate"/>
      </w:r>
      <w:r>
        <w:rPr>
          <w:rStyle w:val="style85"/>
          <w:rFonts w:ascii="Times New Roman" w:cs="Times New Roman" w:hAnsi="Times New Roman"/>
          <w:color w:val="000000"/>
          <w:sz w:val="24"/>
          <w:szCs w:val="24"/>
        </w:rPr>
        <w:t>https://www.ft.com/content/a9677ee4-281d-4d0d-8456-661982890304</w:t>
      </w:r>
      <w:r>
        <w:rPr/>
        <w:fldChar w:fldCharType="end"/>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Industrial Relations Journal, Vol. 49 Nos 5–6, pp. 512-533. London, pp. 55-80.</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Migration Advisory Committee (2015), “Review of Tier 2”, Migration Advisory Committee, London. pp. 97-114.</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 xml:space="preserve">Ridgway, M., 2019. </w:t>
      </w:r>
      <w:r>
        <w:rPr>
          <w:rFonts w:ascii="Times New Roman" w:cs="Times New Roman" w:hAnsi="Times New Roman"/>
          <w:color w:val="000000"/>
          <w:sz w:val="24"/>
          <w:szCs w:val="24"/>
          <w:shd w:val="clear" w:color="auto" w:fill="ffffff"/>
        </w:rPr>
        <w:t>Brexit</w:t>
      </w:r>
      <w:r>
        <w:rPr>
          <w:rFonts w:ascii="Times New Roman" w:cs="Times New Roman" w:hAnsi="Times New Roman"/>
          <w:color w:val="000000"/>
          <w:sz w:val="24"/>
          <w:szCs w:val="24"/>
          <w:shd w:val="clear" w:color="auto" w:fill="ffffff"/>
        </w:rPr>
        <w:t>: human resourcing implications. </w:t>
      </w:r>
      <w:r>
        <w:rPr>
          <w:rFonts w:ascii="Times New Roman" w:cs="Times New Roman" w:hAnsi="Times New Roman"/>
          <w:i/>
          <w:iCs/>
          <w:color w:val="000000"/>
          <w:sz w:val="24"/>
          <w:szCs w:val="24"/>
          <w:shd w:val="clear" w:color="auto" w:fill="ffffff"/>
        </w:rPr>
        <w:t>Employee Relations: The International Journal</w:t>
      </w:r>
      <w:r>
        <w:rPr>
          <w:rFonts w:ascii="Times New Roman" w:cs="Times New Roman" w:hAnsi="Times New Roman"/>
          <w:color w:val="000000"/>
          <w:sz w:val="24"/>
          <w:szCs w:val="24"/>
          <w:shd w:val="clear" w:color="auto" w:fill="ffffff"/>
        </w:rPr>
        <w:t>.</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Scullion, H., Sparrow, P. and </w:t>
      </w:r>
      <w:r>
        <w:rPr>
          <w:rFonts w:ascii="Times New Roman" w:cs="Times New Roman" w:hAnsi="Times New Roman"/>
          <w:color w:val="000000"/>
          <w:sz w:val="24"/>
          <w:szCs w:val="24"/>
        </w:rPr>
        <w:t>Farndale</w:t>
      </w:r>
      <w:r>
        <w:rPr>
          <w:rFonts w:ascii="Times New Roman" w:cs="Times New Roman" w:hAnsi="Times New Roman"/>
          <w:color w:val="000000"/>
          <w:sz w:val="24"/>
          <w:szCs w:val="24"/>
        </w:rPr>
        <w:t>, E. (2011), “Global talent management: new challenges for the</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Teague, P. and </w:t>
      </w:r>
      <w:r>
        <w:rPr>
          <w:rFonts w:ascii="Times New Roman" w:cs="Times New Roman" w:hAnsi="Times New Roman"/>
          <w:color w:val="000000"/>
          <w:sz w:val="24"/>
          <w:szCs w:val="24"/>
        </w:rPr>
        <w:t>Donaghey</w:t>
      </w:r>
      <w:r>
        <w:rPr>
          <w:rFonts w:ascii="Times New Roman" w:cs="Times New Roman" w:hAnsi="Times New Roman"/>
          <w:color w:val="000000"/>
          <w:sz w:val="24"/>
          <w:szCs w:val="24"/>
        </w:rPr>
        <w:t>, J. (2018), “</w:t>
      </w:r>
      <w:r>
        <w:rPr>
          <w:rFonts w:ascii="Times New Roman" w:cs="Times New Roman" w:hAnsi="Times New Roman"/>
          <w:color w:val="000000"/>
          <w:sz w:val="24"/>
          <w:szCs w:val="24"/>
        </w:rPr>
        <w:t>Brexit</w:t>
      </w:r>
      <w:r>
        <w:rPr>
          <w:rFonts w:ascii="Times New Roman" w:cs="Times New Roman" w:hAnsi="Times New Roman"/>
          <w:color w:val="000000"/>
          <w:sz w:val="24"/>
          <w:szCs w:val="24"/>
        </w:rPr>
        <w:t>: EU social policy and the UK employment model”,</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Varma, A. and Russell, L. (2016), “Women and expatriate assignments: exploring the role of perceived organizational support”, Employee Relations, Vol. 38 No. 2, pp. 200-223.</w:t>
      </w:r>
    </w:p>
    <w:p>
      <w:pPr>
        <w:pStyle w:val="style0"/>
        <w:spacing w:lineRule="auto" w:line="360"/>
        <w:jc w:val="both"/>
        <w:rPr>
          <w:rFonts w:ascii="Times New Roman" w:cs="Times New Roman" w:hAnsi="Times New Roman"/>
          <w:color w:val="00000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43"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00002FF" w:usb1="4000ACFF" w:usb2="00000001" w:usb3="00000000" w:csb0="0000019F" w:csb1="00000000"/>
  </w:font>
  <w:font w:name="Calibri Light">
    <w:altName w:val="Calibri Light"/>
    <w:panose1 w:val="020f0302020000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60DE9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1514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8BEA1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D764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0000ff"/>
      <w:u w:val="single"/>
    </w:rPr>
  </w:style>
  <w:style w:type="character" w:customStyle="1" w:styleId="style4097">
    <w:name w:val="hi"/>
    <w:basedOn w:val="style65"/>
    <w:next w:val="style4097"/>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Words>2772</Words>
  <Pages>1</Pages>
  <Characters>16076</Characters>
  <Application>WPS Office</Application>
  <DocSecurity>0</DocSecurity>
  <Paragraphs>78</Paragraphs>
  <ScaleCrop>false</ScaleCrop>
  <LinksUpToDate>false</LinksUpToDate>
  <CharactersWithSpaces>18851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2022-08-20T17:44:00Z</dcterms:created>
  <dc:creator>WPS Office</dc:creator>
  <lastModifiedBy>CPH1909</lastModifiedBy>
  <dcterms:modified xsi:type="dcterms:W3CDTF">2022-09-08T16:18:11Z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83b1ea7f52a9443ca36a3e54b4c0b64f</vt:lpwstr>
  </property>
</Properties>
</file>