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511AD" w14:textId="77777777" w:rsidR="00CC006A" w:rsidRPr="00A30C4C" w:rsidRDefault="00CC006A" w:rsidP="00CC006A">
      <w:pPr>
        <w:jc w:val="center"/>
        <w:rPr>
          <w:rFonts w:ascii="Arial" w:hAnsi="Arial" w:cs="Arial"/>
          <w:b/>
          <w:bCs/>
          <w:sz w:val="28"/>
          <w:szCs w:val="28"/>
        </w:rPr>
      </w:pPr>
      <w:r w:rsidRPr="00A30C4C">
        <w:rPr>
          <w:rFonts w:ascii="Arial" w:hAnsi="Arial" w:cs="Arial"/>
          <w:b/>
          <w:bCs/>
          <w:sz w:val="28"/>
          <w:szCs w:val="28"/>
        </w:rPr>
        <w:t>Student name: Bianca Stefania Postelnicu</w:t>
      </w:r>
    </w:p>
    <w:p w14:paraId="2063FD21" w14:textId="77777777" w:rsidR="00CC006A" w:rsidRPr="00A30C4C" w:rsidRDefault="00CC006A" w:rsidP="00CC006A">
      <w:pPr>
        <w:jc w:val="center"/>
        <w:rPr>
          <w:rFonts w:ascii="Arial" w:hAnsi="Arial" w:cs="Arial"/>
          <w:b/>
          <w:bCs/>
          <w:sz w:val="28"/>
          <w:szCs w:val="28"/>
        </w:rPr>
      </w:pPr>
    </w:p>
    <w:p w14:paraId="36F2A851" w14:textId="77777777" w:rsidR="00CC006A" w:rsidRPr="00A30C4C" w:rsidRDefault="00CC006A" w:rsidP="00CC006A">
      <w:pPr>
        <w:jc w:val="center"/>
        <w:rPr>
          <w:rFonts w:ascii="Arial" w:hAnsi="Arial" w:cs="Arial"/>
          <w:b/>
          <w:bCs/>
          <w:sz w:val="28"/>
          <w:szCs w:val="28"/>
        </w:rPr>
      </w:pPr>
      <w:bookmarkStart w:id="0" w:name="_Toc158730980"/>
      <w:r w:rsidRPr="00A30C4C">
        <w:rPr>
          <w:rFonts w:ascii="Arial" w:hAnsi="Arial" w:cs="Arial"/>
          <w:b/>
          <w:bCs/>
          <w:sz w:val="28"/>
          <w:szCs w:val="28"/>
        </w:rPr>
        <w:t>Student number:</w:t>
      </w:r>
      <w:bookmarkEnd w:id="0"/>
      <w:r w:rsidRPr="00A30C4C">
        <w:rPr>
          <w:rFonts w:ascii="Arial" w:hAnsi="Arial" w:cs="Arial"/>
          <w:b/>
          <w:bCs/>
          <w:sz w:val="28"/>
          <w:szCs w:val="28"/>
        </w:rPr>
        <w:t xml:space="preserve"> 2223852</w:t>
      </w:r>
    </w:p>
    <w:p w14:paraId="162FF04A" w14:textId="77777777" w:rsidR="00CC006A" w:rsidRPr="00A30C4C" w:rsidRDefault="00CC006A" w:rsidP="00CC006A">
      <w:pPr>
        <w:jc w:val="center"/>
        <w:rPr>
          <w:rFonts w:ascii="Arial" w:hAnsi="Arial" w:cs="Arial"/>
          <w:b/>
          <w:bCs/>
          <w:sz w:val="28"/>
          <w:szCs w:val="28"/>
        </w:rPr>
      </w:pPr>
    </w:p>
    <w:p w14:paraId="4821F796" w14:textId="77777777" w:rsidR="00CC006A" w:rsidRPr="00A30C4C" w:rsidRDefault="00CC006A" w:rsidP="00CC006A">
      <w:pPr>
        <w:jc w:val="center"/>
        <w:rPr>
          <w:rFonts w:ascii="Arial" w:hAnsi="Arial" w:cs="Arial"/>
          <w:b/>
          <w:bCs/>
          <w:sz w:val="28"/>
          <w:szCs w:val="28"/>
        </w:rPr>
      </w:pPr>
      <w:bookmarkStart w:id="1" w:name="_Toc158730981"/>
      <w:r w:rsidRPr="00A30C4C">
        <w:rPr>
          <w:rFonts w:ascii="Arial" w:hAnsi="Arial" w:cs="Arial"/>
          <w:b/>
          <w:bCs/>
          <w:sz w:val="28"/>
          <w:szCs w:val="28"/>
        </w:rPr>
        <w:t>Programmes:</w:t>
      </w:r>
      <w:bookmarkEnd w:id="1"/>
    </w:p>
    <w:p w14:paraId="5A2411E1" w14:textId="77777777" w:rsidR="00CC006A" w:rsidRPr="00A30C4C" w:rsidRDefault="00CC006A" w:rsidP="00CC006A">
      <w:pPr>
        <w:jc w:val="center"/>
        <w:rPr>
          <w:rFonts w:ascii="Arial" w:hAnsi="Arial" w:cs="Arial"/>
          <w:b/>
          <w:bCs/>
          <w:sz w:val="28"/>
          <w:szCs w:val="28"/>
        </w:rPr>
      </w:pPr>
      <w:bookmarkStart w:id="2" w:name="_Toc158730982"/>
      <w:r w:rsidRPr="00A30C4C">
        <w:rPr>
          <w:rFonts w:ascii="Arial" w:hAnsi="Arial" w:cs="Arial"/>
          <w:b/>
          <w:bCs/>
          <w:sz w:val="28"/>
          <w:szCs w:val="28"/>
        </w:rPr>
        <w:t>BA (Hons) International Hotel Management</w:t>
      </w:r>
      <w:bookmarkEnd w:id="2"/>
    </w:p>
    <w:p w14:paraId="34CEBD28" w14:textId="77777777" w:rsidR="00CC006A" w:rsidRPr="00A30C4C" w:rsidRDefault="00CC006A" w:rsidP="00CC006A">
      <w:pPr>
        <w:jc w:val="center"/>
        <w:rPr>
          <w:rFonts w:ascii="Arial" w:hAnsi="Arial" w:cs="Arial"/>
          <w:b/>
          <w:bCs/>
          <w:sz w:val="28"/>
          <w:szCs w:val="28"/>
        </w:rPr>
      </w:pPr>
    </w:p>
    <w:p w14:paraId="7A3B67E4" w14:textId="5C24A91D" w:rsidR="00CC006A" w:rsidRPr="00A30C4C" w:rsidRDefault="00CC006A" w:rsidP="00CC006A">
      <w:pPr>
        <w:jc w:val="center"/>
        <w:rPr>
          <w:rFonts w:ascii="Arial" w:hAnsi="Arial" w:cs="Arial"/>
          <w:b/>
          <w:bCs/>
          <w:sz w:val="28"/>
          <w:szCs w:val="28"/>
        </w:rPr>
      </w:pPr>
      <w:r w:rsidRPr="00A30C4C">
        <w:rPr>
          <w:rFonts w:ascii="Arial" w:hAnsi="Arial" w:cs="Arial"/>
          <w:b/>
          <w:bCs/>
          <w:sz w:val="28"/>
          <w:szCs w:val="28"/>
        </w:rPr>
        <w:t>Module title:</w:t>
      </w:r>
      <w:r w:rsidR="00E76508">
        <w:rPr>
          <w:rFonts w:ascii="Arial" w:hAnsi="Arial" w:cs="Arial"/>
          <w:b/>
          <w:bCs/>
          <w:sz w:val="28"/>
          <w:szCs w:val="28"/>
        </w:rPr>
        <w:t xml:space="preserve"> Contemporary Themes in the Hotel and Hospitality Sector</w:t>
      </w:r>
    </w:p>
    <w:p w14:paraId="540D9727" w14:textId="77777777" w:rsidR="00CC006A" w:rsidRDefault="00CC006A" w:rsidP="00CC006A">
      <w:pPr>
        <w:jc w:val="center"/>
        <w:rPr>
          <w:rFonts w:ascii="Arial" w:hAnsi="Arial" w:cs="Arial"/>
          <w:b/>
          <w:bCs/>
          <w:sz w:val="28"/>
          <w:szCs w:val="28"/>
        </w:rPr>
      </w:pPr>
    </w:p>
    <w:p w14:paraId="286CA0CA" w14:textId="6AC3AF08" w:rsidR="00CC006A" w:rsidRPr="00E76508" w:rsidRDefault="00CC006A" w:rsidP="00CC006A">
      <w:pPr>
        <w:jc w:val="center"/>
        <w:rPr>
          <w:rFonts w:ascii="Arial" w:hAnsi="Arial" w:cs="Arial"/>
          <w:b/>
          <w:bCs/>
          <w:sz w:val="28"/>
          <w:szCs w:val="28"/>
        </w:rPr>
      </w:pPr>
      <w:r w:rsidRPr="00E76508">
        <w:rPr>
          <w:rFonts w:ascii="Arial" w:hAnsi="Arial" w:cs="Arial"/>
          <w:b/>
          <w:bCs/>
          <w:sz w:val="28"/>
          <w:szCs w:val="28"/>
        </w:rPr>
        <w:t xml:space="preserve">Module code: </w:t>
      </w:r>
      <w:r w:rsidR="00E76508" w:rsidRPr="00E76508">
        <w:rPr>
          <w:rFonts w:ascii="Arial" w:hAnsi="Arial" w:cs="Arial"/>
          <w:b/>
          <w:bCs/>
          <w:sz w:val="28"/>
          <w:szCs w:val="28"/>
        </w:rPr>
        <w:t>BMIH6001</w:t>
      </w:r>
    </w:p>
    <w:p w14:paraId="6A613541" w14:textId="77777777" w:rsidR="00CC006A" w:rsidRPr="00E76508" w:rsidRDefault="00CC006A" w:rsidP="00CC006A">
      <w:pPr>
        <w:jc w:val="center"/>
        <w:rPr>
          <w:rFonts w:ascii="Arial" w:hAnsi="Arial" w:cs="Arial"/>
          <w:b/>
          <w:bCs/>
          <w:sz w:val="28"/>
          <w:szCs w:val="28"/>
        </w:rPr>
      </w:pPr>
      <w:bookmarkStart w:id="3" w:name="_Toc158730987"/>
    </w:p>
    <w:p w14:paraId="2E44F095" w14:textId="7976BDA5" w:rsidR="00CC006A" w:rsidRPr="00E76508" w:rsidRDefault="00CC006A" w:rsidP="00CC006A">
      <w:pPr>
        <w:jc w:val="center"/>
        <w:rPr>
          <w:rFonts w:ascii="Arial" w:hAnsi="Arial" w:cs="Arial"/>
          <w:b/>
          <w:bCs/>
          <w:sz w:val="28"/>
          <w:szCs w:val="28"/>
        </w:rPr>
      </w:pPr>
      <w:r w:rsidRPr="00E76508">
        <w:rPr>
          <w:rFonts w:ascii="Arial" w:hAnsi="Arial" w:cs="Arial"/>
          <w:b/>
          <w:bCs/>
          <w:sz w:val="28"/>
          <w:szCs w:val="28"/>
        </w:rPr>
        <w:t>Lecturer:</w:t>
      </w:r>
      <w:bookmarkEnd w:id="3"/>
      <w:r w:rsidRPr="00E76508">
        <w:rPr>
          <w:rFonts w:ascii="Arial" w:hAnsi="Arial" w:cs="Arial"/>
          <w:b/>
          <w:bCs/>
          <w:sz w:val="28"/>
          <w:szCs w:val="28"/>
        </w:rPr>
        <w:t xml:space="preserve"> </w:t>
      </w:r>
      <w:r w:rsidR="00E76508">
        <w:rPr>
          <w:rFonts w:ascii="Arial" w:hAnsi="Arial" w:cs="Arial"/>
          <w:b/>
          <w:bCs/>
          <w:sz w:val="28"/>
          <w:szCs w:val="28"/>
        </w:rPr>
        <w:t>Lola Villard-Coles</w:t>
      </w:r>
    </w:p>
    <w:p w14:paraId="25CE422C" w14:textId="77777777" w:rsidR="00CC006A" w:rsidRPr="00E76508" w:rsidRDefault="00CC006A" w:rsidP="00CC006A">
      <w:pPr>
        <w:jc w:val="center"/>
        <w:rPr>
          <w:rFonts w:ascii="Arial" w:hAnsi="Arial" w:cs="Arial"/>
          <w:b/>
          <w:bCs/>
          <w:sz w:val="28"/>
          <w:szCs w:val="28"/>
        </w:rPr>
      </w:pPr>
    </w:p>
    <w:p w14:paraId="0438F729" w14:textId="77777777" w:rsidR="00CC006A" w:rsidRDefault="00CC006A" w:rsidP="00CC006A">
      <w:pPr>
        <w:spacing w:after="0" w:line="360" w:lineRule="auto"/>
        <w:jc w:val="both"/>
        <w:rPr>
          <w:rFonts w:ascii="Arial" w:hAnsi="Arial" w:cs="Arial"/>
          <w:b/>
          <w:bCs/>
        </w:rPr>
      </w:pPr>
    </w:p>
    <w:p w14:paraId="3FB9F438" w14:textId="77777777" w:rsidR="00B57CA3" w:rsidRDefault="00B57CA3" w:rsidP="008C0538">
      <w:pPr>
        <w:spacing w:line="360" w:lineRule="auto"/>
        <w:jc w:val="both"/>
        <w:rPr>
          <w:rFonts w:ascii="Arial" w:hAnsi="Arial" w:cs="Arial"/>
          <w:b/>
          <w:bCs/>
        </w:rPr>
      </w:pPr>
    </w:p>
    <w:p w14:paraId="78F881AA" w14:textId="77777777" w:rsidR="00B57CA3" w:rsidRDefault="00B57CA3" w:rsidP="008C0538">
      <w:pPr>
        <w:spacing w:line="360" w:lineRule="auto"/>
        <w:jc w:val="both"/>
        <w:rPr>
          <w:rFonts w:ascii="Arial" w:hAnsi="Arial" w:cs="Arial"/>
          <w:b/>
          <w:bCs/>
        </w:rPr>
      </w:pPr>
    </w:p>
    <w:p w14:paraId="5C7C6F91" w14:textId="77777777" w:rsidR="00B57CA3" w:rsidRDefault="00B57CA3" w:rsidP="008C0538">
      <w:pPr>
        <w:spacing w:line="360" w:lineRule="auto"/>
        <w:jc w:val="both"/>
        <w:rPr>
          <w:rFonts w:ascii="Arial" w:hAnsi="Arial" w:cs="Arial"/>
          <w:b/>
          <w:bCs/>
        </w:rPr>
      </w:pPr>
    </w:p>
    <w:p w14:paraId="692B5822" w14:textId="77777777" w:rsidR="00B57CA3" w:rsidRDefault="00B57CA3" w:rsidP="008C0538">
      <w:pPr>
        <w:spacing w:line="360" w:lineRule="auto"/>
        <w:jc w:val="both"/>
        <w:rPr>
          <w:rFonts w:ascii="Arial" w:hAnsi="Arial" w:cs="Arial"/>
          <w:b/>
          <w:bCs/>
        </w:rPr>
      </w:pPr>
    </w:p>
    <w:p w14:paraId="5B78A6EE" w14:textId="77777777" w:rsidR="00B57CA3" w:rsidRDefault="00B57CA3" w:rsidP="008C0538">
      <w:pPr>
        <w:spacing w:line="360" w:lineRule="auto"/>
        <w:jc w:val="both"/>
        <w:rPr>
          <w:rFonts w:ascii="Arial" w:hAnsi="Arial" w:cs="Arial"/>
          <w:b/>
          <w:bCs/>
        </w:rPr>
      </w:pPr>
    </w:p>
    <w:p w14:paraId="6DE92205" w14:textId="77777777" w:rsidR="00B57CA3" w:rsidRDefault="00B57CA3" w:rsidP="008C0538">
      <w:pPr>
        <w:spacing w:line="360" w:lineRule="auto"/>
        <w:jc w:val="both"/>
        <w:rPr>
          <w:rFonts w:ascii="Arial" w:hAnsi="Arial" w:cs="Arial"/>
          <w:b/>
          <w:bCs/>
        </w:rPr>
      </w:pPr>
    </w:p>
    <w:p w14:paraId="419544DB" w14:textId="77777777" w:rsidR="00B57CA3" w:rsidRDefault="00B57CA3" w:rsidP="008C0538">
      <w:pPr>
        <w:spacing w:line="360" w:lineRule="auto"/>
        <w:jc w:val="both"/>
        <w:rPr>
          <w:rFonts w:ascii="Arial" w:hAnsi="Arial" w:cs="Arial"/>
          <w:b/>
          <w:bCs/>
        </w:rPr>
      </w:pPr>
    </w:p>
    <w:p w14:paraId="30E2ED90" w14:textId="77777777" w:rsidR="00B57CA3" w:rsidRDefault="00B57CA3" w:rsidP="008C0538">
      <w:pPr>
        <w:spacing w:line="360" w:lineRule="auto"/>
        <w:jc w:val="both"/>
        <w:rPr>
          <w:rFonts w:ascii="Arial" w:hAnsi="Arial" w:cs="Arial"/>
          <w:b/>
          <w:bCs/>
        </w:rPr>
      </w:pPr>
    </w:p>
    <w:p w14:paraId="4E86F1F0" w14:textId="77777777" w:rsidR="00B57CA3" w:rsidRDefault="00B57CA3" w:rsidP="008C0538">
      <w:pPr>
        <w:spacing w:line="360" w:lineRule="auto"/>
        <w:jc w:val="both"/>
        <w:rPr>
          <w:rFonts w:ascii="Arial" w:hAnsi="Arial" w:cs="Arial"/>
          <w:b/>
          <w:bCs/>
        </w:rPr>
      </w:pPr>
    </w:p>
    <w:p w14:paraId="0F20A3A0" w14:textId="77777777" w:rsidR="00B57CA3" w:rsidRDefault="00B57CA3" w:rsidP="008C0538">
      <w:pPr>
        <w:spacing w:line="360" w:lineRule="auto"/>
        <w:jc w:val="both"/>
        <w:rPr>
          <w:rFonts w:ascii="Arial" w:hAnsi="Arial" w:cs="Arial"/>
          <w:b/>
          <w:bCs/>
        </w:rPr>
      </w:pPr>
    </w:p>
    <w:p w14:paraId="31B579F0" w14:textId="77777777" w:rsidR="00CC006A" w:rsidRDefault="00CC006A" w:rsidP="00CC006A">
      <w:pPr>
        <w:spacing w:line="360" w:lineRule="auto"/>
        <w:jc w:val="both"/>
        <w:rPr>
          <w:rFonts w:ascii="Arial" w:hAnsi="Arial" w:cs="Arial"/>
          <w:b/>
          <w:bCs/>
        </w:rPr>
      </w:pPr>
    </w:p>
    <w:p w14:paraId="1B10365D" w14:textId="02A6F020" w:rsidR="00B57CA3" w:rsidRPr="00CC006A" w:rsidRDefault="00CC006A" w:rsidP="00CC006A">
      <w:pPr>
        <w:spacing w:line="360" w:lineRule="auto"/>
        <w:jc w:val="center"/>
        <w:rPr>
          <w:rFonts w:ascii="Arial" w:hAnsi="Arial" w:cs="Arial"/>
          <w:b/>
          <w:bCs/>
          <w:sz w:val="40"/>
          <w:szCs w:val="40"/>
        </w:rPr>
      </w:pPr>
      <w:r w:rsidRPr="00B57CA3">
        <w:rPr>
          <w:rFonts w:ascii="Arial" w:hAnsi="Arial" w:cs="Arial"/>
          <w:sz w:val="40"/>
          <w:szCs w:val="40"/>
        </w:rPr>
        <w:lastRenderedPageBreak/>
        <w:t>The deepening mental health crisis in the Hospitality indust</w:t>
      </w:r>
      <w:r>
        <w:rPr>
          <w:rFonts w:ascii="Arial" w:hAnsi="Arial" w:cs="Arial"/>
          <w:sz w:val="40"/>
          <w:szCs w:val="40"/>
        </w:rPr>
        <w:t>ry</w:t>
      </w:r>
    </w:p>
    <w:p w14:paraId="6A54D016" w14:textId="77777777" w:rsidR="00B57CA3" w:rsidRDefault="00B57CA3" w:rsidP="008C0538">
      <w:pPr>
        <w:spacing w:line="360" w:lineRule="auto"/>
        <w:jc w:val="both"/>
        <w:rPr>
          <w:rFonts w:ascii="Arial" w:hAnsi="Arial" w:cs="Arial"/>
          <w:b/>
          <w:bCs/>
        </w:rPr>
      </w:pPr>
    </w:p>
    <w:p w14:paraId="58E035ED" w14:textId="77777777" w:rsidR="00B57CA3" w:rsidRDefault="00B57CA3" w:rsidP="008C0538">
      <w:pPr>
        <w:spacing w:line="360" w:lineRule="auto"/>
        <w:jc w:val="both"/>
        <w:rPr>
          <w:rFonts w:ascii="Arial" w:hAnsi="Arial" w:cs="Arial"/>
          <w:b/>
          <w:bCs/>
        </w:rPr>
      </w:pPr>
    </w:p>
    <w:p w14:paraId="50BBD235" w14:textId="77777777" w:rsidR="00CC006A" w:rsidRDefault="00CC006A" w:rsidP="008C0538">
      <w:pPr>
        <w:spacing w:line="360" w:lineRule="auto"/>
        <w:jc w:val="both"/>
        <w:rPr>
          <w:rFonts w:ascii="Arial" w:hAnsi="Arial" w:cs="Arial"/>
          <w:b/>
          <w:bCs/>
        </w:rPr>
      </w:pPr>
    </w:p>
    <w:p w14:paraId="5DA22747" w14:textId="4F21A5BD" w:rsidR="008C0538" w:rsidRPr="00E61B79" w:rsidRDefault="008C0538" w:rsidP="008C0538">
      <w:pPr>
        <w:spacing w:line="360" w:lineRule="auto"/>
        <w:jc w:val="both"/>
        <w:rPr>
          <w:rFonts w:ascii="Arial" w:hAnsi="Arial" w:cs="Arial"/>
          <w:b/>
          <w:bCs/>
        </w:rPr>
      </w:pPr>
      <w:r w:rsidRPr="00E61B79">
        <w:rPr>
          <w:rFonts w:ascii="Arial" w:hAnsi="Arial" w:cs="Arial"/>
          <w:b/>
          <w:bCs/>
        </w:rPr>
        <w:t>Abstract</w:t>
      </w:r>
    </w:p>
    <w:p w14:paraId="30C9B5AC" w14:textId="77777777" w:rsidR="008C0538" w:rsidRPr="00E61B79" w:rsidRDefault="008C0538" w:rsidP="008C0538">
      <w:pPr>
        <w:spacing w:line="360" w:lineRule="auto"/>
        <w:jc w:val="both"/>
        <w:rPr>
          <w:rFonts w:ascii="Arial" w:hAnsi="Arial" w:cs="Arial"/>
        </w:rPr>
      </w:pPr>
      <w:r w:rsidRPr="00E61B79">
        <w:rPr>
          <w:rFonts w:ascii="Arial" w:hAnsi="Arial" w:cs="Arial"/>
        </w:rPr>
        <w:t>This paper investigates how organisational conditions, leadership behaviour, and scheduling patterns shape mental health outcomes for employees in hotels and restaurants. The scope is a qualitative synthesis of recent academic and industry sources, interpreted through PESTLE, the Job Demands</w:t>
      </w:r>
      <w:r>
        <w:rPr>
          <w:rFonts w:ascii="Arial" w:hAnsi="Arial" w:cs="Arial"/>
        </w:rPr>
        <w:t>-</w:t>
      </w:r>
      <w:r w:rsidRPr="00E61B79">
        <w:rPr>
          <w:rFonts w:ascii="Arial" w:hAnsi="Arial" w:cs="Arial"/>
        </w:rPr>
        <w:t>Resources (JD</w:t>
      </w:r>
      <w:r>
        <w:rPr>
          <w:rFonts w:ascii="Arial" w:hAnsi="Arial" w:cs="Arial"/>
        </w:rPr>
        <w:t>-</w:t>
      </w:r>
      <w:r w:rsidRPr="00E61B79">
        <w:rPr>
          <w:rFonts w:ascii="Arial" w:hAnsi="Arial" w:cs="Arial"/>
        </w:rPr>
        <w:t>R) model, and a pragmatic SWOT lens covering materials primarily from 2018 to 2025. The contribution lies in connecting JD</w:t>
      </w:r>
      <w:r>
        <w:rPr>
          <w:rFonts w:ascii="Arial" w:hAnsi="Arial" w:cs="Arial"/>
        </w:rPr>
        <w:t>-</w:t>
      </w:r>
      <w:r w:rsidRPr="00E61B79">
        <w:rPr>
          <w:rFonts w:ascii="Arial" w:hAnsi="Arial" w:cs="Arial"/>
        </w:rPr>
        <w:t>R mechanisms with the work</w:t>
      </w:r>
      <w:r>
        <w:rPr>
          <w:rFonts w:ascii="Arial" w:hAnsi="Arial" w:cs="Arial"/>
        </w:rPr>
        <w:t>-</w:t>
      </w:r>
      <w:r w:rsidRPr="00E61B79">
        <w:rPr>
          <w:rFonts w:ascii="Arial" w:hAnsi="Arial" w:cs="Arial"/>
        </w:rPr>
        <w:t xml:space="preserve">family interface and the practical realities of rota design, then testing proposed solutions for feasibility and transferability in properties with very different capacities (Almeida et al., 2011; Bakker and Demerouti, 2007; Choi, 2024; </w:t>
      </w:r>
      <w:proofErr w:type="spellStart"/>
      <w:r w:rsidRPr="00E61B79">
        <w:rPr>
          <w:rFonts w:ascii="Arial" w:hAnsi="Arial" w:cs="Arial"/>
        </w:rPr>
        <w:t>Ozduran</w:t>
      </w:r>
      <w:proofErr w:type="spellEnd"/>
      <w:r w:rsidRPr="00E61B79">
        <w:rPr>
          <w:rFonts w:ascii="Arial" w:hAnsi="Arial" w:cs="Arial"/>
        </w:rPr>
        <w:t xml:space="preserve"> et al., 2023).</w:t>
      </w:r>
    </w:p>
    <w:p w14:paraId="454B4A05" w14:textId="77777777" w:rsidR="008C0538" w:rsidRPr="00E61B79" w:rsidRDefault="008C0538" w:rsidP="008C0538">
      <w:pPr>
        <w:spacing w:line="360" w:lineRule="auto"/>
        <w:jc w:val="both"/>
        <w:rPr>
          <w:rFonts w:ascii="Arial" w:hAnsi="Arial" w:cs="Arial"/>
        </w:rPr>
      </w:pPr>
      <w:r w:rsidRPr="00E61B79">
        <w:rPr>
          <w:rFonts w:ascii="Arial" w:hAnsi="Arial" w:cs="Arial"/>
        </w:rPr>
        <w:t>Findings show that long and irregular hours, emotional labour, and unstable rotas create a persistent demand overload that spills into home life and erodes recovery time. Leadership and digital tools help, but their effects fade where staffing ratios and schedule predictability do not shift (Iverson and Deery, 1997; Lam et al., 2022). The practical implication is clear: progress depends on coordination across leadership practice, policy framing, and daily workflow, with rota stability functioning as a core recovery resource and manager capability acting as an early-warning and support mechanism. Coordination over campaigns.</w:t>
      </w:r>
    </w:p>
    <w:p w14:paraId="7463870B" w14:textId="77777777" w:rsidR="008C0538" w:rsidRPr="00DA6119" w:rsidRDefault="008C0538" w:rsidP="008C0538">
      <w:pPr>
        <w:spacing w:line="360" w:lineRule="auto"/>
        <w:jc w:val="both"/>
        <w:rPr>
          <w:rFonts w:ascii="Arial" w:hAnsi="Arial" w:cs="Arial"/>
          <w:b/>
          <w:bCs/>
        </w:rPr>
      </w:pPr>
    </w:p>
    <w:p w14:paraId="556306DF" w14:textId="5956B279" w:rsidR="008C0538" w:rsidRDefault="008C0538" w:rsidP="008C0538">
      <w:pPr>
        <w:spacing w:line="360" w:lineRule="auto"/>
        <w:jc w:val="both"/>
        <w:rPr>
          <w:rFonts w:ascii="Arial" w:hAnsi="Arial" w:cs="Arial"/>
          <w:b/>
          <w:bCs/>
        </w:rPr>
      </w:pPr>
      <w:r>
        <w:rPr>
          <w:rFonts w:ascii="Arial" w:hAnsi="Arial" w:cs="Arial"/>
          <w:b/>
          <w:bCs/>
        </w:rPr>
        <w:t xml:space="preserve"> </w:t>
      </w:r>
    </w:p>
    <w:p w14:paraId="02F0EE60" w14:textId="77777777" w:rsidR="00CC006A" w:rsidRPr="00DA6119" w:rsidRDefault="00CC006A" w:rsidP="008C0538">
      <w:pPr>
        <w:spacing w:line="360" w:lineRule="auto"/>
        <w:jc w:val="both"/>
        <w:rPr>
          <w:rFonts w:ascii="Arial" w:hAnsi="Arial" w:cs="Arial"/>
          <w:b/>
          <w:bCs/>
        </w:rPr>
      </w:pPr>
    </w:p>
    <w:p w14:paraId="530B813C" w14:textId="77777777" w:rsidR="008C0538" w:rsidRPr="00DA6119" w:rsidRDefault="008C0538" w:rsidP="008C0538">
      <w:pPr>
        <w:spacing w:line="360" w:lineRule="auto"/>
        <w:jc w:val="both"/>
        <w:rPr>
          <w:rFonts w:ascii="Arial" w:hAnsi="Arial" w:cs="Arial"/>
          <w:b/>
          <w:bCs/>
        </w:rPr>
      </w:pPr>
    </w:p>
    <w:p w14:paraId="7B69CE09" w14:textId="77777777" w:rsidR="008C0538" w:rsidRPr="00DA6119" w:rsidRDefault="008C0538" w:rsidP="008C0538">
      <w:pPr>
        <w:spacing w:line="360" w:lineRule="auto"/>
        <w:jc w:val="both"/>
        <w:rPr>
          <w:rFonts w:ascii="Arial" w:hAnsi="Arial" w:cs="Arial"/>
          <w:b/>
          <w:bCs/>
        </w:rPr>
      </w:pPr>
    </w:p>
    <w:p w14:paraId="2512170C"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lastRenderedPageBreak/>
        <w:t>1. Introduction</w:t>
      </w:r>
    </w:p>
    <w:p w14:paraId="420AF0DD" w14:textId="77777777" w:rsidR="008C0538" w:rsidRPr="00E61B79" w:rsidRDefault="008C0538" w:rsidP="008C0538">
      <w:pPr>
        <w:spacing w:line="360" w:lineRule="auto"/>
        <w:jc w:val="both"/>
        <w:rPr>
          <w:rFonts w:ascii="Arial" w:hAnsi="Arial" w:cs="Arial"/>
        </w:rPr>
      </w:pPr>
      <w:r w:rsidRPr="00E61B79">
        <w:rPr>
          <w:rFonts w:ascii="Arial" w:hAnsi="Arial" w:cs="Arial"/>
        </w:rPr>
        <w:t>Mental health remains a daily operational issue in hospitality, not an occasional exception. Hotels and restaurants run on crowded service windows and fluctuating demand, which translate into unpredictable rotas, double shifts, and intense guest-facing emotional labour. The research aim is to identify which organisational and leadership conditions, within JD</w:t>
      </w:r>
      <w:r>
        <w:rPr>
          <w:rFonts w:ascii="Arial" w:hAnsi="Arial" w:cs="Arial"/>
        </w:rPr>
        <w:t>-</w:t>
      </w:r>
      <w:r w:rsidRPr="00E61B79">
        <w:rPr>
          <w:rFonts w:ascii="Arial" w:hAnsi="Arial" w:cs="Arial"/>
        </w:rPr>
        <w:t>R and PESTLE, most strongly shift mental health outcomes for hospitality staff. The study asks a direct question: under what conditions do scheduling design, leadership behaviour, and support systems meaningfully reduce burnout and its spillover into family life?</w:t>
      </w:r>
    </w:p>
    <w:p w14:paraId="38C72F65" w14:textId="77777777" w:rsidR="008C0538" w:rsidRPr="00E61B79" w:rsidRDefault="008C0538" w:rsidP="008C0538">
      <w:pPr>
        <w:spacing w:line="360" w:lineRule="auto"/>
        <w:jc w:val="both"/>
        <w:rPr>
          <w:rFonts w:ascii="Arial" w:hAnsi="Arial" w:cs="Arial"/>
        </w:rPr>
      </w:pPr>
      <w:r w:rsidRPr="00E61B79">
        <w:rPr>
          <w:rFonts w:ascii="Arial" w:hAnsi="Arial" w:cs="Arial"/>
        </w:rPr>
        <w:t>JD</w:t>
      </w:r>
      <w:r>
        <w:rPr>
          <w:rFonts w:ascii="Arial" w:hAnsi="Arial" w:cs="Arial"/>
        </w:rPr>
        <w:t>-</w:t>
      </w:r>
      <w:r w:rsidRPr="00E61B79">
        <w:rPr>
          <w:rFonts w:ascii="Arial" w:hAnsi="Arial" w:cs="Arial"/>
        </w:rPr>
        <w:t>R is adopted to explain how demand</w:t>
      </w:r>
      <w:r>
        <w:rPr>
          <w:rFonts w:ascii="Arial" w:hAnsi="Arial" w:cs="Arial"/>
        </w:rPr>
        <w:t>-</w:t>
      </w:r>
      <w:r w:rsidRPr="00E61B79">
        <w:rPr>
          <w:rFonts w:ascii="Arial" w:hAnsi="Arial" w:cs="Arial"/>
        </w:rPr>
        <w:t>resource imbalances arise from workload intensity, emotional labour, and limited recovery time, while the work</w:t>
      </w:r>
      <w:r>
        <w:rPr>
          <w:rFonts w:ascii="Arial" w:hAnsi="Arial" w:cs="Arial"/>
        </w:rPr>
        <w:t>-</w:t>
      </w:r>
      <w:r w:rsidRPr="00E61B79">
        <w:rPr>
          <w:rFonts w:ascii="Arial" w:hAnsi="Arial" w:cs="Arial"/>
        </w:rPr>
        <w:t>family lens clarifies how unpredictable schedules transmit stress into domestic life and back again (Almeida et al., 2011; Bakker and Demerouti, 2007; Choi, 2024). Evidence points to a structural pattern rather than isolated incidents: fatigue accumulates when rota predictability is low and recovery windows are short, and the consequences appear at work and at home (Grimmond et al., 2024).</w:t>
      </w:r>
    </w:p>
    <w:p w14:paraId="4C71F8C0" w14:textId="77777777" w:rsidR="008C0538" w:rsidRPr="00E61B79" w:rsidRDefault="008C0538" w:rsidP="008C0538">
      <w:pPr>
        <w:spacing w:line="360" w:lineRule="auto"/>
        <w:jc w:val="both"/>
        <w:rPr>
          <w:rFonts w:ascii="Arial" w:hAnsi="Arial" w:cs="Arial"/>
        </w:rPr>
      </w:pPr>
      <w:r w:rsidRPr="00E61B79">
        <w:rPr>
          <w:rFonts w:ascii="Arial" w:hAnsi="Arial" w:cs="Arial"/>
        </w:rPr>
        <w:t>The paper proceeds as follows</w:t>
      </w:r>
      <w:r>
        <w:rPr>
          <w:rFonts w:ascii="Arial" w:hAnsi="Arial" w:cs="Arial"/>
        </w:rPr>
        <w:t>:</w:t>
      </w:r>
      <w:r w:rsidRPr="00E61B79">
        <w:rPr>
          <w:rFonts w:ascii="Arial" w:hAnsi="Arial" w:cs="Arial"/>
        </w:rPr>
        <w:t xml:space="preserve"> </w:t>
      </w:r>
      <w:r>
        <w:rPr>
          <w:rFonts w:ascii="Arial" w:hAnsi="Arial" w:cs="Arial"/>
        </w:rPr>
        <w:t>f</w:t>
      </w:r>
      <w:r w:rsidRPr="00E61B79">
        <w:rPr>
          <w:rFonts w:ascii="Arial" w:hAnsi="Arial" w:cs="Arial"/>
        </w:rPr>
        <w:t>irst, it synthesises the literature on recurrent pressures, leadership effects, coping patterns, work</w:t>
      </w:r>
      <w:r>
        <w:rPr>
          <w:rFonts w:ascii="Arial" w:hAnsi="Arial" w:cs="Arial"/>
        </w:rPr>
        <w:t>-</w:t>
      </w:r>
      <w:r w:rsidRPr="00E61B79">
        <w:rPr>
          <w:rFonts w:ascii="Arial" w:hAnsi="Arial" w:cs="Arial"/>
        </w:rPr>
        <w:t>family conflict, pandemic intensification, and digital versus structural interventions. Second, it outlines a transparent qualitative synthesis method. Third, it interprets the findings through a JD</w:t>
      </w:r>
      <w:r>
        <w:rPr>
          <w:rFonts w:ascii="Arial" w:hAnsi="Arial" w:cs="Arial"/>
        </w:rPr>
        <w:t>-</w:t>
      </w:r>
      <w:r w:rsidRPr="00E61B79">
        <w:rPr>
          <w:rFonts w:ascii="Arial" w:hAnsi="Arial" w:cs="Arial"/>
        </w:rPr>
        <w:t>R and PESTLE frame and tests transferability. Fourth, it assesses feasibility in concrete programmes. It ends with focused recommendations, prioritisation, and indicative metrics, followed by a brief note on reference alignment.</w:t>
      </w:r>
    </w:p>
    <w:p w14:paraId="4B60CD65" w14:textId="77777777" w:rsidR="008C0538" w:rsidRDefault="008C0538" w:rsidP="008C0538">
      <w:pPr>
        <w:spacing w:line="360" w:lineRule="auto"/>
        <w:jc w:val="both"/>
        <w:rPr>
          <w:rFonts w:ascii="Arial" w:hAnsi="Arial" w:cs="Arial"/>
          <w:b/>
          <w:bCs/>
        </w:rPr>
      </w:pPr>
    </w:p>
    <w:p w14:paraId="5BB467E4"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2. Literature Review</w:t>
      </w:r>
    </w:p>
    <w:p w14:paraId="33028B9E"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Recurrent pressures and outcomes</w:t>
      </w:r>
    </w:p>
    <w:p w14:paraId="03B2F48F"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Across studies, long hours, unstable rotas, and emotional labour recur as primary stressors. Employees are expected to remain composed, to manage complaints swiftly, and to maintain service warmth after heavy or fragmented shifts. A cross-theme review identifies the combined effect of extended hours, contract insecurity, and weak managerial support as a persistent driver of psychological distress (Bansal et al., </w:t>
      </w:r>
      <w:r w:rsidRPr="00E61B79">
        <w:rPr>
          <w:rFonts w:ascii="Arial" w:hAnsi="Arial" w:cs="Arial"/>
        </w:rPr>
        <w:lastRenderedPageBreak/>
        <w:t>2025), with convergent findings from Asia and Europe pointing to fatigue and low morale (Park and Min, 2020). The pattern is cumulative rather than episodic, which fits JD</w:t>
      </w:r>
      <w:r>
        <w:rPr>
          <w:rFonts w:ascii="Arial" w:hAnsi="Arial" w:cs="Arial"/>
        </w:rPr>
        <w:t>-</w:t>
      </w:r>
      <w:r w:rsidRPr="00E61B79">
        <w:rPr>
          <w:rFonts w:ascii="Arial" w:hAnsi="Arial" w:cs="Arial"/>
        </w:rPr>
        <w:t>R demand overload. Across settings, exhaustion rises when rota predictability falls, even where base pay improves. A gap remains in longitudinal designs that follow the same employees across seasons and in studies focused on small independents.</w:t>
      </w:r>
    </w:p>
    <w:p w14:paraId="035CC25B"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Leadership models and limits</w:t>
      </w:r>
    </w:p>
    <w:p w14:paraId="1898DD93" w14:textId="77777777" w:rsidR="008C0538" w:rsidRPr="00E61B79" w:rsidRDefault="008C0538" w:rsidP="008C0538">
      <w:pPr>
        <w:spacing w:line="360" w:lineRule="auto"/>
        <w:jc w:val="both"/>
        <w:rPr>
          <w:rFonts w:ascii="Arial" w:hAnsi="Arial" w:cs="Arial"/>
        </w:rPr>
      </w:pPr>
      <w:r w:rsidRPr="00E61B79">
        <w:rPr>
          <w:rFonts w:ascii="Arial" w:hAnsi="Arial" w:cs="Arial"/>
        </w:rPr>
        <w:t>Ethical and health-oriented leadership repeatedly associates with lower emotional exhaustion and stronger purpose (Ali et al., 2022; Davis, 2024). These approaches improve psychological safety, prompt earlier help-seeking, and normalise conversations about strain. Yet the literature also shows the limits of leadership where staffing levels and workload design do not change meaningfully; training benefits diminish when structural ratios remain fixed (Iverson and Deery, 1997). Transferability depends on property size and HR infrastructure: larger chains can set in programmes and measurement, while smaller hotels often operate without dedicated resources. Research under-represents effective low-cost adaptations in resource-constrained properties.</w:t>
      </w:r>
    </w:p>
    <w:p w14:paraId="3B7912F0"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Coping patterns and guest aggression</w:t>
      </w:r>
    </w:p>
    <w:p w14:paraId="2ED8666B"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Coping strategies separate into avoidance and detachment responses on one side, and problem-focused and collegial approaches on the other. Avoidance under guest aggression exacerbates strain, while problem-focused tactics and peer support correlate with resilience (Bi et al., 2021; Gruber and </w:t>
      </w:r>
      <w:proofErr w:type="spellStart"/>
      <w:r w:rsidRPr="00E61B79">
        <w:rPr>
          <w:rFonts w:ascii="Arial" w:hAnsi="Arial" w:cs="Arial"/>
        </w:rPr>
        <w:t>Biocina</w:t>
      </w:r>
      <w:proofErr w:type="spellEnd"/>
      <w:r w:rsidRPr="00E61B79">
        <w:rPr>
          <w:rFonts w:ascii="Arial" w:hAnsi="Arial" w:cs="Arial"/>
        </w:rPr>
        <w:t>, 2024). Mechanistically, peer support buffers strain by restoring a sense of control and normalising acute stress after rota instability. Digital literacy differences shape programme uptake, yet the literature seldom evaluates coping interventions by literacy tiers. This is a practical gap.</w:t>
      </w:r>
    </w:p>
    <w:p w14:paraId="3EDDD98F"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Work</w:t>
      </w:r>
      <w:r>
        <w:rPr>
          <w:rFonts w:ascii="Arial" w:hAnsi="Arial" w:cs="Arial"/>
          <w:b/>
          <w:bCs/>
        </w:rPr>
        <w:t>-</w:t>
      </w:r>
      <w:r w:rsidRPr="00E61B79">
        <w:rPr>
          <w:rFonts w:ascii="Arial" w:hAnsi="Arial" w:cs="Arial"/>
          <w:b/>
          <w:bCs/>
        </w:rPr>
        <w:t>family conflict</w:t>
      </w:r>
    </w:p>
    <w:p w14:paraId="5FF00FC0" w14:textId="77777777" w:rsidR="008C0538" w:rsidRPr="00E61B79" w:rsidRDefault="008C0538" w:rsidP="008C0538">
      <w:pPr>
        <w:spacing w:line="360" w:lineRule="auto"/>
        <w:jc w:val="both"/>
        <w:rPr>
          <w:rFonts w:ascii="Arial" w:hAnsi="Arial" w:cs="Arial"/>
        </w:rPr>
      </w:pPr>
      <w:r w:rsidRPr="00E61B79">
        <w:rPr>
          <w:rFonts w:ascii="Arial" w:hAnsi="Arial" w:cs="Arial"/>
        </w:rPr>
        <w:t>Unpredictable schedules reach into childcare, elder care, and social commitments. The result is stress transmission between workplace and home environments, with parents, carers, and night staff particularly exposed (Almeida et al., 2011; Choi, 2024). In JD</w:t>
      </w:r>
      <w:r>
        <w:rPr>
          <w:rFonts w:ascii="Arial" w:hAnsi="Arial" w:cs="Arial"/>
        </w:rPr>
        <w:t>-</w:t>
      </w:r>
      <w:r w:rsidRPr="00E61B79">
        <w:rPr>
          <w:rFonts w:ascii="Arial" w:hAnsi="Arial" w:cs="Arial"/>
        </w:rPr>
        <w:t xml:space="preserve">R terms, family responsibilities add demands, while recovery time narrows. Evidence from Northern Cyprus hotels links rota instability, reduced well-being, and </w:t>
      </w:r>
      <w:r w:rsidRPr="00E61B79">
        <w:rPr>
          <w:rFonts w:ascii="Arial" w:hAnsi="Arial" w:cs="Arial"/>
        </w:rPr>
        <w:lastRenderedPageBreak/>
        <w:t>presenteeism (</w:t>
      </w:r>
      <w:proofErr w:type="spellStart"/>
      <w:r w:rsidRPr="00E61B79">
        <w:rPr>
          <w:rFonts w:ascii="Arial" w:hAnsi="Arial" w:cs="Arial"/>
        </w:rPr>
        <w:t>Ozduran</w:t>
      </w:r>
      <w:proofErr w:type="spellEnd"/>
      <w:r w:rsidRPr="00E61B79">
        <w:rPr>
          <w:rFonts w:ascii="Arial" w:hAnsi="Arial" w:cs="Arial"/>
        </w:rPr>
        <w:t xml:space="preserve"> et al., 2023). Intervention trials that explicitly centre carers are limited; most initiatives do not differentiate support by caring responsibilities.</w:t>
      </w:r>
    </w:p>
    <w:p w14:paraId="1799198F"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Pandemic intensification</w:t>
      </w:r>
    </w:p>
    <w:p w14:paraId="6776507F" w14:textId="77777777" w:rsidR="008C0538" w:rsidRPr="00E61B79" w:rsidRDefault="008C0538" w:rsidP="008C0538">
      <w:pPr>
        <w:spacing w:line="360" w:lineRule="auto"/>
        <w:jc w:val="both"/>
        <w:rPr>
          <w:rFonts w:ascii="Arial" w:hAnsi="Arial" w:cs="Arial"/>
        </w:rPr>
      </w:pPr>
      <w:r w:rsidRPr="00E61B79">
        <w:rPr>
          <w:rFonts w:ascii="Arial" w:hAnsi="Arial" w:cs="Arial"/>
        </w:rPr>
        <w:t>COVID-19 concentrated stressors. Staff enforced safety rules, fielded anxious guests, and covered shifts in reduced teams. Research reports heightened anxiety and turnover, especially in guest-facing roles (Teng et al., 2020; Yan et al., 2021). Newer work examines moderating factors such as job location selection (</w:t>
      </w:r>
      <w:proofErr w:type="spellStart"/>
      <w:r w:rsidRPr="00E61B79">
        <w:rPr>
          <w:rFonts w:ascii="Arial" w:hAnsi="Arial" w:cs="Arial"/>
        </w:rPr>
        <w:t>Krikonis</w:t>
      </w:r>
      <w:proofErr w:type="spellEnd"/>
      <w:r w:rsidRPr="00E61B79">
        <w:rPr>
          <w:rFonts w:ascii="Arial" w:hAnsi="Arial" w:cs="Arial"/>
        </w:rPr>
        <w:t xml:space="preserve"> et al., 2025). The continuity point is important: fatigue normalised during the pandemic has not fully receded, and transactional stress patterns stay in adjusted operations. </w:t>
      </w:r>
      <w:r w:rsidRPr="00F15AF8">
        <w:rPr>
          <w:rFonts w:ascii="Arial" w:hAnsi="Arial" w:cs="Arial"/>
        </w:rPr>
        <w:t>Most studies measure outcomes only for a few weeks or months, so long-term sustainability through busy seasons remains unclear.</w:t>
      </w:r>
    </w:p>
    <w:p w14:paraId="40FB1844"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Digital interventions versus structural redesign</w:t>
      </w:r>
    </w:p>
    <w:p w14:paraId="7BDEB367" w14:textId="77777777" w:rsidR="008C0538" w:rsidRPr="00E61B79" w:rsidRDefault="008C0538" w:rsidP="008C0538">
      <w:pPr>
        <w:spacing w:line="360" w:lineRule="auto"/>
        <w:jc w:val="both"/>
        <w:rPr>
          <w:rFonts w:ascii="Arial" w:hAnsi="Arial" w:cs="Arial"/>
        </w:rPr>
      </w:pPr>
      <w:r w:rsidRPr="00E61B79">
        <w:rPr>
          <w:rFonts w:ascii="Arial" w:hAnsi="Arial" w:cs="Arial"/>
        </w:rPr>
        <w:t>Blended psychoeducational programmes and digital CBT demonstrate early gains, then show waning engagement over time (Lam et al., 2022; Patel et al., 2022). Mechanistically, if workload design and rota stability do not shift, JD</w:t>
      </w:r>
      <w:r>
        <w:rPr>
          <w:rFonts w:ascii="Arial" w:hAnsi="Arial" w:cs="Arial"/>
        </w:rPr>
        <w:t>-</w:t>
      </w:r>
      <w:r w:rsidRPr="00E61B79">
        <w:rPr>
          <w:rFonts w:ascii="Arial" w:hAnsi="Arial" w:cs="Arial"/>
        </w:rPr>
        <w:t>R imbalances persist and tools cannot hold the line. Uptake depends on visible endorsement and trust in data handling; both vary by property and culture. Evaluations beyond the early months are light, and studies rarely disaggregate outcomes by digital literacy or by access during peak seasons.</w:t>
      </w:r>
    </w:p>
    <w:p w14:paraId="29957A4B" w14:textId="77777777" w:rsidR="008C0538" w:rsidRPr="00E61B79" w:rsidRDefault="008C0538" w:rsidP="008C0538">
      <w:pPr>
        <w:spacing w:line="360" w:lineRule="auto"/>
        <w:jc w:val="both"/>
        <w:rPr>
          <w:rFonts w:ascii="Arial" w:hAnsi="Arial" w:cs="Arial"/>
        </w:rPr>
      </w:pPr>
      <w:r w:rsidRPr="00E61B79">
        <w:rPr>
          <w:rFonts w:ascii="Arial" w:hAnsi="Arial" w:cs="Arial"/>
        </w:rPr>
        <w:t>Altogether, the literature sketches a consistent JD</w:t>
      </w:r>
      <w:r>
        <w:rPr>
          <w:rFonts w:ascii="Arial" w:hAnsi="Arial" w:cs="Arial"/>
        </w:rPr>
        <w:t>-</w:t>
      </w:r>
      <w:r w:rsidRPr="00E61B79">
        <w:rPr>
          <w:rFonts w:ascii="Arial" w:hAnsi="Arial" w:cs="Arial"/>
        </w:rPr>
        <w:t>R profile: demand accumulation through hours, instability, and emotional intensity; partial resource gains through leadership and digital tools; and a durable transfer of strain into home life. The under-studied space is feasibility inside small properties and longitudinal tracking of interventions through peak periods.</w:t>
      </w:r>
    </w:p>
    <w:p w14:paraId="66815D18" w14:textId="77777777" w:rsidR="008C0538" w:rsidRDefault="008C0538" w:rsidP="008C0538">
      <w:pPr>
        <w:spacing w:line="360" w:lineRule="auto"/>
        <w:jc w:val="both"/>
        <w:rPr>
          <w:rFonts w:ascii="Arial" w:hAnsi="Arial" w:cs="Arial"/>
          <w:b/>
          <w:bCs/>
        </w:rPr>
      </w:pPr>
    </w:p>
    <w:p w14:paraId="0BDD575C"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3. Method</w:t>
      </w:r>
    </w:p>
    <w:p w14:paraId="456D1EA4"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Design. A qualitative secondary synthesis was undertaken to interpret how mental health is managed in hospitality, drawing on peer-reviewed articles, professional reports, and industry case studies. Materials were concentrated between 2018 and </w:t>
      </w:r>
      <w:r w:rsidRPr="00E61B79">
        <w:rPr>
          <w:rFonts w:ascii="Arial" w:hAnsi="Arial" w:cs="Arial"/>
        </w:rPr>
        <w:lastRenderedPageBreak/>
        <w:t>2025, with inclusion of historically foundational work where conceptually relevant (for example, Iverson and Deery, 1997).</w:t>
      </w:r>
    </w:p>
    <w:p w14:paraId="063D5897" w14:textId="77777777" w:rsidR="008C0538" w:rsidRPr="00E61B79" w:rsidRDefault="008C0538" w:rsidP="008C0538">
      <w:pPr>
        <w:spacing w:line="360" w:lineRule="auto"/>
        <w:jc w:val="both"/>
        <w:rPr>
          <w:rFonts w:ascii="Arial" w:hAnsi="Arial" w:cs="Arial"/>
        </w:rPr>
      </w:pPr>
      <w:r w:rsidRPr="00E61B79">
        <w:rPr>
          <w:rFonts w:ascii="Arial" w:hAnsi="Arial" w:cs="Arial"/>
        </w:rPr>
        <w:t>Inclusion criteria. Sources focused on hospitality or on occupational health and safety with explicit application to hospitality; publication within the target window where possible; English language; accessible full text. Evidence had to report mechanisms, outcomes, or interventions linked to scheduling, leadership, emotional labour, work</w:t>
      </w:r>
      <w:r>
        <w:rPr>
          <w:rFonts w:ascii="Arial" w:hAnsi="Arial" w:cs="Arial"/>
        </w:rPr>
        <w:t>-</w:t>
      </w:r>
      <w:r w:rsidRPr="00E61B79">
        <w:rPr>
          <w:rFonts w:ascii="Arial" w:hAnsi="Arial" w:cs="Arial"/>
        </w:rPr>
        <w:t>family conflict, or digital well-being.</w:t>
      </w:r>
    </w:p>
    <w:p w14:paraId="7A7C589E" w14:textId="77777777" w:rsidR="008C0538" w:rsidRPr="00E61B79" w:rsidRDefault="008C0538" w:rsidP="008C0538">
      <w:pPr>
        <w:spacing w:line="360" w:lineRule="auto"/>
        <w:jc w:val="both"/>
        <w:rPr>
          <w:rFonts w:ascii="Arial" w:hAnsi="Arial" w:cs="Arial"/>
        </w:rPr>
      </w:pPr>
      <w:r w:rsidRPr="00E61B79">
        <w:rPr>
          <w:rFonts w:ascii="Arial" w:hAnsi="Arial" w:cs="Arial"/>
        </w:rPr>
        <w:t>Exclusion criteria. Opinion pieces lacking sources; duplicate industry summaries; non-hospitality domains unless providing a framework directly used in hospitality evidence.</w:t>
      </w:r>
    </w:p>
    <w:p w14:paraId="0F609558" w14:textId="77777777" w:rsidR="008C0538" w:rsidRPr="00E61B79" w:rsidRDefault="008C0538" w:rsidP="008C0538">
      <w:pPr>
        <w:spacing w:line="360" w:lineRule="auto"/>
        <w:jc w:val="both"/>
        <w:rPr>
          <w:rFonts w:ascii="Arial" w:hAnsi="Arial" w:cs="Arial"/>
        </w:rPr>
      </w:pPr>
      <w:r w:rsidRPr="00E61B79">
        <w:rPr>
          <w:rFonts w:ascii="Arial" w:hAnsi="Arial" w:cs="Arial"/>
        </w:rPr>
        <w:t>Search strategy. Targeted searches were run across typical peer-reviewed and professional portals, complemented by organisational and policy sites. Keyword families included “hospitality AND mental health,” “burnout,” “JD</w:t>
      </w:r>
      <w:r>
        <w:rPr>
          <w:rFonts w:ascii="Arial" w:hAnsi="Arial" w:cs="Arial"/>
        </w:rPr>
        <w:t>-</w:t>
      </w:r>
      <w:r w:rsidRPr="00E61B79">
        <w:rPr>
          <w:rFonts w:ascii="Arial" w:hAnsi="Arial" w:cs="Arial"/>
        </w:rPr>
        <w:t>R,” “work family,” “rota,” “scheduling,” “leadership,” “presenteeism,” “emotional labour,” and “digital CBT.” Grey literature from credible organisations was considered where methods and datasets were stated.</w:t>
      </w:r>
    </w:p>
    <w:p w14:paraId="074E12D6" w14:textId="77777777" w:rsidR="008C0538" w:rsidRPr="00E61B79" w:rsidRDefault="008C0538" w:rsidP="008C0538">
      <w:pPr>
        <w:spacing w:line="360" w:lineRule="auto"/>
        <w:jc w:val="both"/>
        <w:rPr>
          <w:rFonts w:ascii="Arial" w:hAnsi="Arial" w:cs="Arial"/>
        </w:rPr>
      </w:pPr>
      <w:r w:rsidRPr="00E61B79">
        <w:rPr>
          <w:rFonts w:ascii="Arial" w:hAnsi="Arial" w:cs="Arial"/>
        </w:rPr>
        <w:t>Appraisal. Each item was screened for publisher credibility, peer review status where applicable, clarity of methods, and date sensitivity. Claims with significant operational implications were triangulated across academic and industry sources when possible.</w:t>
      </w:r>
    </w:p>
    <w:p w14:paraId="59354241" w14:textId="77777777" w:rsidR="008C0538" w:rsidRPr="00E61B79" w:rsidRDefault="008C0538" w:rsidP="008C0538">
      <w:pPr>
        <w:spacing w:line="360" w:lineRule="auto"/>
        <w:jc w:val="both"/>
        <w:rPr>
          <w:rFonts w:ascii="Arial" w:hAnsi="Arial" w:cs="Arial"/>
        </w:rPr>
      </w:pPr>
      <w:r w:rsidRPr="00E61B79">
        <w:rPr>
          <w:rFonts w:ascii="Arial" w:hAnsi="Arial" w:cs="Arial"/>
        </w:rPr>
        <w:t>Data handling. Extracted content was thematically coded under demands, resources, leadership, scheduling, stigma, intervention type, and implementation conditions. Ambiguous claims were double-checked against at least one additional source in the dataset.</w:t>
      </w:r>
    </w:p>
    <w:p w14:paraId="6B3B9F63" w14:textId="77777777" w:rsidR="008C0538" w:rsidRPr="00E61B79" w:rsidRDefault="008C0538" w:rsidP="008C0538">
      <w:pPr>
        <w:spacing w:line="360" w:lineRule="auto"/>
        <w:jc w:val="both"/>
        <w:rPr>
          <w:rFonts w:ascii="Arial" w:hAnsi="Arial" w:cs="Arial"/>
        </w:rPr>
      </w:pPr>
      <w:r w:rsidRPr="00E61B79">
        <w:rPr>
          <w:rFonts w:ascii="Arial" w:hAnsi="Arial" w:cs="Arial"/>
        </w:rPr>
        <w:t>Limitations. The approach is limited by English-language bias, a geography skew towards Europe and North America in available studies, and the paucity of longitudinal evidence through full seasonal cycles. The aim remains interpretive rather than exhaustive.</w:t>
      </w:r>
    </w:p>
    <w:p w14:paraId="695E88C1"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The final </w:t>
      </w:r>
      <w:r>
        <w:rPr>
          <w:rFonts w:ascii="Arial" w:hAnsi="Arial" w:cs="Arial"/>
        </w:rPr>
        <w:t>paper</w:t>
      </w:r>
      <w:r w:rsidRPr="00E61B79">
        <w:rPr>
          <w:rFonts w:ascii="Arial" w:hAnsi="Arial" w:cs="Arial"/>
        </w:rPr>
        <w:t xml:space="preserve"> includes all works cited in the next sections (for example, Bakker and Demerouti, 2007; Almeida et al., 2011; Lam et al., 2022; SHRM, 2025; Hospitality Net, 2025).</w:t>
      </w:r>
    </w:p>
    <w:p w14:paraId="6AB1549D" w14:textId="77777777" w:rsidR="008C0538" w:rsidRDefault="008C0538" w:rsidP="008C0538">
      <w:pPr>
        <w:spacing w:line="360" w:lineRule="auto"/>
        <w:jc w:val="both"/>
        <w:rPr>
          <w:rFonts w:ascii="Arial" w:hAnsi="Arial" w:cs="Arial"/>
          <w:b/>
          <w:bCs/>
        </w:rPr>
      </w:pPr>
    </w:p>
    <w:p w14:paraId="3007F895"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lastRenderedPageBreak/>
        <w:t>4. Theme Impact Analysis</w:t>
      </w:r>
    </w:p>
    <w:p w14:paraId="3CD83509" w14:textId="77777777" w:rsidR="008C0538" w:rsidRPr="00E61B79" w:rsidRDefault="008C0538" w:rsidP="008C0538">
      <w:pPr>
        <w:spacing w:line="360" w:lineRule="auto"/>
        <w:jc w:val="both"/>
        <w:rPr>
          <w:rFonts w:ascii="Arial" w:hAnsi="Arial" w:cs="Arial"/>
        </w:rPr>
      </w:pPr>
      <w:r w:rsidRPr="00E61B79">
        <w:rPr>
          <w:rFonts w:ascii="Arial" w:hAnsi="Arial" w:cs="Arial"/>
        </w:rPr>
        <w:t>JD</w:t>
      </w:r>
      <w:r>
        <w:rPr>
          <w:rFonts w:ascii="Arial" w:hAnsi="Arial" w:cs="Arial"/>
        </w:rPr>
        <w:t>-</w:t>
      </w:r>
      <w:r w:rsidRPr="00E61B79">
        <w:rPr>
          <w:rFonts w:ascii="Arial" w:hAnsi="Arial" w:cs="Arial"/>
        </w:rPr>
        <w:t xml:space="preserve">R interpretation. Three demands dominate across settings: rota instability with short recovery windows, cumulative fatigue from double shifts and </w:t>
      </w:r>
      <w:proofErr w:type="spellStart"/>
      <w:r w:rsidRPr="00E61B79">
        <w:rPr>
          <w:rFonts w:ascii="Arial" w:hAnsi="Arial" w:cs="Arial"/>
        </w:rPr>
        <w:t>clopenings</w:t>
      </w:r>
      <w:proofErr w:type="spellEnd"/>
      <w:r w:rsidRPr="00E61B79">
        <w:rPr>
          <w:rFonts w:ascii="Arial" w:hAnsi="Arial" w:cs="Arial"/>
        </w:rPr>
        <w:t>, and guest aggression that intensifies emotional labour (Almeida et al., 2011). The resources that move the dial are predictable rest, basic autonomy over shift swaps, and trained leadership that acts early. These resources work best where there is minimal HR scaffolding and a simple measurement habit.</w:t>
      </w:r>
    </w:p>
    <w:p w14:paraId="4D7769FE"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Political and legal factors</w:t>
      </w:r>
    </w:p>
    <w:p w14:paraId="792A194D" w14:textId="77777777" w:rsidR="008C0538" w:rsidRPr="00E61B79" w:rsidRDefault="008C0538" w:rsidP="008C0538">
      <w:pPr>
        <w:spacing w:line="360" w:lineRule="auto"/>
        <w:jc w:val="both"/>
        <w:rPr>
          <w:rFonts w:ascii="Arial" w:hAnsi="Arial" w:cs="Arial"/>
        </w:rPr>
      </w:pPr>
      <w:r w:rsidRPr="00E61B79">
        <w:rPr>
          <w:rFonts w:ascii="Arial" w:hAnsi="Arial" w:cs="Arial"/>
        </w:rPr>
        <w:t>Mechanism. Where psychological safety is framed through standards or guidance, organisations adopt structured tools and language that legitimise early action. The Canadian National Standard and instruments like Guarding Minds at Work illustrate how policy scaffolding makes practices easier to adopt (Mental Health Commission of Canada, 2022). Without family-friendly scheduling norms, flexibility remains discretionary and therefore uneven.</w:t>
      </w:r>
    </w:p>
    <w:p w14:paraId="5F198B9E"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Larger chains absorb frameworks more efficiently through HR infrastructure; smaller properties benefit from curated checklists and peer-learning groups. Momentum stalls where managers fear legal exposure or lack clarity on practical thresholds for action. Quiet clarity helps.</w:t>
      </w:r>
    </w:p>
    <w:p w14:paraId="720E14EC"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Economic pressures</w:t>
      </w:r>
    </w:p>
    <w:p w14:paraId="21458A7D" w14:textId="77777777" w:rsidR="008C0538" w:rsidRPr="00E61B79" w:rsidRDefault="008C0538" w:rsidP="008C0538">
      <w:pPr>
        <w:spacing w:line="360" w:lineRule="auto"/>
        <w:jc w:val="both"/>
        <w:rPr>
          <w:rFonts w:ascii="Arial" w:hAnsi="Arial" w:cs="Arial"/>
        </w:rPr>
      </w:pPr>
      <w:r w:rsidRPr="00E61B79">
        <w:rPr>
          <w:rFonts w:ascii="Arial" w:hAnsi="Arial" w:cs="Arial"/>
        </w:rPr>
        <w:t>Mechanism. Thin margins drive understaffing and reliance on presenteeism, which turn exhaustion into a structural cost of doing business (</w:t>
      </w:r>
      <w:proofErr w:type="spellStart"/>
      <w:r w:rsidRPr="00E61B79">
        <w:rPr>
          <w:rFonts w:ascii="Arial" w:hAnsi="Arial" w:cs="Arial"/>
        </w:rPr>
        <w:t>Ozduran</w:t>
      </w:r>
      <w:proofErr w:type="spellEnd"/>
      <w:r w:rsidRPr="00E61B79">
        <w:rPr>
          <w:rFonts w:ascii="Arial" w:hAnsi="Arial" w:cs="Arial"/>
        </w:rPr>
        <w:t xml:space="preserve"> et al., 2023). In JD</w:t>
      </w:r>
      <w:r>
        <w:rPr>
          <w:rFonts w:ascii="Arial" w:hAnsi="Arial" w:cs="Arial"/>
        </w:rPr>
        <w:t>-</w:t>
      </w:r>
      <w:r w:rsidRPr="00E61B79">
        <w:rPr>
          <w:rFonts w:ascii="Arial" w:hAnsi="Arial" w:cs="Arial"/>
        </w:rPr>
        <w:t>R terms, survival economics repeatedly lifts demands while throttling access to recovery time.</w:t>
      </w:r>
    </w:p>
    <w:p w14:paraId="03DE8E7E"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The fix is rota stability with minimum recovery windows. It scales in any property if measured and protected at rota-build. It stalls when occupancy shocks prompt ad hoc changes that erase rest. Survival economics has human costs.</w:t>
      </w:r>
    </w:p>
    <w:p w14:paraId="0C0D2A47"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Social dimensions</w:t>
      </w:r>
    </w:p>
    <w:p w14:paraId="701BA99A"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Mechanism. Stigma depresses disclosure and delays early help-seeking. Even with growing openness, many employees worry about career penalties, which constrains </w:t>
      </w:r>
      <w:r w:rsidRPr="00E61B79">
        <w:rPr>
          <w:rFonts w:ascii="Arial" w:hAnsi="Arial" w:cs="Arial"/>
        </w:rPr>
        <w:lastRenderedPageBreak/>
        <w:t>the practical use of support (Hospitality Net, 2025). Psychological safety is a leadership behaviour before it is a poster.</w:t>
      </w:r>
    </w:p>
    <w:p w14:paraId="7046618B"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Conversations can be normalised through routine team briefings and manager check-ins where time is created deliberately. Progress slows when role modelling is absent and when requests for accommodation are seen as favour-seeking rather than risk management.</w:t>
      </w:r>
    </w:p>
    <w:p w14:paraId="57190137"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Technological interventions</w:t>
      </w:r>
    </w:p>
    <w:p w14:paraId="75506E39" w14:textId="77777777" w:rsidR="008C0538" w:rsidRPr="00E61B79" w:rsidRDefault="008C0538" w:rsidP="008C0538">
      <w:pPr>
        <w:spacing w:line="360" w:lineRule="auto"/>
        <w:jc w:val="both"/>
        <w:rPr>
          <w:rFonts w:ascii="Arial" w:hAnsi="Arial" w:cs="Arial"/>
        </w:rPr>
      </w:pPr>
      <w:r w:rsidRPr="00E61B79">
        <w:rPr>
          <w:rFonts w:ascii="Arial" w:hAnsi="Arial" w:cs="Arial"/>
        </w:rPr>
        <w:t>Mechanism. Digital platforms and EAPs add counselling access and self-guided content. They increase perceived resources when leaders endorse them visibly and when privacy is trusted (Lam et al., 2022). Without those conditions, uptake erodes, and effects mirror initial curiosity rather than lasting change.</w:t>
      </w:r>
    </w:p>
    <w:p w14:paraId="29A17958"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Lite deployments work in small settings where a single champion models use and protects time. Programmes stall when usage data feel intrusive or when logins compete with peak service periods.</w:t>
      </w:r>
    </w:p>
    <w:p w14:paraId="32B8E987"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Environmental pressures and emotional labour</w:t>
      </w:r>
    </w:p>
    <w:p w14:paraId="7AE3C199" w14:textId="77777777" w:rsidR="008C0538" w:rsidRPr="00E61B79" w:rsidRDefault="008C0538" w:rsidP="008C0538">
      <w:pPr>
        <w:spacing w:line="360" w:lineRule="auto"/>
        <w:jc w:val="both"/>
        <w:rPr>
          <w:rFonts w:ascii="Arial" w:hAnsi="Arial" w:cs="Arial"/>
        </w:rPr>
      </w:pPr>
      <w:r w:rsidRPr="00E61B79">
        <w:rPr>
          <w:rFonts w:ascii="Arial" w:hAnsi="Arial" w:cs="Arial"/>
        </w:rPr>
        <w:t>Mechanism. Front-office and service roles face compression during peak seasons; emotional display rules tighten while personal fatigue is high. Short, reliable micro-breaks and practical de-escalation skill keep effort within tolerable bounds (Bi et al., 2021). The JD</w:t>
      </w:r>
      <w:r>
        <w:rPr>
          <w:rFonts w:ascii="Arial" w:hAnsi="Arial" w:cs="Arial"/>
        </w:rPr>
        <w:t>-</w:t>
      </w:r>
      <w:r w:rsidRPr="00E61B79">
        <w:rPr>
          <w:rFonts w:ascii="Arial" w:hAnsi="Arial" w:cs="Arial"/>
        </w:rPr>
        <w:t>R map is straightforward: sustained emotional intensity without recovery pushes towards burnout.</w:t>
      </w:r>
    </w:p>
    <w:p w14:paraId="0E86F775"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Five-minute micro-breaks fixed into pre-shift routines scale broadly. They stall when teams run permanently below minimum staffing and micro-breaks are sacrificed first.</w:t>
      </w:r>
    </w:p>
    <w:p w14:paraId="6ACFF421"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Across </w:t>
      </w:r>
      <w:r w:rsidRPr="00AB0460">
        <w:rPr>
          <w:rFonts w:ascii="Arial" w:hAnsi="Arial" w:cs="Arial"/>
        </w:rPr>
        <w:t>themes</w:t>
      </w:r>
      <w:r w:rsidRPr="00E61B79">
        <w:rPr>
          <w:rFonts w:ascii="Arial" w:hAnsi="Arial" w:cs="Arial"/>
        </w:rPr>
        <w:t>, the pattern is consistent: interventions that permanently increase recovery time and predictable control outperform campaigns that sit beside unchanged rotas.</w:t>
      </w:r>
    </w:p>
    <w:p w14:paraId="46D591C5" w14:textId="77777777" w:rsidR="008C0538" w:rsidRDefault="008C0538" w:rsidP="008C0538">
      <w:pPr>
        <w:spacing w:line="360" w:lineRule="auto"/>
        <w:jc w:val="both"/>
        <w:rPr>
          <w:rFonts w:ascii="Arial" w:hAnsi="Arial" w:cs="Arial"/>
          <w:b/>
          <w:bCs/>
        </w:rPr>
      </w:pPr>
    </w:p>
    <w:p w14:paraId="0A460F1B" w14:textId="77777777" w:rsidR="008C0538" w:rsidRDefault="008C0538" w:rsidP="008C0538">
      <w:pPr>
        <w:spacing w:line="360" w:lineRule="auto"/>
        <w:jc w:val="both"/>
        <w:rPr>
          <w:rFonts w:ascii="Arial" w:hAnsi="Arial" w:cs="Arial"/>
          <w:b/>
          <w:bCs/>
        </w:rPr>
      </w:pPr>
    </w:p>
    <w:p w14:paraId="3CBE3ECC" w14:textId="77777777" w:rsidR="008C0538" w:rsidRDefault="008C0538" w:rsidP="008C0538">
      <w:pPr>
        <w:spacing w:line="360" w:lineRule="auto"/>
        <w:jc w:val="both"/>
        <w:rPr>
          <w:rFonts w:ascii="Arial" w:hAnsi="Arial" w:cs="Arial"/>
          <w:b/>
          <w:bCs/>
        </w:rPr>
      </w:pPr>
    </w:p>
    <w:p w14:paraId="697BF697"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lastRenderedPageBreak/>
        <w:t>5. Industry Response: Feasibility and Transferability</w:t>
      </w:r>
    </w:p>
    <w:p w14:paraId="53B000EE"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Hilton and Hyatt internal campaigns</w:t>
      </w:r>
    </w:p>
    <w:p w14:paraId="222090E4"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Mechanism. </w:t>
      </w:r>
      <w:proofErr w:type="spellStart"/>
      <w:r w:rsidRPr="00E61B79">
        <w:rPr>
          <w:rFonts w:ascii="Arial" w:hAnsi="Arial" w:cs="Arial"/>
        </w:rPr>
        <w:t>Thrive@Hilton</w:t>
      </w:r>
      <w:proofErr w:type="spellEnd"/>
      <w:r w:rsidRPr="00E61B79">
        <w:rPr>
          <w:rFonts w:ascii="Arial" w:hAnsi="Arial" w:cs="Arial"/>
        </w:rPr>
        <w:t xml:space="preserve"> </w:t>
      </w:r>
      <w:r>
        <w:rPr>
          <w:rFonts w:ascii="Arial" w:hAnsi="Arial" w:cs="Arial"/>
        </w:rPr>
        <w:t>focuses</w:t>
      </w:r>
      <w:r w:rsidRPr="00E61B79">
        <w:rPr>
          <w:rFonts w:ascii="Arial" w:hAnsi="Arial" w:cs="Arial"/>
        </w:rPr>
        <w:t xml:space="preserve"> </w:t>
      </w:r>
      <w:r>
        <w:rPr>
          <w:rFonts w:ascii="Arial" w:hAnsi="Arial" w:cs="Arial"/>
        </w:rPr>
        <w:t xml:space="preserve">on </w:t>
      </w:r>
      <w:r w:rsidRPr="00E61B79">
        <w:rPr>
          <w:rFonts w:ascii="Arial" w:hAnsi="Arial" w:cs="Arial"/>
        </w:rPr>
        <w:t>psychological safety; most employees reported feeling supported by leadership, indicating expansion of social and emotional resources (SHRM, 2025). Hyatt’s partnership with Mind Share Partners used personal storytelling to normalise mental health conversations and strengthen peer support (Mind Share Partners, 2025). These elements directly reinforce JD</w:t>
      </w:r>
      <w:r>
        <w:rPr>
          <w:rFonts w:ascii="Arial" w:hAnsi="Arial" w:cs="Arial"/>
        </w:rPr>
        <w:t>-</w:t>
      </w:r>
      <w:r w:rsidRPr="00E61B79">
        <w:rPr>
          <w:rFonts w:ascii="Arial" w:hAnsi="Arial" w:cs="Arial"/>
        </w:rPr>
        <w:t>R resources of empathy, trust, and help-seeking.</w:t>
      </w:r>
    </w:p>
    <w:p w14:paraId="566339EB" w14:textId="77777777" w:rsidR="008C0538" w:rsidRPr="00E61B79" w:rsidRDefault="008C0538" w:rsidP="008C0538">
      <w:pPr>
        <w:spacing w:line="360" w:lineRule="auto"/>
        <w:jc w:val="both"/>
        <w:rPr>
          <w:rFonts w:ascii="Arial" w:hAnsi="Arial" w:cs="Arial"/>
        </w:rPr>
      </w:pPr>
      <w:r w:rsidRPr="00E61B79">
        <w:rPr>
          <w:rFonts w:ascii="Arial" w:hAnsi="Arial" w:cs="Arial"/>
        </w:rPr>
        <w:t>Prerequisites. Time in team calendars, managers able to model disclosure appropriately, and simple measurement that keeps attention on safety and uptake.</w:t>
      </w:r>
    </w:p>
    <w:p w14:paraId="37B1C3F7"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Small properties can adapt a lite version: monthly team check-ins with one practical skill, a single-page signposting sheet, and a standing rota rule protecting recovery after heavy shifts.</w:t>
      </w:r>
    </w:p>
    <w:p w14:paraId="39B79B2B" w14:textId="77777777" w:rsidR="008C0538" w:rsidRPr="00E61B79" w:rsidRDefault="008C0538" w:rsidP="008C0538">
      <w:pPr>
        <w:spacing w:line="360" w:lineRule="auto"/>
        <w:jc w:val="both"/>
        <w:rPr>
          <w:rFonts w:ascii="Arial" w:hAnsi="Arial" w:cs="Arial"/>
        </w:rPr>
      </w:pPr>
      <w:r w:rsidRPr="00E61B79">
        <w:rPr>
          <w:rFonts w:ascii="Arial" w:hAnsi="Arial" w:cs="Arial"/>
        </w:rPr>
        <w:t>Failure risks. Where staffing ratios remain static, employees experience signals of care without tangible relief, and credibility suffers (Iverson and Deery, 1997). Measurement that ignores rota volatility misses the active mechanism.</w:t>
      </w:r>
    </w:p>
    <w:p w14:paraId="53C8A28D" w14:textId="77777777" w:rsidR="008C0538" w:rsidRPr="00E61B79" w:rsidRDefault="008C0538" w:rsidP="008C0538">
      <w:pPr>
        <w:spacing w:line="360" w:lineRule="auto"/>
        <w:jc w:val="both"/>
        <w:rPr>
          <w:rFonts w:ascii="Arial" w:hAnsi="Arial" w:cs="Arial"/>
        </w:rPr>
      </w:pPr>
      <w:r w:rsidRPr="00E61B79">
        <w:rPr>
          <w:rFonts w:ascii="Arial" w:hAnsi="Arial" w:cs="Arial"/>
        </w:rPr>
        <w:t>Minimal viable adaptation. A ten-minute pre-shift huddle including one de-escalation tip, a micro-break plan for the day, and a quick psychological safety pulse question recorded discreetly.</w:t>
      </w:r>
    </w:p>
    <w:p w14:paraId="5310E492"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BREATH?! programme (Mexico)</w:t>
      </w:r>
    </w:p>
    <w:p w14:paraId="4A1D9DB7" w14:textId="77777777" w:rsidR="008C0538" w:rsidRPr="00E61B79" w:rsidRDefault="008C0538" w:rsidP="008C0538">
      <w:pPr>
        <w:spacing w:line="360" w:lineRule="auto"/>
        <w:jc w:val="both"/>
        <w:rPr>
          <w:rFonts w:ascii="Arial" w:hAnsi="Arial" w:cs="Arial"/>
        </w:rPr>
      </w:pPr>
      <w:r w:rsidRPr="00E61B79">
        <w:rPr>
          <w:rFonts w:ascii="Arial" w:hAnsi="Arial" w:cs="Arial"/>
        </w:rPr>
        <w:t>Mechanism. Breathwork introduces micro-recovery and emotional regulation in situ. Evidence suggests reduced exhaustion and improved balance when sessions are consistent (Petraglia, 2025; Calitz, 2022).</w:t>
      </w:r>
    </w:p>
    <w:p w14:paraId="6D3845CD" w14:textId="77777777" w:rsidR="008C0538" w:rsidRPr="00E61B79" w:rsidRDefault="008C0538" w:rsidP="008C0538">
      <w:pPr>
        <w:spacing w:line="360" w:lineRule="auto"/>
        <w:jc w:val="both"/>
        <w:rPr>
          <w:rFonts w:ascii="Arial" w:hAnsi="Arial" w:cs="Arial"/>
        </w:rPr>
      </w:pPr>
      <w:r w:rsidRPr="00E61B79">
        <w:rPr>
          <w:rFonts w:ascii="Arial" w:hAnsi="Arial" w:cs="Arial"/>
        </w:rPr>
        <w:t>Prerequisites. Trained facilitators, protected minutes inside the shift, and stable routines through turnover cycles (</w:t>
      </w:r>
      <w:proofErr w:type="spellStart"/>
      <w:r w:rsidRPr="00E61B79">
        <w:rPr>
          <w:rFonts w:ascii="Arial" w:hAnsi="Arial" w:cs="Arial"/>
        </w:rPr>
        <w:t>Yusriana</w:t>
      </w:r>
      <w:proofErr w:type="spellEnd"/>
      <w:r w:rsidRPr="00E61B79">
        <w:rPr>
          <w:rFonts w:ascii="Arial" w:hAnsi="Arial" w:cs="Arial"/>
        </w:rPr>
        <w:t xml:space="preserve"> et al., 2024).</w:t>
      </w:r>
    </w:p>
    <w:p w14:paraId="22DABEE3"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Five-minute guided breathing during daily briefings scales in any property. Regional consortia could share facilitators for longer sessions. Education and healthcare evidence suggests reasonable cross-domain transfer (Calitz, 2022; Potgieter and De Villiers, 2024).</w:t>
      </w:r>
    </w:p>
    <w:p w14:paraId="3CD9D638" w14:textId="77777777" w:rsidR="008C0538" w:rsidRPr="00E61B79" w:rsidRDefault="008C0538" w:rsidP="008C0538">
      <w:pPr>
        <w:spacing w:line="360" w:lineRule="auto"/>
        <w:jc w:val="both"/>
        <w:rPr>
          <w:rFonts w:ascii="Arial" w:hAnsi="Arial" w:cs="Arial"/>
        </w:rPr>
      </w:pPr>
      <w:r w:rsidRPr="00E61B79">
        <w:rPr>
          <w:rFonts w:ascii="Arial" w:hAnsi="Arial" w:cs="Arial"/>
        </w:rPr>
        <w:lastRenderedPageBreak/>
        <w:t>Failure risks. High turnover dissolves routines, retraining cycles become burdensome, and the practice fades (</w:t>
      </w:r>
      <w:proofErr w:type="spellStart"/>
      <w:r w:rsidRPr="00E61B79">
        <w:rPr>
          <w:rFonts w:ascii="Arial" w:hAnsi="Arial" w:cs="Arial"/>
        </w:rPr>
        <w:t>Siebieszuk</w:t>
      </w:r>
      <w:proofErr w:type="spellEnd"/>
      <w:r w:rsidRPr="00E61B79">
        <w:rPr>
          <w:rFonts w:ascii="Arial" w:hAnsi="Arial" w:cs="Arial"/>
        </w:rPr>
        <w:t xml:space="preserve"> et al., 2025).</w:t>
      </w:r>
    </w:p>
    <w:p w14:paraId="0BFBEE53" w14:textId="77777777" w:rsidR="008C0538" w:rsidRPr="00E61B79" w:rsidRDefault="008C0538" w:rsidP="008C0538">
      <w:pPr>
        <w:spacing w:line="360" w:lineRule="auto"/>
        <w:jc w:val="both"/>
        <w:rPr>
          <w:rFonts w:ascii="Arial" w:hAnsi="Arial" w:cs="Arial"/>
        </w:rPr>
      </w:pPr>
      <w:r w:rsidRPr="00E61B79">
        <w:rPr>
          <w:rFonts w:ascii="Arial" w:hAnsi="Arial" w:cs="Arial"/>
        </w:rPr>
        <w:t>Minimal viable adaptation. A standardised, manager-led five-minute protocol at the start of peak periods, with a second micro-break inserted before late rush.</w:t>
      </w:r>
    </w:p>
    <w:p w14:paraId="5AF2A0AC" w14:textId="77777777" w:rsidR="008C0538" w:rsidRPr="00E61B79" w:rsidRDefault="008C0538" w:rsidP="008C0538">
      <w:pPr>
        <w:spacing w:line="360" w:lineRule="auto"/>
        <w:jc w:val="both"/>
        <w:rPr>
          <w:rFonts w:ascii="Arial" w:hAnsi="Arial" w:cs="Arial"/>
          <w:b/>
          <w:bCs/>
        </w:rPr>
      </w:pPr>
      <w:proofErr w:type="spellStart"/>
      <w:r w:rsidRPr="00E61B79">
        <w:rPr>
          <w:rFonts w:ascii="Arial" w:hAnsi="Arial" w:cs="Arial"/>
          <w:b/>
          <w:bCs/>
        </w:rPr>
        <w:t>Ifeel</w:t>
      </w:r>
      <w:proofErr w:type="spellEnd"/>
      <w:r w:rsidRPr="00E61B79">
        <w:rPr>
          <w:rFonts w:ascii="Arial" w:hAnsi="Arial" w:cs="Arial"/>
          <w:b/>
          <w:bCs/>
        </w:rPr>
        <w:t xml:space="preserve"> platform implementation</w:t>
      </w:r>
    </w:p>
    <w:p w14:paraId="290ABB01"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Mechanism. </w:t>
      </w:r>
      <w:proofErr w:type="spellStart"/>
      <w:r w:rsidRPr="00E61B79">
        <w:rPr>
          <w:rFonts w:ascii="Arial" w:hAnsi="Arial" w:cs="Arial"/>
        </w:rPr>
        <w:t>Ifeel</w:t>
      </w:r>
      <w:proofErr w:type="spellEnd"/>
      <w:r w:rsidRPr="00E61B79">
        <w:rPr>
          <w:rFonts w:ascii="Arial" w:hAnsi="Arial" w:cs="Arial"/>
        </w:rPr>
        <w:t xml:space="preserve"> blends digital CBT with mood tracking. One case study reported a 33 percent reduction in clinical mental health risk and a fourfold return on investment, signalling an increase in accessible support resources (</w:t>
      </w:r>
      <w:proofErr w:type="spellStart"/>
      <w:r w:rsidRPr="00E61B79">
        <w:rPr>
          <w:rFonts w:ascii="Arial" w:hAnsi="Arial" w:cs="Arial"/>
        </w:rPr>
        <w:t>Ifeel</w:t>
      </w:r>
      <w:proofErr w:type="spellEnd"/>
      <w:r w:rsidRPr="00E61B79">
        <w:rPr>
          <w:rFonts w:ascii="Arial" w:hAnsi="Arial" w:cs="Arial"/>
        </w:rPr>
        <w:t>, 2025).</w:t>
      </w:r>
    </w:p>
    <w:p w14:paraId="1BB4EB02" w14:textId="77777777" w:rsidR="008C0538" w:rsidRPr="00E61B79" w:rsidRDefault="008C0538" w:rsidP="008C0538">
      <w:pPr>
        <w:spacing w:line="360" w:lineRule="auto"/>
        <w:jc w:val="both"/>
        <w:rPr>
          <w:rFonts w:ascii="Arial" w:hAnsi="Arial" w:cs="Arial"/>
        </w:rPr>
      </w:pPr>
      <w:r w:rsidRPr="00E61B79">
        <w:rPr>
          <w:rFonts w:ascii="Arial" w:hAnsi="Arial" w:cs="Arial"/>
        </w:rPr>
        <w:t>Prerequisites. Visible endorsement by leaders, basic digital literacy, and a clear privacy narrative that earns trust (Lam et al., 2022).</w:t>
      </w:r>
    </w:p>
    <w:p w14:paraId="06A876CF" w14:textId="77777777" w:rsidR="008C0538" w:rsidRPr="00E61B79" w:rsidRDefault="008C0538" w:rsidP="008C0538">
      <w:pPr>
        <w:spacing w:line="360" w:lineRule="auto"/>
        <w:jc w:val="both"/>
        <w:rPr>
          <w:rFonts w:ascii="Arial" w:hAnsi="Arial" w:cs="Arial"/>
        </w:rPr>
      </w:pPr>
      <w:r w:rsidRPr="00E61B79">
        <w:rPr>
          <w:rFonts w:ascii="Arial" w:hAnsi="Arial" w:cs="Arial"/>
        </w:rPr>
        <w:t>Transferability. A small hotel can deploy a limited set of modules, offer optional participation, and restrict data views to anonymised trends for rota planning.</w:t>
      </w:r>
    </w:p>
    <w:p w14:paraId="07E296D4"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Failure risks. Distrust in monitoring suppresses uptake; usage </w:t>
      </w:r>
      <w:r w:rsidRPr="008D2E2E">
        <w:rPr>
          <w:rFonts w:ascii="Arial" w:hAnsi="Arial" w:cs="Arial"/>
        </w:rPr>
        <w:t>declines</w:t>
      </w:r>
      <w:r>
        <w:rPr>
          <w:rFonts w:ascii="Arial" w:hAnsi="Arial" w:cs="Arial"/>
        </w:rPr>
        <w:t xml:space="preserve"> </w:t>
      </w:r>
      <w:r w:rsidRPr="00E61B79">
        <w:rPr>
          <w:rFonts w:ascii="Arial" w:hAnsi="Arial" w:cs="Arial"/>
        </w:rPr>
        <w:t>when workloads peak; union contexts require greater assurances (Patel et al., 2022; Sum et al., 2024).</w:t>
      </w:r>
    </w:p>
    <w:p w14:paraId="1AC0FC43" w14:textId="77777777" w:rsidR="008C0538" w:rsidRPr="00E61B79" w:rsidRDefault="008C0538" w:rsidP="008C0538">
      <w:pPr>
        <w:spacing w:line="360" w:lineRule="auto"/>
        <w:jc w:val="both"/>
        <w:rPr>
          <w:rFonts w:ascii="Arial" w:hAnsi="Arial" w:cs="Arial"/>
        </w:rPr>
      </w:pPr>
      <w:r w:rsidRPr="00E61B79">
        <w:rPr>
          <w:rFonts w:ascii="Arial" w:hAnsi="Arial" w:cs="Arial"/>
        </w:rPr>
        <w:t>Minimal viable adaptation. Offer confidential access, train one champion per department, and use only aggregate signals to adjust staffing around known fatigue spikes.</w:t>
      </w:r>
    </w:p>
    <w:p w14:paraId="789A677C"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Structural friction: rota instability</w:t>
      </w:r>
    </w:p>
    <w:p w14:paraId="5680F562"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Many studies come together on the same </w:t>
      </w:r>
      <w:r>
        <w:rPr>
          <w:rFonts w:ascii="Arial" w:hAnsi="Arial" w:cs="Arial"/>
        </w:rPr>
        <w:t>point</w:t>
      </w:r>
      <w:r w:rsidRPr="00E61B79">
        <w:rPr>
          <w:rFonts w:ascii="Arial" w:hAnsi="Arial" w:cs="Arial"/>
        </w:rPr>
        <w:t xml:space="preserve">: unstable schedules spill into family time and compress sleep, erasing gains from supportive tools (Choi, 2024; Wanjiru, 2020). Structural friction demands structural </w:t>
      </w:r>
      <w:r>
        <w:rPr>
          <w:rFonts w:ascii="Arial" w:hAnsi="Arial" w:cs="Arial"/>
        </w:rPr>
        <w:t>drivers</w:t>
      </w:r>
      <w:r w:rsidRPr="00E61B79">
        <w:rPr>
          <w:rFonts w:ascii="Arial" w:hAnsi="Arial" w:cs="Arial"/>
        </w:rPr>
        <w:t>. Tools require scaffolding: workload design, time, and trust (</w:t>
      </w:r>
      <w:proofErr w:type="spellStart"/>
      <w:r w:rsidRPr="00E61B79">
        <w:rPr>
          <w:rFonts w:ascii="Arial" w:hAnsi="Arial" w:cs="Arial"/>
        </w:rPr>
        <w:t>Ifeel</w:t>
      </w:r>
      <w:proofErr w:type="spellEnd"/>
      <w:r w:rsidRPr="00E61B79">
        <w:rPr>
          <w:rFonts w:ascii="Arial" w:hAnsi="Arial" w:cs="Arial"/>
        </w:rPr>
        <w:t>, 2025; Lam et al., 2022).</w:t>
      </w:r>
    </w:p>
    <w:p w14:paraId="2C529BD3" w14:textId="77777777" w:rsidR="008C0538" w:rsidRDefault="008C0538" w:rsidP="008C0538">
      <w:pPr>
        <w:spacing w:line="360" w:lineRule="auto"/>
        <w:jc w:val="both"/>
        <w:rPr>
          <w:rFonts w:ascii="Arial" w:hAnsi="Arial" w:cs="Arial"/>
          <w:b/>
          <w:bCs/>
        </w:rPr>
      </w:pPr>
    </w:p>
    <w:p w14:paraId="7830C4B7"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6. Conclusion</w:t>
      </w:r>
    </w:p>
    <w:p w14:paraId="01F7A33C" w14:textId="77777777" w:rsidR="008C0538" w:rsidRPr="00E61B79" w:rsidRDefault="008C0538" w:rsidP="008C0538">
      <w:pPr>
        <w:spacing w:line="360" w:lineRule="auto"/>
        <w:jc w:val="both"/>
        <w:rPr>
          <w:rFonts w:ascii="Arial" w:hAnsi="Arial" w:cs="Arial"/>
        </w:rPr>
      </w:pPr>
      <w:r w:rsidRPr="00E61B79">
        <w:rPr>
          <w:rFonts w:ascii="Arial" w:hAnsi="Arial" w:cs="Arial"/>
        </w:rPr>
        <w:t>Risk originates in a persistent imbalance: cumulative demands exceed the resources available to meet them. JD</w:t>
      </w:r>
      <w:r>
        <w:rPr>
          <w:rFonts w:ascii="Arial" w:hAnsi="Arial" w:cs="Arial"/>
        </w:rPr>
        <w:t>-</w:t>
      </w:r>
      <w:r w:rsidRPr="00E61B79">
        <w:rPr>
          <w:rFonts w:ascii="Arial" w:hAnsi="Arial" w:cs="Arial"/>
        </w:rPr>
        <w:t>R explains the burn line, and the work</w:t>
      </w:r>
      <w:r>
        <w:rPr>
          <w:rFonts w:ascii="Arial" w:hAnsi="Arial" w:cs="Arial"/>
        </w:rPr>
        <w:t>-</w:t>
      </w:r>
      <w:r w:rsidRPr="00E61B79">
        <w:rPr>
          <w:rFonts w:ascii="Arial" w:hAnsi="Arial" w:cs="Arial"/>
        </w:rPr>
        <w:t xml:space="preserve">family lens shows why recovery erodes at home as well as at work. Two decisive </w:t>
      </w:r>
      <w:r w:rsidRPr="00E85D0D">
        <w:rPr>
          <w:rFonts w:ascii="Arial" w:hAnsi="Arial" w:cs="Arial"/>
        </w:rPr>
        <w:t>drivers</w:t>
      </w:r>
      <w:r>
        <w:rPr>
          <w:rFonts w:ascii="Arial" w:hAnsi="Arial" w:cs="Arial"/>
        </w:rPr>
        <w:t xml:space="preserve"> </w:t>
      </w:r>
      <w:r w:rsidRPr="00E61B79">
        <w:rPr>
          <w:rFonts w:ascii="Arial" w:hAnsi="Arial" w:cs="Arial"/>
        </w:rPr>
        <w:t xml:space="preserve">stand out. First, rota predictability that protects recovery windows after doubles and </w:t>
      </w:r>
      <w:proofErr w:type="spellStart"/>
      <w:r w:rsidRPr="00E61B79">
        <w:rPr>
          <w:rFonts w:ascii="Arial" w:hAnsi="Arial" w:cs="Arial"/>
        </w:rPr>
        <w:t>clopenings</w:t>
      </w:r>
      <w:proofErr w:type="spellEnd"/>
      <w:r w:rsidRPr="00E61B79">
        <w:rPr>
          <w:rFonts w:ascii="Arial" w:hAnsi="Arial" w:cs="Arial"/>
        </w:rPr>
        <w:t xml:space="preserve">; </w:t>
      </w:r>
      <w:r w:rsidRPr="00E61B79">
        <w:rPr>
          <w:rFonts w:ascii="Arial" w:hAnsi="Arial" w:cs="Arial"/>
        </w:rPr>
        <w:lastRenderedPageBreak/>
        <w:t>second, capable managers who act early to create psychological safety and signpost support (Almeida et al., 2011; Bakker and Demerouti, 2007; SHRM, 2025). The logic chain is straightforward: stable schedules produce recovery time, which lowers burnout; visible and trained leadership improves psychological safety, which brings earlier help-seeking and shortens escalation cycles. Limits remain in small properties with few staff and volatile demand; next steps involve staged pilots with simple metrics and adaptations designed for independents.</w:t>
      </w:r>
    </w:p>
    <w:p w14:paraId="143DE6ED" w14:textId="77777777" w:rsidR="008C0538" w:rsidRDefault="008C0538" w:rsidP="008C0538">
      <w:pPr>
        <w:spacing w:line="360" w:lineRule="auto"/>
        <w:jc w:val="both"/>
        <w:rPr>
          <w:rFonts w:ascii="Arial" w:hAnsi="Arial" w:cs="Arial"/>
          <w:b/>
          <w:bCs/>
        </w:rPr>
      </w:pPr>
    </w:p>
    <w:p w14:paraId="25D0D96F"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 xml:space="preserve">7. Recommendations </w:t>
      </w:r>
    </w:p>
    <w:p w14:paraId="58323ECE"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Flexible Scheduling for Carers</w:t>
      </w:r>
    </w:p>
    <w:p w14:paraId="1AA0499E" w14:textId="77777777" w:rsidR="008C0538" w:rsidRPr="00E61B79" w:rsidRDefault="008C0538" w:rsidP="008C0538">
      <w:pPr>
        <w:spacing w:line="360" w:lineRule="auto"/>
        <w:jc w:val="both"/>
        <w:rPr>
          <w:rFonts w:ascii="Arial" w:hAnsi="Arial" w:cs="Arial"/>
        </w:rPr>
      </w:pPr>
      <w:r w:rsidRPr="00E61B79">
        <w:rPr>
          <w:rFonts w:ascii="Arial" w:hAnsi="Arial" w:cs="Arial"/>
        </w:rPr>
        <w:t>Provide partial-shift swaps, consistent days off, and flexible start times where possible. Research shows that limited schedule flexibility increases fatigue and transmits stress into family life, affecting both carers and dependants (Almeida et al., 2011).</w:t>
      </w:r>
    </w:p>
    <w:p w14:paraId="1234F1A4" w14:textId="77777777" w:rsidR="008C0538" w:rsidRPr="00E61B79" w:rsidRDefault="008C0538" w:rsidP="008C0538">
      <w:pPr>
        <w:numPr>
          <w:ilvl w:val="0"/>
          <w:numId w:val="1"/>
        </w:numPr>
        <w:spacing w:line="360" w:lineRule="auto"/>
        <w:jc w:val="both"/>
        <w:rPr>
          <w:rFonts w:ascii="Arial" w:hAnsi="Arial" w:cs="Arial"/>
        </w:rPr>
      </w:pPr>
      <w:r w:rsidRPr="00E61B79">
        <w:rPr>
          <w:rFonts w:ascii="Arial" w:hAnsi="Arial" w:cs="Arial"/>
        </w:rPr>
        <w:t>Priority: High</w:t>
      </w:r>
    </w:p>
    <w:p w14:paraId="1426DFBF" w14:textId="77777777" w:rsidR="008C0538" w:rsidRPr="00E61B79" w:rsidRDefault="008C0538" w:rsidP="008C0538">
      <w:pPr>
        <w:numPr>
          <w:ilvl w:val="0"/>
          <w:numId w:val="1"/>
        </w:numPr>
        <w:spacing w:line="360" w:lineRule="auto"/>
        <w:jc w:val="both"/>
        <w:rPr>
          <w:rFonts w:ascii="Arial" w:hAnsi="Arial" w:cs="Arial"/>
        </w:rPr>
      </w:pPr>
      <w:r w:rsidRPr="00E61B79">
        <w:rPr>
          <w:rFonts w:ascii="Arial" w:hAnsi="Arial" w:cs="Arial"/>
        </w:rPr>
        <w:t>Feasibility: Requires budget where backfill is needed; otherwise Quick win through rota rules</w:t>
      </w:r>
    </w:p>
    <w:p w14:paraId="32625A96" w14:textId="77777777" w:rsidR="008C0538" w:rsidRPr="00E61B79" w:rsidRDefault="008C0538" w:rsidP="008C0538">
      <w:pPr>
        <w:numPr>
          <w:ilvl w:val="0"/>
          <w:numId w:val="1"/>
        </w:numPr>
        <w:spacing w:line="360" w:lineRule="auto"/>
        <w:jc w:val="both"/>
        <w:rPr>
          <w:rFonts w:ascii="Arial" w:hAnsi="Arial" w:cs="Arial"/>
        </w:rPr>
      </w:pPr>
      <w:r w:rsidRPr="00E61B79">
        <w:rPr>
          <w:rFonts w:ascii="Arial" w:hAnsi="Arial" w:cs="Arial"/>
        </w:rPr>
        <w:t>Metrics: Schedule volatility index; average recovery hours after double shifts; proportion of carers receiving requested adjustments</w:t>
      </w:r>
    </w:p>
    <w:p w14:paraId="0239E8D0"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Implementation note. In daily operations, start with predictable rotas, shared access to a scheduling app with controlled changes, and a rule that locks recovery windows after </w:t>
      </w:r>
      <w:proofErr w:type="spellStart"/>
      <w:r w:rsidRPr="00E61B79">
        <w:rPr>
          <w:rFonts w:ascii="Arial" w:hAnsi="Arial" w:cs="Arial"/>
        </w:rPr>
        <w:t>clopenings</w:t>
      </w:r>
      <w:proofErr w:type="spellEnd"/>
      <w:r w:rsidRPr="00E61B79">
        <w:rPr>
          <w:rFonts w:ascii="Arial" w:hAnsi="Arial" w:cs="Arial"/>
        </w:rPr>
        <w:t>.</w:t>
      </w:r>
    </w:p>
    <w:p w14:paraId="02A52F82"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Human-Centred Pilot Programmes</w:t>
      </w:r>
    </w:p>
    <w:p w14:paraId="161C4DB2" w14:textId="77777777" w:rsidR="008C0538" w:rsidRPr="00E61B79" w:rsidRDefault="008C0538" w:rsidP="008C0538">
      <w:pPr>
        <w:spacing w:line="360" w:lineRule="auto"/>
        <w:jc w:val="both"/>
        <w:rPr>
          <w:rFonts w:ascii="Arial" w:hAnsi="Arial" w:cs="Arial"/>
        </w:rPr>
      </w:pPr>
      <w:r w:rsidRPr="00E61B79">
        <w:rPr>
          <w:rFonts w:ascii="Arial" w:hAnsi="Arial" w:cs="Arial"/>
        </w:rPr>
        <w:t xml:space="preserve">Begin with small-scale pilots that combine digital CBT, breathwork sessions, and rota redesign. Collect baseline and follow-up data on burnout, absenteeism, and engagement (Lam et al., 2022; </w:t>
      </w:r>
      <w:proofErr w:type="spellStart"/>
      <w:r w:rsidRPr="00E61B79">
        <w:rPr>
          <w:rFonts w:ascii="Arial" w:hAnsi="Arial" w:cs="Arial"/>
        </w:rPr>
        <w:t>Ifeel</w:t>
      </w:r>
      <w:proofErr w:type="spellEnd"/>
      <w:r w:rsidRPr="00E61B79">
        <w:rPr>
          <w:rFonts w:ascii="Arial" w:hAnsi="Arial" w:cs="Arial"/>
        </w:rPr>
        <w:t>, 2025).</w:t>
      </w:r>
    </w:p>
    <w:p w14:paraId="56DD6A5E" w14:textId="77777777" w:rsidR="008C0538" w:rsidRPr="00E61B79" w:rsidRDefault="008C0538" w:rsidP="008C0538">
      <w:pPr>
        <w:numPr>
          <w:ilvl w:val="0"/>
          <w:numId w:val="2"/>
        </w:numPr>
        <w:spacing w:line="360" w:lineRule="auto"/>
        <w:jc w:val="both"/>
        <w:rPr>
          <w:rFonts w:ascii="Arial" w:hAnsi="Arial" w:cs="Arial"/>
        </w:rPr>
      </w:pPr>
      <w:r w:rsidRPr="00E61B79">
        <w:rPr>
          <w:rFonts w:ascii="Arial" w:hAnsi="Arial" w:cs="Arial"/>
        </w:rPr>
        <w:t>Priority: High</w:t>
      </w:r>
    </w:p>
    <w:p w14:paraId="07468006" w14:textId="77777777" w:rsidR="008C0538" w:rsidRPr="00E61B79" w:rsidRDefault="008C0538" w:rsidP="008C0538">
      <w:pPr>
        <w:numPr>
          <w:ilvl w:val="0"/>
          <w:numId w:val="2"/>
        </w:numPr>
        <w:spacing w:line="360" w:lineRule="auto"/>
        <w:jc w:val="both"/>
        <w:rPr>
          <w:rFonts w:ascii="Arial" w:hAnsi="Arial" w:cs="Arial"/>
        </w:rPr>
      </w:pPr>
      <w:r w:rsidRPr="00E61B79">
        <w:rPr>
          <w:rFonts w:ascii="Arial" w:hAnsi="Arial" w:cs="Arial"/>
        </w:rPr>
        <w:t>Feasibility: Requires partnership for breathwork and digital tools; limited budget if using lite versions</w:t>
      </w:r>
    </w:p>
    <w:p w14:paraId="36AA0859" w14:textId="77777777" w:rsidR="008C0538" w:rsidRPr="00E61B79" w:rsidRDefault="008C0538" w:rsidP="008C0538">
      <w:pPr>
        <w:numPr>
          <w:ilvl w:val="0"/>
          <w:numId w:val="2"/>
        </w:numPr>
        <w:spacing w:line="360" w:lineRule="auto"/>
        <w:jc w:val="both"/>
        <w:rPr>
          <w:rFonts w:ascii="Arial" w:hAnsi="Arial" w:cs="Arial"/>
        </w:rPr>
      </w:pPr>
      <w:r w:rsidRPr="00E61B79">
        <w:rPr>
          <w:rFonts w:ascii="Arial" w:hAnsi="Arial" w:cs="Arial"/>
        </w:rPr>
        <w:lastRenderedPageBreak/>
        <w:t>Metrics: EAP or platform uptake; breathwork session adherence; changes in absenteeism and turnover</w:t>
      </w:r>
    </w:p>
    <w:p w14:paraId="340F1194" w14:textId="77777777" w:rsidR="008C0538" w:rsidRPr="00E61B79" w:rsidRDefault="008C0538" w:rsidP="008C0538">
      <w:pPr>
        <w:spacing w:line="360" w:lineRule="auto"/>
        <w:jc w:val="both"/>
        <w:rPr>
          <w:rFonts w:ascii="Arial" w:hAnsi="Arial" w:cs="Arial"/>
        </w:rPr>
      </w:pPr>
      <w:r w:rsidRPr="00E61B79">
        <w:rPr>
          <w:rFonts w:ascii="Arial" w:hAnsi="Arial" w:cs="Arial"/>
        </w:rPr>
        <w:t>Implementation note. Pilot in one department for six to eight weeks, then scale on evidence.</w:t>
      </w:r>
    </w:p>
    <w:p w14:paraId="41222D0A"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Manager Training in Mental-Health Literacy and JD</w:t>
      </w:r>
      <w:r>
        <w:rPr>
          <w:rFonts w:ascii="Arial" w:hAnsi="Arial" w:cs="Arial"/>
          <w:b/>
          <w:bCs/>
        </w:rPr>
        <w:t>-</w:t>
      </w:r>
      <w:r w:rsidRPr="00E61B79">
        <w:rPr>
          <w:rFonts w:ascii="Arial" w:hAnsi="Arial" w:cs="Arial"/>
          <w:b/>
          <w:bCs/>
        </w:rPr>
        <w:t>R Awareness</w:t>
      </w:r>
    </w:p>
    <w:p w14:paraId="57269D0B" w14:textId="77777777" w:rsidR="008C0538" w:rsidRPr="00E61B79" w:rsidRDefault="008C0538" w:rsidP="008C0538">
      <w:pPr>
        <w:spacing w:line="360" w:lineRule="auto"/>
        <w:jc w:val="both"/>
        <w:rPr>
          <w:rFonts w:ascii="Arial" w:hAnsi="Arial" w:cs="Arial"/>
        </w:rPr>
      </w:pPr>
      <w:r w:rsidRPr="00E61B79">
        <w:rPr>
          <w:rFonts w:ascii="Arial" w:hAnsi="Arial" w:cs="Arial"/>
        </w:rPr>
        <w:t>Managers are often the first to notice strain. Training them to identify early warning signs, including those related to family stress or sleep deprivation, increases the chance of timely intervention (de Oliveira and Sohn, 2025). Leadership KPIs should include well-being and psychological safety scores (Ali et al., 2022).</w:t>
      </w:r>
    </w:p>
    <w:p w14:paraId="7F63829D" w14:textId="77777777" w:rsidR="008C0538" w:rsidRPr="00E61B79" w:rsidRDefault="008C0538" w:rsidP="008C0538">
      <w:pPr>
        <w:numPr>
          <w:ilvl w:val="0"/>
          <w:numId w:val="3"/>
        </w:numPr>
        <w:spacing w:line="360" w:lineRule="auto"/>
        <w:jc w:val="both"/>
        <w:rPr>
          <w:rFonts w:ascii="Arial" w:hAnsi="Arial" w:cs="Arial"/>
        </w:rPr>
      </w:pPr>
      <w:r w:rsidRPr="00E61B79">
        <w:rPr>
          <w:rFonts w:ascii="Arial" w:hAnsi="Arial" w:cs="Arial"/>
        </w:rPr>
        <w:t>Priority: High</w:t>
      </w:r>
    </w:p>
    <w:p w14:paraId="2796B626" w14:textId="77777777" w:rsidR="008C0538" w:rsidRPr="00E61B79" w:rsidRDefault="008C0538" w:rsidP="008C0538">
      <w:pPr>
        <w:numPr>
          <w:ilvl w:val="0"/>
          <w:numId w:val="3"/>
        </w:numPr>
        <w:spacing w:line="360" w:lineRule="auto"/>
        <w:jc w:val="both"/>
        <w:rPr>
          <w:rFonts w:ascii="Arial" w:hAnsi="Arial" w:cs="Arial"/>
        </w:rPr>
      </w:pPr>
      <w:r w:rsidRPr="00E61B79">
        <w:rPr>
          <w:rFonts w:ascii="Arial" w:hAnsi="Arial" w:cs="Arial"/>
        </w:rPr>
        <w:t>Feasibility: Requires budget for training content; Quick win with short modules and peer practice</w:t>
      </w:r>
    </w:p>
    <w:p w14:paraId="5BD6A60C" w14:textId="77777777" w:rsidR="008C0538" w:rsidRPr="00E61B79" w:rsidRDefault="008C0538" w:rsidP="008C0538">
      <w:pPr>
        <w:numPr>
          <w:ilvl w:val="0"/>
          <w:numId w:val="3"/>
        </w:numPr>
        <w:spacing w:line="360" w:lineRule="auto"/>
        <w:jc w:val="both"/>
        <w:rPr>
          <w:rFonts w:ascii="Arial" w:hAnsi="Arial" w:cs="Arial"/>
        </w:rPr>
      </w:pPr>
      <w:r w:rsidRPr="00E61B79">
        <w:rPr>
          <w:rFonts w:ascii="Arial" w:hAnsi="Arial" w:cs="Arial"/>
        </w:rPr>
        <w:t>Metrics: Completion rates; psychological safety pulse; referral and signposting counts</w:t>
      </w:r>
    </w:p>
    <w:p w14:paraId="54ACF6D2" w14:textId="77777777" w:rsidR="008C0538" w:rsidRPr="00E61B79" w:rsidRDefault="008C0538" w:rsidP="008C0538">
      <w:pPr>
        <w:spacing w:line="360" w:lineRule="auto"/>
        <w:jc w:val="both"/>
        <w:rPr>
          <w:rFonts w:ascii="Arial" w:hAnsi="Arial" w:cs="Arial"/>
        </w:rPr>
      </w:pPr>
      <w:r w:rsidRPr="00E61B79">
        <w:rPr>
          <w:rFonts w:ascii="Arial" w:hAnsi="Arial" w:cs="Arial"/>
        </w:rPr>
        <w:t>Implementation note. Embed micro-skills into weekly huddles and link completion to performance reviews.</w:t>
      </w:r>
    </w:p>
    <w:p w14:paraId="0A85B5AD"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External Partnerships</w:t>
      </w:r>
    </w:p>
    <w:p w14:paraId="46976A17" w14:textId="77777777" w:rsidR="008C0538" w:rsidRPr="00E61B79" w:rsidRDefault="008C0538" w:rsidP="008C0538">
      <w:pPr>
        <w:spacing w:line="360" w:lineRule="auto"/>
        <w:jc w:val="both"/>
        <w:rPr>
          <w:rFonts w:ascii="Arial" w:hAnsi="Arial" w:cs="Arial"/>
        </w:rPr>
      </w:pPr>
      <w:r w:rsidRPr="00E61B79">
        <w:rPr>
          <w:rFonts w:ascii="Arial" w:hAnsi="Arial" w:cs="Arial"/>
        </w:rPr>
        <w:t>Collaborate with NGOs and professional groups such as Mind Share Partners, which provide validated tools and family-sensitive training materials (Zhang et al., 2020).</w:t>
      </w:r>
    </w:p>
    <w:p w14:paraId="39CDCFB2" w14:textId="77777777" w:rsidR="008C0538" w:rsidRPr="00E61B79" w:rsidRDefault="008C0538" w:rsidP="008C0538">
      <w:pPr>
        <w:numPr>
          <w:ilvl w:val="0"/>
          <w:numId w:val="4"/>
        </w:numPr>
        <w:spacing w:line="360" w:lineRule="auto"/>
        <w:jc w:val="both"/>
        <w:rPr>
          <w:rFonts w:ascii="Arial" w:hAnsi="Arial" w:cs="Arial"/>
        </w:rPr>
      </w:pPr>
      <w:r w:rsidRPr="00E61B79">
        <w:rPr>
          <w:rFonts w:ascii="Arial" w:hAnsi="Arial" w:cs="Arial"/>
        </w:rPr>
        <w:t>Priority: Medium</w:t>
      </w:r>
    </w:p>
    <w:p w14:paraId="27A5A340" w14:textId="77777777" w:rsidR="008C0538" w:rsidRPr="00E61B79" w:rsidRDefault="008C0538" w:rsidP="008C0538">
      <w:pPr>
        <w:numPr>
          <w:ilvl w:val="0"/>
          <w:numId w:val="4"/>
        </w:numPr>
        <w:spacing w:line="360" w:lineRule="auto"/>
        <w:jc w:val="both"/>
        <w:rPr>
          <w:rFonts w:ascii="Arial" w:hAnsi="Arial" w:cs="Arial"/>
        </w:rPr>
      </w:pPr>
      <w:r w:rsidRPr="00E61B79">
        <w:rPr>
          <w:rFonts w:ascii="Arial" w:hAnsi="Arial" w:cs="Arial"/>
        </w:rPr>
        <w:t>Feasibility: Requires partnership; modest budget if sharing resources across a local consortium</w:t>
      </w:r>
    </w:p>
    <w:p w14:paraId="1874A1F3" w14:textId="77777777" w:rsidR="008C0538" w:rsidRPr="00E61B79" w:rsidRDefault="008C0538" w:rsidP="008C0538">
      <w:pPr>
        <w:numPr>
          <w:ilvl w:val="0"/>
          <w:numId w:val="4"/>
        </w:numPr>
        <w:spacing w:line="360" w:lineRule="auto"/>
        <w:jc w:val="both"/>
        <w:rPr>
          <w:rFonts w:ascii="Arial" w:hAnsi="Arial" w:cs="Arial"/>
        </w:rPr>
      </w:pPr>
      <w:r w:rsidRPr="00E61B79">
        <w:rPr>
          <w:rFonts w:ascii="Arial" w:hAnsi="Arial" w:cs="Arial"/>
        </w:rPr>
        <w:t>Metrics: Number of sessions delivered; participation rates; qualitative feedback on stigma reduction</w:t>
      </w:r>
    </w:p>
    <w:p w14:paraId="4D7596A2" w14:textId="77777777" w:rsidR="008C0538" w:rsidRPr="00E61B79" w:rsidRDefault="008C0538" w:rsidP="008C0538">
      <w:pPr>
        <w:spacing w:line="360" w:lineRule="auto"/>
        <w:jc w:val="both"/>
        <w:rPr>
          <w:rFonts w:ascii="Arial" w:hAnsi="Arial" w:cs="Arial"/>
        </w:rPr>
      </w:pPr>
      <w:r w:rsidRPr="00E61B79">
        <w:rPr>
          <w:rFonts w:ascii="Arial" w:hAnsi="Arial" w:cs="Arial"/>
        </w:rPr>
        <w:t>Implementation note. Form a regional cluster of independents to co-fund facilitation and share materials.</w:t>
      </w:r>
    </w:p>
    <w:p w14:paraId="332096E6"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Embed Mental Health into Organisational Strategy</w:t>
      </w:r>
    </w:p>
    <w:p w14:paraId="0449CB6D" w14:textId="77777777" w:rsidR="008C0538" w:rsidRPr="00E61B79" w:rsidRDefault="008C0538" w:rsidP="008C0538">
      <w:pPr>
        <w:spacing w:line="360" w:lineRule="auto"/>
        <w:jc w:val="both"/>
        <w:rPr>
          <w:rFonts w:ascii="Arial" w:hAnsi="Arial" w:cs="Arial"/>
        </w:rPr>
      </w:pPr>
      <w:r w:rsidRPr="00E61B79">
        <w:rPr>
          <w:rFonts w:ascii="Arial" w:hAnsi="Arial" w:cs="Arial"/>
        </w:rPr>
        <w:lastRenderedPageBreak/>
        <w:t>Integrate psychological safety into HR practices and link well-being outcomes to leadership evaluations. Positioning mental health as part of service quality supports long-term change (Mental Health Commission of Canada, 2022).</w:t>
      </w:r>
    </w:p>
    <w:p w14:paraId="1E0DCE38" w14:textId="77777777" w:rsidR="008C0538" w:rsidRPr="00E61B79" w:rsidRDefault="008C0538" w:rsidP="008C0538">
      <w:pPr>
        <w:numPr>
          <w:ilvl w:val="0"/>
          <w:numId w:val="5"/>
        </w:numPr>
        <w:spacing w:line="360" w:lineRule="auto"/>
        <w:jc w:val="both"/>
        <w:rPr>
          <w:rFonts w:ascii="Arial" w:hAnsi="Arial" w:cs="Arial"/>
        </w:rPr>
      </w:pPr>
      <w:r w:rsidRPr="00E61B79">
        <w:rPr>
          <w:rFonts w:ascii="Arial" w:hAnsi="Arial" w:cs="Arial"/>
        </w:rPr>
        <w:t>Priority: High</w:t>
      </w:r>
    </w:p>
    <w:p w14:paraId="12AD07F9" w14:textId="77777777" w:rsidR="008C0538" w:rsidRPr="00E61B79" w:rsidRDefault="008C0538" w:rsidP="008C0538">
      <w:pPr>
        <w:numPr>
          <w:ilvl w:val="0"/>
          <w:numId w:val="5"/>
        </w:numPr>
        <w:spacing w:line="360" w:lineRule="auto"/>
        <w:jc w:val="both"/>
        <w:rPr>
          <w:rFonts w:ascii="Arial" w:hAnsi="Arial" w:cs="Arial"/>
        </w:rPr>
      </w:pPr>
      <w:r w:rsidRPr="00E61B79">
        <w:rPr>
          <w:rFonts w:ascii="Arial" w:hAnsi="Arial" w:cs="Arial"/>
        </w:rPr>
        <w:t>Feasibility: Requires governance decision; Quick win to embed two indicators in manager scorecards</w:t>
      </w:r>
    </w:p>
    <w:p w14:paraId="131795D4" w14:textId="77777777" w:rsidR="008C0538" w:rsidRPr="00E61B79" w:rsidRDefault="008C0538" w:rsidP="008C0538">
      <w:pPr>
        <w:numPr>
          <w:ilvl w:val="0"/>
          <w:numId w:val="5"/>
        </w:numPr>
        <w:spacing w:line="360" w:lineRule="auto"/>
        <w:jc w:val="both"/>
        <w:rPr>
          <w:rFonts w:ascii="Arial" w:hAnsi="Arial" w:cs="Arial"/>
        </w:rPr>
      </w:pPr>
      <w:r w:rsidRPr="00E61B79">
        <w:rPr>
          <w:rFonts w:ascii="Arial" w:hAnsi="Arial" w:cs="Arial"/>
        </w:rPr>
        <w:t>Metrics: Psychological safety index; schedule volatility index; exit interview mentions of burnout</w:t>
      </w:r>
    </w:p>
    <w:p w14:paraId="0ADBAC9A" w14:textId="77777777" w:rsidR="008C0538" w:rsidRPr="00E61B79" w:rsidRDefault="008C0538" w:rsidP="008C0538">
      <w:pPr>
        <w:spacing w:line="360" w:lineRule="auto"/>
        <w:jc w:val="both"/>
        <w:rPr>
          <w:rFonts w:ascii="Arial" w:hAnsi="Arial" w:cs="Arial"/>
        </w:rPr>
      </w:pPr>
      <w:r w:rsidRPr="00E61B79">
        <w:rPr>
          <w:rFonts w:ascii="Arial" w:hAnsi="Arial" w:cs="Arial"/>
        </w:rPr>
        <w:t>Implementation note. Name an accountable owner, publish quarterly dashboards, and review in the same forum as guest satisfaction.</w:t>
      </w:r>
    </w:p>
    <w:p w14:paraId="28794778" w14:textId="77777777" w:rsidR="008C0538" w:rsidRPr="00E61B79" w:rsidRDefault="008C0538" w:rsidP="008C0538">
      <w:pPr>
        <w:spacing w:line="360" w:lineRule="auto"/>
        <w:jc w:val="both"/>
        <w:rPr>
          <w:rFonts w:ascii="Arial" w:hAnsi="Arial" w:cs="Arial"/>
          <w:b/>
          <w:bCs/>
        </w:rPr>
      </w:pPr>
      <w:r w:rsidRPr="00E61B79">
        <w:rPr>
          <w:rFonts w:ascii="Arial" w:hAnsi="Arial" w:cs="Arial"/>
          <w:b/>
          <w:bCs/>
        </w:rPr>
        <w:t>Sustained Funding</w:t>
      </w:r>
    </w:p>
    <w:p w14:paraId="4FB790EC" w14:textId="77777777" w:rsidR="008C0538" w:rsidRPr="00E61B79" w:rsidRDefault="008C0538" w:rsidP="008C0538">
      <w:pPr>
        <w:spacing w:line="360" w:lineRule="auto"/>
        <w:jc w:val="both"/>
        <w:rPr>
          <w:rFonts w:ascii="Arial" w:hAnsi="Arial" w:cs="Arial"/>
        </w:rPr>
      </w:pPr>
      <w:r w:rsidRPr="00E61B79">
        <w:rPr>
          <w:rFonts w:ascii="Arial" w:hAnsi="Arial" w:cs="Arial"/>
        </w:rPr>
        <w:t>Extend budgets beyond pilot stages and track savings through lower absenteeism and turnover (</w:t>
      </w:r>
      <w:proofErr w:type="spellStart"/>
      <w:r w:rsidRPr="00E61B79">
        <w:rPr>
          <w:rFonts w:ascii="Arial" w:hAnsi="Arial" w:cs="Arial"/>
        </w:rPr>
        <w:t>Ozduran</w:t>
      </w:r>
      <w:proofErr w:type="spellEnd"/>
      <w:r w:rsidRPr="00E61B79">
        <w:rPr>
          <w:rFonts w:ascii="Arial" w:hAnsi="Arial" w:cs="Arial"/>
        </w:rPr>
        <w:t xml:space="preserve"> et al., 2023).</w:t>
      </w:r>
    </w:p>
    <w:p w14:paraId="503F8EC4" w14:textId="77777777" w:rsidR="008C0538" w:rsidRPr="00E61B79" w:rsidRDefault="008C0538" w:rsidP="008C0538">
      <w:pPr>
        <w:numPr>
          <w:ilvl w:val="0"/>
          <w:numId w:val="6"/>
        </w:numPr>
        <w:spacing w:line="360" w:lineRule="auto"/>
        <w:jc w:val="both"/>
        <w:rPr>
          <w:rFonts w:ascii="Arial" w:hAnsi="Arial" w:cs="Arial"/>
        </w:rPr>
      </w:pPr>
      <w:r w:rsidRPr="00E61B79">
        <w:rPr>
          <w:rFonts w:ascii="Arial" w:hAnsi="Arial" w:cs="Arial"/>
        </w:rPr>
        <w:t>Priority: High</w:t>
      </w:r>
    </w:p>
    <w:p w14:paraId="3154D7A9" w14:textId="77777777" w:rsidR="008C0538" w:rsidRPr="00E61B79" w:rsidRDefault="008C0538" w:rsidP="008C0538">
      <w:pPr>
        <w:numPr>
          <w:ilvl w:val="0"/>
          <w:numId w:val="6"/>
        </w:numPr>
        <w:spacing w:line="360" w:lineRule="auto"/>
        <w:jc w:val="both"/>
        <w:rPr>
          <w:rFonts w:ascii="Arial" w:hAnsi="Arial" w:cs="Arial"/>
        </w:rPr>
      </w:pPr>
      <w:r w:rsidRPr="00E61B79">
        <w:rPr>
          <w:rFonts w:ascii="Arial" w:hAnsi="Arial" w:cs="Arial"/>
        </w:rPr>
        <w:t>Feasibility: Requires budget; offset through retention and absence savings</w:t>
      </w:r>
    </w:p>
    <w:p w14:paraId="1EE23BCC" w14:textId="77777777" w:rsidR="008C0538" w:rsidRPr="00E61B79" w:rsidRDefault="008C0538" w:rsidP="008C0538">
      <w:pPr>
        <w:numPr>
          <w:ilvl w:val="0"/>
          <w:numId w:val="6"/>
        </w:numPr>
        <w:spacing w:line="360" w:lineRule="auto"/>
        <w:jc w:val="both"/>
        <w:rPr>
          <w:rFonts w:ascii="Arial" w:hAnsi="Arial" w:cs="Arial"/>
        </w:rPr>
      </w:pPr>
      <w:r w:rsidRPr="00E61B79">
        <w:rPr>
          <w:rFonts w:ascii="Arial" w:hAnsi="Arial" w:cs="Arial"/>
        </w:rPr>
        <w:t>Metrics: Turnover rate; absenteeism days per FTE; cost avoidance tracked against baseline</w:t>
      </w:r>
    </w:p>
    <w:p w14:paraId="681CCCEF" w14:textId="77777777" w:rsidR="008C0538" w:rsidRPr="00E61B79" w:rsidRDefault="008C0538" w:rsidP="008C0538">
      <w:pPr>
        <w:spacing w:line="360" w:lineRule="auto"/>
        <w:jc w:val="both"/>
        <w:rPr>
          <w:rFonts w:ascii="Arial" w:hAnsi="Arial" w:cs="Arial"/>
        </w:rPr>
      </w:pPr>
      <w:r w:rsidRPr="00E61B79">
        <w:rPr>
          <w:rFonts w:ascii="Arial" w:hAnsi="Arial" w:cs="Arial"/>
        </w:rPr>
        <w:t>Implementation cadence. Stage work from pilot to scale. Assign a named operational owner. Review a concise dashboard quarterly and adjust rota rules, training emphasis, and partnership inputs on evidence.</w:t>
      </w:r>
    </w:p>
    <w:p w14:paraId="33EEE622" w14:textId="77777777" w:rsidR="008C0538" w:rsidRDefault="008C0538" w:rsidP="008C0538">
      <w:pPr>
        <w:spacing w:line="360" w:lineRule="auto"/>
        <w:jc w:val="both"/>
        <w:rPr>
          <w:rFonts w:ascii="Arial" w:hAnsi="Arial" w:cs="Arial"/>
        </w:rPr>
      </w:pPr>
    </w:p>
    <w:p w14:paraId="6EFF831C" w14:textId="77777777" w:rsidR="008C0538" w:rsidRDefault="008C0538" w:rsidP="008C0538">
      <w:pPr>
        <w:spacing w:line="360" w:lineRule="auto"/>
        <w:jc w:val="both"/>
        <w:rPr>
          <w:rFonts w:ascii="Arial" w:hAnsi="Arial" w:cs="Arial"/>
        </w:rPr>
      </w:pPr>
    </w:p>
    <w:p w14:paraId="5B55C46D" w14:textId="77777777" w:rsidR="008C0538" w:rsidRDefault="008C0538" w:rsidP="008C0538">
      <w:pPr>
        <w:spacing w:line="360" w:lineRule="auto"/>
        <w:jc w:val="both"/>
        <w:rPr>
          <w:rFonts w:ascii="Arial" w:hAnsi="Arial" w:cs="Arial"/>
        </w:rPr>
      </w:pPr>
    </w:p>
    <w:p w14:paraId="045D8229" w14:textId="77777777" w:rsidR="008C0538" w:rsidRDefault="008C0538" w:rsidP="008C0538">
      <w:pPr>
        <w:spacing w:line="360" w:lineRule="auto"/>
        <w:jc w:val="both"/>
        <w:rPr>
          <w:rFonts w:ascii="Arial" w:hAnsi="Arial" w:cs="Arial"/>
        </w:rPr>
      </w:pPr>
    </w:p>
    <w:p w14:paraId="12571C57" w14:textId="77777777" w:rsidR="008C0538" w:rsidRDefault="008C0538" w:rsidP="008C0538">
      <w:pPr>
        <w:spacing w:line="360" w:lineRule="auto"/>
        <w:jc w:val="both"/>
        <w:rPr>
          <w:rFonts w:ascii="Arial" w:hAnsi="Arial" w:cs="Arial"/>
        </w:rPr>
      </w:pPr>
    </w:p>
    <w:p w14:paraId="32E6E6FC" w14:textId="77777777" w:rsidR="008C0538" w:rsidRDefault="008C0538" w:rsidP="008C0538">
      <w:pPr>
        <w:spacing w:line="360" w:lineRule="auto"/>
        <w:jc w:val="both"/>
        <w:rPr>
          <w:rFonts w:ascii="Arial" w:hAnsi="Arial" w:cs="Arial"/>
        </w:rPr>
      </w:pPr>
    </w:p>
    <w:p w14:paraId="5F381FEC" w14:textId="77777777" w:rsidR="008C0538" w:rsidRDefault="008C0538" w:rsidP="008C0538">
      <w:pPr>
        <w:spacing w:line="360" w:lineRule="auto"/>
        <w:jc w:val="both"/>
        <w:rPr>
          <w:rFonts w:ascii="Arial" w:hAnsi="Arial" w:cs="Arial"/>
        </w:rPr>
      </w:pPr>
    </w:p>
    <w:p w14:paraId="072D7A6D" w14:textId="77777777" w:rsidR="008C0538" w:rsidRPr="00B202B3" w:rsidRDefault="008C0538" w:rsidP="008C0538">
      <w:pPr>
        <w:spacing w:line="360" w:lineRule="auto"/>
        <w:jc w:val="both"/>
        <w:rPr>
          <w:rFonts w:ascii="Arial" w:hAnsi="Arial" w:cs="Arial"/>
          <w:b/>
          <w:bCs/>
        </w:rPr>
      </w:pPr>
      <w:r w:rsidRPr="00B202B3">
        <w:rPr>
          <w:rFonts w:ascii="Arial" w:hAnsi="Arial" w:cs="Arial"/>
          <w:b/>
          <w:bCs/>
        </w:rPr>
        <w:lastRenderedPageBreak/>
        <w:t>References</w:t>
      </w:r>
    </w:p>
    <w:p w14:paraId="76BE6B54" w14:textId="77777777" w:rsidR="008C0538" w:rsidRPr="00B202B3" w:rsidRDefault="008C0538" w:rsidP="00150427">
      <w:pPr>
        <w:spacing w:line="360" w:lineRule="auto"/>
        <w:rPr>
          <w:rFonts w:ascii="Arial" w:hAnsi="Arial" w:cs="Arial"/>
        </w:rPr>
      </w:pPr>
      <w:r w:rsidRPr="00B202B3">
        <w:rPr>
          <w:rFonts w:ascii="Arial" w:hAnsi="Arial" w:cs="Arial"/>
        </w:rPr>
        <w:t xml:space="preserve">Ali, A., Hamid, T.A., Naveed, R.T., Siddique, I., Ryu, H.B. and Han, H. (2022) ‘Preparing for the “black swan”: Reducing employee burnout in the hospitality sector through ethical leadership’, </w:t>
      </w:r>
      <w:r w:rsidRPr="00B202B3">
        <w:rPr>
          <w:rFonts w:ascii="Arial" w:hAnsi="Arial" w:cs="Arial"/>
          <w:i/>
          <w:iCs/>
        </w:rPr>
        <w:t>Frontiers in Psychology</w:t>
      </w:r>
      <w:r w:rsidRPr="00B202B3">
        <w:rPr>
          <w:rFonts w:ascii="Arial" w:hAnsi="Arial" w:cs="Arial"/>
        </w:rPr>
        <w:t xml:space="preserve">, 13, p.1009785. Available at: </w:t>
      </w:r>
      <w:hyperlink r:id="rId5" w:tgtFrame="_new" w:history="1">
        <w:r w:rsidRPr="00B202B3">
          <w:rPr>
            <w:rStyle w:val="Hyperlink"/>
            <w:rFonts w:ascii="Arial" w:hAnsi="Arial" w:cs="Arial"/>
          </w:rPr>
          <w:t>https://www.frontiersin.org/journals/psychology/articles/10.3389/fpsyg.2022.1009785/pdf</w:t>
        </w:r>
      </w:hyperlink>
    </w:p>
    <w:p w14:paraId="02287D84" w14:textId="77777777" w:rsidR="008C0538" w:rsidRPr="00B202B3" w:rsidRDefault="008C0538" w:rsidP="00150427">
      <w:pPr>
        <w:spacing w:line="360" w:lineRule="auto"/>
        <w:rPr>
          <w:rFonts w:ascii="Arial" w:hAnsi="Arial" w:cs="Arial"/>
        </w:rPr>
      </w:pPr>
      <w:r w:rsidRPr="00B202B3">
        <w:rPr>
          <w:rFonts w:ascii="Arial" w:hAnsi="Arial" w:cs="Arial"/>
        </w:rPr>
        <w:t xml:space="preserve">Almeida, D.M., Davis, K.D., Lee, S. and Lawson, K.M. (2011) ‘Workplace flexibility and daily stress processes in hotel workers’, </w:t>
      </w:r>
      <w:r w:rsidRPr="00B202B3">
        <w:rPr>
          <w:rFonts w:ascii="Arial" w:hAnsi="Arial" w:cs="Arial"/>
          <w:i/>
          <w:iCs/>
        </w:rPr>
        <w:t>Journal of Occupational Health Psychology</w:t>
      </w:r>
      <w:r w:rsidRPr="00B202B3">
        <w:rPr>
          <w:rFonts w:ascii="Arial" w:hAnsi="Arial" w:cs="Arial"/>
        </w:rPr>
        <w:t xml:space="preserve">. Available at: </w:t>
      </w:r>
      <w:hyperlink r:id="rId6" w:tgtFrame="_new" w:history="1">
        <w:r w:rsidRPr="00B202B3">
          <w:rPr>
            <w:rStyle w:val="Hyperlink"/>
            <w:rFonts w:ascii="Arial" w:hAnsi="Arial" w:cs="Arial"/>
          </w:rPr>
          <w:t>https://pmc.ncbi.nlm.nih.gov/articles/PMC3700378/</w:t>
        </w:r>
      </w:hyperlink>
      <w:r w:rsidRPr="00B202B3">
        <w:rPr>
          <w:rFonts w:ascii="Arial" w:hAnsi="Arial" w:cs="Arial"/>
        </w:rPr>
        <w:t xml:space="preserve"> ..</w:t>
      </w:r>
    </w:p>
    <w:p w14:paraId="6663D823" w14:textId="77777777" w:rsidR="008C0538" w:rsidRPr="00B202B3" w:rsidRDefault="008C0538" w:rsidP="00150427">
      <w:pPr>
        <w:spacing w:line="360" w:lineRule="auto"/>
        <w:rPr>
          <w:rFonts w:ascii="Arial" w:hAnsi="Arial" w:cs="Arial"/>
        </w:rPr>
      </w:pPr>
      <w:r w:rsidRPr="00B202B3">
        <w:rPr>
          <w:rFonts w:ascii="Arial" w:hAnsi="Arial" w:cs="Arial"/>
        </w:rPr>
        <w:t xml:space="preserve">Bakker, A.B. and Demerouti, E. (2007) ‘The job demands–resources model: State of the art’, </w:t>
      </w:r>
      <w:r w:rsidRPr="00B202B3">
        <w:rPr>
          <w:rFonts w:ascii="Arial" w:hAnsi="Arial" w:cs="Arial"/>
          <w:i/>
          <w:iCs/>
        </w:rPr>
        <w:t>Journal of Managerial Psychology</w:t>
      </w:r>
      <w:r w:rsidRPr="00B202B3">
        <w:rPr>
          <w:rFonts w:ascii="Arial" w:hAnsi="Arial" w:cs="Arial"/>
        </w:rPr>
        <w:t xml:space="preserve">, 22(3), pp.309–328. </w:t>
      </w:r>
      <w:hyperlink r:id="rId7" w:tgtFrame="_new" w:history="1">
        <w:r w:rsidRPr="00B202B3">
          <w:rPr>
            <w:rStyle w:val="Hyperlink"/>
            <w:rFonts w:ascii="Arial" w:hAnsi="Arial" w:cs="Arial"/>
          </w:rPr>
          <w:t>https://doi.org/10.1108/02683940710733115</w:t>
        </w:r>
      </w:hyperlink>
    </w:p>
    <w:p w14:paraId="1F67B6D9" w14:textId="77777777" w:rsidR="008C0538" w:rsidRPr="00B202B3" w:rsidRDefault="008C0538" w:rsidP="00150427">
      <w:pPr>
        <w:spacing w:line="360" w:lineRule="auto"/>
        <w:rPr>
          <w:rFonts w:ascii="Arial" w:hAnsi="Arial" w:cs="Arial"/>
        </w:rPr>
      </w:pPr>
      <w:r w:rsidRPr="00B202B3">
        <w:rPr>
          <w:rFonts w:ascii="Arial" w:hAnsi="Arial" w:cs="Arial"/>
        </w:rPr>
        <w:t xml:space="preserve">Bansal, A., Mukherjee, S. and Prayag, G. (2025) ‘From crisis to care: Redesigning work and jobs for employee well-being in hospitality and tourism’, </w:t>
      </w:r>
      <w:r w:rsidRPr="00B202B3">
        <w:rPr>
          <w:rFonts w:ascii="Arial" w:hAnsi="Arial" w:cs="Arial"/>
          <w:i/>
          <w:iCs/>
        </w:rPr>
        <w:t>Tourism and Hospitality Research</w:t>
      </w:r>
      <w:r w:rsidRPr="00B202B3">
        <w:rPr>
          <w:rFonts w:ascii="Arial" w:hAnsi="Arial" w:cs="Arial"/>
        </w:rPr>
        <w:t xml:space="preserve">, p.14673584251321038. </w:t>
      </w:r>
      <w:hyperlink r:id="rId8" w:tgtFrame="_new" w:history="1">
        <w:r w:rsidRPr="00B202B3">
          <w:rPr>
            <w:rStyle w:val="Hyperlink"/>
            <w:rFonts w:ascii="Arial" w:hAnsi="Arial" w:cs="Arial"/>
          </w:rPr>
          <w:t>https://doi.org/10.1177/14673584251321038</w:t>
        </w:r>
      </w:hyperlink>
    </w:p>
    <w:p w14:paraId="68DE5E2C" w14:textId="77777777" w:rsidR="008C0538" w:rsidRPr="00B202B3" w:rsidRDefault="008C0538" w:rsidP="00150427">
      <w:pPr>
        <w:spacing w:line="360" w:lineRule="auto"/>
        <w:rPr>
          <w:rFonts w:ascii="Arial" w:hAnsi="Arial" w:cs="Arial"/>
        </w:rPr>
      </w:pPr>
      <w:r w:rsidRPr="00B202B3">
        <w:rPr>
          <w:rFonts w:ascii="Arial" w:hAnsi="Arial" w:cs="Arial"/>
        </w:rPr>
        <w:t xml:space="preserve">Bi, Y., Choi, S., Yin, J. and Kim, I. (2021) ‘Stress on frontline employees from customer aggression in the restaurant industry: The moderating effect of empowerment’, </w:t>
      </w:r>
      <w:r w:rsidRPr="00B202B3">
        <w:rPr>
          <w:rFonts w:ascii="Arial" w:hAnsi="Arial" w:cs="Arial"/>
          <w:i/>
          <w:iCs/>
        </w:rPr>
        <w:t>Sustainability</w:t>
      </w:r>
      <w:r w:rsidRPr="00B202B3">
        <w:rPr>
          <w:rFonts w:ascii="Arial" w:hAnsi="Arial" w:cs="Arial"/>
        </w:rPr>
        <w:t xml:space="preserve">, 13(3), p.1433. </w:t>
      </w:r>
      <w:hyperlink r:id="rId9" w:tgtFrame="_new" w:history="1">
        <w:r w:rsidRPr="00B202B3">
          <w:rPr>
            <w:rStyle w:val="Hyperlink"/>
            <w:rFonts w:ascii="Arial" w:hAnsi="Arial" w:cs="Arial"/>
          </w:rPr>
          <w:t>https://doi.org/10.3390/su13031433</w:t>
        </w:r>
      </w:hyperlink>
    </w:p>
    <w:p w14:paraId="35CFB8CB" w14:textId="77777777" w:rsidR="008C0538" w:rsidRPr="00B202B3" w:rsidRDefault="008C0538" w:rsidP="00150427">
      <w:pPr>
        <w:spacing w:line="360" w:lineRule="auto"/>
        <w:rPr>
          <w:rFonts w:ascii="Arial" w:hAnsi="Arial" w:cs="Arial"/>
        </w:rPr>
      </w:pPr>
      <w:r w:rsidRPr="00B202B3">
        <w:rPr>
          <w:rFonts w:ascii="Arial" w:hAnsi="Arial" w:cs="Arial"/>
        </w:rPr>
        <w:t xml:space="preserve">Calitz, K. (2022) </w:t>
      </w:r>
      <w:r w:rsidRPr="00B202B3">
        <w:rPr>
          <w:rFonts w:ascii="Arial" w:hAnsi="Arial" w:cs="Arial"/>
          <w:i/>
          <w:iCs/>
        </w:rPr>
        <w:t>Burnout in the workplace</w:t>
      </w:r>
      <w:r w:rsidRPr="00B202B3">
        <w:rPr>
          <w:rFonts w:ascii="Arial" w:hAnsi="Arial" w:cs="Arial"/>
        </w:rPr>
        <w:t xml:space="preserve">. Available at: </w:t>
      </w:r>
      <w:hyperlink r:id="rId10" w:tgtFrame="_new" w:history="1">
        <w:r w:rsidRPr="00B202B3">
          <w:rPr>
            <w:rStyle w:val="Hyperlink"/>
            <w:rFonts w:ascii="Arial" w:hAnsi="Arial" w:cs="Arial"/>
          </w:rPr>
          <w:t>https://www.researchgate.net/publication/361853814_BURNOUT_IN_THE_WORKPLACE</w:t>
        </w:r>
      </w:hyperlink>
      <w:r w:rsidRPr="00B202B3">
        <w:rPr>
          <w:rFonts w:ascii="Arial" w:hAnsi="Arial" w:cs="Arial"/>
        </w:rPr>
        <w:t xml:space="preserve"> ..</w:t>
      </w:r>
    </w:p>
    <w:p w14:paraId="7CF1126B" w14:textId="77777777" w:rsidR="008C0538" w:rsidRPr="00B202B3" w:rsidRDefault="008C0538" w:rsidP="00150427">
      <w:pPr>
        <w:spacing w:line="360" w:lineRule="auto"/>
        <w:rPr>
          <w:rFonts w:ascii="Arial" w:hAnsi="Arial" w:cs="Arial"/>
        </w:rPr>
      </w:pPr>
      <w:r w:rsidRPr="00B202B3">
        <w:rPr>
          <w:rFonts w:ascii="Arial" w:hAnsi="Arial" w:cs="Arial"/>
        </w:rPr>
        <w:t xml:space="preserve">Choi, S. (2024) </w:t>
      </w:r>
      <w:r w:rsidRPr="00B202B3">
        <w:rPr>
          <w:rFonts w:ascii="Arial" w:hAnsi="Arial" w:cs="Arial"/>
          <w:i/>
          <w:iCs/>
        </w:rPr>
        <w:t>Stress at the crossroads: Work-family conflict and physical and psychological stress in the hotel industry</w:t>
      </w:r>
      <w:r w:rsidRPr="00B202B3">
        <w:rPr>
          <w:rFonts w:ascii="Arial" w:hAnsi="Arial" w:cs="Arial"/>
        </w:rPr>
        <w:t xml:space="preserve">. Available at: </w:t>
      </w:r>
      <w:hyperlink r:id="rId11" w:tgtFrame="_new" w:history="1">
        <w:r w:rsidRPr="00B202B3">
          <w:rPr>
            <w:rStyle w:val="Hyperlink"/>
            <w:rFonts w:ascii="Arial" w:hAnsi="Arial" w:cs="Arial"/>
          </w:rPr>
          <w:t>https://www.mdpi.com/2071-1050/16/16/6975</w:t>
        </w:r>
      </w:hyperlink>
      <w:r w:rsidRPr="00B202B3">
        <w:rPr>
          <w:rFonts w:ascii="Arial" w:hAnsi="Arial" w:cs="Arial"/>
        </w:rPr>
        <w:t xml:space="preserve"> ..</w:t>
      </w:r>
    </w:p>
    <w:p w14:paraId="475C886F" w14:textId="77777777" w:rsidR="008C0538" w:rsidRPr="00B202B3" w:rsidRDefault="008C0538" w:rsidP="00150427">
      <w:pPr>
        <w:spacing w:line="360" w:lineRule="auto"/>
        <w:rPr>
          <w:rFonts w:ascii="Arial" w:hAnsi="Arial" w:cs="Arial"/>
        </w:rPr>
      </w:pPr>
      <w:r w:rsidRPr="00B202B3">
        <w:rPr>
          <w:rFonts w:ascii="Arial" w:hAnsi="Arial" w:cs="Arial"/>
        </w:rPr>
        <w:t xml:space="preserve">Davis, K.K. (2024) </w:t>
      </w:r>
      <w:r w:rsidRPr="00B202B3">
        <w:rPr>
          <w:rFonts w:ascii="Arial" w:hAnsi="Arial" w:cs="Arial"/>
          <w:i/>
          <w:iCs/>
        </w:rPr>
        <w:t>The impact of health-oriented leadership on employee strain and organizational support</w:t>
      </w:r>
      <w:r w:rsidRPr="00B202B3">
        <w:rPr>
          <w:rFonts w:ascii="Arial" w:hAnsi="Arial" w:cs="Arial"/>
        </w:rPr>
        <w:t xml:space="preserve">. Doctoral dissertation. The Chicago School of Professional Psychology. Available at: </w:t>
      </w:r>
      <w:hyperlink r:id="rId12" w:tgtFrame="_new" w:history="1">
        <w:r w:rsidRPr="00B202B3">
          <w:rPr>
            <w:rStyle w:val="Hyperlink"/>
            <w:rFonts w:ascii="Arial" w:hAnsi="Arial" w:cs="Arial"/>
          </w:rPr>
          <w:t>https://www.proquest.com/openview/17c9bb954bbefaad933070d1a8a85f95/1.pdf</w:t>
        </w:r>
      </w:hyperlink>
      <w:r w:rsidRPr="00B202B3">
        <w:rPr>
          <w:rFonts w:ascii="Arial" w:hAnsi="Arial" w:cs="Arial"/>
        </w:rPr>
        <w:t xml:space="preserve"> ..</w:t>
      </w:r>
    </w:p>
    <w:p w14:paraId="43EAE403" w14:textId="77777777" w:rsidR="008C0538" w:rsidRPr="00B202B3" w:rsidRDefault="008C0538" w:rsidP="00150427">
      <w:pPr>
        <w:spacing w:line="360" w:lineRule="auto"/>
        <w:rPr>
          <w:rFonts w:ascii="Arial" w:hAnsi="Arial" w:cs="Arial"/>
        </w:rPr>
      </w:pPr>
      <w:r w:rsidRPr="00B202B3">
        <w:rPr>
          <w:rFonts w:ascii="Arial" w:hAnsi="Arial" w:cs="Arial"/>
        </w:rPr>
        <w:lastRenderedPageBreak/>
        <w:t xml:space="preserve">de Oliveira, B.S. and Sohn, A.P.L. (2025) ‘Emotional intelligence in tourism and hospitality: A bibliometric analysis’, </w:t>
      </w:r>
      <w:r w:rsidRPr="00B202B3">
        <w:rPr>
          <w:rFonts w:ascii="Arial" w:hAnsi="Arial" w:cs="Arial"/>
          <w:i/>
          <w:iCs/>
        </w:rPr>
        <w:t>International Journal of Hospitality Management</w:t>
      </w:r>
      <w:r w:rsidRPr="00B202B3">
        <w:rPr>
          <w:rFonts w:ascii="Arial" w:hAnsi="Arial" w:cs="Arial"/>
        </w:rPr>
        <w:t xml:space="preserve">, 128, p.104141. </w:t>
      </w:r>
      <w:hyperlink r:id="rId13" w:tgtFrame="_new" w:history="1">
        <w:r w:rsidRPr="00B202B3">
          <w:rPr>
            <w:rStyle w:val="Hyperlink"/>
            <w:rFonts w:ascii="Arial" w:hAnsi="Arial" w:cs="Arial"/>
          </w:rPr>
          <w:t>https://doi.org/10.1016/j.ijhm.2025.104141</w:t>
        </w:r>
      </w:hyperlink>
    </w:p>
    <w:p w14:paraId="253A3131" w14:textId="77777777" w:rsidR="008C0538" w:rsidRPr="00B202B3" w:rsidRDefault="008C0538" w:rsidP="00150427">
      <w:pPr>
        <w:spacing w:line="360" w:lineRule="auto"/>
        <w:rPr>
          <w:rFonts w:ascii="Arial" w:hAnsi="Arial" w:cs="Arial"/>
        </w:rPr>
      </w:pPr>
      <w:r w:rsidRPr="00B202B3">
        <w:rPr>
          <w:rFonts w:ascii="Arial" w:hAnsi="Arial" w:cs="Arial"/>
        </w:rPr>
        <w:t xml:space="preserve">Grimmond, T., King, T., LaMontagne, A.D., </w:t>
      </w:r>
      <w:proofErr w:type="spellStart"/>
      <w:r w:rsidRPr="00B202B3">
        <w:rPr>
          <w:rFonts w:ascii="Arial" w:hAnsi="Arial" w:cs="Arial"/>
        </w:rPr>
        <w:t>Oostermeijer</w:t>
      </w:r>
      <w:proofErr w:type="spellEnd"/>
      <w:r w:rsidRPr="00B202B3">
        <w:rPr>
          <w:rFonts w:ascii="Arial" w:hAnsi="Arial" w:cs="Arial"/>
        </w:rPr>
        <w:t xml:space="preserve">, S., </w:t>
      </w:r>
      <w:proofErr w:type="spellStart"/>
      <w:r w:rsidRPr="00B202B3">
        <w:rPr>
          <w:rFonts w:ascii="Arial" w:hAnsi="Arial" w:cs="Arial"/>
        </w:rPr>
        <w:t>Harrap</w:t>
      </w:r>
      <w:proofErr w:type="spellEnd"/>
      <w:r w:rsidRPr="00B202B3">
        <w:rPr>
          <w:rFonts w:ascii="Arial" w:hAnsi="Arial" w:cs="Arial"/>
        </w:rPr>
        <w:t>, B., Newberry</w:t>
      </w:r>
      <w:r w:rsidRPr="00B202B3">
        <w:rPr>
          <w:rFonts w:ascii="Cambria Math" w:hAnsi="Cambria Math" w:cs="Cambria Math"/>
        </w:rPr>
        <w:t>‐</w:t>
      </w:r>
      <w:proofErr w:type="spellStart"/>
      <w:r w:rsidRPr="00B202B3">
        <w:rPr>
          <w:rFonts w:ascii="Arial" w:hAnsi="Arial" w:cs="Arial"/>
        </w:rPr>
        <w:t>Dupé</w:t>
      </w:r>
      <w:proofErr w:type="spellEnd"/>
      <w:r w:rsidRPr="00B202B3">
        <w:rPr>
          <w:rFonts w:ascii="Arial" w:hAnsi="Arial" w:cs="Arial"/>
        </w:rPr>
        <w:t>, J. and Reavley, N. (2024) ‘Workplace</w:t>
      </w:r>
      <w:r w:rsidRPr="00B202B3">
        <w:rPr>
          <w:rFonts w:ascii="Cambria Math" w:hAnsi="Cambria Math" w:cs="Cambria Math"/>
        </w:rPr>
        <w:t>‐</w:t>
      </w:r>
      <w:r w:rsidRPr="00B202B3">
        <w:rPr>
          <w:rFonts w:ascii="Arial" w:hAnsi="Arial" w:cs="Arial"/>
        </w:rPr>
        <w:t>related determinants of mental health in food and bar workers in Western, high</w:t>
      </w:r>
      <w:r w:rsidRPr="00B202B3">
        <w:rPr>
          <w:rFonts w:ascii="Cambria Math" w:hAnsi="Cambria Math" w:cs="Cambria Math"/>
        </w:rPr>
        <w:t>‐</w:t>
      </w:r>
      <w:r w:rsidRPr="00B202B3">
        <w:rPr>
          <w:rFonts w:ascii="Arial" w:hAnsi="Arial" w:cs="Arial"/>
        </w:rPr>
        <w:t xml:space="preserve">income countries: A systematic review’, </w:t>
      </w:r>
      <w:r w:rsidRPr="00B202B3">
        <w:rPr>
          <w:rFonts w:ascii="Arial" w:hAnsi="Arial" w:cs="Arial"/>
          <w:i/>
          <w:iCs/>
        </w:rPr>
        <w:t>American Journal of Industrial Medicine</w:t>
      </w:r>
      <w:r w:rsidRPr="00B202B3">
        <w:rPr>
          <w:rFonts w:ascii="Arial" w:hAnsi="Arial" w:cs="Arial"/>
        </w:rPr>
        <w:t xml:space="preserve">, 67(8), pp.696–711. </w:t>
      </w:r>
      <w:hyperlink r:id="rId14" w:tgtFrame="_new" w:history="1">
        <w:r w:rsidRPr="00B202B3">
          <w:rPr>
            <w:rStyle w:val="Hyperlink"/>
            <w:rFonts w:ascii="Arial" w:hAnsi="Arial" w:cs="Arial"/>
          </w:rPr>
          <w:t>https://doi.org/10.1002/ajim.23620</w:t>
        </w:r>
      </w:hyperlink>
    </w:p>
    <w:p w14:paraId="447DE012" w14:textId="77777777" w:rsidR="008C0538" w:rsidRPr="00B202B3" w:rsidRDefault="008C0538" w:rsidP="00150427">
      <w:pPr>
        <w:spacing w:line="360" w:lineRule="auto"/>
        <w:rPr>
          <w:rFonts w:ascii="Arial" w:hAnsi="Arial" w:cs="Arial"/>
        </w:rPr>
      </w:pPr>
      <w:r w:rsidRPr="00B202B3">
        <w:rPr>
          <w:rFonts w:ascii="Arial" w:hAnsi="Arial" w:cs="Arial"/>
        </w:rPr>
        <w:t xml:space="preserve">Gruber, E.N. and </w:t>
      </w:r>
      <w:proofErr w:type="spellStart"/>
      <w:r w:rsidRPr="00B202B3">
        <w:rPr>
          <w:rFonts w:ascii="Arial" w:hAnsi="Arial" w:cs="Arial"/>
        </w:rPr>
        <w:t>Biocina</w:t>
      </w:r>
      <w:proofErr w:type="spellEnd"/>
      <w:r w:rsidRPr="00B202B3">
        <w:rPr>
          <w:rFonts w:ascii="Arial" w:hAnsi="Arial" w:cs="Arial"/>
        </w:rPr>
        <w:t xml:space="preserve">, S.M. (2024) ‘Problem-focused coping strategies and high self-compassion as protective factors to lower stress, negative emotional reactions to job and anxiety’, </w:t>
      </w:r>
      <w:r w:rsidRPr="00B202B3">
        <w:rPr>
          <w:rFonts w:ascii="Arial" w:hAnsi="Arial" w:cs="Arial"/>
          <w:i/>
          <w:iCs/>
        </w:rPr>
        <w:t>European Psychiatry</w:t>
      </w:r>
      <w:r w:rsidRPr="00B202B3">
        <w:rPr>
          <w:rFonts w:ascii="Arial" w:hAnsi="Arial" w:cs="Arial"/>
        </w:rPr>
        <w:t xml:space="preserve">, 67(S1), pp.S568–S569. </w:t>
      </w:r>
      <w:hyperlink r:id="rId15" w:tgtFrame="_new" w:history="1">
        <w:r w:rsidRPr="00B202B3">
          <w:rPr>
            <w:rStyle w:val="Hyperlink"/>
            <w:rFonts w:ascii="Arial" w:hAnsi="Arial" w:cs="Arial"/>
          </w:rPr>
          <w:t>https://doi.org/10.42243/j.cesp.20427</w:t>
        </w:r>
      </w:hyperlink>
    </w:p>
    <w:p w14:paraId="2C09E004" w14:textId="77777777" w:rsidR="008C0538" w:rsidRPr="00B202B3" w:rsidRDefault="008C0538" w:rsidP="00150427">
      <w:pPr>
        <w:spacing w:line="360" w:lineRule="auto"/>
        <w:rPr>
          <w:rFonts w:ascii="Arial" w:hAnsi="Arial" w:cs="Arial"/>
        </w:rPr>
      </w:pPr>
      <w:r w:rsidRPr="00B202B3">
        <w:rPr>
          <w:rFonts w:ascii="Arial" w:hAnsi="Arial" w:cs="Arial"/>
        </w:rPr>
        <w:t xml:space="preserve">Harris, C. and Williamson, D. (2008) ‘From hospitality work to hospitable working: Increasing productivity and decreasing staff turnover in a New Zealand hotel’, in </w:t>
      </w:r>
      <w:r w:rsidRPr="00B202B3">
        <w:rPr>
          <w:rFonts w:ascii="Arial" w:hAnsi="Arial" w:cs="Arial"/>
          <w:i/>
          <w:iCs/>
        </w:rPr>
        <w:t>CAUTHE 2008: Tourism and Hospitality Research, Training and Practice: “Where the ‘Bloody Hell’ Are We?”</w:t>
      </w:r>
      <w:r w:rsidRPr="00B202B3">
        <w:rPr>
          <w:rFonts w:ascii="Arial" w:hAnsi="Arial" w:cs="Arial"/>
        </w:rPr>
        <w:t xml:space="preserve"> Gold Coast, Qld.: Griffith University, pp.1014–1031. </w:t>
      </w:r>
      <w:hyperlink r:id="rId16" w:tgtFrame="_new" w:history="1">
        <w:r w:rsidRPr="00B202B3">
          <w:rPr>
            <w:rStyle w:val="Hyperlink"/>
            <w:rFonts w:ascii="Arial" w:hAnsi="Arial" w:cs="Arial"/>
          </w:rPr>
          <w:t>https://search.informit.org/doi/10.3316/informit.996702932910870</w:t>
        </w:r>
      </w:hyperlink>
    </w:p>
    <w:p w14:paraId="11E3CC41" w14:textId="77777777" w:rsidR="008C0538" w:rsidRPr="00B202B3" w:rsidRDefault="008C0538" w:rsidP="00150427">
      <w:pPr>
        <w:spacing w:line="360" w:lineRule="auto"/>
        <w:rPr>
          <w:rFonts w:ascii="Arial" w:hAnsi="Arial" w:cs="Arial"/>
        </w:rPr>
      </w:pPr>
      <w:r w:rsidRPr="00B202B3">
        <w:rPr>
          <w:rFonts w:ascii="Arial" w:hAnsi="Arial" w:cs="Arial"/>
        </w:rPr>
        <w:t xml:space="preserve">Hospitality Net (2025) </w:t>
      </w:r>
      <w:r w:rsidRPr="00B202B3">
        <w:rPr>
          <w:rFonts w:ascii="Arial" w:hAnsi="Arial" w:cs="Arial"/>
          <w:i/>
          <w:iCs/>
        </w:rPr>
        <w:t>Taking the temperature: Mental health and wellbeing survey 2025</w:t>
      </w:r>
      <w:r w:rsidRPr="00B202B3">
        <w:rPr>
          <w:rFonts w:ascii="Arial" w:hAnsi="Arial" w:cs="Arial"/>
        </w:rPr>
        <w:t xml:space="preserve">. </w:t>
      </w:r>
      <w:proofErr w:type="spellStart"/>
      <w:r w:rsidRPr="00B202B3">
        <w:rPr>
          <w:rFonts w:ascii="Arial" w:hAnsi="Arial" w:cs="Arial"/>
        </w:rPr>
        <w:t>Agilysis</w:t>
      </w:r>
      <w:proofErr w:type="spellEnd"/>
      <w:r w:rsidRPr="00B202B3">
        <w:rPr>
          <w:rFonts w:ascii="Arial" w:hAnsi="Arial" w:cs="Arial"/>
        </w:rPr>
        <w:t xml:space="preserve">. Available at: </w:t>
      </w:r>
      <w:hyperlink r:id="rId17" w:tgtFrame="_new" w:history="1">
        <w:r w:rsidRPr="00B202B3">
          <w:rPr>
            <w:rStyle w:val="Hyperlink"/>
            <w:rFonts w:ascii="Arial" w:hAnsi="Arial" w:cs="Arial"/>
          </w:rPr>
          <w:t>https://www.hospitalitynet.org/news/4127416.html</w:t>
        </w:r>
      </w:hyperlink>
      <w:r w:rsidRPr="00B202B3">
        <w:rPr>
          <w:rFonts w:ascii="Arial" w:hAnsi="Arial" w:cs="Arial"/>
        </w:rPr>
        <w:t xml:space="preserve"> ..</w:t>
      </w:r>
    </w:p>
    <w:p w14:paraId="6B1F8212" w14:textId="77777777" w:rsidR="008C0538" w:rsidRPr="00B202B3" w:rsidRDefault="008C0538" w:rsidP="00150427">
      <w:pPr>
        <w:spacing w:line="360" w:lineRule="auto"/>
        <w:rPr>
          <w:rFonts w:ascii="Arial" w:hAnsi="Arial" w:cs="Arial"/>
        </w:rPr>
      </w:pPr>
      <w:proofErr w:type="spellStart"/>
      <w:r w:rsidRPr="00B202B3">
        <w:rPr>
          <w:rFonts w:ascii="Arial" w:hAnsi="Arial" w:cs="Arial"/>
        </w:rPr>
        <w:t>Ifeel</w:t>
      </w:r>
      <w:proofErr w:type="spellEnd"/>
      <w:r w:rsidRPr="00B202B3">
        <w:rPr>
          <w:rFonts w:ascii="Arial" w:hAnsi="Arial" w:cs="Arial"/>
        </w:rPr>
        <w:t xml:space="preserve"> (2025) </w:t>
      </w:r>
      <w:r w:rsidRPr="00B202B3">
        <w:rPr>
          <w:rFonts w:ascii="Arial" w:hAnsi="Arial" w:cs="Arial"/>
          <w:i/>
          <w:iCs/>
        </w:rPr>
        <w:t>Mental health in the retail sector: Insights from a success story</w:t>
      </w:r>
      <w:r w:rsidRPr="00B202B3">
        <w:rPr>
          <w:rFonts w:ascii="Arial" w:hAnsi="Arial" w:cs="Arial"/>
        </w:rPr>
        <w:t xml:space="preserve">. Available at: </w:t>
      </w:r>
      <w:hyperlink r:id="rId18" w:tgtFrame="_new" w:history="1">
        <w:r w:rsidRPr="00B202B3">
          <w:rPr>
            <w:rStyle w:val="Hyperlink"/>
            <w:rFonts w:ascii="Arial" w:hAnsi="Arial" w:cs="Arial"/>
          </w:rPr>
          <w:t>https://ifeelonline.com/occupational-health/retail-sector/</w:t>
        </w:r>
      </w:hyperlink>
      <w:r w:rsidRPr="00B202B3">
        <w:rPr>
          <w:rFonts w:ascii="Arial" w:hAnsi="Arial" w:cs="Arial"/>
        </w:rPr>
        <w:t xml:space="preserve"> ..</w:t>
      </w:r>
    </w:p>
    <w:p w14:paraId="32CDF00A" w14:textId="77777777" w:rsidR="008C0538" w:rsidRPr="00B202B3" w:rsidRDefault="008C0538" w:rsidP="00150427">
      <w:pPr>
        <w:spacing w:line="360" w:lineRule="auto"/>
        <w:rPr>
          <w:rFonts w:ascii="Arial" w:hAnsi="Arial" w:cs="Arial"/>
        </w:rPr>
      </w:pPr>
      <w:r w:rsidRPr="00B202B3">
        <w:rPr>
          <w:rFonts w:ascii="Arial" w:hAnsi="Arial" w:cs="Arial"/>
        </w:rPr>
        <w:t xml:space="preserve">Iverson, R.D. and Deery, M. (1997) ‘Turnover culture in the hospitality industry’, </w:t>
      </w:r>
      <w:r w:rsidRPr="00B202B3">
        <w:rPr>
          <w:rFonts w:ascii="Arial" w:hAnsi="Arial" w:cs="Arial"/>
          <w:i/>
          <w:iCs/>
        </w:rPr>
        <w:t>Human Resource Management Journal</w:t>
      </w:r>
      <w:r w:rsidRPr="00B202B3">
        <w:rPr>
          <w:rFonts w:ascii="Arial" w:hAnsi="Arial" w:cs="Arial"/>
        </w:rPr>
        <w:t xml:space="preserve">, 7(4), pp.71–82. </w:t>
      </w:r>
      <w:hyperlink r:id="rId19" w:tgtFrame="_new" w:history="1">
        <w:r w:rsidRPr="00B202B3">
          <w:rPr>
            <w:rStyle w:val="Hyperlink"/>
            <w:rFonts w:ascii="Arial" w:hAnsi="Arial" w:cs="Arial"/>
          </w:rPr>
          <w:t>https://doi.org/10.1111/j.1748-8583.1997.tb00290.x</w:t>
        </w:r>
      </w:hyperlink>
    </w:p>
    <w:p w14:paraId="217E8115" w14:textId="77777777" w:rsidR="008C0538" w:rsidRPr="00B202B3" w:rsidRDefault="008C0538" w:rsidP="00150427">
      <w:pPr>
        <w:spacing w:line="360" w:lineRule="auto"/>
        <w:rPr>
          <w:rFonts w:ascii="Arial" w:hAnsi="Arial" w:cs="Arial"/>
        </w:rPr>
      </w:pPr>
      <w:r w:rsidRPr="00B202B3">
        <w:rPr>
          <w:rFonts w:ascii="Arial" w:hAnsi="Arial" w:cs="Arial"/>
        </w:rPr>
        <w:t xml:space="preserve">Khawaja, K.F., Sarfraz, M., Rashid, M. and Rashid, M. (2022) ‘How is COVID-19 pandemic causing employee withdrawal behaviour in the hospitality industry? An empirical investigation’, </w:t>
      </w:r>
      <w:r w:rsidRPr="00B202B3">
        <w:rPr>
          <w:rFonts w:ascii="Arial" w:hAnsi="Arial" w:cs="Arial"/>
          <w:i/>
          <w:iCs/>
        </w:rPr>
        <w:t>Journal of Hospitality and Tourism Insights</w:t>
      </w:r>
      <w:r w:rsidRPr="00B202B3">
        <w:rPr>
          <w:rFonts w:ascii="Arial" w:hAnsi="Arial" w:cs="Arial"/>
        </w:rPr>
        <w:t xml:space="preserve">, 5(3), pp.687–706. </w:t>
      </w:r>
      <w:hyperlink r:id="rId20" w:tgtFrame="_new" w:history="1">
        <w:r w:rsidRPr="00B202B3">
          <w:rPr>
            <w:rStyle w:val="Hyperlink"/>
            <w:rFonts w:ascii="Arial" w:hAnsi="Arial" w:cs="Arial"/>
          </w:rPr>
          <w:t>https://doi.org/10.1108/JHTI-01-2021-0002</w:t>
        </w:r>
      </w:hyperlink>
    </w:p>
    <w:p w14:paraId="0D2AC71E" w14:textId="77777777" w:rsidR="008C0538" w:rsidRPr="00B202B3" w:rsidRDefault="008C0538" w:rsidP="00150427">
      <w:pPr>
        <w:spacing w:line="360" w:lineRule="auto"/>
        <w:rPr>
          <w:rFonts w:ascii="Arial" w:hAnsi="Arial" w:cs="Arial"/>
        </w:rPr>
      </w:pPr>
      <w:r w:rsidRPr="00B202B3">
        <w:rPr>
          <w:rFonts w:ascii="Arial" w:hAnsi="Arial" w:cs="Arial"/>
        </w:rPr>
        <w:t xml:space="preserve">Krikonis, K., </w:t>
      </w:r>
      <w:proofErr w:type="spellStart"/>
      <w:r w:rsidRPr="00B202B3">
        <w:rPr>
          <w:rFonts w:ascii="Arial" w:hAnsi="Arial" w:cs="Arial"/>
        </w:rPr>
        <w:t>Konstantaras</w:t>
      </w:r>
      <w:proofErr w:type="spellEnd"/>
      <w:r w:rsidRPr="00B202B3">
        <w:rPr>
          <w:rFonts w:ascii="Arial" w:hAnsi="Arial" w:cs="Arial"/>
        </w:rPr>
        <w:t xml:space="preserve">, I., Georgiou, A.C., </w:t>
      </w:r>
      <w:proofErr w:type="spellStart"/>
      <w:r w:rsidRPr="00B202B3">
        <w:rPr>
          <w:rFonts w:ascii="Arial" w:hAnsi="Arial" w:cs="Arial"/>
        </w:rPr>
        <w:t>Skouri</w:t>
      </w:r>
      <w:proofErr w:type="spellEnd"/>
      <w:r w:rsidRPr="00B202B3">
        <w:rPr>
          <w:rFonts w:ascii="Arial" w:hAnsi="Arial" w:cs="Arial"/>
        </w:rPr>
        <w:t xml:space="preserve">, K. and </w:t>
      </w:r>
      <w:proofErr w:type="spellStart"/>
      <w:r w:rsidRPr="00B202B3">
        <w:rPr>
          <w:rFonts w:ascii="Arial" w:hAnsi="Arial" w:cs="Arial"/>
        </w:rPr>
        <w:t>Jelastopulu</w:t>
      </w:r>
      <w:proofErr w:type="spellEnd"/>
      <w:r w:rsidRPr="00B202B3">
        <w:rPr>
          <w:rFonts w:ascii="Arial" w:hAnsi="Arial" w:cs="Arial"/>
        </w:rPr>
        <w:t xml:space="preserve">, E. (2025) ‘The impact of COVID-19 on hospitality employees’ mental health: The moderating </w:t>
      </w:r>
      <w:r w:rsidRPr="00B202B3">
        <w:rPr>
          <w:rFonts w:ascii="Arial" w:hAnsi="Arial" w:cs="Arial"/>
        </w:rPr>
        <w:lastRenderedPageBreak/>
        <w:t xml:space="preserve">role of job location selection’, </w:t>
      </w:r>
      <w:r w:rsidRPr="00B202B3">
        <w:rPr>
          <w:rFonts w:ascii="Arial" w:hAnsi="Arial" w:cs="Arial"/>
          <w:i/>
          <w:iCs/>
        </w:rPr>
        <w:t>International Journal of Hospitality Management</w:t>
      </w:r>
      <w:r w:rsidRPr="00B202B3">
        <w:rPr>
          <w:rFonts w:ascii="Arial" w:hAnsi="Arial" w:cs="Arial"/>
        </w:rPr>
        <w:t xml:space="preserve">, 126, p.104065. </w:t>
      </w:r>
      <w:hyperlink r:id="rId21" w:tgtFrame="_new" w:history="1">
        <w:r w:rsidRPr="00B202B3">
          <w:rPr>
            <w:rStyle w:val="Hyperlink"/>
            <w:rFonts w:ascii="Arial" w:hAnsi="Arial" w:cs="Arial"/>
          </w:rPr>
          <w:t>https://doi.org/10.1016/j.ijhm.2024.104065</w:t>
        </w:r>
      </w:hyperlink>
    </w:p>
    <w:p w14:paraId="3D257E20" w14:textId="77777777" w:rsidR="008C0538" w:rsidRPr="00B202B3" w:rsidRDefault="008C0538" w:rsidP="00150427">
      <w:pPr>
        <w:spacing w:line="360" w:lineRule="auto"/>
        <w:rPr>
          <w:rFonts w:ascii="Arial" w:hAnsi="Arial" w:cs="Arial"/>
        </w:rPr>
      </w:pPr>
      <w:r w:rsidRPr="00B202B3">
        <w:rPr>
          <w:rFonts w:ascii="Arial" w:hAnsi="Arial" w:cs="Arial"/>
        </w:rPr>
        <w:t xml:space="preserve">Lam, L.T., Lam, M.K., Reddy, P. and Wong, P. (2022) ‘Efficacy of a workplace intervention program with web-based online and offline modalities for improving workers’ mental health’, </w:t>
      </w:r>
      <w:r w:rsidRPr="00B202B3">
        <w:rPr>
          <w:rFonts w:ascii="Arial" w:hAnsi="Arial" w:cs="Arial"/>
          <w:i/>
          <w:iCs/>
        </w:rPr>
        <w:t>Frontiers in Psychiatry</w:t>
      </w:r>
      <w:r w:rsidRPr="00B202B3">
        <w:rPr>
          <w:rFonts w:ascii="Arial" w:hAnsi="Arial" w:cs="Arial"/>
        </w:rPr>
        <w:t xml:space="preserve">, 13, p.888157. </w:t>
      </w:r>
      <w:hyperlink r:id="rId22" w:tgtFrame="_new" w:history="1">
        <w:r w:rsidRPr="00B202B3">
          <w:rPr>
            <w:rStyle w:val="Hyperlink"/>
            <w:rFonts w:ascii="Arial" w:hAnsi="Arial" w:cs="Arial"/>
          </w:rPr>
          <w:t>https://www.frontiersin.org/journals/psychiatry/articles/10.3389/fpsyt.2022.888157/pdf</w:t>
        </w:r>
      </w:hyperlink>
    </w:p>
    <w:p w14:paraId="62645C40" w14:textId="77777777" w:rsidR="008C0538" w:rsidRPr="00B202B3" w:rsidRDefault="008C0538" w:rsidP="00150427">
      <w:pPr>
        <w:spacing w:line="360" w:lineRule="auto"/>
        <w:rPr>
          <w:rFonts w:ascii="Arial" w:hAnsi="Arial" w:cs="Arial"/>
        </w:rPr>
      </w:pPr>
      <w:r w:rsidRPr="00B202B3">
        <w:rPr>
          <w:rFonts w:ascii="Arial" w:hAnsi="Arial" w:cs="Arial"/>
        </w:rPr>
        <w:t xml:space="preserve">Mental Health Commission of Canada (2022) </w:t>
      </w:r>
      <w:r w:rsidRPr="00B202B3">
        <w:rPr>
          <w:rFonts w:ascii="Arial" w:hAnsi="Arial" w:cs="Arial"/>
          <w:i/>
          <w:iCs/>
        </w:rPr>
        <w:t>Building mental health into retail and hospitality organizations: A simple guide</w:t>
      </w:r>
      <w:r w:rsidRPr="00B202B3">
        <w:rPr>
          <w:rFonts w:ascii="Arial" w:hAnsi="Arial" w:cs="Arial"/>
        </w:rPr>
        <w:t xml:space="preserve">. Available at: </w:t>
      </w:r>
      <w:hyperlink r:id="rId23" w:tgtFrame="_new" w:history="1">
        <w:r w:rsidRPr="00B202B3">
          <w:rPr>
            <w:rStyle w:val="Hyperlink"/>
            <w:rFonts w:ascii="Arial" w:hAnsi="Arial" w:cs="Arial"/>
          </w:rPr>
          <w:t>https://mentalhealthcommission.ca/wp-content/uploads/2022/07/Building-Mental-Health-into-Retail-and-Hospitality-Organizations.pdf</w:t>
        </w:r>
      </w:hyperlink>
      <w:r w:rsidRPr="00B202B3">
        <w:rPr>
          <w:rFonts w:ascii="Arial" w:hAnsi="Arial" w:cs="Arial"/>
        </w:rPr>
        <w:t xml:space="preserve"> ..</w:t>
      </w:r>
    </w:p>
    <w:p w14:paraId="3F340028" w14:textId="77777777" w:rsidR="008C0538" w:rsidRPr="00B202B3" w:rsidRDefault="008C0538" w:rsidP="00150427">
      <w:pPr>
        <w:spacing w:line="360" w:lineRule="auto"/>
        <w:rPr>
          <w:rFonts w:ascii="Arial" w:hAnsi="Arial" w:cs="Arial"/>
        </w:rPr>
      </w:pPr>
      <w:r w:rsidRPr="00B202B3">
        <w:rPr>
          <w:rFonts w:ascii="Arial" w:hAnsi="Arial" w:cs="Arial"/>
        </w:rPr>
        <w:t xml:space="preserve">Mind Share Partners (2025) </w:t>
      </w:r>
      <w:r w:rsidRPr="00B202B3">
        <w:rPr>
          <w:rFonts w:ascii="Arial" w:hAnsi="Arial" w:cs="Arial"/>
          <w:i/>
          <w:iCs/>
        </w:rPr>
        <w:t>Case study: Hyatt</w:t>
      </w:r>
      <w:r w:rsidRPr="00B202B3">
        <w:rPr>
          <w:rFonts w:ascii="Arial" w:hAnsi="Arial" w:cs="Arial"/>
        </w:rPr>
        <w:t xml:space="preserve">. Available at: </w:t>
      </w:r>
      <w:hyperlink r:id="rId24" w:tgtFrame="_new" w:history="1">
        <w:r w:rsidRPr="00B202B3">
          <w:rPr>
            <w:rStyle w:val="Hyperlink"/>
            <w:rFonts w:ascii="Arial" w:hAnsi="Arial" w:cs="Arial"/>
          </w:rPr>
          <w:t>https://www.mindsharepartners.org/blog/employee-wellbeing-case-study-hyatt</w:t>
        </w:r>
      </w:hyperlink>
      <w:r w:rsidRPr="00B202B3">
        <w:rPr>
          <w:rFonts w:ascii="Arial" w:hAnsi="Arial" w:cs="Arial"/>
        </w:rPr>
        <w:t xml:space="preserve"> ..</w:t>
      </w:r>
    </w:p>
    <w:p w14:paraId="48F6D081" w14:textId="77777777" w:rsidR="008C0538" w:rsidRPr="00B202B3" w:rsidRDefault="008C0538" w:rsidP="00150427">
      <w:pPr>
        <w:spacing w:line="360" w:lineRule="auto"/>
        <w:rPr>
          <w:rFonts w:ascii="Arial" w:hAnsi="Arial" w:cs="Arial"/>
        </w:rPr>
      </w:pPr>
      <w:r w:rsidRPr="00B202B3">
        <w:rPr>
          <w:rFonts w:ascii="Arial" w:hAnsi="Arial" w:cs="Arial"/>
        </w:rPr>
        <w:t xml:space="preserve">Nejad, L. and Thomson, K. (2022) </w:t>
      </w:r>
      <w:r w:rsidRPr="00B202B3">
        <w:rPr>
          <w:rFonts w:ascii="Arial" w:hAnsi="Arial" w:cs="Arial"/>
          <w:i/>
          <w:iCs/>
        </w:rPr>
        <w:t>Mental health in hospitality: The need for industry-specific solutions</w:t>
      </w:r>
      <w:r w:rsidRPr="00B202B3">
        <w:rPr>
          <w:rFonts w:ascii="Arial" w:hAnsi="Arial" w:cs="Arial"/>
        </w:rPr>
        <w:t xml:space="preserve">. Available at: </w:t>
      </w:r>
      <w:hyperlink r:id="rId25" w:tgtFrame="_new" w:history="1">
        <w:r w:rsidRPr="00B202B3">
          <w:rPr>
            <w:rStyle w:val="Hyperlink"/>
            <w:rFonts w:ascii="Arial" w:hAnsi="Arial" w:cs="Arial"/>
          </w:rPr>
          <w:t>https://www.researchgate.net/publication/364934927_Mental_Health_in_Hospitality_The_need_for_industry-specific_solutions</w:t>
        </w:r>
      </w:hyperlink>
      <w:r w:rsidRPr="00B202B3">
        <w:rPr>
          <w:rFonts w:ascii="Arial" w:hAnsi="Arial" w:cs="Arial"/>
        </w:rPr>
        <w:t xml:space="preserve"> ..</w:t>
      </w:r>
    </w:p>
    <w:p w14:paraId="3FA9B3C3" w14:textId="77777777" w:rsidR="008C0538" w:rsidRPr="00B202B3" w:rsidRDefault="008C0538" w:rsidP="00150427">
      <w:pPr>
        <w:spacing w:line="360" w:lineRule="auto"/>
        <w:rPr>
          <w:rFonts w:ascii="Arial" w:hAnsi="Arial" w:cs="Arial"/>
        </w:rPr>
      </w:pPr>
      <w:proofErr w:type="spellStart"/>
      <w:r w:rsidRPr="00B202B3">
        <w:rPr>
          <w:rFonts w:ascii="Arial" w:hAnsi="Arial" w:cs="Arial"/>
        </w:rPr>
        <w:t>Ozduran</w:t>
      </w:r>
      <w:proofErr w:type="spellEnd"/>
      <w:r w:rsidRPr="00B202B3">
        <w:rPr>
          <w:rFonts w:ascii="Arial" w:hAnsi="Arial" w:cs="Arial"/>
        </w:rPr>
        <w:t xml:space="preserve">, A., Ciftci, G., Kocak, E. and Arasli, H. (2023) </w:t>
      </w:r>
      <w:r w:rsidRPr="00B202B3">
        <w:rPr>
          <w:rFonts w:ascii="Arial" w:hAnsi="Arial" w:cs="Arial"/>
          <w:i/>
          <w:iCs/>
        </w:rPr>
        <w:t>Work-family conflict, subjective well-being, burnout and presenteeism in Northern Cyprus hotels</w:t>
      </w:r>
      <w:r w:rsidRPr="00B202B3">
        <w:rPr>
          <w:rFonts w:ascii="Arial" w:hAnsi="Arial" w:cs="Arial"/>
        </w:rPr>
        <w:t xml:space="preserve">. Available at: </w:t>
      </w:r>
      <w:hyperlink r:id="rId26" w:tgtFrame="_new" w:history="1">
        <w:r w:rsidRPr="00B202B3">
          <w:rPr>
            <w:rStyle w:val="Hyperlink"/>
            <w:rFonts w:ascii="Arial" w:hAnsi="Arial" w:cs="Arial"/>
          </w:rPr>
          <w:t>https://www.researchgate.net/publication/370831646_Work-family_conflict_subjective_well-being_burnout_and_their_effects_on_presenteeism</w:t>
        </w:r>
      </w:hyperlink>
      <w:r w:rsidRPr="00B202B3">
        <w:rPr>
          <w:rFonts w:ascii="Arial" w:hAnsi="Arial" w:cs="Arial"/>
        </w:rPr>
        <w:t xml:space="preserve"> ..</w:t>
      </w:r>
    </w:p>
    <w:p w14:paraId="6C6223F1" w14:textId="77777777" w:rsidR="008C0538" w:rsidRPr="00B202B3" w:rsidRDefault="008C0538" w:rsidP="00150427">
      <w:pPr>
        <w:spacing w:line="360" w:lineRule="auto"/>
        <w:rPr>
          <w:rFonts w:ascii="Arial" w:hAnsi="Arial" w:cs="Arial"/>
        </w:rPr>
      </w:pPr>
      <w:r w:rsidRPr="00B202B3">
        <w:rPr>
          <w:rFonts w:ascii="Arial" w:hAnsi="Arial" w:cs="Arial"/>
        </w:rPr>
        <w:t xml:space="preserve">Park, J. and Min, H.K. (2020) ‘Turnover intention in the hospitality industry: A meta-analysis’, </w:t>
      </w:r>
      <w:r w:rsidRPr="00B202B3">
        <w:rPr>
          <w:rFonts w:ascii="Arial" w:hAnsi="Arial" w:cs="Arial"/>
          <w:i/>
          <w:iCs/>
        </w:rPr>
        <w:t>International Journal of Hospitality Management</w:t>
      </w:r>
      <w:r w:rsidRPr="00B202B3">
        <w:rPr>
          <w:rFonts w:ascii="Arial" w:hAnsi="Arial" w:cs="Arial"/>
        </w:rPr>
        <w:t xml:space="preserve">, 90, p.102599. </w:t>
      </w:r>
      <w:hyperlink r:id="rId27" w:tgtFrame="_new" w:history="1">
        <w:r w:rsidRPr="00B202B3">
          <w:rPr>
            <w:rStyle w:val="Hyperlink"/>
            <w:rFonts w:ascii="Arial" w:hAnsi="Arial" w:cs="Arial"/>
          </w:rPr>
          <w:t>https://doi.org/10.1016/j.ijhm.2020.102599</w:t>
        </w:r>
      </w:hyperlink>
    </w:p>
    <w:p w14:paraId="0C09C82B" w14:textId="77777777" w:rsidR="008C0538" w:rsidRPr="00B202B3" w:rsidRDefault="008C0538" w:rsidP="00150427">
      <w:pPr>
        <w:spacing w:line="360" w:lineRule="auto"/>
        <w:rPr>
          <w:rFonts w:ascii="Arial" w:hAnsi="Arial" w:cs="Arial"/>
        </w:rPr>
      </w:pPr>
      <w:r w:rsidRPr="00B202B3">
        <w:rPr>
          <w:rFonts w:ascii="Arial" w:hAnsi="Arial" w:cs="Arial"/>
        </w:rPr>
        <w:t xml:space="preserve">Patel, K., </w:t>
      </w:r>
      <w:proofErr w:type="spellStart"/>
      <w:r w:rsidRPr="00B202B3">
        <w:rPr>
          <w:rFonts w:ascii="Arial" w:hAnsi="Arial" w:cs="Arial"/>
        </w:rPr>
        <w:t>Moukhtarian</w:t>
      </w:r>
      <w:proofErr w:type="spellEnd"/>
      <w:r w:rsidRPr="00B202B3">
        <w:rPr>
          <w:rFonts w:ascii="Arial" w:hAnsi="Arial" w:cs="Arial"/>
        </w:rPr>
        <w:t xml:space="preserve">, T.R., Russell, S., Daly, G., Walasek, L., Tang, N.K., Toro, C. and Meyer, C. (2022) ‘Digital cognitive behavioural therapy intervention in the workplace: Study protocol for a feasibility randomised waitlist-controlled trial to improve employee mental well-being, engagement and productivity’, </w:t>
      </w:r>
      <w:r w:rsidRPr="00B202B3">
        <w:rPr>
          <w:rFonts w:ascii="Arial" w:hAnsi="Arial" w:cs="Arial"/>
          <w:i/>
          <w:iCs/>
        </w:rPr>
        <w:t>BMJ Open</w:t>
      </w:r>
      <w:r w:rsidRPr="00B202B3">
        <w:rPr>
          <w:rFonts w:ascii="Arial" w:hAnsi="Arial" w:cs="Arial"/>
        </w:rPr>
        <w:t xml:space="preserve">, 12(12), p.e060545. </w:t>
      </w:r>
      <w:hyperlink r:id="rId28" w:tgtFrame="_new" w:history="1">
        <w:r w:rsidRPr="00B202B3">
          <w:rPr>
            <w:rStyle w:val="Hyperlink"/>
            <w:rFonts w:ascii="Arial" w:hAnsi="Arial" w:cs="Arial"/>
          </w:rPr>
          <w:t>https://doi.org/10.1136/bmjopen-2021-060545</w:t>
        </w:r>
      </w:hyperlink>
    </w:p>
    <w:p w14:paraId="6E50D796" w14:textId="77777777" w:rsidR="008C0538" w:rsidRPr="00B202B3" w:rsidRDefault="008C0538" w:rsidP="00150427">
      <w:pPr>
        <w:spacing w:line="360" w:lineRule="auto"/>
        <w:rPr>
          <w:rFonts w:ascii="Arial" w:hAnsi="Arial" w:cs="Arial"/>
        </w:rPr>
      </w:pPr>
      <w:r w:rsidRPr="00B202B3">
        <w:rPr>
          <w:rFonts w:ascii="Arial" w:hAnsi="Arial" w:cs="Arial"/>
        </w:rPr>
        <w:lastRenderedPageBreak/>
        <w:t xml:space="preserve">Petraglia, R. (2025) </w:t>
      </w:r>
      <w:r w:rsidRPr="00B202B3">
        <w:rPr>
          <w:rFonts w:ascii="Arial" w:hAnsi="Arial" w:cs="Arial"/>
          <w:i/>
          <w:iCs/>
        </w:rPr>
        <w:t>Mental health in hospitality: A growing priority</w:t>
      </w:r>
      <w:r w:rsidRPr="00B202B3">
        <w:rPr>
          <w:rFonts w:ascii="Arial" w:hAnsi="Arial" w:cs="Arial"/>
        </w:rPr>
        <w:t xml:space="preserve">. Strategic Solution Partners. Available at: </w:t>
      </w:r>
      <w:hyperlink r:id="rId29" w:tgtFrame="_new" w:history="1">
        <w:r w:rsidRPr="00B202B3">
          <w:rPr>
            <w:rStyle w:val="Hyperlink"/>
            <w:rFonts w:ascii="Arial" w:hAnsi="Arial" w:cs="Arial"/>
          </w:rPr>
          <w:t>https://www.strategicsolutionpartners.com/case-study-mental-health-in-hospitality-a-growing-priority/</w:t>
        </w:r>
      </w:hyperlink>
      <w:r w:rsidRPr="00B202B3">
        <w:rPr>
          <w:rFonts w:ascii="Arial" w:hAnsi="Arial" w:cs="Arial"/>
        </w:rPr>
        <w:t xml:space="preserve"> ..</w:t>
      </w:r>
    </w:p>
    <w:p w14:paraId="2E6B77A6" w14:textId="77777777" w:rsidR="008C0538" w:rsidRPr="00B202B3" w:rsidRDefault="008C0538" w:rsidP="00150427">
      <w:pPr>
        <w:spacing w:line="360" w:lineRule="auto"/>
        <w:rPr>
          <w:rFonts w:ascii="Arial" w:hAnsi="Arial" w:cs="Arial"/>
        </w:rPr>
      </w:pPr>
      <w:r w:rsidRPr="00B202B3">
        <w:rPr>
          <w:rFonts w:ascii="Arial" w:hAnsi="Arial" w:cs="Arial"/>
        </w:rPr>
        <w:t xml:space="preserve">Potgieter, G. and De Villiers, R. (2024) ‘Exploring breathwork concepts vis-à-vis the South African life skills curriculum and assessment policy statement’, </w:t>
      </w:r>
      <w:r w:rsidRPr="00B202B3">
        <w:rPr>
          <w:rFonts w:ascii="Arial" w:hAnsi="Arial" w:cs="Arial"/>
          <w:i/>
          <w:iCs/>
        </w:rPr>
        <w:t>Journal of Education (University of KwaZulu-Natal)</w:t>
      </w:r>
      <w:r w:rsidRPr="00B202B3">
        <w:rPr>
          <w:rFonts w:ascii="Arial" w:hAnsi="Arial" w:cs="Arial"/>
        </w:rPr>
        <w:t xml:space="preserve">, (97), pp.282–305. </w:t>
      </w:r>
      <w:hyperlink r:id="rId30" w:tgtFrame="_new" w:history="1">
        <w:r w:rsidRPr="00B202B3">
          <w:rPr>
            <w:rStyle w:val="Hyperlink"/>
            <w:rFonts w:ascii="Arial" w:hAnsi="Arial" w:cs="Arial"/>
          </w:rPr>
          <w:t>https://doi.org/10.17159/2520-9868/i97a14</w:t>
        </w:r>
      </w:hyperlink>
    </w:p>
    <w:p w14:paraId="6BD9F358" w14:textId="77777777" w:rsidR="008C0538" w:rsidRPr="00B202B3" w:rsidRDefault="008C0538" w:rsidP="00150427">
      <w:pPr>
        <w:spacing w:line="360" w:lineRule="auto"/>
        <w:rPr>
          <w:rFonts w:ascii="Arial" w:hAnsi="Arial" w:cs="Arial"/>
        </w:rPr>
      </w:pPr>
      <w:r w:rsidRPr="00B202B3">
        <w:rPr>
          <w:rFonts w:ascii="Arial" w:hAnsi="Arial" w:cs="Arial"/>
        </w:rPr>
        <w:t xml:space="preserve">SHRM (2025) </w:t>
      </w:r>
      <w:r w:rsidRPr="00B202B3">
        <w:rPr>
          <w:rFonts w:ascii="Arial" w:hAnsi="Arial" w:cs="Arial"/>
          <w:i/>
          <w:iCs/>
        </w:rPr>
        <w:t>Workplace mental health: May 2025 EN: Insights forum</w:t>
      </w:r>
      <w:r w:rsidRPr="00B202B3">
        <w:rPr>
          <w:rFonts w:ascii="Arial" w:hAnsi="Arial" w:cs="Arial"/>
        </w:rPr>
        <w:t xml:space="preserve">. Available at: </w:t>
      </w:r>
      <w:hyperlink r:id="rId31" w:tgtFrame="_new" w:history="1">
        <w:r w:rsidRPr="00B202B3">
          <w:rPr>
            <w:rStyle w:val="Hyperlink"/>
            <w:rFonts w:ascii="Arial" w:hAnsi="Arial" w:cs="Arial"/>
          </w:rPr>
          <w:t>https://www.shrm.org/executive-network/insights/research/workplace-mental-health-may-2025-en-insights-forum</w:t>
        </w:r>
      </w:hyperlink>
      <w:r w:rsidRPr="00B202B3">
        <w:rPr>
          <w:rFonts w:ascii="Arial" w:hAnsi="Arial" w:cs="Arial"/>
        </w:rPr>
        <w:t xml:space="preserve"> ..</w:t>
      </w:r>
    </w:p>
    <w:p w14:paraId="23596138" w14:textId="77777777" w:rsidR="008C0538" w:rsidRPr="00B202B3" w:rsidRDefault="008C0538" w:rsidP="00150427">
      <w:pPr>
        <w:spacing w:line="360" w:lineRule="auto"/>
        <w:rPr>
          <w:rFonts w:ascii="Arial" w:hAnsi="Arial" w:cs="Arial"/>
        </w:rPr>
      </w:pPr>
      <w:proofErr w:type="spellStart"/>
      <w:r w:rsidRPr="00B202B3">
        <w:rPr>
          <w:rFonts w:ascii="Arial" w:hAnsi="Arial" w:cs="Arial"/>
        </w:rPr>
        <w:t>Siebieszuk</w:t>
      </w:r>
      <w:proofErr w:type="spellEnd"/>
      <w:r w:rsidRPr="00B202B3">
        <w:rPr>
          <w:rFonts w:ascii="Arial" w:hAnsi="Arial" w:cs="Arial"/>
        </w:rPr>
        <w:t xml:space="preserve">, A., </w:t>
      </w:r>
      <w:proofErr w:type="spellStart"/>
      <w:r w:rsidRPr="00B202B3">
        <w:rPr>
          <w:rFonts w:ascii="Arial" w:hAnsi="Arial" w:cs="Arial"/>
        </w:rPr>
        <w:t>Płoński</w:t>
      </w:r>
      <w:proofErr w:type="spellEnd"/>
      <w:r w:rsidRPr="00B202B3">
        <w:rPr>
          <w:rFonts w:ascii="Arial" w:hAnsi="Arial" w:cs="Arial"/>
        </w:rPr>
        <w:t xml:space="preserve">, A.F. and Baranowski, M. (2025) ‘Breathwork for chronic stress and mental health: Does choosing a specific technique matter?’, </w:t>
      </w:r>
      <w:r w:rsidRPr="00B202B3">
        <w:rPr>
          <w:rFonts w:ascii="Arial" w:hAnsi="Arial" w:cs="Arial"/>
          <w:i/>
          <w:iCs/>
        </w:rPr>
        <w:t>Medical Sciences</w:t>
      </w:r>
      <w:r w:rsidRPr="00B202B3">
        <w:rPr>
          <w:rFonts w:ascii="Arial" w:hAnsi="Arial" w:cs="Arial"/>
        </w:rPr>
        <w:t xml:space="preserve">, 13(3), p.127. </w:t>
      </w:r>
      <w:hyperlink r:id="rId32" w:tgtFrame="_new" w:history="1">
        <w:r w:rsidRPr="00B202B3">
          <w:rPr>
            <w:rStyle w:val="Hyperlink"/>
            <w:rFonts w:ascii="Arial" w:hAnsi="Arial" w:cs="Arial"/>
          </w:rPr>
          <w:t>https://doi.org/10.3390/medsci13030127</w:t>
        </w:r>
      </w:hyperlink>
    </w:p>
    <w:p w14:paraId="36F36AB3" w14:textId="77777777" w:rsidR="008C0538" w:rsidRPr="00B202B3" w:rsidRDefault="008C0538" w:rsidP="00150427">
      <w:pPr>
        <w:spacing w:line="360" w:lineRule="auto"/>
        <w:rPr>
          <w:rFonts w:ascii="Arial" w:hAnsi="Arial" w:cs="Arial"/>
        </w:rPr>
      </w:pPr>
      <w:r w:rsidRPr="00B202B3">
        <w:rPr>
          <w:rFonts w:ascii="Arial" w:hAnsi="Arial" w:cs="Arial"/>
        </w:rPr>
        <w:t xml:space="preserve">Sum, C.M., Shi, C. and Fox, S.E. (2025) ‘It’s always a losing game: How workers understand and resist surveillance technologies on the job’. Available at: </w:t>
      </w:r>
      <w:hyperlink r:id="rId33" w:tgtFrame="_new" w:history="1">
        <w:r w:rsidRPr="00B202B3">
          <w:rPr>
            <w:rStyle w:val="Hyperlink"/>
            <w:rFonts w:ascii="Arial" w:hAnsi="Arial" w:cs="Arial"/>
          </w:rPr>
          <w:t>https://arxiv.org/html/2412.06945v1</w:t>
        </w:r>
      </w:hyperlink>
      <w:r w:rsidRPr="00B202B3">
        <w:rPr>
          <w:rFonts w:ascii="Arial" w:hAnsi="Arial" w:cs="Arial"/>
        </w:rPr>
        <w:t xml:space="preserve"> ..</w:t>
      </w:r>
    </w:p>
    <w:p w14:paraId="33512833" w14:textId="77777777" w:rsidR="008C0538" w:rsidRPr="00B202B3" w:rsidRDefault="008C0538" w:rsidP="00150427">
      <w:pPr>
        <w:spacing w:line="360" w:lineRule="auto"/>
        <w:rPr>
          <w:rFonts w:ascii="Arial" w:hAnsi="Arial" w:cs="Arial"/>
        </w:rPr>
      </w:pPr>
      <w:r w:rsidRPr="00B202B3">
        <w:rPr>
          <w:rFonts w:ascii="Arial" w:hAnsi="Arial" w:cs="Arial"/>
        </w:rPr>
        <w:t xml:space="preserve">Teng, Y.M., Wu, K.S., Lin, K.L. and Xu, D. (2020) ‘Mental health impact of COVID-19 on quarantine hotel employees in China’, </w:t>
      </w:r>
      <w:r w:rsidRPr="00B202B3">
        <w:rPr>
          <w:rFonts w:ascii="Arial" w:hAnsi="Arial" w:cs="Arial"/>
          <w:i/>
          <w:iCs/>
        </w:rPr>
        <w:t>Risk Management and Healthcare Policy</w:t>
      </w:r>
      <w:r w:rsidRPr="00B202B3">
        <w:rPr>
          <w:rFonts w:ascii="Arial" w:hAnsi="Arial" w:cs="Arial"/>
        </w:rPr>
        <w:t xml:space="preserve">, 13, pp.1693–1701. </w:t>
      </w:r>
      <w:hyperlink r:id="rId34" w:tgtFrame="_new" w:history="1">
        <w:r w:rsidRPr="00B202B3">
          <w:rPr>
            <w:rStyle w:val="Hyperlink"/>
            <w:rFonts w:ascii="Arial" w:hAnsi="Arial" w:cs="Arial"/>
          </w:rPr>
          <w:t>https://doi.org/10.2147/RMHP.S286171</w:t>
        </w:r>
      </w:hyperlink>
    </w:p>
    <w:p w14:paraId="4B7FF7D4" w14:textId="77777777" w:rsidR="008C0538" w:rsidRPr="00B202B3" w:rsidRDefault="008C0538" w:rsidP="00150427">
      <w:pPr>
        <w:spacing w:line="360" w:lineRule="auto"/>
        <w:rPr>
          <w:rFonts w:ascii="Arial" w:hAnsi="Arial" w:cs="Arial"/>
        </w:rPr>
      </w:pPr>
      <w:proofErr w:type="spellStart"/>
      <w:r w:rsidRPr="00B202B3">
        <w:rPr>
          <w:rFonts w:ascii="Arial" w:hAnsi="Arial" w:cs="Arial"/>
        </w:rPr>
        <w:t>Üngüren</w:t>
      </w:r>
      <w:proofErr w:type="spellEnd"/>
      <w:r w:rsidRPr="00B202B3">
        <w:rPr>
          <w:rFonts w:ascii="Arial" w:hAnsi="Arial" w:cs="Arial"/>
        </w:rPr>
        <w:t xml:space="preserve">, E., Tekin, Ö.A., </w:t>
      </w:r>
      <w:proofErr w:type="spellStart"/>
      <w:r w:rsidRPr="00B202B3">
        <w:rPr>
          <w:rFonts w:ascii="Arial" w:hAnsi="Arial" w:cs="Arial"/>
        </w:rPr>
        <w:t>Avsallı</w:t>
      </w:r>
      <w:proofErr w:type="spellEnd"/>
      <w:r w:rsidRPr="00B202B3">
        <w:rPr>
          <w:rFonts w:ascii="Arial" w:hAnsi="Arial" w:cs="Arial"/>
        </w:rPr>
        <w:t xml:space="preserve">, H. and Kaçmaz, Y.Y. (2021) ‘The moderator role of financial well-being on the effect of job insecurity and COVID-19 anxiety on burnout: A study on hotel employees in crisis’, </w:t>
      </w:r>
      <w:r w:rsidRPr="00B202B3">
        <w:rPr>
          <w:rFonts w:ascii="Arial" w:hAnsi="Arial" w:cs="Arial"/>
          <w:i/>
          <w:iCs/>
        </w:rPr>
        <w:t>Sustainability</w:t>
      </w:r>
      <w:r w:rsidRPr="00B202B3">
        <w:rPr>
          <w:rFonts w:ascii="Arial" w:hAnsi="Arial" w:cs="Arial"/>
        </w:rPr>
        <w:t xml:space="preserve">, 13(16), p.9031. </w:t>
      </w:r>
      <w:hyperlink r:id="rId35" w:tgtFrame="_new" w:history="1">
        <w:r w:rsidRPr="00B202B3">
          <w:rPr>
            <w:rStyle w:val="Hyperlink"/>
            <w:rFonts w:ascii="Arial" w:hAnsi="Arial" w:cs="Arial"/>
          </w:rPr>
          <w:t>https://doi.org/10.3390/su13169031</w:t>
        </w:r>
      </w:hyperlink>
    </w:p>
    <w:p w14:paraId="07536EEA" w14:textId="77777777" w:rsidR="008C0538" w:rsidRPr="00B202B3" w:rsidRDefault="008C0538" w:rsidP="00150427">
      <w:pPr>
        <w:spacing w:line="360" w:lineRule="auto"/>
        <w:rPr>
          <w:rFonts w:ascii="Arial" w:hAnsi="Arial" w:cs="Arial"/>
        </w:rPr>
      </w:pPr>
      <w:r w:rsidRPr="00B202B3">
        <w:rPr>
          <w:rFonts w:ascii="Arial" w:hAnsi="Arial" w:cs="Arial"/>
        </w:rPr>
        <w:t xml:space="preserve">Yan, J., Kim, S., Zhang, S.X., Foo, M.D., Alvarez-Risco, A., Del-Aguila-Arcentales, S. and Yáñez, J.A. (2021) ‘Hospitality workers’ COVID-19 risk perception and depression: A contingent model based on transactional theory of stress’, </w:t>
      </w:r>
      <w:r w:rsidRPr="00B202B3">
        <w:rPr>
          <w:rFonts w:ascii="Arial" w:hAnsi="Arial" w:cs="Arial"/>
          <w:i/>
          <w:iCs/>
        </w:rPr>
        <w:t>International Journal of Hospitality Management</w:t>
      </w:r>
      <w:r w:rsidRPr="00B202B3">
        <w:rPr>
          <w:rFonts w:ascii="Arial" w:hAnsi="Arial" w:cs="Arial"/>
        </w:rPr>
        <w:t xml:space="preserve">, 95, p.102935. </w:t>
      </w:r>
      <w:hyperlink r:id="rId36" w:tgtFrame="_new" w:history="1">
        <w:r w:rsidRPr="00B202B3">
          <w:rPr>
            <w:rStyle w:val="Hyperlink"/>
            <w:rFonts w:ascii="Arial" w:hAnsi="Arial" w:cs="Arial"/>
          </w:rPr>
          <w:t>https://doi.org/10.1016/j.ijhm.2021.102935</w:t>
        </w:r>
      </w:hyperlink>
    </w:p>
    <w:p w14:paraId="26D2B3E4" w14:textId="77777777" w:rsidR="008C0538" w:rsidRPr="00B202B3" w:rsidRDefault="008C0538" w:rsidP="00150427">
      <w:pPr>
        <w:spacing w:line="360" w:lineRule="auto"/>
        <w:rPr>
          <w:rFonts w:ascii="Arial" w:hAnsi="Arial" w:cs="Arial"/>
        </w:rPr>
      </w:pPr>
      <w:r w:rsidRPr="00B202B3">
        <w:rPr>
          <w:rFonts w:ascii="Arial" w:hAnsi="Arial" w:cs="Arial"/>
        </w:rPr>
        <w:lastRenderedPageBreak/>
        <w:t xml:space="preserve">Yusriani, S., </w:t>
      </w:r>
      <w:proofErr w:type="spellStart"/>
      <w:r w:rsidRPr="00B202B3">
        <w:rPr>
          <w:rFonts w:ascii="Arial" w:hAnsi="Arial" w:cs="Arial"/>
        </w:rPr>
        <w:t>Nurbaeti</w:t>
      </w:r>
      <w:proofErr w:type="spellEnd"/>
      <w:r w:rsidRPr="00B202B3">
        <w:rPr>
          <w:rFonts w:ascii="Arial" w:hAnsi="Arial" w:cs="Arial"/>
        </w:rPr>
        <w:t xml:space="preserve">, N. and Pintor, S. (2024) ‘Understanding and managing job stress in the service sector: A literature review’, </w:t>
      </w:r>
      <w:r w:rsidRPr="00B202B3">
        <w:rPr>
          <w:rFonts w:ascii="Arial" w:hAnsi="Arial" w:cs="Arial"/>
          <w:i/>
          <w:iCs/>
        </w:rPr>
        <w:t>International Journal of Business, Management and Economics</w:t>
      </w:r>
      <w:r w:rsidRPr="00B202B3">
        <w:rPr>
          <w:rFonts w:ascii="Arial" w:hAnsi="Arial" w:cs="Arial"/>
        </w:rPr>
        <w:t xml:space="preserve">, 5(2). </w:t>
      </w:r>
      <w:hyperlink r:id="rId37" w:tgtFrame="_new" w:history="1">
        <w:r w:rsidRPr="00B202B3">
          <w:rPr>
            <w:rStyle w:val="Hyperlink"/>
            <w:rFonts w:ascii="Arial" w:hAnsi="Arial" w:cs="Arial"/>
          </w:rPr>
          <w:t>https://doi.org/10.47747/ijbme.v5i2.1774</w:t>
        </w:r>
      </w:hyperlink>
    </w:p>
    <w:p w14:paraId="7C4C0419" w14:textId="77777777" w:rsidR="008C0538" w:rsidRPr="00B202B3" w:rsidRDefault="008C0538" w:rsidP="00150427">
      <w:pPr>
        <w:spacing w:line="360" w:lineRule="auto"/>
        <w:rPr>
          <w:rFonts w:ascii="Arial" w:hAnsi="Arial" w:cs="Arial"/>
        </w:rPr>
      </w:pPr>
      <w:r w:rsidRPr="00B202B3">
        <w:rPr>
          <w:rFonts w:ascii="Arial" w:hAnsi="Arial" w:cs="Arial"/>
        </w:rPr>
        <w:t xml:space="preserve">Zhang, T.C., Torres, E. and Jahromi, M.F. (2020) ‘Well on the way: An exploratory study on occupational health in hospitality’, </w:t>
      </w:r>
      <w:r w:rsidRPr="00B202B3">
        <w:rPr>
          <w:rFonts w:ascii="Arial" w:hAnsi="Arial" w:cs="Arial"/>
          <w:i/>
          <w:iCs/>
        </w:rPr>
        <w:t>International Journal of Hospitality Management</w:t>
      </w:r>
      <w:r w:rsidRPr="00B202B3">
        <w:rPr>
          <w:rFonts w:ascii="Arial" w:hAnsi="Arial" w:cs="Arial"/>
        </w:rPr>
        <w:t xml:space="preserve">, 87, p.102382. </w:t>
      </w:r>
      <w:hyperlink r:id="rId38" w:tgtFrame="_new" w:history="1">
        <w:r w:rsidRPr="00B202B3">
          <w:rPr>
            <w:rStyle w:val="Hyperlink"/>
            <w:rFonts w:ascii="Arial" w:hAnsi="Arial" w:cs="Arial"/>
          </w:rPr>
          <w:t>https://doi.org/10.1016/j.ijhm.2019.102382</w:t>
        </w:r>
      </w:hyperlink>
    </w:p>
    <w:p w14:paraId="0B461DDC" w14:textId="77777777" w:rsidR="008C0538" w:rsidRPr="00B202B3" w:rsidRDefault="008C0538" w:rsidP="00150427">
      <w:pPr>
        <w:spacing w:line="360" w:lineRule="auto"/>
        <w:rPr>
          <w:rFonts w:ascii="Arial" w:hAnsi="Arial" w:cs="Arial"/>
        </w:rPr>
      </w:pPr>
      <w:r w:rsidRPr="00B202B3">
        <w:rPr>
          <w:rFonts w:ascii="Arial" w:hAnsi="Arial" w:cs="Arial"/>
        </w:rPr>
        <w:t xml:space="preserve">Wanjiru, M.C. (2020) </w:t>
      </w:r>
      <w:r w:rsidRPr="00B202B3">
        <w:rPr>
          <w:rFonts w:ascii="Arial" w:hAnsi="Arial" w:cs="Arial"/>
          <w:i/>
          <w:iCs/>
        </w:rPr>
        <w:t>Effects of work-family conflict on hospitality employees in 5-star hotels in Nairobi</w:t>
      </w:r>
      <w:r w:rsidRPr="00B202B3">
        <w:rPr>
          <w:rFonts w:ascii="Arial" w:hAnsi="Arial" w:cs="Arial"/>
        </w:rPr>
        <w:t xml:space="preserve">. Undergraduate dissertation. Strathmore University. Available at: </w:t>
      </w:r>
      <w:hyperlink r:id="rId39" w:tgtFrame="_new" w:history="1">
        <w:r w:rsidRPr="00B202B3">
          <w:rPr>
            <w:rStyle w:val="Hyperlink"/>
            <w:rFonts w:ascii="Arial" w:hAnsi="Arial" w:cs="Arial"/>
          </w:rPr>
          <w:t>https://su-plus.strathmore.edu/server/api/core/bitstreams/3111dc71-f57b-4629-8c7f-7575ae3d5b69/content</w:t>
        </w:r>
      </w:hyperlink>
      <w:r w:rsidRPr="00B202B3">
        <w:rPr>
          <w:rFonts w:ascii="Arial" w:hAnsi="Arial" w:cs="Arial"/>
        </w:rPr>
        <w:t xml:space="preserve"> .</w:t>
      </w:r>
    </w:p>
    <w:p w14:paraId="6152CABB" w14:textId="77777777" w:rsidR="00FA7CDA" w:rsidRDefault="00FA7CDA"/>
    <w:p w14:paraId="4AE98776" w14:textId="196F0A66" w:rsidR="00FA7CDA" w:rsidRDefault="00FA7CDA">
      <w:r>
        <w:t xml:space="preserve">The Grammarly program was utilized to correct grammatical and punctuation errors  in this document. </w:t>
      </w:r>
    </w:p>
    <w:sectPr w:rsidR="00FA7CDA" w:rsidSect="008C053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75D63"/>
    <w:multiLevelType w:val="multilevel"/>
    <w:tmpl w:val="C296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A2D31"/>
    <w:multiLevelType w:val="multilevel"/>
    <w:tmpl w:val="B4D8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F1215B"/>
    <w:multiLevelType w:val="multilevel"/>
    <w:tmpl w:val="9102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BC12B9"/>
    <w:multiLevelType w:val="multilevel"/>
    <w:tmpl w:val="CB00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C23633"/>
    <w:multiLevelType w:val="multilevel"/>
    <w:tmpl w:val="F310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00C4A"/>
    <w:multiLevelType w:val="multilevel"/>
    <w:tmpl w:val="57A2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507929">
    <w:abstractNumId w:val="3"/>
  </w:num>
  <w:num w:numId="2" w16cid:durableId="543835973">
    <w:abstractNumId w:val="0"/>
  </w:num>
  <w:num w:numId="3" w16cid:durableId="935750669">
    <w:abstractNumId w:val="4"/>
  </w:num>
  <w:num w:numId="4" w16cid:durableId="751660055">
    <w:abstractNumId w:val="1"/>
  </w:num>
  <w:num w:numId="5" w16cid:durableId="1472868150">
    <w:abstractNumId w:val="5"/>
  </w:num>
  <w:num w:numId="6" w16cid:durableId="894121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06"/>
    <w:rsid w:val="00150427"/>
    <w:rsid w:val="002E3233"/>
    <w:rsid w:val="002E7006"/>
    <w:rsid w:val="00340270"/>
    <w:rsid w:val="008C0538"/>
    <w:rsid w:val="00B57CA3"/>
    <w:rsid w:val="00CC006A"/>
    <w:rsid w:val="00E76508"/>
    <w:rsid w:val="00FA7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1842B"/>
  <w15:chartTrackingRefBased/>
  <w15:docId w15:val="{683F82B5-7E93-4C1E-B2AF-44F9644A5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538"/>
  </w:style>
  <w:style w:type="paragraph" w:styleId="Heading1">
    <w:name w:val="heading 1"/>
    <w:basedOn w:val="Normal"/>
    <w:next w:val="Normal"/>
    <w:link w:val="Heading1Char"/>
    <w:uiPriority w:val="9"/>
    <w:qFormat/>
    <w:rsid w:val="002E7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7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0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0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0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0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0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0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70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0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0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0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0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0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0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006"/>
    <w:rPr>
      <w:rFonts w:eastAsiaTheme="majorEastAsia" w:cstheme="majorBidi"/>
      <w:color w:val="272727" w:themeColor="text1" w:themeTint="D8"/>
    </w:rPr>
  </w:style>
  <w:style w:type="paragraph" w:styleId="Title">
    <w:name w:val="Title"/>
    <w:basedOn w:val="Normal"/>
    <w:next w:val="Normal"/>
    <w:link w:val="TitleChar"/>
    <w:uiPriority w:val="10"/>
    <w:qFormat/>
    <w:rsid w:val="002E70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0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0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006"/>
    <w:pPr>
      <w:spacing w:before="160"/>
      <w:jc w:val="center"/>
    </w:pPr>
    <w:rPr>
      <w:i/>
      <w:iCs/>
      <w:color w:val="404040" w:themeColor="text1" w:themeTint="BF"/>
    </w:rPr>
  </w:style>
  <w:style w:type="character" w:customStyle="1" w:styleId="QuoteChar">
    <w:name w:val="Quote Char"/>
    <w:basedOn w:val="DefaultParagraphFont"/>
    <w:link w:val="Quote"/>
    <w:uiPriority w:val="29"/>
    <w:rsid w:val="002E7006"/>
    <w:rPr>
      <w:i/>
      <w:iCs/>
      <w:color w:val="404040" w:themeColor="text1" w:themeTint="BF"/>
    </w:rPr>
  </w:style>
  <w:style w:type="paragraph" w:styleId="ListParagraph">
    <w:name w:val="List Paragraph"/>
    <w:basedOn w:val="Normal"/>
    <w:uiPriority w:val="34"/>
    <w:qFormat/>
    <w:rsid w:val="002E7006"/>
    <w:pPr>
      <w:ind w:left="720"/>
      <w:contextualSpacing/>
    </w:pPr>
  </w:style>
  <w:style w:type="character" w:styleId="IntenseEmphasis">
    <w:name w:val="Intense Emphasis"/>
    <w:basedOn w:val="DefaultParagraphFont"/>
    <w:uiPriority w:val="21"/>
    <w:qFormat/>
    <w:rsid w:val="002E7006"/>
    <w:rPr>
      <w:i/>
      <w:iCs/>
      <w:color w:val="0F4761" w:themeColor="accent1" w:themeShade="BF"/>
    </w:rPr>
  </w:style>
  <w:style w:type="paragraph" w:styleId="IntenseQuote">
    <w:name w:val="Intense Quote"/>
    <w:basedOn w:val="Normal"/>
    <w:next w:val="Normal"/>
    <w:link w:val="IntenseQuoteChar"/>
    <w:uiPriority w:val="30"/>
    <w:qFormat/>
    <w:rsid w:val="002E7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006"/>
    <w:rPr>
      <w:i/>
      <w:iCs/>
      <w:color w:val="0F4761" w:themeColor="accent1" w:themeShade="BF"/>
    </w:rPr>
  </w:style>
  <w:style w:type="character" w:styleId="IntenseReference">
    <w:name w:val="Intense Reference"/>
    <w:basedOn w:val="DefaultParagraphFont"/>
    <w:uiPriority w:val="32"/>
    <w:qFormat/>
    <w:rsid w:val="002E7006"/>
    <w:rPr>
      <w:b/>
      <w:bCs/>
      <w:smallCaps/>
      <w:color w:val="0F4761" w:themeColor="accent1" w:themeShade="BF"/>
      <w:spacing w:val="5"/>
    </w:rPr>
  </w:style>
  <w:style w:type="character" w:styleId="Hyperlink">
    <w:name w:val="Hyperlink"/>
    <w:basedOn w:val="DefaultParagraphFont"/>
    <w:uiPriority w:val="99"/>
    <w:unhideWhenUsed/>
    <w:rsid w:val="008C05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ijhm.2025.104141" TargetMode="External"/><Relationship Id="rId18" Type="http://schemas.openxmlformats.org/officeDocument/2006/relationships/hyperlink" Target="https://ifeelonline.com/occupational-health/retail-sector/" TargetMode="External"/><Relationship Id="rId26" Type="http://schemas.openxmlformats.org/officeDocument/2006/relationships/hyperlink" Target="https://www.researchgate.net/publication/370831646_Work-family_conflict_subjective_well-being_burnout_and_their_effects_on_presenteeism" TargetMode="External"/><Relationship Id="rId39" Type="http://schemas.openxmlformats.org/officeDocument/2006/relationships/hyperlink" Target="https://su-plus.strathmore.edu/server/api/core/bitstreams/3111dc71-f57b-4629-8c7f-7575ae3d5b69/content" TargetMode="External"/><Relationship Id="rId21" Type="http://schemas.openxmlformats.org/officeDocument/2006/relationships/hyperlink" Target="https://doi.org/10.1016/j.ijhm.2024.104065" TargetMode="External"/><Relationship Id="rId34" Type="http://schemas.openxmlformats.org/officeDocument/2006/relationships/hyperlink" Target="https://doi.org/10.2147/RMHP.S286171" TargetMode="External"/><Relationship Id="rId7" Type="http://schemas.openxmlformats.org/officeDocument/2006/relationships/hyperlink" Target="https://doi.org/10.1108/02683940710733115" TargetMode="External"/><Relationship Id="rId2" Type="http://schemas.openxmlformats.org/officeDocument/2006/relationships/styles" Target="styles.xml"/><Relationship Id="rId16" Type="http://schemas.openxmlformats.org/officeDocument/2006/relationships/hyperlink" Target="https://search.informit.org/doi/10.3316/informit.996702932910870" TargetMode="External"/><Relationship Id="rId20" Type="http://schemas.openxmlformats.org/officeDocument/2006/relationships/hyperlink" Target="https://doi.org/10.1108/JHTI-01-2021-0002" TargetMode="External"/><Relationship Id="rId29" Type="http://schemas.openxmlformats.org/officeDocument/2006/relationships/hyperlink" Target="https://www.strategicsolutionpartners.com/case-study-mental-health-in-hospitality-a-growing-priorit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mc.ncbi.nlm.nih.gov/articles/PMC3700378/" TargetMode="External"/><Relationship Id="rId11" Type="http://schemas.openxmlformats.org/officeDocument/2006/relationships/hyperlink" Target="https://www.mdpi.com/2071-1050/16/16/6975" TargetMode="External"/><Relationship Id="rId24" Type="http://schemas.openxmlformats.org/officeDocument/2006/relationships/hyperlink" Target="https://www.mindsharepartners.org/blog/employee-wellbeing-case-study-hyatt" TargetMode="External"/><Relationship Id="rId32" Type="http://schemas.openxmlformats.org/officeDocument/2006/relationships/hyperlink" Target="https://doi.org/10.3390/medsci13030127" TargetMode="External"/><Relationship Id="rId37" Type="http://schemas.openxmlformats.org/officeDocument/2006/relationships/hyperlink" Target="https://doi.org/10.47747/ijbme.v5i2.1774" TargetMode="External"/><Relationship Id="rId40" Type="http://schemas.openxmlformats.org/officeDocument/2006/relationships/fontTable" Target="fontTable.xml"/><Relationship Id="rId5" Type="http://schemas.openxmlformats.org/officeDocument/2006/relationships/hyperlink" Target="https://www.frontiersin.org/journals/psychology/articles/10.3389/fpsyg.2022.1009785/pdf" TargetMode="External"/><Relationship Id="rId15" Type="http://schemas.openxmlformats.org/officeDocument/2006/relationships/hyperlink" Target="https://doi.org/10.42243/j.cesp.20427" TargetMode="External"/><Relationship Id="rId23" Type="http://schemas.openxmlformats.org/officeDocument/2006/relationships/hyperlink" Target="https://mentalhealthcommission.ca/wp-content/uploads/2022/07/Building-Mental-Health-into-Retail-and-Hospitality-Organizations.pdf" TargetMode="External"/><Relationship Id="rId28" Type="http://schemas.openxmlformats.org/officeDocument/2006/relationships/hyperlink" Target="https://doi.org/10.1136/bmjopen-2021-060545" TargetMode="External"/><Relationship Id="rId36" Type="http://schemas.openxmlformats.org/officeDocument/2006/relationships/hyperlink" Target="https://doi.org/10.1016/j.ijhm.2021.102935" TargetMode="External"/><Relationship Id="rId10" Type="http://schemas.openxmlformats.org/officeDocument/2006/relationships/hyperlink" Target="https://www.researchgate.net/publication/361853814_BURNOUT_IN_THE_WORKPLACE" TargetMode="External"/><Relationship Id="rId19" Type="http://schemas.openxmlformats.org/officeDocument/2006/relationships/hyperlink" Target="https://doi.org/10.1111/j.1748-8583.1997.tb00290.x" TargetMode="External"/><Relationship Id="rId31" Type="http://schemas.openxmlformats.org/officeDocument/2006/relationships/hyperlink" Target="https://www.shrm.org/executive-network/insights/research/workplace-mental-health-may-2025-en-insights-forum" TargetMode="External"/><Relationship Id="rId4" Type="http://schemas.openxmlformats.org/officeDocument/2006/relationships/webSettings" Target="webSettings.xml"/><Relationship Id="rId9" Type="http://schemas.openxmlformats.org/officeDocument/2006/relationships/hyperlink" Target="https://doi.org/10.3390/su13031433" TargetMode="External"/><Relationship Id="rId14" Type="http://schemas.openxmlformats.org/officeDocument/2006/relationships/hyperlink" Target="https://doi.org/10.1002/ajim.23620" TargetMode="External"/><Relationship Id="rId22" Type="http://schemas.openxmlformats.org/officeDocument/2006/relationships/hyperlink" Target="https://www.frontiersin.org/journals/psychiatry/articles/10.3389/fpsyt.2022.888157/pdf" TargetMode="External"/><Relationship Id="rId27" Type="http://schemas.openxmlformats.org/officeDocument/2006/relationships/hyperlink" Target="https://doi.org/10.1016/j.ijhm.2020.102599" TargetMode="External"/><Relationship Id="rId30" Type="http://schemas.openxmlformats.org/officeDocument/2006/relationships/hyperlink" Target="https://doi.org/10.17159/2520-9868/i97a14" TargetMode="External"/><Relationship Id="rId35" Type="http://schemas.openxmlformats.org/officeDocument/2006/relationships/hyperlink" Target="https://doi.org/10.3390/su13169031" TargetMode="External"/><Relationship Id="rId8" Type="http://schemas.openxmlformats.org/officeDocument/2006/relationships/hyperlink" Target="https://doi.org/10.1177/14673584251321038" TargetMode="External"/><Relationship Id="rId3" Type="http://schemas.openxmlformats.org/officeDocument/2006/relationships/settings" Target="settings.xml"/><Relationship Id="rId12" Type="http://schemas.openxmlformats.org/officeDocument/2006/relationships/hyperlink" Target="https://www.proquest.com/openview/17c9bb954bbefaad933070d1a8a85f95/1.pdf" TargetMode="External"/><Relationship Id="rId17" Type="http://schemas.openxmlformats.org/officeDocument/2006/relationships/hyperlink" Target="https://www.hospitalitynet.org/news/4127416.html" TargetMode="External"/><Relationship Id="rId25" Type="http://schemas.openxmlformats.org/officeDocument/2006/relationships/hyperlink" Target="https://www.researchgate.net/publication/364934927_Mental_Health_in_Hospitality_The_need_for_industry-specific_solutions" TargetMode="External"/><Relationship Id="rId33" Type="http://schemas.openxmlformats.org/officeDocument/2006/relationships/hyperlink" Target="https://arxiv.org/html/2412.06945v1" TargetMode="External"/><Relationship Id="rId38" Type="http://schemas.openxmlformats.org/officeDocument/2006/relationships/hyperlink" Target="https://doi.org/10.1016/j.ijhm.2019.102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5048</Words>
  <Characters>28778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Postelnicu (2223852)</dc:creator>
  <cp:keywords/>
  <dc:description/>
  <cp:lastModifiedBy>Bianca Postelnicu (2223852)</cp:lastModifiedBy>
  <cp:revision>7</cp:revision>
  <dcterms:created xsi:type="dcterms:W3CDTF">2025-10-30T18:52:00Z</dcterms:created>
  <dcterms:modified xsi:type="dcterms:W3CDTF">2025-10-30T19:21:00Z</dcterms:modified>
</cp:coreProperties>
</file>