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0310" w:rsidRPr="00F20310" w:rsidRDefault="00F20310" w:rsidP="00F20310">
      <w:pPr>
        <w:jc w:val="center"/>
        <w:rPr>
          <w:b/>
          <w:u w:val="single"/>
        </w:rPr>
      </w:pPr>
      <w:r w:rsidRPr="00F20310">
        <w:rPr>
          <w:rFonts w:ascii="Segoe UI" w:hAnsi="Segoe UI" w:cs="Segoe UI"/>
          <w:b/>
          <w:color w:val="373A3C"/>
          <w:sz w:val="20"/>
          <w:szCs w:val="20"/>
          <w:u w:val="single"/>
        </w:rPr>
        <w:t>Discussion of</w:t>
      </w:r>
      <w:r>
        <w:rPr>
          <w:rFonts w:ascii="Segoe UI" w:hAnsi="Segoe UI" w:cs="Segoe UI"/>
          <w:b/>
          <w:color w:val="373A3C"/>
          <w:sz w:val="20"/>
          <w:szCs w:val="20"/>
          <w:u w:val="single"/>
        </w:rPr>
        <w:t xml:space="preserve"> Seleukos</w:t>
      </w:r>
      <w:r w:rsidRPr="00F20310">
        <w:rPr>
          <w:rFonts w:ascii="Segoe UI" w:hAnsi="Segoe UI" w:cs="Segoe UI"/>
          <w:b/>
          <w:color w:val="373A3C"/>
          <w:sz w:val="20"/>
          <w:szCs w:val="20"/>
          <w:u w:val="single"/>
        </w:rPr>
        <w:t xml:space="preserve"> Plans</w:t>
      </w:r>
      <w:r>
        <w:rPr>
          <w:rFonts w:ascii="Segoe UI" w:hAnsi="Segoe UI" w:cs="Segoe UI"/>
          <w:b/>
          <w:color w:val="373A3C"/>
          <w:sz w:val="20"/>
          <w:szCs w:val="20"/>
          <w:u w:val="single"/>
        </w:rPr>
        <w:t xml:space="preserve"> </w:t>
      </w:r>
    </w:p>
    <w:p w:rsidR="006709CA" w:rsidRDefault="00B9438A">
      <w:r>
        <w:t>During this class I played the character of Seleukos, carrying out a number of actions he did during the formation of the Seleucid empire, however I focused these actions on aiding Ptolemy in Egypt.</w:t>
      </w:r>
    </w:p>
    <w:p w:rsidR="00B9438A" w:rsidRDefault="00B9438A">
      <w:r>
        <w:t>Primarily, I introduced Ptolemaic currency. The design was accurate to historical documentation which details the art work featured on coins common in the Seleucid Empire</w:t>
      </w:r>
      <w:r>
        <w:rPr>
          <w:rStyle w:val="FootnoteReference"/>
        </w:rPr>
        <w:footnoteReference w:id="1"/>
      </w:r>
      <w:r>
        <w:t>. The currency was designed to feature Ptolemy in a way that related him to the recently deceased Alexander as well as to Zeus and Nike</w:t>
      </w:r>
      <w:r w:rsidR="00F20310">
        <w:rPr>
          <w:rStyle w:val="FootnoteReference"/>
        </w:rPr>
        <w:footnoteReference w:id="2"/>
      </w:r>
      <w:r>
        <w:t xml:space="preserve">. In this instance the currency was successful in its purpose and circulated in Egypt. During this class I learned how the design of the currency could influence its reception and the message it presents, in this case it positively links Ptolemy to Zeus and Alexander. </w:t>
      </w:r>
    </w:p>
    <w:p w:rsidR="00B9438A" w:rsidRDefault="00B9438A">
      <w:r>
        <w:t xml:space="preserve">Secondly, I took part in a number of sieges across the class periods. The success of my sieges meant in the context of the game I gained positive multipliers which increased my success chances </w:t>
      </w:r>
      <w:r w:rsidR="00045E4E">
        <w:t>in future siege scenarios. During this process I learned the protocols that went along with ancient sieges, primarily how the attacking forces would often try to negotiate peaceful surrenders with the city or to bribe the officials in charge before commencing an actual attack</w:t>
      </w:r>
      <w:r w:rsidR="00F20310">
        <w:rPr>
          <w:rStyle w:val="FootnoteReference"/>
        </w:rPr>
        <w:footnoteReference w:id="3"/>
      </w:r>
      <w:r w:rsidR="00045E4E">
        <w:t xml:space="preserve"> and subsequent siege, I found it interesting to learn how the size and type of force used in this event impacted the duration of the siege as well as the casualty count for our side.</w:t>
      </w:r>
    </w:p>
    <w:p w:rsidR="00045E4E" w:rsidRDefault="00045E4E">
      <w:r>
        <w:t>Thirdly, I was present to numerous treaties formed between key players. Initially the treaty at Issus between Ptolemy, Meleagros and Antigones. The reason I bring this up is while the initial treaty prevented conflict between the three key players at the time, it provided a basis for unity against the threat the Macedonians posed early in the game. Furthermore it was interesting to witness the clauses of the treaties being held so well, in the instance where Antigones died and James was reincarnated into his son, Demetrius, it was decided amongst the two remaining original key players that the treaty did not extend to Antigones’ son.</w:t>
      </w:r>
    </w:p>
    <w:p w:rsidR="00045E4E" w:rsidRDefault="00045E4E">
      <w:r>
        <w:t>Another scenario in which I learned a great deal about warfare in this period was the final conflict with the Macedonian characters. At the Gates of Tarsus, when the Macedonians had lost the initial fight with Meleagros and Ptolemy’s combined forces I was able to negotiate a surrender</w:t>
      </w:r>
      <w:r w:rsidR="00F20310">
        <w:rPr>
          <w:rStyle w:val="FootnoteReference"/>
        </w:rPr>
        <w:footnoteReference w:id="4"/>
      </w:r>
      <w:r>
        <w:t xml:space="preserve"> with </w:t>
      </w:r>
      <w:proofErr w:type="spellStart"/>
      <w:r>
        <w:t>Krateros</w:t>
      </w:r>
      <w:proofErr w:type="spellEnd"/>
      <w:r>
        <w:t xml:space="preserve">. This, once successful, meant </w:t>
      </w:r>
      <w:proofErr w:type="spellStart"/>
      <w:r>
        <w:t>Krateros</w:t>
      </w:r>
      <w:proofErr w:type="spellEnd"/>
      <w:r>
        <w:t xml:space="preserve"> surrendered into Ptolemy’s charge and disbanded her armies, however dissent was created between Ptolemy and Meleagros over the Silver Shields that were in </w:t>
      </w:r>
      <w:proofErr w:type="spellStart"/>
      <w:r>
        <w:t>Krateros</w:t>
      </w:r>
      <w:proofErr w:type="spellEnd"/>
      <w:r>
        <w:t>’ employ. It was an interesting situation to watch how the surrender I had negotiated created a more fragile relationship between what was at this stage, the two world powers.</w:t>
      </w:r>
    </w:p>
    <w:p w:rsidR="00F20310" w:rsidRDefault="00045E4E">
      <w:r>
        <w:t>Finally, the lecture that took place on the 8</w:t>
      </w:r>
      <w:r w:rsidRPr="00045E4E">
        <w:rPr>
          <w:vertAlign w:val="superscript"/>
        </w:rPr>
        <w:t>th</w:t>
      </w:r>
      <w:r>
        <w:t xml:space="preserve"> of November taught me how the best laid plans are at the mercy of the environment. In this case, Ptolemy and I had intended to settle a majority of our armies and begin to build the treasury back up after the campaign against Macedon. However, with a swarm of locusts and then an outbreak of Cholera</w:t>
      </w:r>
      <w:r w:rsidR="0089391C">
        <w:t xml:space="preserve"> sweeping across the continent, I was forced to work alone, independent from Egypt in an attempt to maintain the stability of Syria, which I was Governor of at this stage. Furthermore, I was able to look back on how our preparations to increase harvest and maintain the state had actually paid off in the short term in the event a scenario ou</w:t>
      </w:r>
      <w:r w:rsidR="00F20310">
        <w:t>tside of our control.</w:t>
      </w:r>
    </w:p>
    <w:p w:rsidR="00F20310" w:rsidRPr="00F20310" w:rsidRDefault="00F20310">
      <w:pPr>
        <w:rPr>
          <w:b/>
          <w:u w:val="single"/>
        </w:rPr>
      </w:pPr>
      <w:r w:rsidRPr="00F20310">
        <w:rPr>
          <w:b/>
          <w:u w:val="single"/>
        </w:rPr>
        <w:lastRenderedPageBreak/>
        <w:t>Bibliography:</w:t>
      </w:r>
      <w:bookmarkStart w:id="0" w:name="_GoBack"/>
      <w:bookmarkEnd w:id="0"/>
    </w:p>
    <w:p w:rsidR="00F20310" w:rsidRDefault="00F20310">
      <w:pPr>
        <w:rPr>
          <w:b/>
          <w:i/>
        </w:rPr>
      </w:pPr>
      <w:r>
        <w:rPr>
          <w:b/>
          <w:i/>
        </w:rPr>
        <w:t>Ancient Sources:</w:t>
      </w:r>
    </w:p>
    <w:p w:rsidR="00F20310" w:rsidRDefault="00F20310" w:rsidP="00F20310">
      <w:pPr>
        <w:rPr>
          <w:sz w:val="24"/>
        </w:rPr>
      </w:pPr>
      <w:r>
        <w:rPr>
          <w:sz w:val="24"/>
        </w:rPr>
        <w:t xml:space="preserve">Diodorus, </w:t>
      </w:r>
      <w:r>
        <w:rPr>
          <w:i/>
          <w:sz w:val="24"/>
        </w:rPr>
        <w:t>Library.</w:t>
      </w:r>
      <w:r>
        <w:rPr>
          <w:sz w:val="24"/>
        </w:rPr>
        <w:t xml:space="preserve"> C. H. </w:t>
      </w:r>
      <w:proofErr w:type="spellStart"/>
      <w:r>
        <w:rPr>
          <w:sz w:val="24"/>
        </w:rPr>
        <w:t>Oldfather</w:t>
      </w:r>
      <w:proofErr w:type="spellEnd"/>
      <w:r>
        <w:rPr>
          <w:sz w:val="24"/>
        </w:rPr>
        <w:t xml:space="preserve"> (</w:t>
      </w:r>
      <w:proofErr w:type="gramStart"/>
      <w:r>
        <w:rPr>
          <w:sz w:val="24"/>
        </w:rPr>
        <w:t>trans</w:t>
      </w:r>
      <w:proofErr w:type="gramEnd"/>
      <w:r>
        <w:rPr>
          <w:sz w:val="24"/>
        </w:rPr>
        <w:t>.). 1989. London: William Heinemann.</w:t>
      </w:r>
    </w:p>
    <w:p w:rsidR="00F20310" w:rsidRDefault="00F20310">
      <w:pPr>
        <w:rPr>
          <w:sz w:val="24"/>
        </w:rPr>
      </w:pPr>
      <w:r>
        <w:rPr>
          <w:sz w:val="24"/>
        </w:rPr>
        <w:t xml:space="preserve">Plutarch, </w:t>
      </w:r>
      <w:r>
        <w:rPr>
          <w:i/>
          <w:sz w:val="24"/>
        </w:rPr>
        <w:t>Demetrius.</w:t>
      </w:r>
      <w:r>
        <w:rPr>
          <w:sz w:val="24"/>
        </w:rPr>
        <w:t xml:space="preserve"> B. Perrin (</w:t>
      </w:r>
      <w:proofErr w:type="gramStart"/>
      <w:r>
        <w:rPr>
          <w:sz w:val="24"/>
        </w:rPr>
        <w:t>trans</w:t>
      </w:r>
      <w:proofErr w:type="gramEnd"/>
      <w:r>
        <w:rPr>
          <w:sz w:val="24"/>
        </w:rPr>
        <w:t xml:space="preserve">.). 1920. London: William Heinemann. </w:t>
      </w:r>
    </w:p>
    <w:p w:rsidR="00F20310" w:rsidRPr="00F20310" w:rsidRDefault="00F20310">
      <w:pPr>
        <w:rPr>
          <w:sz w:val="24"/>
        </w:rPr>
      </w:pPr>
    </w:p>
    <w:p w:rsidR="00F20310" w:rsidRDefault="00F20310" w:rsidP="00F20310">
      <w:pPr>
        <w:rPr>
          <w:b/>
          <w:i/>
        </w:rPr>
      </w:pPr>
      <w:r>
        <w:rPr>
          <w:b/>
          <w:i/>
        </w:rPr>
        <w:t xml:space="preserve">Modern Scholarship: </w:t>
      </w:r>
    </w:p>
    <w:p w:rsidR="00F20310" w:rsidRDefault="00F20310" w:rsidP="00F20310">
      <w:pPr>
        <w:rPr>
          <w:rFonts w:cstheme="minorHAnsi"/>
          <w:sz w:val="24"/>
          <w:szCs w:val="24"/>
        </w:rPr>
      </w:pPr>
      <w:r w:rsidRPr="00466DC9">
        <w:rPr>
          <w:rFonts w:cstheme="minorHAnsi"/>
          <w:sz w:val="24"/>
          <w:szCs w:val="24"/>
        </w:rPr>
        <w:t>Erickson, K. 2013</w:t>
      </w:r>
      <w:r>
        <w:rPr>
          <w:rFonts w:cstheme="minorHAnsi"/>
          <w:sz w:val="24"/>
          <w:szCs w:val="24"/>
        </w:rPr>
        <w:t>.</w:t>
      </w:r>
      <w:r w:rsidRPr="00466DC9">
        <w:rPr>
          <w:rFonts w:cstheme="minorHAnsi"/>
          <w:sz w:val="24"/>
          <w:szCs w:val="24"/>
        </w:rPr>
        <w:t xml:space="preserve"> ‘</w:t>
      </w:r>
      <w:proofErr w:type="spellStart"/>
      <w:r w:rsidRPr="00466DC9">
        <w:rPr>
          <w:rFonts w:cstheme="minorHAnsi"/>
          <w:sz w:val="24"/>
          <w:szCs w:val="24"/>
        </w:rPr>
        <w:t>Seleucus</w:t>
      </w:r>
      <w:proofErr w:type="spellEnd"/>
      <w:r w:rsidRPr="00466DC9">
        <w:rPr>
          <w:rFonts w:cstheme="minorHAnsi"/>
          <w:sz w:val="24"/>
          <w:szCs w:val="24"/>
        </w:rPr>
        <w:t xml:space="preserve"> I, Zeus and Alexander’, </w:t>
      </w:r>
      <w:proofErr w:type="gramStart"/>
      <w:r w:rsidRPr="00466DC9">
        <w:rPr>
          <w:rFonts w:cstheme="minorHAnsi"/>
          <w:i/>
          <w:sz w:val="24"/>
          <w:szCs w:val="24"/>
        </w:rPr>
        <w:t>Every</w:t>
      </w:r>
      <w:proofErr w:type="gramEnd"/>
      <w:r w:rsidRPr="00466DC9">
        <w:rPr>
          <w:rFonts w:cstheme="minorHAnsi"/>
          <w:i/>
          <w:sz w:val="24"/>
          <w:szCs w:val="24"/>
        </w:rPr>
        <w:t xml:space="preserve"> inch a King. </w:t>
      </w:r>
      <w:r w:rsidRPr="00466DC9">
        <w:rPr>
          <w:rFonts w:cstheme="minorHAnsi"/>
          <w:sz w:val="24"/>
          <w:szCs w:val="24"/>
        </w:rPr>
        <w:t>109-127. Leiden: Brill.</w:t>
      </w:r>
    </w:p>
    <w:p w:rsidR="00F20310" w:rsidRPr="00F20310" w:rsidRDefault="00F20310">
      <w:pPr>
        <w:rPr>
          <w:b/>
          <w:i/>
        </w:rPr>
      </w:pPr>
    </w:p>
    <w:sectPr w:rsidR="00F20310" w:rsidRPr="00F2031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438A" w:rsidRDefault="00B9438A" w:rsidP="00B9438A">
      <w:pPr>
        <w:spacing w:after="0" w:line="240" w:lineRule="auto"/>
      </w:pPr>
      <w:r>
        <w:separator/>
      </w:r>
    </w:p>
  </w:endnote>
  <w:endnote w:type="continuationSeparator" w:id="0">
    <w:p w:rsidR="00B9438A" w:rsidRDefault="00B9438A" w:rsidP="00B9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438A" w:rsidRDefault="00B9438A" w:rsidP="00B9438A">
      <w:pPr>
        <w:spacing w:after="0" w:line="240" w:lineRule="auto"/>
      </w:pPr>
      <w:r>
        <w:separator/>
      </w:r>
    </w:p>
  </w:footnote>
  <w:footnote w:type="continuationSeparator" w:id="0">
    <w:p w:rsidR="00B9438A" w:rsidRDefault="00B9438A" w:rsidP="00B9438A">
      <w:pPr>
        <w:spacing w:after="0" w:line="240" w:lineRule="auto"/>
      </w:pPr>
      <w:r>
        <w:continuationSeparator/>
      </w:r>
    </w:p>
  </w:footnote>
  <w:footnote w:id="1">
    <w:p w:rsidR="00B9438A" w:rsidRDefault="00B9438A">
      <w:pPr>
        <w:pStyle w:val="FootnoteText"/>
      </w:pPr>
      <w:r>
        <w:rPr>
          <w:rStyle w:val="FootnoteReference"/>
        </w:rPr>
        <w:footnoteRef/>
      </w:r>
      <w:r>
        <w:t xml:space="preserve"> </w:t>
      </w:r>
      <w:r w:rsidR="00F20310">
        <w:t>Erickson, 2013</w:t>
      </w:r>
    </w:p>
  </w:footnote>
  <w:footnote w:id="2">
    <w:p w:rsidR="00F20310" w:rsidRDefault="00F20310">
      <w:pPr>
        <w:pStyle w:val="FootnoteText"/>
      </w:pPr>
      <w:r>
        <w:rPr>
          <w:rStyle w:val="FootnoteReference"/>
        </w:rPr>
        <w:footnoteRef/>
      </w:r>
      <w:r>
        <w:t xml:space="preserve"> </w:t>
      </w:r>
      <w:r>
        <w:t>Erickson, 2013</w:t>
      </w:r>
    </w:p>
  </w:footnote>
  <w:footnote w:id="3">
    <w:p w:rsidR="00F20310" w:rsidRDefault="00F20310">
      <w:pPr>
        <w:pStyle w:val="FootnoteText"/>
      </w:pPr>
      <w:r>
        <w:rPr>
          <w:rStyle w:val="FootnoteReference"/>
        </w:rPr>
        <w:footnoteRef/>
      </w:r>
      <w:r>
        <w:t xml:space="preserve"> </w:t>
      </w:r>
      <w:proofErr w:type="spellStart"/>
      <w:r w:rsidRPr="0065352C">
        <w:t>Plut</w:t>
      </w:r>
      <w:proofErr w:type="spellEnd"/>
      <w:r w:rsidRPr="0065352C">
        <w:t xml:space="preserve">. </w:t>
      </w:r>
      <w:proofErr w:type="spellStart"/>
      <w:r w:rsidRPr="0065352C">
        <w:t>Demetr</w:t>
      </w:r>
      <w:proofErr w:type="spellEnd"/>
      <w:r w:rsidRPr="0065352C">
        <w:t>. 21</w:t>
      </w:r>
    </w:p>
  </w:footnote>
  <w:footnote w:id="4">
    <w:p w:rsidR="00F20310" w:rsidRDefault="00F20310">
      <w:pPr>
        <w:pStyle w:val="FootnoteText"/>
      </w:pPr>
      <w:r>
        <w:rPr>
          <w:rStyle w:val="FootnoteReference"/>
        </w:rPr>
        <w:footnoteRef/>
      </w:r>
      <w:r>
        <w:t xml:space="preserve"> </w:t>
      </w:r>
      <w:proofErr w:type="spellStart"/>
      <w:r w:rsidRPr="00466DC9">
        <w:t>Diod</w:t>
      </w:r>
      <w:proofErr w:type="spellEnd"/>
      <w:r w:rsidRPr="00466DC9">
        <w:t>. 17.54</w:t>
      </w:r>
      <w:r>
        <w:t>. This treaty was denied by Alexander however I based the basic guidelines on what was offered to him such as concession of lands.</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310" w:rsidRDefault="00F20310">
    <w:pPr>
      <w:pStyle w:val="Header"/>
    </w:pPr>
    <w:r>
      <w:t>Tamara Bowie</w:t>
    </w:r>
    <w:r>
      <w:tab/>
      <w:t>Game of Diadems</w:t>
    </w:r>
    <w:r>
      <w:tab/>
      <w:t>1601293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438A"/>
    <w:rsid w:val="00045E4E"/>
    <w:rsid w:val="00210595"/>
    <w:rsid w:val="006709CA"/>
    <w:rsid w:val="0089391C"/>
    <w:rsid w:val="009C0EC4"/>
    <w:rsid w:val="00B9438A"/>
    <w:rsid w:val="00F20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5FD15"/>
  <w15:chartTrackingRefBased/>
  <w15:docId w15:val="{B7B9B5F6-FA2B-4F60-8E6C-0371E9ED1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943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438A"/>
    <w:rPr>
      <w:sz w:val="20"/>
      <w:szCs w:val="20"/>
    </w:rPr>
  </w:style>
  <w:style w:type="character" w:styleId="FootnoteReference">
    <w:name w:val="footnote reference"/>
    <w:basedOn w:val="DefaultParagraphFont"/>
    <w:uiPriority w:val="99"/>
    <w:semiHidden/>
    <w:unhideWhenUsed/>
    <w:rsid w:val="00B9438A"/>
    <w:rPr>
      <w:vertAlign w:val="superscript"/>
    </w:rPr>
  </w:style>
  <w:style w:type="paragraph" w:styleId="Header">
    <w:name w:val="header"/>
    <w:basedOn w:val="Normal"/>
    <w:link w:val="HeaderChar"/>
    <w:uiPriority w:val="99"/>
    <w:unhideWhenUsed/>
    <w:rsid w:val="00F20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310"/>
  </w:style>
  <w:style w:type="paragraph" w:styleId="Footer">
    <w:name w:val="footer"/>
    <w:basedOn w:val="Normal"/>
    <w:link w:val="FooterChar"/>
    <w:uiPriority w:val="99"/>
    <w:unhideWhenUsed/>
    <w:rsid w:val="00F20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6EF79-38DF-4009-8482-3DE01AD45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Pages>
  <Words>566</Words>
  <Characters>3229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1</cp:revision>
  <dcterms:created xsi:type="dcterms:W3CDTF">2018-11-16T22:32:00Z</dcterms:created>
  <dcterms:modified xsi:type="dcterms:W3CDTF">2018-11-16T23:17:00Z</dcterms:modified>
</cp:coreProperties>
</file>