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3D668E" w:rsidRDefault="00F867C0">
      <w:pPr>
        <w:spacing w:after="165" w:line="360" w:lineRule="auto"/>
        <w:jc w:val="center"/>
        <w:rPr>
          <w:rFonts w:ascii="Tahoma" w:eastAsia="Tahoma" w:hAnsi="Tahoma" w:cs="Tahoma"/>
          <w:color w:val="000000"/>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D6683E" w:rsidR="00583709" w:rsidRDefault="007C2ED5">
            <w:pPr>
              <w:spacing w:before="120" w:after="120" w:line="360" w:lineRule="auto"/>
              <w:rPr>
                <w:rFonts w:ascii="Tahoma" w:eastAsia="Tahoma" w:hAnsi="Tahoma" w:cs="Tahoma"/>
                <w:sz w:val="32"/>
                <w:szCs w:val="32"/>
              </w:rPr>
            </w:pPr>
            <w:r>
              <w:rPr>
                <w:rFonts w:ascii="Tahoma" w:eastAsia="Tahoma" w:hAnsi="Tahoma" w:cs="Tahoma"/>
                <w:sz w:val="32"/>
                <w:szCs w:val="32"/>
              </w:rPr>
              <w:t>Nicola Powell</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3430645" w:rsidR="00583709" w:rsidRDefault="00C239A3">
            <w:pPr>
              <w:spacing w:before="120" w:after="120" w:line="360" w:lineRule="auto"/>
              <w:rPr>
                <w:rFonts w:ascii="Tahoma" w:eastAsia="Tahoma" w:hAnsi="Tahoma" w:cs="Tahoma"/>
                <w:sz w:val="32"/>
                <w:szCs w:val="32"/>
              </w:rPr>
            </w:pPr>
            <w:r w:rsidRPr="00C239A3">
              <w:rPr>
                <w:rFonts w:ascii="Tahoma" w:eastAsia="Tahoma" w:hAnsi="Tahoma" w:cs="Tahoma"/>
                <w:sz w:val="32"/>
                <w:szCs w:val="32"/>
              </w:rPr>
              <w:t>2433701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104DA8D" w:rsidR="00583709" w:rsidRDefault="008312FD">
            <w:pPr>
              <w:spacing w:before="120" w:after="120" w:line="360" w:lineRule="auto"/>
              <w:rPr>
                <w:rFonts w:ascii="Tahoma" w:eastAsia="Tahoma" w:hAnsi="Tahoma" w:cs="Tahoma"/>
                <w:color w:val="FF0000"/>
                <w:sz w:val="32"/>
                <w:szCs w:val="32"/>
              </w:rPr>
            </w:pPr>
            <w:r w:rsidRPr="00AA35AC">
              <w:rPr>
                <w:rFonts w:ascii="Tahoma" w:eastAsia="Tahoma" w:hAnsi="Tahoma" w:cs="Tahoma"/>
                <w:sz w:val="32"/>
                <w:szCs w:val="32"/>
              </w:rPr>
              <w:t>BMSK</w:t>
            </w:r>
            <w:r w:rsidR="00AA35AC" w:rsidRPr="00AA35AC">
              <w:rPr>
                <w:rFonts w:ascii="Tahoma" w:eastAsia="Tahoma" w:hAnsi="Tahoma" w:cs="Tahoma"/>
                <w:sz w:val="32"/>
                <w:szCs w:val="32"/>
              </w:rPr>
              <w:t>5010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BE3CAC7" w:rsidR="00583709" w:rsidRPr="00F94F3E" w:rsidRDefault="00AF2C74">
            <w:pPr>
              <w:spacing w:before="120" w:after="120" w:line="360" w:lineRule="auto"/>
              <w:rPr>
                <w:rFonts w:ascii="Tahoma" w:eastAsia="Tahoma" w:hAnsi="Tahoma" w:cs="Tahoma"/>
                <w:color w:val="FF0000"/>
                <w:sz w:val="32"/>
                <w:szCs w:val="32"/>
              </w:rPr>
            </w:pPr>
            <w:hyperlink r:id="rId8" w:history="1">
              <w:r w:rsidRPr="00F94F3E">
                <w:rPr>
                  <w:rStyle w:val="Hyperlink"/>
                  <w:rFonts w:ascii="Tahoma" w:eastAsia="Tahoma" w:hAnsi="Tahoma" w:cs="Tahoma"/>
                  <w:color w:val="auto"/>
                  <w:sz w:val="32"/>
                  <w:szCs w:val="32"/>
                  <w:u w:val="none"/>
                </w:rPr>
                <w:t xml:space="preserve">Developing the Learning Organisation </w:t>
              </w:r>
            </w:hyperlink>
          </w:p>
        </w:tc>
      </w:tr>
    </w:tbl>
    <w:p w14:paraId="700B284E" w14:textId="77777777" w:rsidR="00583709" w:rsidRDefault="008312FD">
      <w:pPr>
        <w:spacing w:before="120" w:after="120" w:line="360" w:lineRule="auto"/>
        <w:rPr>
          <w:rFonts w:ascii="Tahoma" w:eastAsia="Tahoma" w:hAnsi="Tahoma" w:cs="Tahoma"/>
          <w:b/>
          <w:color w:val="000000"/>
          <w:szCs w:val="24"/>
        </w:rPr>
      </w:pPr>
      <w:r>
        <w:rPr>
          <w:rFonts w:ascii="Tahoma" w:eastAsia="Tahoma" w:hAnsi="Tahoma" w:cs="Tahoma"/>
          <w:b/>
          <w:color w:val="000000"/>
          <w:szCs w:val="24"/>
        </w:rPr>
        <w:t>Statement of Confirmation of Authenticity</w:t>
      </w:r>
    </w:p>
    <w:p w14:paraId="77162AC0"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Attention is drawn to the plagiarism and unfair practice policies of both the University and of ILM.</w:t>
      </w:r>
    </w:p>
    <w:p w14:paraId="616510F2" w14:textId="46C94898" w:rsidR="00D742ED" w:rsidRPr="00D742ED" w:rsidRDefault="00D742ED" w:rsidP="00D742ED">
      <w:pPr>
        <w:rPr>
          <w:rFonts w:ascii="Tahoma" w:hAnsi="Tahoma" w:cs="Tahoma"/>
        </w:rPr>
      </w:pPr>
      <w:r w:rsidRPr="00D742ED">
        <w:rPr>
          <w:rFonts w:ascii="Tahoma" w:hAnsi="Tahoma" w:cs="Tahoma"/>
          <w:b/>
          <w:bCs/>
        </w:rPr>
        <w:t>AI Declaration:</w:t>
      </w:r>
      <w:r w:rsidRPr="00D742ED">
        <w:rPr>
          <w:rFonts w:ascii="Tahoma" w:hAnsi="Tahoma" w:cs="Tahoma"/>
        </w:rPr>
        <w:t xml:space="preserve"> I confirm that </w:t>
      </w:r>
      <w:r w:rsidRPr="00D742ED">
        <w:rPr>
          <w:rFonts w:ascii="Tahoma" w:hAnsi="Tahoma" w:cs="Tahoma"/>
          <w:b/>
          <w:bCs/>
        </w:rPr>
        <w:t>I have not used Generative AI</w:t>
      </w:r>
      <w:r w:rsidRPr="00D742ED">
        <w:rPr>
          <w:rFonts w:ascii="Tahoma" w:hAnsi="Tahoma" w:cs="Tahoma"/>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5C61974A" w14:textId="110580D1" w:rsidR="00583709" w:rsidRDefault="00583709">
      <w:pPr>
        <w:rPr>
          <w:rFonts w:ascii="Tahoma" w:eastAsia="Tahoma" w:hAnsi="Tahoma" w:cs="Tahoma"/>
          <w:color w:val="000000"/>
          <w:szCs w:val="24"/>
        </w:rPr>
      </w:pPr>
    </w:p>
    <w:p w14:paraId="3E6FEB8F" w14:textId="77777777" w:rsidR="00583709" w:rsidRPr="00287EF1" w:rsidRDefault="008312FD">
      <w:pPr>
        <w:keepNext/>
        <w:keepLines/>
        <w:pBdr>
          <w:top w:val="nil"/>
          <w:left w:val="nil"/>
          <w:bottom w:val="nil"/>
          <w:right w:val="nil"/>
          <w:between w:val="nil"/>
        </w:pBdr>
        <w:spacing w:before="240" w:after="0"/>
        <w:rPr>
          <w:rFonts w:ascii="Calibri" w:hAnsi="Calibri"/>
          <w:b/>
          <w:bCs/>
          <w:sz w:val="22"/>
          <w:u w:val="single"/>
        </w:rPr>
      </w:pPr>
      <w:r w:rsidRPr="00287EF1">
        <w:rPr>
          <w:rFonts w:ascii="Calibri" w:hAnsi="Calibri"/>
          <w:b/>
          <w:bCs/>
          <w:sz w:val="22"/>
          <w:u w:val="single"/>
        </w:rPr>
        <w:lastRenderedPageBreak/>
        <w:t>Table of Contents</w:t>
      </w:r>
    </w:p>
    <w:p w14:paraId="588D0369" w14:textId="77777777" w:rsidR="00D742ED" w:rsidRPr="00287EF1" w:rsidRDefault="00D742ED">
      <w:pPr>
        <w:keepNext/>
        <w:keepLines/>
        <w:pBdr>
          <w:top w:val="nil"/>
          <w:left w:val="nil"/>
          <w:bottom w:val="nil"/>
          <w:right w:val="nil"/>
          <w:between w:val="nil"/>
        </w:pBdr>
        <w:spacing w:before="240" w:after="0"/>
        <w:rPr>
          <w:rFonts w:ascii="Calibri" w:hAnsi="Calibri"/>
          <w:b/>
          <w:bCs/>
          <w:sz w:val="22"/>
        </w:rPr>
      </w:pPr>
    </w:p>
    <w:sdt>
      <w:sdtPr>
        <w:rPr>
          <w:rFonts w:ascii="Calibri" w:hAnsi="Calibri"/>
          <w:sz w:val="22"/>
        </w:rPr>
        <w:id w:val="-2053372548"/>
        <w:docPartObj>
          <w:docPartGallery w:val="Table of Contents"/>
          <w:docPartUnique/>
        </w:docPartObj>
      </w:sdtPr>
      <w:sdtEndPr>
        <w:rPr>
          <w:sz w:val="24"/>
        </w:rPr>
      </w:sdtEndPr>
      <w:sdtContent>
        <w:p w14:paraId="7ED2C3A0" w14:textId="029937AC" w:rsidR="00490C56" w:rsidRDefault="008312FD">
          <w:pPr>
            <w:pStyle w:val="TOC1"/>
            <w:tabs>
              <w:tab w:val="right" w:pos="9350"/>
            </w:tabs>
            <w:rPr>
              <w:rFonts w:asciiTheme="minorHAnsi" w:eastAsiaTheme="minorEastAsia" w:hAnsiTheme="minorHAnsi" w:cstheme="minorBidi"/>
              <w:noProof/>
              <w:kern w:val="2"/>
              <w:szCs w:val="24"/>
              <w:lang w:eastAsia="en-GB"/>
              <w14:ligatures w14:val="standardContextual"/>
            </w:rPr>
          </w:pPr>
          <w:r w:rsidRPr="00287EF1">
            <w:rPr>
              <w:rFonts w:ascii="Calibri" w:hAnsi="Calibri"/>
              <w:sz w:val="22"/>
            </w:rPr>
            <w:fldChar w:fldCharType="begin"/>
          </w:r>
          <w:r w:rsidRPr="00287EF1">
            <w:rPr>
              <w:rFonts w:ascii="Calibri" w:hAnsi="Calibri"/>
              <w:sz w:val="22"/>
            </w:rPr>
            <w:instrText xml:space="preserve"> TOC \h \u \z </w:instrText>
          </w:r>
          <w:r w:rsidRPr="00287EF1">
            <w:rPr>
              <w:rFonts w:ascii="Calibri" w:hAnsi="Calibri"/>
              <w:sz w:val="22"/>
            </w:rPr>
            <w:fldChar w:fldCharType="separate"/>
          </w:r>
          <w:hyperlink w:anchor="_Toc242456050" w:history="1">
            <w:r w:rsidR="00490C56" w:rsidRPr="00B719CD">
              <w:rPr>
                <w:rStyle w:val="Hyperlink"/>
                <w:rFonts w:ascii="Calibri" w:hAnsi="Calibri"/>
                <w:b/>
                <w:bCs/>
                <w:noProof/>
                <w:lang w:val="en-US"/>
              </w:rPr>
              <w:t>1. Critically assessing the organisational benefits of developing individuals</w:t>
            </w:r>
            <w:r w:rsidR="00490C56">
              <w:rPr>
                <w:noProof/>
                <w:webHidden/>
              </w:rPr>
              <w:tab/>
            </w:r>
            <w:r w:rsidR="00490C56">
              <w:rPr>
                <w:noProof/>
                <w:webHidden/>
              </w:rPr>
              <w:fldChar w:fldCharType="begin"/>
            </w:r>
            <w:r w:rsidR="00490C56">
              <w:rPr>
                <w:noProof/>
                <w:webHidden/>
              </w:rPr>
              <w:instrText xml:space="preserve"> PAGEREF _Toc242456050 \h </w:instrText>
            </w:r>
            <w:r w:rsidR="00490C56">
              <w:rPr>
                <w:noProof/>
                <w:webHidden/>
              </w:rPr>
            </w:r>
            <w:r w:rsidR="00490C56">
              <w:rPr>
                <w:noProof/>
                <w:webHidden/>
              </w:rPr>
              <w:fldChar w:fldCharType="separate"/>
            </w:r>
            <w:r w:rsidR="00490C56">
              <w:rPr>
                <w:noProof/>
                <w:webHidden/>
              </w:rPr>
              <w:t>4</w:t>
            </w:r>
            <w:r w:rsidR="00490C56">
              <w:rPr>
                <w:noProof/>
                <w:webHidden/>
              </w:rPr>
              <w:fldChar w:fldCharType="end"/>
            </w:r>
          </w:hyperlink>
        </w:p>
        <w:p w14:paraId="76A7E063" w14:textId="5F4DCFF0"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1" w:history="1">
            <w:r w:rsidRPr="00B719CD">
              <w:rPr>
                <w:rStyle w:val="Hyperlink"/>
                <w:rFonts w:ascii="Calibri" w:hAnsi="Calibri"/>
                <w:noProof/>
                <w:lang w:val="en-US"/>
              </w:rPr>
              <w:t>1.1 Capability, safety and service quality</w:t>
            </w:r>
            <w:r>
              <w:rPr>
                <w:noProof/>
                <w:webHidden/>
              </w:rPr>
              <w:tab/>
            </w:r>
            <w:r>
              <w:rPr>
                <w:noProof/>
                <w:webHidden/>
              </w:rPr>
              <w:fldChar w:fldCharType="begin"/>
            </w:r>
            <w:r>
              <w:rPr>
                <w:noProof/>
                <w:webHidden/>
              </w:rPr>
              <w:instrText xml:space="preserve"> PAGEREF _Toc242456051 \h </w:instrText>
            </w:r>
            <w:r>
              <w:rPr>
                <w:noProof/>
                <w:webHidden/>
              </w:rPr>
            </w:r>
            <w:r>
              <w:rPr>
                <w:noProof/>
                <w:webHidden/>
              </w:rPr>
              <w:fldChar w:fldCharType="separate"/>
            </w:r>
            <w:r>
              <w:rPr>
                <w:noProof/>
                <w:webHidden/>
              </w:rPr>
              <w:t>4</w:t>
            </w:r>
            <w:r>
              <w:rPr>
                <w:noProof/>
                <w:webHidden/>
              </w:rPr>
              <w:fldChar w:fldCharType="end"/>
            </w:r>
          </w:hyperlink>
        </w:p>
        <w:p w14:paraId="21581B32" w14:textId="71C8B191"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2" w:history="1">
            <w:r w:rsidRPr="00B719CD">
              <w:rPr>
                <w:rStyle w:val="Hyperlink"/>
                <w:rFonts w:ascii="Calibri" w:hAnsi="Calibri"/>
                <w:noProof/>
                <w:lang w:val="en-US"/>
              </w:rPr>
              <w:t>1.2 Retention, motivation and succession</w:t>
            </w:r>
            <w:r>
              <w:rPr>
                <w:noProof/>
                <w:webHidden/>
              </w:rPr>
              <w:tab/>
            </w:r>
            <w:r>
              <w:rPr>
                <w:noProof/>
                <w:webHidden/>
              </w:rPr>
              <w:fldChar w:fldCharType="begin"/>
            </w:r>
            <w:r>
              <w:rPr>
                <w:noProof/>
                <w:webHidden/>
              </w:rPr>
              <w:instrText xml:space="preserve"> PAGEREF _Toc242456052 \h </w:instrText>
            </w:r>
            <w:r>
              <w:rPr>
                <w:noProof/>
                <w:webHidden/>
              </w:rPr>
            </w:r>
            <w:r>
              <w:rPr>
                <w:noProof/>
                <w:webHidden/>
              </w:rPr>
              <w:fldChar w:fldCharType="separate"/>
            </w:r>
            <w:r>
              <w:rPr>
                <w:noProof/>
                <w:webHidden/>
              </w:rPr>
              <w:t>4</w:t>
            </w:r>
            <w:r>
              <w:rPr>
                <w:noProof/>
                <w:webHidden/>
              </w:rPr>
              <w:fldChar w:fldCharType="end"/>
            </w:r>
          </w:hyperlink>
        </w:p>
        <w:p w14:paraId="4C180FED" w14:textId="2B8058E7"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3" w:history="1">
            <w:r w:rsidRPr="00B719CD">
              <w:rPr>
                <w:rStyle w:val="Hyperlink"/>
                <w:rFonts w:ascii="Calibri" w:hAnsi="Calibri"/>
                <w:noProof/>
                <w:lang w:val="en-US"/>
              </w:rPr>
              <w:t>1.3 Learning culture and organisational resilience</w:t>
            </w:r>
            <w:r>
              <w:rPr>
                <w:noProof/>
                <w:webHidden/>
              </w:rPr>
              <w:tab/>
            </w:r>
            <w:r>
              <w:rPr>
                <w:noProof/>
                <w:webHidden/>
              </w:rPr>
              <w:fldChar w:fldCharType="begin"/>
            </w:r>
            <w:r>
              <w:rPr>
                <w:noProof/>
                <w:webHidden/>
              </w:rPr>
              <w:instrText xml:space="preserve"> PAGEREF _Toc242456053 \h </w:instrText>
            </w:r>
            <w:r>
              <w:rPr>
                <w:noProof/>
                <w:webHidden/>
              </w:rPr>
            </w:r>
            <w:r>
              <w:rPr>
                <w:noProof/>
                <w:webHidden/>
              </w:rPr>
              <w:fldChar w:fldCharType="separate"/>
            </w:r>
            <w:r>
              <w:rPr>
                <w:noProof/>
                <w:webHidden/>
              </w:rPr>
              <w:t>4</w:t>
            </w:r>
            <w:r>
              <w:rPr>
                <w:noProof/>
                <w:webHidden/>
              </w:rPr>
              <w:fldChar w:fldCharType="end"/>
            </w:r>
          </w:hyperlink>
        </w:p>
        <w:p w14:paraId="5227CADE" w14:textId="1525F5CD"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4" w:history="1">
            <w:r w:rsidRPr="00B719CD">
              <w:rPr>
                <w:rStyle w:val="Hyperlink"/>
                <w:rFonts w:ascii="Calibri" w:hAnsi="Calibri"/>
                <w:noProof/>
                <w:lang w:val="en-US"/>
              </w:rPr>
              <w:t>1.4 Costs, opportunity costs and fair access</w:t>
            </w:r>
            <w:r>
              <w:rPr>
                <w:noProof/>
                <w:webHidden/>
              </w:rPr>
              <w:tab/>
            </w:r>
            <w:r>
              <w:rPr>
                <w:noProof/>
                <w:webHidden/>
              </w:rPr>
              <w:fldChar w:fldCharType="begin"/>
            </w:r>
            <w:r>
              <w:rPr>
                <w:noProof/>
                <w:webHidden/>
              </w:rPr>
              <w:instrText xml:space="preserve"> PAGEREF _Toc242456054 \h </w:instrText>
            </w:r>
            <w:r>
              <w:rPr>
                <w:noProof/>
                <w:webHidden/>
              </w:rPr>
            </w:r>
            <w:r>
              <w:rPr>
                <w:noProof/>
                <w:webHidden/>
              </w:rPr>
              <w:fldChar w:fldCharType="separate"/>
            </w:r>
            <w:r>
              <w:rPr>
                <w:noProof/>
                <w:webHidden/>
              </w:rPr>
              <w:t>5</w:t>
            </w:r>
            <w:r>
              <w:rPr>
                <w:noProof/>
                <w:webHidden/>
              </w:rPr>
              <w:fldChar w:fldCharType="end"/>
            </w:r>
          </w:hyperlink>
        </w:p>
        <w:p w14:paraId="5B9E8355" w14:textId="5A1C9A34"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5" w:history="1">
            <w:r w:rsidRPr="00B719CD">
              <w:rPr>
                <w:rStyle w:val="Hyperlink"/>
                <w:rFonts w:ascii="Calibri" w:hAnsi="Calibri"/>
                <w:noProof/>
                <w:lang w:val="en-US"/>
              </w:rPr>
              <w:t>1.5 Critical academic debate: Michigan versus Harvard models</w:t>
            </w:r>
            <w:r>
              <w:rPr>
                <w:noProof/>
                <w:webHidden/>
              </w:rPr>
              <w:tab/>
            </w:r>
            <w:r>
              <w:rPr>
                <w:noProof/>
                <w:webHidden/>
              </w:rPr>
              <w:fldChar w:fldCharType="begin"/>
            </w:r>
            <w:r>
              <w:rPr>
                <w:noProof/>
                <w:webHidden/>
              </w:rPr>
              <w:instrText xml:space="preserve"> PAGEREF _Toc242456055 \h </w:instrText>
            </w:r>
            <w:r>
              <w:rPr>
                <w:noProof/>
                <w:webHidden/>
              </w:rPr>
            </w:r>
            <w:r>
              <w:rPr>
                <w:noProof/>
                <w:webHidden/>
              </w:rPr>
              <w:fldChar w:fldCharType="separate"/>
            </w:r>
            <w:r>
              <w:rPr>
                <w:noProof/>
                <w:webHidden/>
              </w:rPr>
              <w:t>5</w:t>
            </w:r>
            <w:r>
              <w:rPr>
                <w:noProof/>
                <w:webHidden/>
              </w:rPr>
              <w:fldChar w:fldCharType="end"/>
            </w:r>
          </w:hyperlink>
        </w:p>
        <w:p w14:paraId="6B21482A" w14:textId="47C542FB"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6" w:history="1">
            <w:r w:rsidRPr="00B719CD">
              <w:rPr>
                <w:rStyle w:val="Hyperlink"/>
                <w:rFonts w:ascii="Calibri" w:hAnsi="Calibri"/>
                <w:noProof/>
                <w:lang w:val="en-US"/>
              </w:rPr>
              <w:t>1.5.1 Michigan model: strategic control and alignment</w:t>
            </w:r>
            <w:r>
              <w:rPr>
                <w:noProof/>
                <w:webHidden/>
              </w:rPr>
              <w:tab/>
            </w:r>
            <w:r>
              <w:rPr>
                <w:noProof/>
                <w:webHidden/>
              </w:rPr>
              <w:fldChar w:fldCharType="begin"/>
            </w:r>
            <w:r>
              <w:rPr>
                <w:noProof/>
                <w:webHidden/>
              </w:rPr>
              <w:instrText xml:space="preserve"> PAGEREF _Toc242456056 \h </w:instrText>
            </w:r>
            <w:r>
              <w:rPr>
                <w:noProof/>
                <w:webHidden/>
              </w:rPr>
            </w:r>
            <w:r>
              <w:rPr>
                <w:noProof/>
                <w:webHidden/>
              </w:rPr>
              <w:fldChar w:fldCharType="separate"/>
            </w:r>
            <w:r>
              <w:rPr>
                <w:noProof/>
                <w:webHidden/>
              </w:rPr>
              <w:t>5</w:t>
            </w:r>
            <w:r>
              <w:rPr>
                <w:noProof/>
                <w:webHidden/>
              </w:rPr>
              <w:fldChar w:fldCharType="end"/>
            </w:r>
          </w:hyperlink>
        </w:p>
        <w:p w14:paraId="76DA6FDC" w14:textId="36A46274"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7" w:history="1">
            <w:r w:rsidRPr="00B719CD">
              <w:rPr>
                <w:rStyle w:val="Hyperlink"/>
                <w:rFonts w:ascii="Calibri" w:hAnsi="Calibri"/>
                <w:noProof/>
                <w:lang w:val="en-US"/>
              </w:rPr>
              <w:t>1.5.2 Harvard model: stakeholders and commitment</w:t>
            </w:r>
            <w:r>
              <w:rPr>
                <w:noProof/>
                <w:webHidden/>
              </w:rPr>
              <w:tab/>
            </w:r>
            <w:r>
              <w:rPr>
                <w:noProof/>
                <w:webHidden/>
              </w:rPr>
              <w:fldChar w:fldCharType="begin"/>
            </w:r>
            <w:r>
              <w:rPr>
                <w:noProof/>
                <w:webHidden/>
              </w:rPr>
              <w:instrText xml:space="preserve"> PAGEREF _Toc242456057 \h </w:instrText>
            </w:r>
            <w:r>
              <w:rPr>
                <w:noProof/>
                <w:webHidden/>
              </w:rPr>
            </w:r>
            <w:r>
              <w:rPr>
                <w:noProof/>
                <w:webHidden/>
              </w:rPr>
              <w:fldChar w:fldCharType="separate"/>
            </w:r>
            <w:r>
              <w:rPr>
                <w:noProof/>
                <w:webHidden/>
              </w:rPr>
              <w:t>5</w:t>
            </w:r>
            <w:r>
              <w:rPr>
                <w:noProof/>
                <w:webHidden/>
              </w:rPr>
              <w:fldChar w:fldCharType="end"/>
            </w:r>
          </w:hyperlink>
        </w:p>
        <w:p w14:paraId="35024DD3" w14:textId="4FFC76A7"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58" w:history="1">
            <w:r w:rsidRPr="00B719CD">
              <w:rPr>
                <w:rStyle w:val="Hyperlink"/>
                <w:rFonts w:ascii="Calibri" w:hAnsi="Calibri"/>
                <w:noProof/>
                <w:lang w:val="en-US"/>
              </w:rPr>
              <w:t>1.5.3 Reasoned judgement</w:t>
            </w:r>
            <w:r>
              <w:rPr>
                <w:noProof/>
                <w:webHidden/>
              </w:rPr>
              <w:tab/>
            </w:r>
            <w:r>
              <w:rPr>
                <w:noProof/>
                <w:webHidden/>
              </w:rPr>
              <w:fldChar w:fldCharType="begin"/>
            </w:r>
            <w:r>
              <w:rPr>
                <w:noProof/>
                <w:webHidden/>
              </w:rPr>
              <w:instrText xml:space="preserve"> PAGEREF _Toc242456058 \h </w:instrText>
            </w:r>
            <w:r>
              <w:rPr>
                <w:noProof/>
                <w:webHidden/>
              </w:rPr>
            </w:r>
            <w:r>
              <w:rPr>
                <w:noProof/>
                <w:webHidden/>
              </w:rPr>
              <w:fldChar w:fldCharType="separate"/>
            </w:r>
            <w:r>
              <w:rPr>
                <w:noProof/>
                <w:webHidden/>
              </w:rPr>
              <w:t>5</w:t>
            </w:r>
            <w:r>
              <w:rPr>
                <w:noProof/>
                <w:webHidden/>
              </w:rPr>
              <w:fldChar w:fldCharType="end"/>
            </w:r>
          </w:hyperlink>
        </w:p>
        <w:p w14:paraId="347057B8" w14:textId="52B584AC"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59" w:history="1">
            <w:r w:rsidRPr="00B719CD">
              <w:rPr>
                <w:rStyle w:val="Hyperlink"/>
                <w:rFonts w:ascii="Calibri" w:hAnsi="Calibri"/>
                <w:b/>
                <w:bCs/>
                <w:noProof/>
                <w:lang w:val="en-US"/>
              </w:rPr>
              <w:t>2. Managing Harrison’s personal development expectations</w:t>
            </w:r>
            <w:r>
              <w:rPr>
                <w:noProof/>
                <w:webHidden/>
              </w:rPr>
              <w:tab/>
            </w:r>
            <w:r>
              <w:rPr>
                <w:noProof/>
                <w:webHidden/>
              </w:rPr>
              <w:fldChar w:fldCharType="begin"/>
            </w:r>
            <w:r>
              <w:rPr>
                <w:noProof/>
                <w:webHidden/>
              </w:rPr>
              <w:instrText xml:space="preserve"> PAGEREF _Toc242456059 \h </w:instrText>
            </w:r>
            <w:r>
              <w:rPr>
                <w:noProof/>
                <w:webHidden/>
              </w:rPr>
            </w:r>
            <w:r>
              <w:rPr>
                <w:noProof/>
                <w:webHidden/>
              </w:rPr>
              <w:fldChar w:fldCharType="separate"/>
            </w:r>
            <w:r>
              <w:rPr>
                <w:noProof/>
                <w:webHidden/>
              </w:rPr>
              <w:t>8</w:t>
            </w:r>
            <w:r>
              <w:rPr>
                <w:noProof/>
                <w:webHidden/>
              </w:rPr>
              <w:fldChar w:fldCharType="end"/>
            </w:r>
          </w:hyperlink>
        </w:p>
        <w:p w14:paraId="54E1ECEF" w14:textId="23D6FA72"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0" w:history="1">
            <w:r w:rsidRPr="00B719CD">
              <w:rPr>
                <w:rStyle w:val="Hyperlink"/>
                <w:rFonts w:ascii="Calibri" w:hAnsi="Calibri"/>
                <w:noProof/>
                <w:lang w:val="en-US"/>
              </w:rPr>
              <w:t>2.1 Establishing a credible development agreement</w:t>
            </w:r>
            <w:r>
              <w:rPr>
                <w:noProof/>
                <w:webHidden/>
              </w:rPr>
              <w:tab/>
            </w:r>
            <w:r>
              <w:rPr>
                <w:noProof/>
                <w:webHidden/>
              </w:rPr>
              <w:fldChar w:fldCharType="begin"/>
            </w:r>
            <w:r>
              <w:rPr>
                <w:noProof/>
                <w:webHidden/>
              </w:rPr>
              <w:instrText xml:space="preserve"> PAGEREF _Toc242456060 \h </w:instrText>
            </w:r>
            <w:r>
              <w:rPr>
                <w:noProof/>
                <w:webHidden/>
              </w:rPr>
            </w:r>
            <w:r>
              <w:rPr>
                <w:noProof/>
                <w:webHidden/>
              </w:rPr>
              <w:fldChar w:fldCharType="separate"/>
            </w:r>
            <w:r>
              <w:rPr>
                <w:noProof/>
                <w:webHidden/>
              </w:rPr>
              <w:t>8</w:t>
            </w:r>
            <w:r>
              <w:rPr>
                <w:noProof/>
                <w:webHidden/>
              </w:rPr>
              <w:fldChar w:fldCharType="end"/>
            </w:r>
          </w:hyperlink>
        </w:p>
        <w:p w14:paraId="7A4B646A" w14:textId="44208B11"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1" w:history="1">
            <w:r w:rsidRPr="00B719CD">
              <w:rPr>
                <w:rStyle w:val="Hyperlink"/>
                <w:rFonts w:ascii="Calibri" w:hAnsi="Calibri"/>
                <w:noProof/>
                <w:lang w:val="en-US"/>
              </w:rPr>
              <w:t>2.2 Feedback, fairness and confidentiality</w:t>
            </w:r>
            <w:r>
              <w:rPr>
                <w:noProof/>
                <w:webHidden/>
              </w:rPr>
              <w:tab/>
            </w:r>
            <w:r>
              <w:rPr>
                <w:noProof/>
                <w:webHidden/>
              </w:rPr>
              <w:fldChar w:fldCharType="begin"/>
            </w:r>
            <w:r>
              <w:rPr>
                <w:noProof/>
                <w:webHidden/>
              </w:rPr>
              <w:instrText xml:space="preserve"> PAGEREF _Toc242456061 \h </w:instrText>
            </w:r>
            <w:r>
              <w:rPr>
                <w:noProof/>
                <w:webHidden/>
              </w:rPr>
            </w:r>
            <w:r>
              <w:rPr>
                <w:noProof/>
                <w:webHidden/>
              </w:rPr>
              <w:fldChar w:fldCharType="separate"/>
            </w:r>
            <w:r>
              <w:rPr>
                <w:noProof/>
                <w:webHidden/>
              </w:rPr>
              <w:t>8</w:t>
            </w:r>
            <w:r>
              <w:rPr>
                <w:noProof/>
                <w:webHidden/>
              </w:rPr>
              <w:fldChar w:fldCharType="end"/>
            </w:r>
          </w:hyperlink>
        </w:p>
        <w:p w14:paraId="39581D4F" w14:textId="6F66399C"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2" w:history="1">
            <w:r w:rsidRPr="00B719CD">
              <w:rPr>
                <w:rStyle w:val="Hyperlink"/>
                <w:rFonts w:ascii="Calibri" w:hAnsi="Calibri"/>
                <w:noProof/>
                <w:lang w:val="en-US"/>
              </w:rPr>
              <w:t>2.3 Aligning individual and business expectations</w:t>
            </w:r>
            <w:r>
              <w:rPr>
                <w:noProof/>
                <w:webHidden/>
              </w:rPr>
              <w:tab/>
            </w:r>
            <w:r>
              <w:rPr>
                <w:noProof/>
                <w:webHidden/>
              </w:rPr>
              <w:fldChar w:fldCharType="begin"/>
            </w:r>
            <w:r>
              <w:rPr>
                <w:noProof/>
                <w:webHidden/>
              </w:rPr>
              <w:instrText xml:space="preserve"> PAGEREF _Toc242456062 \h </w:instrText>
            </w:r>
            <w:r>
              <w:rPr>
                <w:noProof/>
                <w:webHidden/>
              </w:rPr>
            </w:r>
            <w:r>
              <w:rPr>
                <w:noProof/>
                <w:webHidden/>
              </w:rPr>
              <w:fldChar w:fldCharType="separate"/>
            </w:r>
            <w:r>
              <w:rPr>
                <w:noProof/>
                <w:webHidden/>
              </w:rPr>
              <w:t>8</w:t>
            </w:r>
            <w:r>
              <w:rPr>
                <w:noProof/>
                <w:webHidden/>
              </w:rPr>
              <w:fldChar w:fldCharType="end"/>
            </w:r>
          </w:hyperlink>
        </w:p>
        <w:p w14:paraId="046941A2" w14:textId="51006686"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63" w:history="1">
            <w:r w:rsidRPr="00B719CD">
              <w:rPr>
                <w:rStyle w:val="Hyperlink"/>
                <w:rFonts w:ascii="Calibri" w:hAnsi="Calibri"/>
                <w:b/>
                <w:bCs/>
                <w:noProof/>
                <w:lang w:val="en-US"/>
              </w:rPr>
              <w:t>3. Critically evaluating development vehicles</w:t>
            </w:r>
            <w:r>
              <w:rPr>
                <w:noProof/>
                <w:webHidden/>
              </w:rPr>
              <w:tab/>
            </w:r>
            <w:r>
              <w:rPr>
                <w:noProof/>
                <w:webHidden/>
              </w:rPr>
              <w:fldChar w:fldCharType="begin"/>
            </w:r>
            <w:r>
              <w:rPr>
                <w:noProof/>
                <w:webHidden/>
              </w:rPr>
              <w:instrText xml:space="preserve"> PAGEREF _Toc242456063 \h </w:instrText>
            </w:r>
            <w:r>
              <w:rPr>
                <w:noProof/>
                <w:webHidden/>
              </w:rPr>
            </w:r>
            <w:r>
              <w:rPr>
                <w:noProof/>
                <w:webHidden/>
              </w:rPr>
              <w:fldChar w:fldCharType="separate"/>
            </w:r>
            <w:r>
              <w:rPr>
                <w:noProof/>
                <w:webHidden/>
              </w:rPr>
              <w:t>10</w:t>
            </w:r>
            <w:r>
              <w:rPr>
                <w:noProof/>
                <w:webHidden/>
              </w:rPr>
              <w:fldChar w:fldCharType="end"/>
            </w:r>
          </w:hyperlink>
        </w:p>
        <w:p w14:paraId="5507A6D6" w14:textId="5690BCEE"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64" w:history="1">
            <w:r w:rsidRPr="00B719CD">
              <w:rPr>
                <w:rStyle w:val="Hyperlink"/>
                <w:rFonts w:ascii="Calibri" w:hAnsi="Calibri"/>
                <w:b/>
                <w:bCs/>
                <w:noProof/>
                <w:lang w:val="en-US"/>
              </w:rPr>
              <w:t>4. Detailed development plan and performance management</w:t>
            </w:r>
            <w:r>
              <w:rPr>
                <w:noProof/>
                <w:webHidden/>
              </w:rPr>
              <w:tab/>
            </w:r>
            <w:r>
              <w:rPr>
                <w:noProof/>
                <w:webHidden/>
              </w:rPr>
              <w:fldChar w:fldCharType="begin"/>
            </w:r>
            <w:r>
              <w:rPr>
                <w:noProof/>
                <w:webHidden/>
              </w:rPr>
              <w:instrText xml:space="preserve"> PAGEREF _Toc242456064 \h </w:instrText>
            </w:r>
            <w:r>
              <w:rPr>
                <w:noProof/>
                <w:webHidden/>
              </w:rPr>
            </w:r>
            <w:r>
              <w:rPr>
                <w:noProof/>
                <w:webHidden/>
              </w:rPr>
              <w:fldChar w:fldCharType="separate"/>
            </w:r>
            <w:r>
              <w:rPr>
                <w:noProof/>
                <w:webHidden/>
              </w:rPr>
              <w:t>12</w:t>
            </w:r>
            <w:r>
              <w:rPr>
                <w:noProof/>
                <w:webHidden/>
              </w:rPr>
              <w:fldChar w:fldCharType="end"/>
            </w:r>
          </w:hyperlink>
        </w:p>
        <w:p w14:paraId="2198486B" w14:textId="461907A3"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5" w:history="1">
            <w:r w:rsidRPr="00B719CD">
              <w:rPr>
                <w:rStyle w:val="Hyperlink"/>
                <w:rFonts w:ascii="Calibri" w:hAnsi="Calibri"/>
                <w:noProof/>
                <w:lang w:val="en-US"/>
              </w:rPr>
              <w:t>4.1 Business, values and personal objectives</w:t>
            </w:r>
            <w:r>
              <w:rPr>
                <w:noProof/>
                <w:webHidden/>
              </w:rPr>
              <w:tab/>
            </w:r>
            <w:r>
              <w:rPr>
                <w:noProof/>
                <w:webHidden/>
              </w:rPr>
              <w:fldChar w:fldCharType="begin"/>
            </w:r>
            <w:r>
              <w:rPr>
                <w:noProof/>
                <w:webHidden/>
              </w:rPr>
              <w:instrText xml:space="preserve"> PAGEREF _Toc242456065 \h </w:instrText>
            </w:r>
            <w:r>
              <w:rPr>
                <w:noProof/>
                <w:webHidden/>
              </w:rPr>
            </w:r>
            <w:r>
              <w:rPr>
                <w:noProof/>
                <w:webHidden/>
              </w:rPr>
              <w:fldChar w:fldCharType="separate"/>
            </w:r>
            <w:r>
              <w:rPr>
                <w:noProof/>
                <w:webHidden/>
              </w:rPr>
              <w:t>12</w:t>
            </w:r>
            <w:r>
              <w:rPr>
                <w:noProof/>
                <w:webHidden/>
              </w:rPr>
              <w:fldChar w:fldCharType="end"/>
            </w:r>
          </w:hyperlink>
        </w:p>
        <w:p w14:paraId="6A1F0131" w14:textId="3AFE2B64"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6" w:history="1">
            <w:r w:rsidRPr="00B719CD">
              <w:rPr>
                <w:rStyle w:val="Hyperlink"/>
                <w:rFonts w:ascii="Calibri" w:hAnsi="Calibri"/>
                <w:noProof/>
                <w:lang w:val="en-US"/>
              </w:rPr>
              <w:t>4.2 Capability gap assessment</w:t>
            </w:r>
            <w:r>
              <w:rPr>
                <w:noProof/>
                <w:webHidden/>
              </w:rPr>
              <w:tab/>
            </w:r>
            <w:r>
              <w:rPr>
                <w:noProof/>
                <w:webHidden/>
              </w:rPr>
              <w:fldChar w:fldCharType="begin"/>
            </w:r>
            <w:r>
              <w:rPr>
                <w:noProof/>
                <w:webHidden/>
              </w:rPr>
              <w:instrText xml:space="preserve"> PAGEREF _Toc242456066 \h </w:instrText>
            </w:r>
            <w:r>
              <w:rPr>
                <w:noProof/>
                <w:webHidden/>
              </w:rPr>
            </w:r>
            <w:r>
              <w:rPr>
                <w:noProof/>
                <w:webHidden/>
              </w:rPr>
              <w:fldChar w:fldCharType="separate"/>
            </w:r>
            <w:r>
              <w:rPr>
                <w:noProof/>
                <w:webHidden/>
              </w:rPr>
              <w:t>13</w:t>
            </w:r>
            <w:r>
              <w:rPr>
                <w:noProof/>
                <w:webHidden/>
              </w:rPr>
              <w:fldChar w:fldCharType="end"/>
            </w:r>
          </w:hyperlink>
        </w:p>
        <w:p w14:paraId="427DAA37" w14:textId="21097264"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7" w:history="1">
            <w:r w:rsidRPr="00B719CD">
              <w:rPr>
                <w:rStyle w:val="Hyperlink"/>
                <w:rFonts w:ascii="Calibri" w:hAnsi="Calibri"/>
                <w:noProof/>
                <w:lang w:val="en-US"/>
              </w:rPr>
              <w:t>4.3 Twelve-month implementation and review schedule</w:t>
            </w:r>
            <w:r>
              <w:rPr>
                <w:noProof/>
                <w:webHidden/>
              </w:rPr>
              <w:tab/>
            </w:r>
            <w:r>
              <w:rPr>
                <w:noProof/>
                <w:webHidden/>
              </w:rPr>
              <w:fldChar w:fldCharType="begin"/>
            </w:r>
            <w:r>
              <w:rPr>
                <w:noProof/>
                <w:webHidden/>
              </w:rPr>
              <w:instrText xml:space="preserve"> PAGEREF _Toc242456067 \h </w:instrText>
            </w:r>
            <w:r>
              <w:rPr>
                <w:noProof/>
                <w:webHidden/>
              </w:rPr>
            </w:r>
            <w:r>
              <w:rPr>
                <w:noProof/>
                <w:webHidden/>
              </w:rPr>
              <w:fldChar w:fldCharType="separate"/>
            </w:r>
            <w:r>
              <w:rPr>
                <w:noProof/>
                <w:webHidden/>
              </w:rPr>
              <w:t>13</w:t>
            </w:r>
            <w:r>
              <w:rPr>
                <w:noProof/>
                <w:webHidden/>
              </w:rPr>
              <w:fldChar w:fldCharType="end"/>
            </w:r>
          </w:hyperlink>
        </w:p>
        <w:p w14:paraId="69F7CBA8" w14:textId="0BCAF758"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8" w:history="1">
            <w:r w:rsidRPr="00B719CD">
              <w:rPr>
                <w:rStyle w:val="Hyperlink"/>
                <w:rFonts w:ascii="Calibri" w:hAnsi="Calibri"/>
                <w:noProof/>
                <w:lang w:val="en-US"/>
              </w:rPr>
              <w:t>4.4 Monitoring, evaluation and performance management</w:t>
            </w:r>
            <w:r>
              <w:rPr>
                <w:noProof/>
                <w:webHidden/>
              </w:rPr>
              <w:tab/>
            </w:r>
            <w:r>
              <w:rPr>
                <w:noProof/>
                <w:webHidden/>
              </w:rPr>
              <w:fldChar w:fldCharType="begin"/>
            </w:r>
            <w:r>
              <w:rPr>
                <w:noProof/>
                <w:webHidden/>
              </w:rPr>
              <w:instrText xml:space="preserve"> PAGEREF _Toc242456068 \h </w:instrText>
            </w:r>
            <w:r>
              <w:rPr>
                <w:noProof/>
                <w:webHidden/>
              </w:rPr>
            </w:r>
            <w:r>
              <w:rPr>
                <w:noProof/>
                <w:webHidden/>
              </w:rPr>
              <w:fldChar w:fldCharType="separate"/>
            </w:r>
            <w:r>
              <w:rPr>
                <w:noProof/>
                <w:webHidden/>
              </w:rPr>
              <w:t>14</w:t>
            </w:r>
            <w:r>
              <w:rPr>
                <w:noProof/>
                <w:webHidden/>
              </w:rPr>
              <w:fldChar w:fldCharType="end"/>
            </w:r>
          </w:hyperlink>
        </w:p>
        <w:p w14:paraId="624CD767" w14:textId="2CDA9C02"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69" w:history="1">
            <w:r w:rsidRPr="00B719CD">
              <w:rPr>
                <w:rStyle w:val="Hyperlink"/>
                <w:rFonts w:ascii="Calibri" w:hAnsi="Calibri"/>
                <w:noProof/>
                <w:lang w:val="en-US"/>
              </w:rPr>
              <w:t>4.5 Risks, ethics and contingency arrangements</w:t>
            </w:r>
            <w:r>
              <w:rPr>
                <w:noProof/>
                <w:webHidden/>
              </w:rPr>
              <w:tab/>
            </w:r>
            <w:r>
              <w:rPr>
                <w:noProof/>
                <w:webHidden/>
              </w:rPr>
              <w:fldChar w:fldCharType="begin"/>
            </w:r>
            <w:r>
              <w:rPr>
                <w:noProof/>
                <w:webHidden/>
              </w:rPr>
              <w:instrText xml:space="preserve"> PAGEREF _Toc242456069 \h </w:instrText>
            </w:r>
            <w:r>
              <w:rPr>
                <w:noProof/>
                <w:webHidden/>
              </w:rPr>
            </w:r>
            <w:r>
              <w:rPr>
                <w:noProof/>
                <w:webHidden/>
              </w:rPr>
              <w:fldChar w:fldCharType="separate"/>
            </w:r>
            <w:r>
              <w:rPr>
                <w:noProof/>
                <w:webHidden/>
              </w:rPr>
              <w:t>15</w:t>
            </w:r>
            <w:r>
              <w:rPr>
                <w:noProof/>
                <w:webHidden/>
              </w:rPr>
              <w:fldChar w:fldCharType="end"/>
            </w:r>
          </w:hyperlink>
        </w:p>
        <w:p w14:paraId="38F06F6C" w14:textId="5EEC9D85" w:rsidR="00490C56" w:rsidRDefault="00490C5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56070" w:history="1">
            <w:r w:rsidRPr="00B719CD">
              <w:rPr>
                <w:rStyle w:val="Hyperlink"/>
                <w:rFonts w:ascii="Calibri" w:hAnsi="Calibri"/>
                <w:noProof/>
                <w:lang w:val="en-US"/>
              </w:rPr>
              <w:t>4.6 Personal reflection and recommendations</w:t>
            </w:r>
            <w:r>
              <w:rPr>
                <w:noProof/>
                <w:webHidden/>
              </w:rPr>
              <w:tab/>
            </w:r>
            <w:r>
              <w:rPr>
                <w:noProof/>
                <w:webHidden/>
              </w:rPr>
              <w:fldChar w:fldCharType="begin"/>
            </w:r>
            <w:r>
              <w:rPr>
                <w:noProof/>
                <w:webHidden/>
              </w:rPr>
              <w:instrText xml:space="preserve"> PAGEREF _Toc242456070 \h </w:instrText>
            </w:r>
            <w:r>
              <w:rPr>
                <w:noProof/>
                <w:webHidden/>
              </w:rPr>
            </w:r>
            <w:r>
              <w:rPr>
                <w:noProof/>
                <w:webHidden/>
              </w:rPr>
              <w:fldChar w:fldCharType="separate"/>
            </w:r>
            <w:r>
              <w:rPr>
                <w:noProof/>
                <w:webHidden/>
              </w:rPr>
              <w:t>15</w:t>
            </w:r>
            <w:r>
              <w:rPr>
                <w:noProof/>
                <w:webHidden/>
              </w:rPr>
              <w:fldChar w:fldCharType="end"/>
            </w:r>
          </w:hyperlink>
        </w:p>
        <w:p w14:paraId="7AEF5660" w14:textId="3149FB73"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71" w:history="1">
            <w:r w:rsidRPr="00B719CD">
              <w:rPr>
                <w:rStyle w:val="Hyperlink"/>
                <w:rFonts w:ascii="Calibri" w:hAnsi="Calibri"/>
                <w:b/>
                <w:bCs/>
                <w:noProof/>
                <w:lang w:val="en-US"/>
              </w:rPr>
              <w:t>5. Conclusion</w:t>
            </w:r>
            <w:r>
              <w:rPr>
                <w:noProof/>
                <w:webHidden/>
              </w:rPr>
              <w:tab/>
            </w:r>
            <w:r>
              <w:rPr>
                <w:noProof/>
                <w:webHidden/>
              </w:rPr>
              <w:fldChar w:fldCharType="begin"/>
            </w:r>
            <w:r>
              <w:rPr>
                <w:noProof/>
                <w:webHidden/>
              </w:rPr>
              <w:instrText xml:space="preserve"> PAGEREF _Toc242456071 \h </w:instrText>
            </w:r>
            <w:r>
              <w:rPr>
                <w:noProof/>
                <w:webHidden/>
              </w:rPr>
            </w:r>
            <w:r>
              <w:rPr>
                <w:noProof/>
                <w:webHidden/>
              </w:rPr>
              <w:fldChar w:fldCharType="separate"/>
            </w:r>
            <w:r>
              <w:rPr>
                <w:noProof/>
                <w:webHidden/>
              </w:rPr>
              <w:t>17</w:t>
            </w:r>
            <w:r>
              <w:rPr>
                <w:noProof/>
                <w:webHidden/>
              </w:rPr>
              <w:fldChar w:fldCharType="end"/>
            </w:r>
          </w:hyperlink>
        </w:p>
        <w:p w14:paraId="4AD1A067" w14:textId="024D564F"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72" w:history="1">
            <w:r w:rsidRPr="00B719CD">
              <w:rPr>
                <w:rStyle w:val="Hyperlink"/>
                <w:rFonts w:ascii="Calibri" w:hAnsi="Calibri"/>
                <w:b/>
                <w:bCs/>
                <w:noProof/>
                <w:lang w:val="en-US"/>
              </w:rPr>
              <w:t>References</w:t>
            </w:r>
            <w:r>
              <w:rPr>
                <w:noProof/>
                <w:webHidden/>
              </w:rPr>
              <w:tab/>
            </w:r>
            <w:r>
              <w:rPr>
                <w:noProof/>
                <w:webHidden/>
              </w:rPr>
              <w:fldChar w:fldCharType="begin"/>
            </w:r>
            <w:r>
              <w:rPr>
                <w:noProof/>
                <w:webHidden/>
              </w:rPr>
              <w:instrText xml:space="preserve"> PAGEREF _Toc242456072 \h </w:instrText>
            </w:r>
            <w:r>
              <w:rPr>
                <w:noProof/>
                <w:webHidden/>
              </w:rPr>
            </w:r>
            <w:r>
              <w:rPr>
                <w:noProof/>
                <w:webHidden/>
              </w:rPr>
              <w:fldChar w:fldCharType="separate"/>
            </w:r>
            <w:r>
              <w:rPr>
                <w:noProof/>
                <w:webHidden/>
              </w:rPr>
              <w:t>18</w:t>
            </w:r>
            <w:r>
              <w:rPr>
                <w:noProof/>
                <w:webHidden/>
              </w:rPr>
              <w:fldChar w:fldCharType="end"/>
            </w:r>
          </w:hyperlink>
        </w:p>
        <w:p w14:paraId="67036F40" w14:textId="26D30D7E" w:rsidR="00490C56" w:rsidRDefault="00490C5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56073" w:history="1">
            <w:r w:rsidRPr="00B719CD">
              <w:rPr>
                <w:rStyle w:val="Hyperlink"/>
                <w:rFonts w:ascii="Calibri" w:hAnsi="Calibri"/>
                <w:b/>
                <w:bCs/>
                <w:noProof/>
                <w:lang w:val="en-US"/>
              </w:rPr>
              <w:t>Appendix A. Harrison Burchill – Rock Compliance Performance Development Review</w:t>
            </w:r>
            <w:r>
              <w:rPr>
                <w:noProof/>
                <w:webHidden/>
              </w:rPr>
              <w:tab/>
            </w:r>
            <w:r>
              <w:rPr>
                <w:noProof/>
                <w:webHidden/>
              </w:rPr>
              <w:fldChar w:fldCharType="begin"/>
            </w:r>
            <w:r>
              <w:rPr>
                <w:noProof/>
                <w:webHidden/>
              </w:rPr>
              <w:instrText xml:space="preserve"> PAGEREF _Toc242456073 \h </w:instrText>
            </w:r>
            <w:r>
              <w:rPr>
                <w:noProof/>
                <w:webHidden/>
              </w:rPr>
            </w:r>
            <w:r>
              <w:rPr>
                <w:noProof/>
                <w:webHidden/>
              </w:rPr>
              <w:fldChar w:fldCharType="separate"/>
            </w:r>
            <w:r>
              <w:rPr>
                <w:noProof/>
                <w:webHidden/>
              </w:rPr>
              <w:t>20</w:t>
            </w:r>
            <w:r>
              <w:rPr>
                <w:noProof/>
                <w:webHidden/>
              </w:rPr>
              <w:fldChar w:fldCharType="end"/>
            </w:r>
          </w:hyperlink>
        </w:p>
        <w:p w14:paraId="2BF66C93" w14:textId="09CFD04E" w:rsidR="00583709" w:rsidRPr="00287EF1" w:rsidRDefault="008312FD">
          <w:pPr>
            <w:rPr>
              <w:rFonts w:ascii="Calibri" w:eastAsia="Arial" w:hAnsi="Calibri"/>
            </w:rPr>
          </w:pPr>
          <w:r w:rsidRPr="00287EF1">
            <w:rPr>
              <w:rFonts w:ascii="Calibri" w:hAnsi="Calibri"/>
              <w:sz w:val="22"/>
            </w:rPr>
            <w:fldChar w:fldCharType="end"/>
          </w:r>
        </w:p>
      </w:sdtContent>
    </w:sdt>
    <w:p w14:paraId="27B01F6B" w14:textId="77777777" w:rsidR="00583709" w:rsidRPr="00287EF1" w:rsidRDefault="00583709">
      <w:pPr>
        <w:keepNext/>
        <w:keepLines/>
        <w:pBdr>
          <w:top w:val="nil"/>
          <w:left w:val="nil"/>
          <w:bottom w:val="nil"/>
          <w:right w:val="nil"/>
          <w:between w:val="nil"/>
        </w:pBdr>
        <w:spacing w:before="240" w:after="0"/>
        <w:rPr>
          <w:rFonts w:ascii="Calibri" w:eastAsia="Arial" w:hAnsi="Calibri"/>
          <w:color w:val="2E75B5"/>
        </w:rPr>
      </w:pPr>
    </w:p>
    <w:p w14:paraId="2AB20172" w14:textId="77777777" w:rsidR="00583709" w:rsidRPr="00287EF1" w:rsidRDefault="00583709">
      <w:pPr>
        <w:spacing w:before="120" w:after="120" w:line="360" w:lineRule="auto"/>
        <w:rPr>
          <w:rFonts w:ascii="Calibri" w:eastAsia="Tahoma" w:hAnsi="Calibri"/>
          <w:color w:val="000000"/>
          <w:szCs w:val="24"/>
        </w:rPr>
      </w:pPr>
    </w:p>
    <w:p w14:paraId="682E818C" w14:textId="00BE6033" w:rsidR="00EB2589" w:rsidRPr="00287EF1" w:rsidRDefault="008312FD" w:rsidP="00D803DC">
      <w:pPr>
        <w:rPr>
          <w:rFonts w:ascii="Calibri" w:hAnsi="Calibri"/>
          <w:b/>
          <w:bCs/>
          <w:sz w:val="22"/>
          <w:lang w:val="en-US"/>
        </w:rPr>
      </w:pPr>
      <w:r w:rsidRPr="00287EF1">
        <w:rPr>
          <w:rFonts w:ascii="Calibri" w:hAnsi="Calibri"/>
        </w:rPr>
        <w:br w:type="page"/>
      </w:r>
      <w:r w:rsidR="00EB2589" w:rsidRPr="00287EF1">
        <w:rPr>
          <w:rFonts w:ascii="Calibri" w:hAnsi="Calibri"/>
          <w:b/>
          <w:bCs/>
          <w:sz w:val="22"/>
          <w:lang w:val="en-US"/>
        </w:rPr>
        <w:lastRenderedPageBreak/>
        <w:t xml:space="preserve">1. Introduction </w:t>
      </w:r>
    </w:p>
    <w:p w14:paraId="5B2CB61E" w14:textId="77777777" w:rsidR="00EB2589" w:rsidRPr="00287EF1" w:rsidRDefault="00EB2589" w:rsidP="00EB2589">
      <w:pPr>
        <w:rPr>
          <w:rFonts w:ascii="Calibri" w:hAnsi="Calibri"/>
          <w:sz w:val="22"/>
          <w:lang w:val="en-US"/>
        </w:rPr>
      </w:pPr>
      <w:r w:rsidRPr="00287EF1">
        <w:rPr>
          <w:rFonts w:ascii="Calibri" w:hAnsi="Calibri"/>
          <w:sz w:val="22"/>
          <w:lang w:val="en-US"/>
        </w:rPr>
        <w:t>Developing individuals in the workplace is a strategic concern rather than simply a training activity. Organisations depend on employees who can adapt to changing client expectations, regulatory requirements, technologies and operational pressures. Senge (1990) argues that organisational learning requires people to improve their capacity collectively, while Garvin (1993) emphasises creating, acquiring and transferring knowledge and modifying behaviour accordingly. This report considers how these principles could operate within Rock Compliance, where the effectiveness of engineers, schedulers, supervisors and trainers is interconnected. This report evaluates how purposeful workplace learning can strengthen operational reliability, employee engagement and succession planning at Rock Compliance. It considers Harrison Burchill, a Level 2 Engineer aspiring to become an Engineer Supervisor and School of Rock Trainer, as a proposed development case. The argument is that promotion readiness requires more than technical competence: it requires safe judgement, communication, coaching, client awareness and evidence of learning transfer. The analysis combines the module’s emphasis on the learning organisation, performance appraisal, fair assessment and continuing professional development with the company’s actual Performance Development Review (PDR) framework. A comparison of the Michigan and Harvard human-resource models finds that the Harvard stakeholder approach provides the stronger foundation for employee-led development, although Michigan-style measurable objectives remain essential in compliance work. A 12-month plan, evidence-based review process and illustrative charts translate this conclusion into a practical approach. The recommendations are proposals rather than claims that Harrison has already completed these activities.</w:t>
      </w:r>
    </w:p>
    <w:p w14:paraId="5D538A11" w14:textId="77777777" w:rsidR="00EB2589" w:rsidRPr="00287EF1" w:rsidRDefault="00EB2589" w:rsidP="00EB2589">
      <w:pPr>
        <w:rPr>
          <w:rFonts w:ascii="Calibri" w:hAnsi="Calibri"/>
          <w:sz w:val="22"/>
          <w:lang w:val="en-US"/>
        </w:rPr>
      </w:pPr>
      <w:r w:rsidRPr="00287EF1">
        <w:rPr>
          <w:rFonts w:ascii="Calibri" w:hAnsi="Calibri"/>
          <w:sz w:val="22"/>
          <w:lang w:val="en-US"/>
        </w:rPr>
        <w:t>In my role as Operations Scheduling Manager, I manage engineers remotely, including planning engineers’ diaries, coordinating routes, managing urgent work, prioritising service-level agreements (SLAs), communicating with account managers and clients, and responding to unexpected absence or site changes. These responsibilities give me a practical view of how an individual’s capability affects wider service delivery. For example, when an engineer requires support with a technically complex job, that support must be coordinated without jeopardising other confirmed visits. This demonstrates that learning is both an individual and a systems issue.</w:t>
      </w:r>
    </w:p>
    <w:p w14:paraId="68E4A0F7" w14:textId="7C7ABDB9" w:rsidR="00EB2589" w:rsidRPr="00287EF1" w:rsidRDefault="00EB2589" w:rsidP="00EB2589">
      <w:pPr>
        <w:rPr>
          <w:rFonts w:ascii="Calibri" w:hAnsi="Calibri"/>
          <w:sz w:val="22"/>
          <w:lang w:val="en-US"/>
        </w:rPr>
      </w:pPr>
      <w:r w:rsidRPr="00287EF1">
        <w:rPr>
          <w:rFonts w:ascii="Calibri" w:hAnsi="Calibri"/>
          <w:sz w:val="22"/>
          <w:lang w:val="en-US"/>
        </w:rPr>
        <w:t xml:space="preserve">The case study concerns Harrison Burchill, described for this assignment as a Level 2 Engineer who wishes to progress into engineering supervision and the School of Rock training function. His aspiration is the starting point, not evidence that he is presently ready for either position. A developmental PDR should therefore test competencies fairly, identify gaps and establish realistic milestones. As the supplied Rock PDR is an uncompleted template, the objectives, baselines, ratings and activities in this report are explicitly proposed, subject to validation by Harrison, his line </w:t>
      </w:r>
      <w:r w:rsidR="008609A4" w:rsidRPr="00287EF1">
        <w:rPr>
          <w:rFonts w:ascii="Calibri" w:hAnsi="Calibri"/>
          <w:sz w:val="22"/>
          <w:lang w:val="en-US"/>
        </w:rPr>
        <w:t>manager,</w:t>
      </w:r>
      <w:r w:rsidRPr="00287EF1">
        <w:rPr>
          <w:rFonts w:ascii="Calibri" w:hAnsi="Calibri"/>
          <w:sz w:val="22"/>
          <w:lang w:val="en-US"/>
        </w:rPr>
        <w:t xml:space="preserve"> and the training function.</w:t>
      </w:r>
    </w:p>
    <w:p w14:paraId="26000810" w14:textId="618D0495" w:rsidR="00EB2589" w:rsidRPr="00287EF1" w:rsidRDefault="00EB2589" w:rsidP="00EB2589">
      <w:pPr>
        <w:rPr>
          <w:rFonts w:ascii="Calibri" w:hAnsi="Calibri"/>
          <w:sz w:val="22"/>
          <w:lang w:val="en-US"/>
        </w:rPr>
      </w:pPr>
      <w:r w:rsidRPr="00287EF1">
        <w:rPr>
          <w:rFonts w:ascii="Calibri" w:hAnsi="Calibri"/>
          <w:sz w:val="22"/>
          <w:lang w:val="en-US"/>
        </w:rPr>
        <w:t xml:space="preserve">Rock’s PDR describes its strategic ambition to be the Best Place to Work and identifies three business enablers: Best Place to Work, Best National Provider and Most Successful in our Sector (Rock Compliance, n.d.). The company’s culture wheel names five </w:t>
      </w:r>
      <w:r w:rsidR="008609A4" w:rsidRPr="00287EF1">
        <w:rPr>
          <w:rFonts w:ascii="Calibri" w:hAnsi="Calibri"/>
          <w:sz w:val="22"/>
          <w:lang w:val="en-US"/>
        </w:rPr>
        <w:t>behavioral</w:t>
      </w:r>
      <w:r w:rsidRPr="00287EF1">
        <w:rPr>
          <w:rFonts w:ascii="Calibri" w:hAnsi="Calibri"/>
          <w:sz w:val="22"/>
          <w:lang w:val="en-US"/>
        </w:rPr>
        <w:t xml:space="preserve"> values: Be Client Focused, Be Engaging, Be Accountable, Be Passionate and Be Curious. Its wider stated purpose is “Making the world’s buildings safer and more sustainable”. These are useful criteria against which to judge not only what Harrison achieves but how he achieves it. The report follows the four module learning outcomes and integrates critical debate with a measurable development plan.</w:t>
      </w:r>
    </w:p>
    <w:p w14:paraId="789A83EE" w14:textId="0EEF1B1E" w:rsidR="003B566D" w:rsidRPr="00287EF1" w:rsidRDefault="00DB1540" w:rsidP="003B566D">
      <w:pPr>
        <w:pStyle w:val="Heading1"/>
        <w:rPr>
          <w:rFonts w:ascii="Calibri" w:hAnsi="Calibri"/>
          <w:b/>
          <w:bCs/>
          <w:color w:val="auto"/>
          <w:sz w:val="22"/>
          <w:szCs w:val="22"/>
          <w:lang w:val="en-US"/>
        </w:rPr>
      </w:pPr>
      <w:bookmarkStart w:id="0" w:name="_Toc242456050"/>
      <w:r>
        <w:rPr>
          <w:rFonts w:ascii="Calibri" w:hAnsi="Calibri"/>
          <w:b/>
          <w:bCs/>
          <w:color w:val="auto"/>
          <w:sz w:val="22"/>
          <w:szCs w:val="22"/>
          <w:lang w:val="en-US"/>
        </w:rPr>
        <w:lastRenderedPageBreak/>
        <w:t xml:space="preserve">1. </w:t>
      </w:r>
      <w:r w:rsidR="003B566D" w:rsidRPr="00287EF1">
        <w:rPr>
          <w:rFonts w:ascii="Calibri" w:hAnsi="Calibri"/>
          <w:b/>
          <w:bCs/>
          <w:color w:val="auto"/>
          <w:sz w:val="22"/>
          <w:szCs w:val="22"/>
          <w:lang w:val="en-US"/>
        </w:rPr>
        <w:t>Critically assessing the organisational benefits of developing individuals</w:t>
      </w:r>
      <w:bookmarkEnd w:id="0"/>
    </w:p>
    <w:p w14:paraId="5AC44136" w14:textId="77777777" w:rsidR="003B566D" w:rsidRPr="00287EF1" w:rsidRDefault="003B566D" w:rsidP="003B566D">
      <w:pPr>
        <w:pStyle w:val="Heading2"/>
        <w:rPr>
          <w:rFonts w:ascii="Calibri" w:hAnsi="Calibri"/>
          <w:color w:val="auto"/>
          <w:sz w:val="22"/>
          <w:szCs w:val="22"/>
          <w:lang w:val="en-US"/>
        </w:rPr>
      </w:pPr>
      <w:bookmarkStart w:id="1" w:name="_Toc242456051"/>
      <w:r w:rsidRPr="00287EF1">
        <w:rPr>
          <w:rFonts w:ascii="Calibri" w:hAnsi="Calibri"/>
          <w:color w:val="auto"/>
          <w:sz w:val="22"/>
          <w:szCs w:val="22"/>
          <w:lang w:val="en-US"/>
        </w:rPr>
        <w:t>1.1 Capability, safety and service quality</w:t>
      </w:r>
      <w:bookmarkEnd w:id="1"/>
    </w:p>
    <w:p w14:paraId="3606A948" w14:textId="77777777" w:rsidR="003B566D" w:rsidRPr="00287EF1" w:rsidRDefault="003B566D" w:rsidP="003B566D">
      <w:pPr>
        <w:rPr>
          <w:rFonts w:ascii="Calibri" w:hAnsi="Calibri"/>
          <w:sz w:val="22"/>
          <w:lang w:val="en-US"/>
        </w:rPr>
      </w:pPr>
      <w:r w:rsidRPr="00287EF1">
        <w:rPr>
          <w:rFonts w:ascii="Calibri" w:hAnsi="Calibri"/>
          <w:sz w:val="22"/>
          <w:lang w:val="en-US"/>
        </w:rPr>
        <w:t>Human capital theory views knowledge and skills as investments that may improve productive capacity (Becker, 1964). In Rock’s context, investment in engineering capability could increase first-time quality, strengthen documentation, improve troubleshooting and reduce repeat visits. However, these benefits should not be assumed from attendance at a course. Baldwin and Ford (1988) show that training transfer depends on trainee characteristics, training design and the work environment. A technically knowledgeable engineer may still struggle to apply learning when site conditions differ from classroom exercises. Consequently, supervisor observation, practical demonstration and follow-up checks are necessary.</w:t>
      </w:r>
    </w:p>
    <w:p w14:paraId="389901E1" w14:textId="77777777" w:rsidR="003B566D" w:rsidRPr="00287EF1" w:rsidRDefault="003B566D" w:rsidP="003B566D">
      <w:pPr>
        <w:rPr>
          <w:rFonts w:ascii="Calibri" w:hAnsi="Calibri"/>
          <w:sz w:val="22"/>
          <w:lang w:val="en-US"/>
        </w:rPr>
      </w:pPr>
      <w:r w:rsidRPr="00287EF1">
        <w:rPr>
          <w:rFonts w:ascii="Calibri" w:hAnsi="Calibri"/>
          <w:sz w:val="22"/>
          <w:lang w:val="en-US"/>
        </w:rPr>
        <w:t>The practical consequences of competence are visible in scheduling. An incorrectly scoped visit may require another engineer, create a client complaint and force rescheduling across several diaries. In contrast, an engineer who communicates emerging issues promptly gives the scheduling team time to arrange suitable resources. From my experience, rapid communication and accurate site information can be as important to service delivery as the engineer’s technical skill. Development should therefore include reporting, escalation and client communication alongside engineering standards. This is consistent with Rock’s Be Accountable and Be Client Focused values.</w:t>
      </w:r>
    </w:p>
    <w:p w14:paraId="60E9DC98" w14:textId="77777777" w:rsidR="003B566D" w:rsidRPr="00287EF1" w:rsidRDefault="003B566D" w:rsidP="003B566D">
      <w:pPr>
        <w:pStyle w:val="Heading2"/>
        <w:rPr>
          <w:rFonts w:ascii="Calibri" w:hAnsi="Calibri"/>
          <w:color w:val="auto"/>
          <w:sz w:val="22"/>
          <w:szCs w:val="22"/>
          <w:lang w:val="en-US"/>
        </w:rPr>
      </w:pPr>
      <w:bookmarkStart w:id="2" w:name="_Toc242456052"/>
      <w:r w:rsidRPr="00287EF1">
        <w:rPr>
          <w:rFonts w:ascii="Calibri" w:hAnsi="Calibri"/>
          <w:color w:val="auto"/>
          <w:sz w:val="22"/>
          <w:szCs w:val="22"/>
          <w:lang w:val="en-US"/>
        </w:rPr>
        <w:t>1.2 Retention, motivation and succession</w:t>
      </w:r>
      <w:bookmarkEnd w:id="2"/>
    </w:p>
    <w:p w14:paraId="06C0947B" w14:textId="77777777" w:rsidR="003B566D" w:rsidRPr="00287EF1" w:rsidRDefault="003B566D" w:rsidP="003B566D">
      <w:pPr>
        <w:rPr>
          <w:rFonts w:ascii="Calibri" w:hAnsi="Calibri"/>
          <w:sz w:val="22"/>
          <w:lang w:val="en-US"/>
        </w:rPr>
      </w:pPr>
      <w:r w:rsidRPr="00287EF1">
        <w:rPr>
          <w:rFonts w:ascii="Calibri" w:hAnsi="Calibri"/>
          <w:sz w:val="22"/>
          <w:lang w:val="en-US"/>
        </w:rPr>
        <w:t>Employee development may strengthen retention by showing that advancement is possible within the organisation. Social exchange theory suggests that employees may reciprocate perceived organisational support with commitment and constructive behaviour (Cropanzano &amp; Mitchell, 2005). Self-determination theory similarly emphasises autonomy, competence and relatedness as important motivational conditions (Deci &amp; Ryan, 2000). Harrison’s desire to supervise and train others presents an opportunity to connect his personal ambitions with organisational requirements. A credible pathway could help retain valuable operational knowledge while reducing dependence on external recruitment.</w:t>
      </w:r>
    </w:p>
    <w:p w14:paraId="250CDD52" w14:textId="36513121" w:rsidR="003B566D" w:rsidRPr="00287EF1" w:rsidRDefault="003B566D" w:rsidP="003B566D">
      <w:pPr>
        <w:rPr>
          <w:rFonts w:ascii="Calibri" w:hAnsi="Calibri"/>
          <w:sz w:val="22"/>
          <w:lang w:val="en-US"/>
        </w:rPr>
      </w:pPr>
      <w:r w:rsidRPr="00287EF1">
        <w:rPr>
          <w:rFonts w:ascii="Calibri" w:hAnsi="Calibri"/>
          <w:sz w:val="22"/>
          <w:lang w:val="en-US"/>
        </w:rPr>
        <w:t>Nevertheless, training does not guarantee loyalty. More transferable qualifications may improve external employability, and disappointed expectations can reduce engagement. De Vos et al. (2011) identif</w:t>
      </w:r>
      <w:r w:rsidR="00C77669">
        <w:rPr>
          <w:rFonts w:ascii="Calibri" w:hAnsi="Calibri"/>
          <w:sz w:val="22"/>
          <w:lang w:val="en-US"/>
        </w:rPr>
        <w:t>ies</w:t>
      </w:r>
      <w:r w:rsidRPr="00287EF1">
        <w:rPr>
          <w:rFonts w:ascii="Calibri" w:hAnsi="Calibri"/>
          <w:sz w:val="22"/>
          <w:lang w:val="en-US"/>
        </w:rPr>
        <w:t xml:space="preserve"> the importance of developmental opportunities in career-related outcomes, but career discussions must be realistic. I would avoid telling Harrison that successful completion of a plan automatically guarantees promotion. Instead, I would distinguish becoming eligible for consideration from an actual appointment, which depends on vacancies, business requirements and selection processes. This is both fairer and more </w:t>
      </w:r>
      <w:r w:rsidR="00C77669">
        <w:rPr>
          <w:rFonts w:ascii="Calibri" w:hAnsi="Calibri"/>
          <w:sz w:val="22"/>
          <w:lang w:val="en-US"/>
        </w:rPr>
        <w:t>viable</w:t>
      </w:r>
      <w:r w:rsidRPr="00287EF1">
        <w:rPr>
          <w:rFonts w:ascii="Calibri" w:hAnsi="Calibri"/>
          <w:sz w:val="22"/>
          <w:lang w:val="en-US"/>
        </w:rPr>
        <w:t>.</w:t>
      </w:r>
    </w:p>
    <w:p w14:paraId="799353D3" w14:textId="77777777" w:rsidR="003B566D" w:rsidRPr="00287EF1" w:rsidRDefault="003B566D" w:rsidP="003B566D">
      <w:pPr>
        <w:pStyle w:val="Heading2"/>
        <w:rPr>
          <w:rFonts w:ascii="Calibri" w:hAnsi="Calibri"/>
          <w:color w:val="auto"/>
          <w:sz w:val="22"/>
          <w:szCs w:val="22"/>
          <w:lang w:val="en-US"/>
        </w:rPr>
      </w:pPr>
      <w:bookmarkStart w:id="3" w:name="_Toc242456053"/>
      <w:r w:rsidRPr="00287EF1">
        <w:rPr>
          <w:rFonts w:ascii="Calibri" w:hAnsi="Calibri"/>
          <w:color w:val="auto"/>
          <w:sz w:val="22"/>
          <w:szCs w:val="22"/>
          <w:lang w:val="en-US"/>
        </w:rPr>
        <w:t>1.3 Learning culture and organisational resilience</w:t>
      </w:r>
      <w:bookmarkEnd w:id="3"/>
    </w:p>
    <w:p w14:paraId="2403B8F8" w14:textId="611104B8" w:rsidR="003B566D" w:rsidRPr="00287EF1" w:rsidRDefault="003B566D" w:rsidP="003B566D">
      <w:pPr>
        <w:rPr>
          <w:rFonts w:ascii="Calibri" w:hAnsi="Calibri"/>
          <w:sz w:val="22"/>
          <w:lang w:val="en-US"/>
        </w:rPr>
      </w:pPr>
      <w:r w:rsidRPr="00287EF1">
        <w:rPr>
          <w:rFonts w:ascii="Calibri" w:hAnsi="Calibri"/>
          <w:sz w:val="22"/>
          <w:lang w:val="en-US"/>
        </w:rPr>
        <w:t xml:space="preserve">Senge’s (1990) five disciplines—personal mastery, mental models, shared vision, team learning and systems thinking—offer a wider perspective. Personal mastery corresponds with Harrison’s aspiration; team learning would arise when he coaches colleagues; and systems thinking would require him to understand how engineering decisions affect planning, client relationships and compliance reporting. Argyris and Schön (1978) distinguish single-loop learning, which corrects errors within existing rules, from double-loop learning, which questions underlying assumptions. Rock could benefit from both: correcting an incomplete site report is </w:t>
      </w:r>
      <w:r w:rsidR="008609A4" w:rsidRPr="00287EF1">
        <w:rPr>
          <w:rFonts w:ascii="Calibri" w:hAnsi="Calibri"/>
          <w:sz w:val="22"/>
          <w:lang w:val="en-US"/>
        </w:rPr>
        <w:t>useful but</w:t>
      </w:r>
      <w:r w:rsidRPr="00287EF1">
        <w:rPr>
          <w:rFonts w:ascii="Calibri" w:hAnsi="Calibri"/>
          <w:sz w:val="22"/>
          <w:lang w:val="en-US"/>
        </w:rPr>
        <w:t xml:space="preserve"> investigating why the reporting process routinely creates omissions may prevent recurrence.</w:t>
      </w:r>
    </w:p>
    <w:p w14:paraId="3DDBCA8D" w14:textId="77777777" w:rsidR="003B566D" w:rsidRPr="00287EF1" w:rsidRDefault="003B566D" w:rsidP="003B566D">
      <w:pPr>
        <w:rPr>
          <w:rFonts w:ascii="Calibri" w:hAnsi="Calibri"/>
          <w:sz w:val="22"/>
          <w:lang w:val="en-US"/>
        </w:rPr>
      </w:pPr>
      <w:r w:rsidRPr="00287EF1">
        <w:rPr>
          <w:rFonts w:ascii="Calibri" w:hAnsi="Calibri"/>
          <w:sz w:val="22"/>
          <w:lang w:val="en-US"/>
        </w:rPr>
        <w:lastRenderedPageBreak/>
        <w:t>A further benefit is succession planning. Internal candidates who understand systems, clients and safety expectations may transition more smoothly into supervisory work. Yet promoting an excellent technician does not necessarily produce an effective people manager. Leadership requires giving feedback, resolving disagreement, managing fairness and supporting performance. Without these skills, promotion can harm morale or quality. The business case should therefore assess both future supervisory potential and training capability, not merely current technical output.</w:t>
      </w:r>
    </w:p>
    <w:p w14:paraId="33F64F80" w14:textId="77777777" w:rsidR="003B566D" w:rsidRPr="00287EF1" w:rsidRDefault="003B566D" w:rsidP="003B566D">
      <w:pPr>
        <w:pStyle w:val="Heading2"/>
        <w:rPr>
          <w:rFonts w:ascii="Calibri" w:hAnsi="Calibri"/>
          <w:color w:val="auto"/>
          <w:sz w:val="22"/>
          <w:szCs w:val="22"/>
          <w:lang w:val="en-US"/>
        </w:rPr>
      </w:pPr>
      <w:bookmarkStart w:id="4" w:name="_Toc242456054"/>
      <w:r w:rsidRPr="00287EF1">
        <w:rPr>
          <w:rFonts w:ascii="Calibri" w:hAnsi="Calibri"/>
          <w:color w:val="auto"/>
          <w:sz w:val="22"/>
          <w:szCs w:val="22"/>
          <w:lang w:val="en-US"/>
        </w:rPr>
        <w:t>1.4 Costs, opportunity costs and fair access</w:t>
      </w:r>
      <w:bookmarkEnd w:id="4"/>
    </w:p>
    <w:p w14:paraId="0B54B7E5" w14:textId="77777777" w:rsidR="003B566D" w:rsidRPr="00287EF1" w:rsidRDefault="003B566D" w:rsidP="003B566D">
      <w:pPr>
        <w:rPr>
          <w:rFonts w:ascii="Calibri" w:hAnsi="Calibri"/>
          <w:sz w:val="22"/>
          <w:lang w:val="en-US"/>
        </w:rPr>
      </w:pPr>
      <w:r w:rsidRPr="00287EF1">
        <w:rPr>
          <w:rFonts w:ascii="Calibri" w:hAnsi="Calibri"/>
          <w:sz w:val="22"/>
          <w:lang w:val="en-US"/>
        </w:rPr>
        <w:t>Development requires protected time, assessor availability, supervision and sometimes formal qualifications. For an Operations Scheduling Manager, releasing an engineer for training reduces available capacity and can increase travel or overtime pressures. I would therefore plan learning around workload forecasts, avoid critical SLA periods and communicate early with account managers. Where feasible, supervised work-based tasks provide evidence while delivering service, although high-risk activities must never be used as unsupervised practice.</w:t>
      </w:r>
    </w:p>
    <w:p w14:paraId="4C1F903A" w14:textId="63D68F9C" w:rsidR="003B566D" w:rsidRPr="00287EF1" w:rsidRDefault="003B566D" w:rsidP="003B566D">
      <w:pPr>
        <w:rPr>
          <w:rFonts w:ascii="Calibri" w:hAnsi="Calibri"/>
          <w:sz w:val="22"/>
          <w:lang w:val="en-US"/>
        </w:rPr>
      </w:pPr>
      <w:r w:rsidRPr="00287EF1">
        <w:rPr>
          <w:rFonts w:ascii="Calibri" w:hAnsi="Calibri"/>
          <w:sz w:val="22"/>
          <w:lang w:val="en-US"/>
        </w:rPr>
        <w:t>Access also matters. If the most visible or geographically convenient engineers receive all development opportunities, organisational capability may become uneven. Colquitt et al. (2001) demonstrate</w:t>
      </w:r>
      <w:r w:rsidR="00C77669">
        <w:rPr>
          <w:rFonts w:ascii="Calibri" w:hAnsi="Calibri"/>
          <w:sz w:val="22"/>
          <w:lang w:val="en-US"/>
        </w:rPr>
        <w:t>s</w:t>
      </w:r>
      <w:r w:rsidRPr="00287EF1">
        <w:rPr>
          <w:rFonts w:ascii="Calibri" w:hAnsi="Calibri"/>
          <w:sz w:val="22"/>
          <w:lang w:val="en-US"/>
        </w:rPr>
        <w:t xml:space="preserve"> the importance of organisational justice perceptions. Transparent criteria, consistent assessment and documented decisions are needed to avoid favouritism. Development effectiveness should be evaluated through quality, safety, retention and behaviour, not simply course-completion figures. The proposed dashboard later in this report balances these measures.</w:t>
      </w:r>
    </w:p>
    <w:p w14:paraId="71ECD836" w14:textId="77777777" w:rsidR="003B566D" w:rsidRPr="00287EF1" w:rsidRDefault="003B566D" w:rsidP="007A741E">
      <w:pPr>
        <w:pStyle w:val="Heading2"/>
        <w:rPr>
          <w:rFonts w:ascii="Calibri" w:hAnsi="Calibri"/>
          <w:color w:val="auto"/>
          <w:sz w:val="22"/>
          <w:szCs w:val="22"/>
          <w:lang w:val="en-US"/>
        </w:rPr>
      </w:pPr>
      <w:bookmarkStart w:id="5" w:name="_Toc242456055"/>
      <w:r w:rsidRPr="00287EF1">
        <w:rPr>
          <w:rFonts w:ascii="Calibri" w:hAnsi="Calibri"/>
          <w:color w:val="auto"/>
          <w:sz w:val="22"/>
          <w:szCs w:val="22"/>
          <w:lang w:val="en-US"/>
        </w:rPr>
        <w:t>1.5 Critical academic debate: Michigan versus Harvard models</w:t>
      </w:r>
      <w:bookmarkEnd w:id="5"/>
    </w:p>
    <w:p w14:paraId="262F72F9" w14:textId="77777777" w:rsidR="003B566D" w:rsidRPr="00287EF1" w:rsidRDefault="003B566D" w:rsidP="007A741E">
      <w:pPr>
        <w:pStyle w:val="Heading2"/>
        <w:rPr>
          <w:rFonts w:ascii="Calibri" w:hAnsi="Calibri"/>
          <w:color w:val="auto"/>
          <w:sz w:val="22"/>
          <w:szCs w:val="22"/>
          <w:lang w:val="en-US"/>
        </w:rPr>
      </w:pPr>
      <w:bookmarkStart w:id="6" w:name="_Toc242456056"/>
      <w:r w:rsidRPr="00287EF1">
        <w:rPr>
          <w:rFonts w:ascii="Calibri" w:hAnsi="Calibri"/>
          <w:color w:val="auto"/>
          <w:sz w:val="22"/>
          <w:szCs w:val="22"/>
          <w:lang w:val="en-US"/>
        </w:rPr>
        <w:t>1.5.1 Michigan model: strategic control and alignment</w:t>
      </w:r>
      <w:bookmarkEnd w:id="6"/>
    </w:p>
    <w:p w14:paraId="055A8EE8" w14:textId="77777777" w:rsidR="003B566D" w:rsidRPr="00287EF1" w:rsidRDefault="003B566D" w:rsidP="003B566D">
      <w:pPr>
        <w:rPr>
          <w:rFonts w:ascii="Calibri" w:hAnsi="Calibri"/>
          <w:sz w:val="22"/>
          <w:lang w:val="en-US"/>
        </w:rPr>
      </w:pPr>
      <w:r w:rsidRPr="00287EF1">
        <w:rPr>
          <w:rFonts w:ascii="Calibri" w:hAnsi="Calibri"/>
          <w:sz w:val="22"/>
          <w:lang w:val="en-US"/>
        </w:rPr>
        <w:t>The Michigan model, associated with Fombrun et al. (1984), emphasises matching selection, appraisal, rewards and development with business strategy. Its principal strength for Rock is clarity: engineer development should contribute to safe delivery, service quality and operational performance. Defined competency standards and measurable milestones can make selection for supervisory positions more defensible. This approach is particularly useful where inadequate performance can affect client safety or compliance. However, an excessively instrumental interpretation may treat employees primarily as resources to be deployed, overlooking their aspirations, voice and wider wellbeing.</w:t>
      </w:r>
    </w:p>
    <w:p w14:paraId="7E290297" w14:textId="77777777" w:rsidR="003B566D" w:rsidRPr="00287EF1" w:rsidRDefault="003B566D" w:rsidP="007A741E">
      <w:pPr>
        <w:pStyle w:val="Heading2"/>
        <w:rPr>
          <w:rFonts w:ascii="Calibri" w:hAnsi="Calibri"/>
          <w:color w:val="auto"/>
          <w:sz w:val="22"/>
          <w:szCs w:val="22"/>
          <w:lang w:val="en-US"/>
        </w:rPr>
      </w:pPr>
      <w:bookmarkStart w:id="7" w:name="_Toc242456057"/>
      <w:r w:rsidRPr="00287EF1">
        <w:rPr>
          <w:rFonts w:ascii="Calibri" w:hAnsi="Calibri"/>
          <w:color w:val="auto"/>
          <w:sz w:val="22"/>
          <w:szCs w:val="22"/>
          <w:lang w:val="en-US"/>
        </w:rPr>
        <w:t>1.5.2 Harvard model: stakeholders and commitment</w:t>
      </w:r>
      <w:bookmarkEnd w:id="7"/>
    </w:p>
    <w:p w14:paraId="0655506C" w14:textId="3D2294BE" w:rsidR="003B566D" w:rsidRPr="00287EF1" w:rsidRDefault="003B566D" w:rsidP="003B566D">
      <w:pPr>
        <w:rPr>
          <w:rFonts w:ascii="Calibri" w:hAnsi="Calibri"/>
          <w:sz w:val="22"/>
          <w:lang w:val="en-US"/>
        </w:rPr>
      </w:pPr>
      <w:r w:rsidRPr="00287EF1">
        <w:rPr>
          <w:rFonts w:ascii="Calibri" w:hAnsi="Calibri"/>
          <w:sz w:val="22"/>
          <w:lang w:val="en-US"/>
        </w:rPr>
        <w:t xml:space="preserve">The Harvard model presented by Beer et al. (1984) gives greater emphasis to employee influence, stakeholder interests, human-resource flows, rewards and work systems. Its strength is recognition that organisational effectiveness depends on commitment, competence, congruence and cost effectiveness rather than narrow output alone. Applied to Harrison, it supports an open career conversation, negotiated learning opportunities and attention to motivation. Its weakness is that stakeholder interests can </w:t>
      </w:r>
      <w:r w:rsidR="008609A4" w:rsidRPr="00287EF1">
        <w:rPr>
          <w:rFonts w:ascii="Calibri" w:hAnsi="Calibri"/>
          <w:sz w:val="22"/>
          <w:lang w:val="en-US"/>
        </w:rPr>
        <w:t>conflict</w:t>
      </w:r>
      <w:r w:rsidRPr="00287EF1">
        <w:rPr>
          <w:rFonts w:ascii="Calibri" w:hAnsi="Calibri"/>
          <w:sz w:val="22"/>
          <w:lang w:val="en-US"/>
        </w:rPr>
        <w:t xml:space="preserve"> Harrison may want accelerated promotion while managers must protect service capacity and equitable access. The model also offers less immediate operational precision than a competency-based scorecard.</w:t>
      </w:r>
    </w:p>
    <w:p w14:paraId="11FAF290" w14:textId="77777777" w:rsidR="003B566D" w:rsidRPr="00287EF1" w:rsidRDefault="003B566D" w:rsidP="007A741E">
      <w:pPr>
        <w:pStyle w:val="Heading2"/>
        <w:rPr>
          <w:rFonts w:ascii="Calibri" w:hAnsi="Calibri"/>
          <w:color w:val="auto"/>
          <w:sz w:val="22"/>
          <w:szCs w:val="22"/>
          <w:lang w:val="en-US"/>
        </w:rPr>
      </w:pPr>
      <w:bookmarkStart w:id="8" w:name="_Toc242456058"/>
      <w:r w:rsidRPr="00287EF1">
        <w:rPr>
          <w:rFonts w:ascii="Calibri" w:hAnsi="Calibri"/>
          <w:color w:val="auto"/>
          <w:sz w:val="22"/>
          <w:szCs w:val="22"/>
          <w:lang w:val="en-US"/>
        </w:rPr>
        <w:t>1.5.3 Reasoned judgement</w:t>
      </w:r>
      <w:bookmarkEnd w:id="8"/>
    </w:p>
    <w:p w14:paraId="6338420C" w14:textId="77777777" w:rsidR="003B566D" w:rsidRPr="00287EF1" w:rsidRDefault="003B566D" w:rsidP="003B566D">
      <w:pPr>
        <w:rPr>
          <w:rFonts w:ascii="Calibri" w:hAnsi="Calibri"/>
          <w:sz w:val="22"/>
          <w:lang w:val="en-US"/>
        </w:rPr>
      </w:pPr>
      <w:r w:rsidRPr="00287EF1">
        <w:rPr>
          <w:rFonts w:ascii="Calibri" w:hAnsi="Calibri"/>
          <w:sz w:val="22"/>
          <w:lang w:val="en-US"/>
        </w:rPr>
        <w:t xml:space="preserve">My understanding of learning and development aligns more closely with the Harvard model because I see effective development as a partnership between employee, manager and organisation. In scheduling, outcomes improve when engineers can raise concerns, share information and influence </w:t>
      </w:r>
      <w:r w:rsidRPr="00287EF1">
        <w:rPr>
          <w:rFonts w:ascii="Calibri" w:hAnsi="Calibri"/>
          <w:sz w:val="22"/>
          <w:lang w:val="en-US"/>
        </w:rPr>
        <w:lastRenderedPageBreak/>
        <w:t>practical decisions rather than simply follow instructions. The same principle should apply to a PDR: Harrison should actively shape his objectives and understand why each activity matters. Nevertheless, Harvard should not be interpreted as avoiding accountability. Rock needs Michigan-style standards for mandatory learning, safe practice and measurable readiness. The most convincing solution is therefore a Harvard-led developmental relationship supported by Michigan-style performance controls.</w:t>
      </w:r>
    </w:p>
    <w:p w14:paraId="004AA7FF" w14:textId="77777777" w:rsidR="003B566D" w:rsidRPr="00287EF1" w:rsidRDefault="003B566D" w:rsidP="003B566D">
      <w:pPr>
        <w:rPr>
          <w:rFonts w:ascii="Calibri" w:hAnsi="Calibri"/>
          <w:sz w:val="22"/>
          <w:lang w:val="en-US"/>
        </w:rPr>
      </w:pPr>
      <w:r w:rsidRPr="00287EF1">
        <w:rPr>
          <w:rFonts w:ascii="Calibri" w:hAnsi="Calibri"/>
          <w:sz w:val="22"/>
          <w:lang w:val="en-US"/>
        </w:rPr>
        <w:t>This judgement is reinforced by Senge (1990), who regards shared vision and team learning as central to organisational capability, and by Edmondson (1999), whose research associates psychological safety with team learning behaviour. Harrison is more likely to admit uncertainty and request coaching where development conversations are safe and constructive. Yet openness cannot replace competency sign-off. A supervisor must demonstrate that learning has transferred to safe decisions under realistic conditions. The proposed PDR deliberately combines employee voice with evidence-based assessment.</w:t>
      </w:r>
    </w:p>
    <w:p w14:paraId="66537860" w14:textId="77777777" w:rsidR="00806574" w:rsidRPr="00287EF1" w:rsidRDefault="00806574" w:rsidP="006E052D">
      <w:pPr>
        <w:rPr>
          <w:rFonts w:ascii="Calibri" w:hAnsi="Calibri"/>
          <w:b/>
          <w:sz w:val="22"/>
          <w:lang w:val="en-US"/>
        </w:rPr>
      </w:pPr>
    </w:p>
    <w:p w14:paraId="01FD5524" w14:textId="69CC8692" w:rsidR="006E052D" w:rsidRPr="00287EF1" w:rsidRDefault="006E052D" w:rsidP="006E052D">
      <w:pPr>
        <w:rPr>
          <w:rFonts w:ascii="Calibri" w:hAnsi="Calibri"/>
          <w:sz w:val="22"/>
          <w:lang w:val="en-US"/>
        </w:rPr>
      </w:pPr>
      <w:r w:rsidRPr="00287EF1">
        <w:rPr>
          <w:rFonts w:ascii="Calibri" w:hAnsi="Calibri"/>
          <w:b/>
          <w:sz w:val="22"/>
          <w:lang w:val="en-US"/>
        </w:rPr>
        <w:t>Senge’s five disciplines applied to Rock Compliance</w:t>
      </w:r>
    </w:p>
    <w:tbl>
      <w:tblPr>
        <w:tblStyle w:val="TableGrid"/>
        <w:tblW w:w="0" w:type="auto"/>
        <w:tblLook w:val="04A0" w:firstRow="1" w:lastRow="0" w:firstColumn="1" w:lastColumn="0" w:noHBand="0" w:noVBand="1"/>
      </w:tblPr>
      <w:tblGrid>
        <w:gridCol w:w="4320"/>
        <w:gridCol w:w="4320"/>
      </w:tblGrid>
      <w:tr w:rsidR="006E052D" w:rsidRPr="00287EF1" w14:paraId="28682258" w14:textId="77777777">
        <w:tc>
          <w:tcPr>
            <w:tcW w:w="4320" w:type="dxa"/>
            <w:tcBorders>
              <w:top w:val="single" w:sz="4" w:space="0" w:color="auto"/>
              <w:left w:val="single" w:sz="4" w:space="0" w:color="auto"/>
              <w:bottom w:val="single" w:sz="4" w:space="0" w:color="auto"/>
              <w:right w:val="single" w:sz="4" w:space="0" w:color="auto"/>
            </w:tcBorders>
            <w:hideMark/>
          </w:tcPr>
          <w:p w14:paraId="6EB7EBEA"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Discipline</w:t>
            </w:r>
          </w:p>
        </w:tc>
        <w:tc>
          <w:tcPr>
            <w:tcW w:w="4320" w:type="dxa"/>
            <w:tcBorders>
              <w:top w:val="single" w:sz="4" w:space="0" w:color="auto"/>
              <w:left w:val="single" w:sz="4" w:space="0" w:color="auto"/>
              <w:bottom w:val="single" w:sz="4" w:space="0" w:color="auto"/>
              <w:right w:val="single" w:sz="4" w:space="0" w:color="auto"/>
            </w:tcBorders>
            <w:hideMark/>
          </w:tcPr>
          <w:p w14:paraId="20E265CD"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Application to Harrison and Rock</w:t>
            </w:r>
          </w:p>
        </w:tc>
      </w:tr>
      <w:tr w:rsidR="006E052D" w:rsidRPr="00287EF1" w14:paraId="249332F3" w14:textId="77777777">
        <w:tc>
          <w:tcPr>
            <w:tcW w:w="4320" w:type="dxa"/>
            <w:tcBorders>
              <w:top w:val="single" w:sz="4" w:space="0" w:color="auto"/>
              <w:left w:val="single" w:sz="4" w:space="0" w:color="auto"/>
              <w:bottom w:val="single" w:sz="4" w:space="0" w:color="auto"/>
              <w:right w:val="single" w:sz="4" w:space="0" w:color="auto"/>
            </w:tcBorders>
            <w:hideMark/>
          </w:tcPr>
          <w:p w14:paraId="3DFA5EA3"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Systems thinking</w:t>
            </w:r>
          </w:p>
        </w:tc>
        <w:tc>
          <w:tcPr>
            <w:tcW w:w="4320" w:type="dxa"/>
            <w:tcBorders>
              <w:top w:val="single" w:sz="4" w:space="0" w:color="auto"/>
              <w:left w:val="single" w:sz="4" w:space="0" w:color="auto"/>
              <w:bottom w:val="single" w:sz="4" w:space="0" w:color="auto"/>
              <w:right w:val="single" w:sz="4" w:space="0" w:color="auto"/>
            </w:tcBorders>
            <w:hideMark/>
          </w:tcPr>
          <w:p w14:paraId="490D76CB"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Connect field quality, scheduling, client outcomes and compliance</w:t>
            </w:r>
          </w:p>
        </w:tc>
      </w:tr>
      <w:tr w:rsidR="006E052D" w:rsidRPr="00287EF1" w14:paraId="0198571A" w14:textId="77777777">
        <w:tc>
          <w:tcPr>
            <w:tcW w:w="4320" w:type="dxa"/>
            <w:tcBorders>
              <w:top w:val="single" w:sz="4" w:space="0" w:color="auto"/>
              <w:left w:val="single" w:sz="4" w:space="0" w:color="auto"/>
              <w:bottom w:val="single" w:sz="4" w:space="0" w:color="auto"/>
              <w:right w:val="single" w:sz="4" w:space="0" w:color="auto"/>
            </w:tcBorders>
            <w:hideMark/>
          </w:tcPr>
          <w:p w14:paraId="3E1648A7"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Personal mastery</w:t>
            </w:r>
          </w:p>
        </w:tc>
        <w:tc>
          <w:tcPr>
            <w:tcW w:w="4320" w:type="dxa"/>
            <w:tcBorders>
              <w:top w:val="single" w:sz="4" w:space="0" w:color="auto"/>
              <w:left w:val="single" w:sz="4" w:space="0" w:color="auto"/>
              <w:bottom w:val="single" w:sz="4" w:space="0" w:color="auto"/>
              <w:right w:val="single" w:sz="4" w:space="0" w:color="auto"/>
            </w:tcBorders>
            <w:hideMark/>
          </w:tcPr>
          <w:p w14:paraId="77EE073B"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Build Harrison’s technical and leadership competence</w:t>
            </w:r>
          </w:p>
        </w:tc>
      </w:tr>
      <w:tr w:rsidR="006E052D" w:rsidRPr="00287EF1" w14:paraId="4DEDB6E9" w14:textId="77777777">
        <w:tc>
          <w:tcPr>
            <w:tcW w:w="4320" w:type="dxa"/>
            <w:tcBorders>
              <w:top w:val="single" w:sz="4" w:space="0" w:color="auto"/>
              <w:left w:val="single" w:sz="4" w:space="0" w:color="auto"/>
              <w:bottom w:val="single" w:sz="4" w:space="0" w:color="auto"/>
              <w:right w:val="single" w:sz="4" w:space="0" w:color="auto"/>
            </w:tcBorders>
            <w:hideMark/>
          </w:tcPr>
          <w:p w14:paraId="4C522CE1"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Mental models</w:t>
            </w:r>
          </w:p>
        </w:tc>
        <w:tc>
          <w:tcPr>
            <w:tcW w:w="4320" w:type="dxa"/>
            <w:tcBorders>
              <w:top w:val="single" w:sz="4" w:space="0" w:color="auto"/>
              <w:left w:val="single" w:sz="4" w:space="0" w:color="auto"/>
              <w:bottom w:val="single" w:sz="4" w:space="0" w:color="auto"/>
              <w:right w:val="single" w:sz="4" w:space="0" w:color="auto"/>
            </w:tcBorders>
            <w:hideMark/>
          </w:tcPr>
          <w:p w14:paraId="07908291"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Challenge assumptions about how engineers learn and progress</w:t>
            </w:r>
          </w:p>
        </w:tc>
      </w:tr>
      <w:tr w:rsidR="006E052D" w:rsidRPr="00287EF1" w14:paraId="7D0EB44E" w14:textId="77777777">
        <w:tc>
          <w:tcPr>
            <w:tcW w:w="4320" w:type="dxa"/>
            <w:tcBorders>
              <w:top w:val="single" w:sz="4" w:space="0" w:color="auto"/>
              <w:left w:val="single" w:sz="4" w:space="0" w:color="auto"/>
              <w:bottom w:val="single" w:sz="4" w:space="0" w:color="auto"/>
              <w:right w:val="single" w:sz="4" w:space="0" w:color="auto"/>
            </w:tcBorders>
            <w:hideMark/>
          </w:tcPr>
          <w:p w14:paraId="338EF85D"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Shared vision</w:t>
            </w:r>
          </w:p>
        </w:tc>
        <w:tc>
          <w:tcPr>
            <w:tcW w:w="4320" w:type="dxa"/>
            <w:tcBorders>
              <w:top w:val="single" w:sz="4" w:space="0" w:color="auto"/>
              <w:left w:val="single" w:sz="4" w:space="0" w:color="auto"/>
              <w:bottom w:val="single" w:sz="4" w:space="0" w:color="auto"/>
              <w:right w:val="single" w:sz="4" w:space="0" w:color="auto"/>
            </w:tcBorders>
            <w:hideMark/>
          </w:tcPr>
          <w:p w14:paraId="0EDADAF5"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Align career ambition with Rock’s service and people priorities</w:t>
            </w:r>
          </w:p>
        </w:tc>
      </w:tr>
      <w:tr w:rsidR="006E052D" w:rsidRPr="00287EF1" w14:paraId="07E3027C" w14:textId="77777777">
        <w:tc>
          <w:tcPr>
            <w:tcW w:w="4320" w:type="dxa"/>
            <w:tcBorders>
              <w:top w:val="single" w:sz="4" w:space="0" w:color="auto"/>
              <w:left w:val="single" w:sz="4" w:space="0" w:color="auto"/>
              <w:bottom w:val="single" w:sz="4" w:space="0" w:color="auto"/>
              <w:right w:val="single" w:sz="4" w:space="0" w:color="auto"/>
            </w:tcBorders>
            <w:hideMark/>
          </w:tcPr>
          <w:p w14:paraId="3828033B"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Team learning</w:t>
            </w:r>
          </w:p>
        </w:tc>
        <w:tc>
          <w:tcPr>
            <w:tcW w:w="4320" w:type="dxa"/>
            <w:tcBorders>
              <w:top w:val="single" w:sz="4" w:space="0" w:color="auto"/>
              <w:left w:val="single" w:sz="4" w:space="0" w:color="auto"/>
              <w:bottom w:val="single" w:sz="4" w:space="0" w:color="auto"/>
              <w:right w:val="single" w:sz="4" w:space="0" w:color="auto"/>
            </w:tcBorders>
            <w:hideMark/>
          </w:tcPr>
          <w:p w14:paraId="7210C1AD" w14:textId="77777777" w:rsidR="006E052D" w:rsidRPr="00287EF1" w:rsidRDefault="006E052D" w:rsidP="006E052D">
            <w:pPr>
              <w:spacing w:after="160" w:line="259" w:lineRule="auto"/>
              <w:rPr>
                <w:rFonts w:ascii="Calibri" w:hAnsi="Calibri"/>
                <w:sz w:val="22"/>
                <w:lang w:val="en-US"/>
              </w:rPr>
            </w:pPr>
            <w:r w:rsidRPr="00287EF1">
              <w:rPr>
                <w:rFonts w:ascii="Calibri" w:hAnsi="Calibri"/>
                <w:sz w:val="22"/>
                <w:lang w:val="en-US"/>
              </w:rPr>
              <w:t>Share technical knowledge through School of Rock sessions</w:t>
            </w:r>
          </w:p>
        </w:tc>
      </w:tr>
    </w:tbl>
    <w:p w14:paraId="2AE3139C" w14:textId="227D2AF8" w:rsidR="006E052D" w:rsidRPr="00287EF1" w:rsidRDefault="006E052D" w:rsidP="006E052D">
      <w:pPr>
        <w:rPr>
          <w:rFonts w:ascii="Calibri" w:hAnsi="Calibri"/>
          <w:sz w:val="22"/>
          <w:lang w:val="en-US"/>
        </w:rPr>
      </w:pPr>
      <w:r w:rsidRPr="00287EF1">
        <w:rPr>
          <w:rFonts w:ascii="Calibri" w:hAnsi="Calibri"/>
          <w:i/>
          <w:sz w:val="22"/>
          <w:lang w:val="en-US"/>
        </w:rPr>
        <w:t>Table adapted from Senge (1990), The Fifth Discipline. Source: https://books.google.com/books/about/The_Fifth_Discipline.html?id=bVZqAAAAMAAJ</w:t>
      </w:r>
    </w:p>
    <w:p w14:paraId="647402DD" w14:textId="77777777" w:rsidR="006E052D" w:rsidRPr="00287EF1" w:rsidRDefault="006E052D" w:rsidP="006E052D">
      <w:pPr>
        <w:rPr>
          <w:rFonts w:ascii="Calibri" w:hAnsi="Calibri"/>
          <w:sz w:val="22"/>
          <w:lang w:val="en-US"/>
        </w:rPr>
      </w:pPr>
      <w:r w:rsidRPr="00287EF1">
        <w:rPr>
          <w:rFonts w:ascii="Calibri" w:hAnsi="Calibri"/>
          <w:sz w:val="22"/>
          <w:lang w:val="en-US"/>
        </w:rPr>
        <w:t>The five disciplines provide an organisational perspective rather than a guarantee of improved performance. For Rock, Harrison’s individual development would only become organisational learning if knowledge is shared and embedded in everyday engineering practice (Senge, 1990).</w:t>
      </w:r>
    </w:p>
    <w:p w14:paraId="70FF3FF5" w14:textId="77777777" w:rsidR="00806574" w:rsidRPr="00287EF1" w:rsidRDefault="00806574" w:rsidP="006E052D">
      <w:pPr>
        <w:rPr>
          <w:rFonts w:ascii="Calibri" w:hAnsi="Calibri"/>
          <w:sz w:val="22"/>
          <w:lang w:val="en-US"/>
        </w:rPr>
      </w:pPr>
    </w:p>
    <w:p w14:paraId="203DBB69" w14:textId="77777777" w:rsidR="00806574" w:rsidRPr="00287EF1" w:rsidRDefault="00806574" w:rsidP="00806574">
      <w:pPr>
        <w:rPr>
          <w:rFonts w:ascii="Calibri" w:hAnsi="Calibri"/>
          <w:b/>
          <w:sz w:val="22"/>
          <w:lang w:val="en-US"/>
        </w:rPr>
      </w:pPr>
    </w:p>
    <w:p w14:paraId="17FDAE78" w14:textId="77777777" w:rsidR="00806574" w:rsidRPr="00287EF1" w:rsidRDefault="00806574" w:rsidP="00806574">
      <w:pPr>
        <w:rPr>
          <w:rFonts w:ascii="Calibri" w:hAnsi="Calibri"/>
          <w:b/>
          <w:sz w:val="22"/>
          <w:lang w:val="en-US"/>
        </w:rPr>
      </w:pPr>
    </w:p>
    <w:p w14:paraId="746B39DD" w14:textId="77777777" w:rsidR="00806574" w:rsidRPr="00287EF1" w:rsidRDefault="00806574" w:rsidP="00806574">
      <w:pPr>
        <w:rPr>
          <w:rFonts w:ascii="Calibri" w:hAnsi="Calibri"/>
          <w:b/>
          <w:sz w:val="22"/>
          <w:lang w:val="en-US"/>
        </w:rPr>
      </w:pPr>
    </w:p>
    <w:p w14:paraId="0222FB84" w14:textId="77777777" w:rsidR="00806574" w:rsidRPr="00287EF1" w:rsidRDefault="00806574" w:rsidP="00806574">
      <w:pPr>
        <w:rPr>
          <w:rFonts w:ascii="Calibri" w:hAnsi="Calibri"/>
          <w:b/>
          <w:sz w:val="22"/>
          <w:lang w:val="en-US"/>
        </w:rPr>
      </w:pPr>
    </w:p>
    <w:p w14:paraId="609EFA76" w14:textId="77777777" w:rsidR="00D803DC" w:rsidRDefault="00D803DC" w:rsidP="00806574">
      <w:pPr>
        <w:rPr>
          <w:rFonts w:ascii="Calibri" w:hAnsi="Calibri"/>
          <w:b/>
          <w:sz w:val="22"/>
          <w:lang w:val="en-US"/>
        </w:rPr>
      </w:pPr>
    </w:p>
    <w:p w14:paraId="16C9C96C" w14:textId="4F0DD486" w:rsidR="00806574" w:rsidRPr="00287EF1" w:rsidRDefault="00806574" w:rsidP="00806574">
      <w:pPr>
        <w:rPr>
          <w:rFonts w:ascii="Calibri" w:hAnsi="Calibri"/>
          <w:sz w:val="22"/>
          <w:lang w:val="en-US"/>
        </w:rPr>
      </w:pPr>
      <w:r w:rsidRPr="00287EF1">
        <w:rPr>
          <w:rFonts w:ascii="Calibri" w:hAnsi="Calibri"/>
          <w:b/>
          <w:sz w:val="22"/>
          <w:lang w:val="en-US"/>
        </w:rPr>
        <w:lastRenderedPageBreak/>
        <w:t>Comparison of the Harvard and Michigan HRM approaches</w:t>
      </w:r>
    </w:p>
    <w:tbl>
      <w:tblPr>
        <w:tblStyle w:val="TableGrid"/>
        <w:tblW w:w="0" w:type="auto"/>
        <w:tblLook w:val="04A0" w:firstRow="1" w:lastRow="0" w:firstColumn="1" w:lastColumn="0" w:noHBand="0" w:noVBand="1"/>
      </w:tblPr>
      <w:tblGrid>
        <w:gridCol w:w="4320"/>
        <w:gridCol w:w="4320"/>
      </w:tblGrid>
      <w:tr w:rsidR="00806574" w:rsidRPr="00287EF1" w14:paraId="70BDDD74" w14:textId="77777777">
        <w:tc>
          <w:tcPr>
            <w:tcW w:w="4320" w:type="dxa"/>
            <w:tcBorders>
              <w:top w:val="single" w:sz="4" w:space="0" w:color="auto"/>
              <w:left w:val="single" w:sz="4" w:space="0" w:color="auto"/>
              <w:bottom w:val="single" w:sz="4" w:space="0" w:color="auto"/>
              <w:right w:val="single" w:sz="4" w:space="0" w:color="auto"/>
            </w:tcBorders>
            <w:hideMark/>
          </w:tcPr>
          <w:p w14:paraId="5640DF04"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Harvard model (commitment)</w:t>
            </w:r>
          </w:p>
        </w:tc>
        <w:tc>
          <w:tcPr>
            <w:tcW w:w="4320" w:type="dxa"/>
            <w:tcBorders>
              <w:top w:val="single" w:sz="4" w:space="0" w:color="auto"/>
              <w:left w:val="single" w:sz="4" w:space="0" w:color="auto"/>
              <w:bottom w:val="single" w:sz="4" w:space="0" w:color="auto"/>
              <w:right w:val="single" w:sz="4" w:space="0" w:color="auto"/>
            </w:tcBorders>
            <w:hideMark/>
          </w:tcPr>
          <w:p w14:paraId="11B891CB"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Michigan model (strategic fit)</w:t>
            </w:r>
          </w:p>
        </w:tc>
      </w:tr>
      <w:tr w:rsidR="00806574" w:rsidRPr="00287EF1" w14:paraId="46F9CF59" w14:textId="77777777">
        <w:tc>
          <w:tcPr>
            <w:tcW w:w="4320" w:type="dxa"/>
            <w:tcBorders>
              <w:top w:val="single" w:sz="4" w:space="0" w:color="auto"/>
              <w:left w:val="single" w:sz="4" w:space="0" w:color="auto"/>
              <w:bottom w:val="single" w:sz="4" w:space="0" w:color="auto"/>
              <w:right w:val="single" w:sz="4" w:space="0" w:color="auto"/>
            </w:tcBorders>
            <w:hideMark/>
          </w:tcPr>
          <w:p w14:paraId="3EE59AA2"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Employee and stakeholder interests</w:t>
            </w:r>
          </w:p>
        </w:tc>
        <w:tc>
          <w:tcPr>
            <w:tcW w:w="4320" w:type="dxa"/>
            <w:tcBorders>
              <w:top w:val="single" w:sz="4" w:space="0" w:color="auto"/>
              <w:left w:val="single" w:sz="4" w:space="0" w:color="auto"/>
              <w:bottom w:val="single" w:sz="4" w:space="0" w:color="auto"/>
              <w:right w:val="single" w:sz="4" w:space="0" w:color="auto"/>
            </w:tcBorders>
            <w:hideMark/>
          </w:tcPr>
          <w:p w14:paraId="096A1D7C"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Selection, appraisal, rewards and development</w:t>
            </w:r>
          </w:p>
        </w:tc>
      </w:tr>
      <w:tr w:rsidR="00806574" w:rsidRPr="00287EF1" w14:paraId="7E8BED55" w14:textId="77777777">
        <w:tc>
          <w:tcPr>
            <w:tcW w:w="4320" w:type="dxa"/>
            <w:tcBorders>
              <w:top w:val="single" w:sz="4" w:space="0" w:color="auto"/>
              <w:left w:val="single" w:sz="4" w:space="0" w:color="auto"/>
              <w:bottom w:val="single" w:sz="4" w:space="0" w:color="auto"/>
              <w:right w:val="single" w:sz="4" w:space="0" w:color="auto"/>
            </w:tcBorders>
            <w:hideMark/>
          </w:tcPr>
          <w:p w14:paraId="78947719"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Development, involvement and long-term outcomes</w:t>
            </w:r>
          </w:p>
        </w:tc>
        <w:tc>
          <w:tcPr>
            <w:tcW w:w="4320" w:type="dxa"/>
            <w:tcBorders>
              <w:top w:val="single" w:sz="4" w:space="0" w:color="auto"/>
              <w:left w:val="single" w:sz="4" w:space="0" w:color="auto"/>
              <w:bottom w:val="single" w:sz="4" w:space="0" w:color="auto"/>
              <w:right w:val="single" w:sz="4" w:space="0" w:color="auto"/>
            </w:tcBorders>
            <w:hideMark/>
          </w:tcPr>
          <w:p w14:paraId="72A9FE41"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Alignment with business objectives and measured outputs</w:t>
            </w:r>
          </w:p>
        </w:tc>
      </w:tr>
      <w:tr w:rsidR="00806574" w:rsidRPr="00287EF1" w14:paraId="3402E39D" w14:textId="77777777">
        <w:tc>
          <w:tcPr>
            <w:tcW w:w="4320" w:type="dxa"/>
            <w:tcBorders>
              <w:top w:val="single" w:sz="4" w:space="0" w:color="auto"/>
              <w:left w:val="single" w:sz="4" w:space="0" w:color="auto"/>
              <w:bottom w:val="single" w:sz="4" w:space="0" w:color="auto"/>
              <w:right w:val="single" w:sz="4" w:space="0" w:color="auto"/>
            </w:tcBorders>
            <w:hideMark/>
          </w:tcPr>
          <w:p w14:paraId="591CE178"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Suitable for mentoring and sustainable progression</w:t>
            </w:r>
          </w:p>
        </w:tc>
        <w:tc>
          <w:tcPr>
            <w:tcW w:w="4320" w:type="dxa"/>
            <w:tcBorders>
              <w:top w:val="single" w:sz="4" w:space="0" w:color="auto"/>
              <w:left w:val="single" w:sz="4" w:space="0" w:color="auto"/>
              <w:bottom w:val="single" w:sz="4" w:space="0" w:color="auto"/>
              <w:right w:val="single" w:sz="4" w:space="0" w:color="auto"/>
            </w:tcBorders>
            <w:hideMark/>
          </w:tcPr>
          <w:p w14:paraId="4402A1B8" w14:textId="77777777" w:rsidR="00806574" w:rsidRPr="00287EF1" w:rsidRDefault="00806574" w:rsidP="00806574">
            <w:pPr>
              <w:spacing w:after="160" w:line="259" w:lineRule="auto"/>
              <w:rPr>
                <w:rFonts w:ascii="Calibri" w:hAnsi="Calibri"/>
                <w:sz w:val="22"/>
                <w:lang w:val="en-US"/>
              </w:rPr>
            </w:pPr>
            <w:r w:rsidRPr="00287EF1">
              <w:rPr>
                <w:rFonts w:ascii="Calibri" w:hAnsi="Calibri"/>
                <w:sz w:val="22"/>
                <w:lang w:val="en-US"/>
              </w:rPr>
              <w:t>Suitable for defining standards and monitoring readiness</w:t>
            </w:r>
          </w:p>
        </w:tc>
      </w:tr>
    </w:tbl>
    <w:p w14:paraId="3AA59407" w14:textId="77777777" w:rsidR="00806574" w:rsidRPr="00287EF1" w:rsidRDefault="00806574" w:rsidP="00806574">
      <w:pPr>
        <w:rPr>
          <w:rFonts w:ascii="Calibri" w:hAnsi="Calibri"/>
          <w:i/>
          <w:sz w:val="22"/>
          <w:lang w:val="en-US"/>
        </w:rPr>
      </w:pPr>
    </w:p>
    <w:p w14:paraId="6DE2DAB8" w14:textId="4E6CAFEA" w:rsidR="00806574" w:rsidRPr="00287EF1" w:rsidRDefault="00806574" w:rsidP="00806574">
      <w:pPr>
        <w:rPr>
          <w:rFonts w:ascii="Calibri" w:hAnsi="Calibri"/>
          <w:sz w:val="22"/>
          <w:lang w:val="en-US"/>
        </w:rPr>
      </w:pPr>
      <w:r w:rsidRPr="00287EF1">
        <w:rPr>
          <w:rFonts w:ascii="Calibri" w:hAnsi="Calibri"/>
          <w:i/>
          <w:sz w:val="22"/>
          <w:lang w:val="en-US"/>
        </w:rPr>
        <w:t>Comparative table based on Beer et al. (1984) and Fombrun et al. (1984); model concepts also discussed in BMSK5010 Sessions 1–2.</w:t>
      </w:r>
    </w:p>
    <w:p w14:paraId="32EDB922" w14:textId="77777777" w:rsidR="00806574" w:rsidRPr="00287EF1" w:rsidRDefault="00806574" w:rsidP="00806574">
      <w:pPr>
        <w:rPr>
          <w:rFonts w:ascii="Calibri" w:hAnsi="Calibri"/>
          <w:sz w:val="22"/>
          <w:lang w:val="en-US"/>
        </w:rPr>
      </w:pPr>
      <w:r w:rsidRPr="00287EF1">
        <w:rPr>
          <w:rFonts w:ascii="Calibri" w:hAnsi="Calibri"/>
          <w:sz w:val="22"/>
          <w:lang w:val="en-US"/>
        </w:rPr>
        <w:t>The Harvard approach is more persuasive for supporting Harrison’s aspirations because it considers employee expectations and participation; Michigan-style performance measures nevertheless remain useful for objectively assessing supervisory and trainer readiness.</w:t>
      </w:r>
    </w:p>
    <w:p w14:paraId="32FF00E4" w14:textId="77777777" w:rsidR="00806574" w:rsidRPr="00287EF1" w:rsidRDefault="00806574" w:rsidP="00806574">
      <w:pPr>
        <w:rPr>
          <w:rFonts w:ascii="Calibri" w:hAnsi="Calibri"/>
          <w:sz w:val="22"/>
          <w:lang w:val="en-US"/>
        </w:rPr>
      </w:pPr>
    </w:p>
    <w:p w14:paraId="40AE40F4" w14:textId="77777777" w:rsidR="00806574" w:rsidRPr="00287EF1" w:rsidRDefault="00806574" w:rsidP="00806574">
      <w:pPr>
        <w:rPr>
          <w:rFonts w:ascii="Calibri" w:hAnsi="Calibri"/>
          <w:sz w:val="22"/>
          <w:lang w:val="en-US"/>
        </w:rPr>
      </w:pPr>
    </w:p>
    <w:p w14:paraId="7D44205B" w14:textId="77777777" w:rsidR="00806574" w:rsidRPr="00287EF1" w:rsidRDefault="00806574" w:rsidP="00806574">
      <w:pPr>
        <w:rPr>
          <w:rFonts w:ascii="Calibri" w:hAnsi="Calibri"/>
          <w:sz w:val="22"/>
          <w:lang w:val="en-US"/>
        </w:rPr>
      </w:pPr>
    </w:p>
    <w:p w14:paraId="6D94B8C6" w14:textId="77777777" w:rsidR="00806574" w:rsidRPr="00287EF1" w:rsidRDefault="00806574" w:rsidP="00806574">
      <w:pPr>
        <w:rPr>
          <w:rFonts w:ascii="Calibri" w:hAnsi="Calibri"/>
          <w:sz w:val="22"/>
          <w:lang w:val="en-US"/>
        </w:rPr>
      </w:pPr>
    </w:p>
    <w:p w14:paraId="6C1E8506" w14:textId="77777777" w:rsidR="00806574" w:rsidRPr="00287EF1" w:rsidRDefault="00806574" w:rsidP="00806574">
      <w:pPr>
        <w:rPr>
          <w:rFonts w:ascii="Calibri" w:hAnsi="Calibri"/>
          <w:sz w:val="22"/>
          <w:lang w:val="en-US"/>
        </w:rPr>
      </w:pPr>
    </w:p>
    <w:p w14:paraId="26B8793F" w14:textId="77777777" w:rsidR="00806574" w:rsidRPr="00287EF1" w:rsidRDefault="00806574" w:rsidP="00806574">
      <w:pPr>
        <w:rPr>
          <w:rFonts w:ascii="Calibri" w:hAnsi="Calibri"/>
          <w:sz w:val="22"/>
          <w:lang w:val="en-US"/>
        </w:rPr>
      </w:pPr>
    </w:p>
    <w:p w14:paraId="1E10CF46" w14:textId="77777777" w:rsidR="00806574" w:rsidRPr="00287EF1" w:rsidRDefault="00806574" w:rsidP="00806574">
      <w:pPr>
        <w:rPr>
          <w:rFonts w:ascii="Calibri" w:hAnsi="Calibri"/>
          <w:sz w:val="22"/>
          <w:lang w:val="en-US"/>
        </w:rPr>
      </w:pPr>
    </w:p>
    <w:p w14:paraId="5B484FDA" w14:textId="77777777" w:rsidR="00806574" w:rsidRPr="00287EF1" w:rsidRDefault="00806574" w:rsidP="00806574">
      <w:pPr>
        <w:rPr>
          <w:rFonts w:ascii="Calibri" w:hAnsi="Calibri"/>
          <w:sz w:val="22"/>
          <w:lang w:val="en-US"/>
        </w:rPr>
      </w:pPr>
    </w:p>
    <w:p w14:paraId="4022ECC1" w14:textId="77777777" w:rsidR="00806574" w:rsidRPr="00287EF1" w:rsidRDefault="00806574" w:rsidP="00806574">
      <w:pPr>
        <w:rPr>
          <w:rFonts w:ascii="Calibri" w:hAnsi="Calibri"/>
          <w:sz w:val="22"/>
          <w:lang w:val="en-US"/>
        </w:rPr>
      </w:pPr>
    </w:p>
    <w:p w14:paraId="6423AF1F" w14:textId="77777777" w:rsidR="00806574" w:rsidRPr="00287EF1" w:rsidRDefault="00806574" w:rsidP="00806574">
      <w:pPr>
        <w:rPr>
          <w:rFonts w:ascii="Calibri" w:hAnsi="Calibri"/>
          <w:sz w:val="22"/>
          <w:lang w:val="en-US"/>
        </w:rPr>
      </w:pPr>
    </w:p>
    <w:p w14:paraId="12BF5E25" w14:textId="77777777" w:rsidR="00806574" w:rsidRPr="00287EF1" w:rsidRDefault="00806574" w:rsidP="00806574">
      <w:pPr>
        <w:rPr>
          <w:rFonts w:ascii="Calibri" w:hAnsi="Calibri"/>
          <w:sz w:val="22"/>
          <w:lang w:val="en-US"/>
        </w:rPr>
      </w:pPr>
    </w:p>
    <w:p w14:paraId="4BA51AC5" w14:textId="77777777" w:rsidR="00806574" w:rsidRPr="00287EF1" w:rsidRDefault="00806574" w:rsidP="00806574">
      <w:pPr>
        <w:rPr>
          <w:rFonts w:ascii="Calibri" w:hAnsi="Calibri"/>
          <w:sz w:val="22"/>
          <w:lang w:val="en-US"/>
        </w:rPr>
      </w:pPr>
    </w:p>
    <w:p w14:paraId="756DD1EC" w14:textId="77777777" w:rsidR="00806574" w:rsidRPr="00287EF1" w:rsidRDefault="00806574" w:rsidP="00806574">
      <w:pPr>
        <w:rPr>
          <w:rFonts w:ascii="Calibri" w:hAnsi="Calibri"/>
          <w:sz w:val="22"/>
          <w:lang w:val="en-US"/>
        </w:rPr>
      </w:pPr>
    </w:p>
    <w:p w14:paraId="5B1A38C5" w14:textId="77777777" w:rsidR="00806574" w:rsidRPr="00287EF1" w:rsidRDefault="00806574" w:rsidP="00806574">
      <w:pPr>
        <w:rPr>
          <w:rFonts w:ascii="Calibri" w:hAnsi="Calibri"/>
          <w:sz w:val="22"/>
          <w:lang w:val="en-US"/>
        </w:rPr>
      </w:pPr>
    </w:p>
    <w:p w14:paraId="6F3DFA4E" w14:textId="77777777" w:rsidR="00806574" w:rsidRPr="00287EF1" w:rsidRDefault="00806574" w:rsidP="00806574">
      <w:pPr>
        <w:rPr>
          <w:rFonts w:ascii="Calibri" w:hAnsi="Calibri"/>
          <w:sz w:val="22"/>
          <w:lang w:val="en-US"/>
        </w:rPr>
      </w:pPr>
    </w:p>
    <w:p w14:paraId="37F9CD68" w14:textId="77777777" w:rsidR="00806574" w:rsidRPr="00287EF1" w:rsidRDefault="00806574" w:rsidP="00806574">
      <w:pPr>
        <w:rPr>
          <w:rFonts w:ascii="Calibri" w:hAnsi="Calibri"/>
          <w:sz w:val="22"/>
          <w:lang w:val="en-US"/>
        </w:rPr>
      </w:pPr>
    </w:p>
    <w:p w14:paraId="7E909763" w14:textId="77777777" w:rsidR="00806574" w:rsidRPr="00287EF1" w:rsidRDefault="00806574" w:rsidP="00806574">
      <w:pPr>
        <w:rPr>
          <w:rFonts w:ascii="Calibri" w:hAnsi="Calibri"/>
          <w:sz w:val="22"/>
          <w:lang w:val="en-US"/>
        </w:rPr>
      </w:pPr>
    </w:p>
    <w:p w14:paraId="79DBB346" w14:textId="32A2F3A3" w:rsidR="00B81EDE" w:rsidRPr="00287EF1" w:rsidRDefault="00B81EDE" w:rsidP="00B81EDE">
      <w:pPr>
        <w:pStyle w:val="Heading1"/>
        <w:rPr>
          <w:rFonts w:ascii="Calibri" w:hAnsi="Calibri"/>
          <w:b/>
          <w:bCs/>
          <w:color w:val="auto"/>
          <w:sz w:val="22"/>
          <w:szCs w:val="22"/>
          <w:lang w:val="en-US"/>
        </w:rPr>
      </w:pPr>
      <w:bookmarkStart w:id="9" w:name="_Toc242456059"/>
      <w:r w:rsidRPr="00287EF1">
        <w:rPr>
          <w:rFonts w:ascii="Calibri" w:hAnsi="Calibri"/>
          <w:b/>
          <w:bCs/>
          <w:color w:val="auto"/>
          <w:sz w:val="22"/>
          <w:szCs w:val="22"/>
          <w:lang w:val="en-US"/>
        </w:rPr>
        <w:lastRenderedPageBreak/>
        <w:t>2. Managing Harrison’s personal development expectations</w:t>
      </w:r>
      <w:bookmarkEnd w:id="9"/>
    </w:p>
    <w:p w14:paraId="7C79806F" w14:textId="77777777" w:rsidR="00B81EDE" w:rsidRPr="00287EF1" w:rsidRDefault="00B81EDE" w:rsidP="00B81EDE">
      <w:pPr>
        <w:pStyle w:val="Heading2"/>
        <w:rPr>
          <w:rFonts w:ascii="Calibri" w:hAnsi="Calibri"/>
          <w:color w:val="auto"/>
          <w:sz w:val="22"/>
          <w:szCs w:val="22"/>
          <w:lang w:val="en-US"/>
        </w:rPr>
      </w:pPr>
      <w:bookmarkStart w:id="10" w:name="_Toc242456060"/>
      <w:r w:rsidRPr="00287EF1">
        <w:rPr>
          <w:rFonts w:ascii="Calibri" w:hAnsi="Calibri"/>
          <w:color w:val="auto"/>
          <w:sz w:val="22"/>
          <w:szCs w:val="22"/>
          <w:lang w:val="en-US"/>
        </w:rPr>
        <w:t>2.1 Establishing a credible development agreement</w:t>
      </w:r>
      <w:bookmarkEnd w:id="10"/>
    </w:p>
    <w:p w14:paraId="5C411F61" w14:textId="77777777" w:rsidR="00B81EDE" w:rsidRPr="00287EF1" w:rsidRDefault="00B81EDE" w:rsidP="00B81EDE">
      <w:pPr>
        <w:rPr>
          <w:rFonts w:ascii="Calibri" w:hAnsi="Calibri"/>
          <w:sz w:val="22"/>
          <w:lang w:val="en-US"/>
        </w:rPr>
      </w:pPr>
      <w:r w:rsidRPr="00287EF1">
        <w:rPr>
          <w:rFonts w:ascii="Calibri" w:hAnsi="Calibri"/>
          <w:sz w:val="22"/>
          <w:lang w:val="en-US"/>
        </w:rPr>
        <w:t>Expectations should be explored through a two-way PDR conversation rather than imposed targets. Locke and Latham (2002) argue that specific, challenging goals can improve performance when employees have commitment, ability and feedback. Harrison should be asked what attracts him to supervision and training, which responsibilities he already understands and what support he believes he needs. His line manager should then clarify the actual role requirements with operational leadership and School of Rock representatives. An initial capability assessment would include technical assurance, safety leadership, coaching, presentation, conflict handling, record accuracy and decision-making.</w:t>
      </w:r>
    </w:p>
    <w:p w14:paraId="495DAC39" w14:textId="77777777" w:rsidR="00B81EDE" w:rsidRPr="00287EF1" w:rsidRDefault="00B81EDE" w:rsidP="00B81EDE">
      <w:pPr>
        <w:rPr>
          <w:rFonts w:ascii="Calibri" w:hAnsi="Calibri"/>
          <w:sz w:val="22"/>
          <w:lang w:val="en-US"/>
        </w:rPr>
      </w:pPr>
      <w:r w:rsidRPr="00287EF1">
        <w:rPr>
          <w:rFonts w:ascii="Calibri" w:hAnsi="Calibri"/>
          <w:sz w:val="22"/>
          <w:lang w:val="en-US"/>
        </w:rPr>
        <w:t>The psychological contract is particularly relevant. Rousseau (1995) explains how employees form beliefs about reciprocal obligations beyond formal contracts. A casual promise of progression could be interpreted as an entitlement to promotion. I would instead document a development opportunity, not a guaranteed job outcome. At each review, the manager should communicate what evidence has been achieved, which gaps remain and whether business circumstances have changed. Harrison should have the opportunity to challenge evidence and contribute to adjustments.</w:t>
      </w:r>
    </w:p>
    <w:p w14:paraId="29A4D456" w14:textId="77777777" w:rsidR="00B81EDE" w:rsidRPr="00287EF1" w:rsidRDefault="00B81EDE" w:rsidP="00B81EDE">
      <w:pPr>
        <w:pStyle w:val="Heading2"/>
        <w:rPr>
          <w:rFonts w:ascii="Calibri" w:hAnsi="Calibri"/>
          <w:color w:val="auto"/>
          <w:sz w:val="22"/>
          <w:szCs w:val="22"/>
          <w:lang w:val="en-US"/>
        </w:rPr>
      </w:pPr>
      <w:bookmarkStart w:id="11" w:name="_Toc242456061"/>
      <w:r w:rsidRPr="00287EF1">
        <w:rPr>
          <w:rFonts w:ascii="Calibri" w:hAnsi="Calibri"/>
          <w:color w:val="auto"/>
          <w:sz w:val="22"/>
          <w:szCs w:val="22"/>
          <w:lang w:val="en-US"/>
        </w:rPr>
        <w:t>2.2 Feedback, fairness and confidentiality</w:t>
      </w:r>
      <w:bookmarkEnd w:id="11"/>
    </w:p>
    <w:p w14:paraId="3372A19D" w14:textId="77777777" w:rsidR="00B81EDE" w:rsidRPr="00287EF1" w:rsidRDefault="00B81EDE" w:rsidP="00B81EDE">
      <w:pPr>
        <w:rPr>
          <w:rFonts w:ascii="Calibri" w:hAnsi="Calibri"/>
          <w:sz w:val="22"/>
          <w:lang w:val="en-US"/>
        </w:rPr>
      </w:pPr>
      <w:r w:rsidRPr="00287EF1">
        <w:rPr>
          <w:rFonts w:ascii="Calibri" w:hAnsi="Calibri"/>
          <w:sz w:val="22"/>
          <w:lang w:val="en-US"/>
        </w:rPr>
        <w:t>Rock’s actual PDR requires monthly one-to-one check-ins, more detailed mid-year and year-end reviews, SMART objectives, values-related behaviours and a five-point performance scale (Rock Compliance, n.d.). A rating of 3 means the desired result has been achieved, while 4 and 5 represent performance exceeding requirements; 1 and 2 reflect underperformance or inconsistency. The PDR also contains a fixed mandatory eLearning objective. It is important that developmental discussions do not obscure compliance obligations.</w:t>
      </w:r>
    </w:p>
    <w:p w14:paraId="4FAECA9E" w14:textId="77777777" w:rsidR="00B81EDE" w:rsidRPr="00287EF1" w:rsidRDefault="00B81EDE" w:rsidP="00B81EDE">
      <w:pPr>
        <w:rPr>
          <w:rFonts w:ascii="Calibri" w:hAnsi="Calibri"/>
          <w:sz w:val="22"/>
          <w:lang w:val="en-US"/>
        </w:rPr>
      </w:pPr>
      <w:r w:rsidRPr="00287EF1">
        <w:rPr>
          <w:rFonts w:ascii="Calibri" w:hAnsi="Calibri"/>
          <w:sz w:val="22"/>
          <w:lang w:val="en-US"/>
        </w:rPr>
        <w:t>Kluger and DeNisi (1996) caution that feedback does not uniformly improve performance; poorly framed feedback can divert attention from the task. I would recommend describing observable behaviours rather than personality labels. For instance, “the engineer gave the client a clear explanation and escalated the issue before leaving site” is more useful than “good communicator”. Multi-source feedback can add perspective, but client comments, scheduler observations and supervisor assessments should be triangulated because each source sees different parts of the work. Assessment records must be stored in authorised systems, discussed privately and limited to those with a legitimate role in the review.</w:t>
      </w:r>
    </w:p>
    <w:p w14:paraId="7F9FED48" w14:textId="77777777" w:rsidR="00B81EDE" w:rsidRPr="00287EF1" w:rsidRDefault="00B81EDE" w:rsidP="00B81EDE">
      <w:pPr>
        <w:rPr>
          <w:rFonts w:ascii="Calibri" w:hAnsi="Calibri"/>
          <w:sz w:val="22"/>
          <w:lang w:val="en-US"/>
        </w:rPr>
      </w:pPr>
      <w:r w:rsidRPr="00287EF1">
        <w:rPr>
          <w:rFonts w:ascii="Calibri" w:hAnsi="Calibri"/>
          <w:sz w:val="22"/>
          <w:lang w:val="en-US"/>
        </w:rPr>
        <w:t>The module sessions on conflict also highlight how disagreements can emerge from role ambiguity, competing priorities and communication barriers. As an Operations Scheduling Manager managing engineers remotely, I have experienced the tension between urgent reactive work and pre-arranged commitments. If Harrison becomes a supervisor, he will need to explain decisions fairly when engineers disagree over workloads or changes. Training in listening, de-escalation and escalation pathways should therefore be treated as a core requirement, not an optional interpersonal extra.</w:t>
      </w:r>
    </w:p>
    <w:p w14:paraId="355ED3D9" w14:textId="77777777" w:rsidR="00B81EDE" w:rsidRPr="00287EF1" w:rsidRDefault="00B81EDE" w:rsidP="00B81EDE">
      <w:pPr>
        <w:pStyle w:val="Heading2"/>
        <w:rPr>
          <w:rFonts w:ascii="Calibri" w:hAnsi="Calibri"/>
          <w:color w:val="auto"/>
          <w:sz w:val="22"/>
          <w:szCs w:val="22"/>
          <w:lang w:val="en-US"/>
        </w:rPr>
      </w:pPr>
      <w:bookmarkStart w:id="12" w:name="_Toc242456062"/>
      <w:r w:rsidRPr="00287EF1">
        <w:rPr>
          <w:rFonts w:ascii="Calibri" w:hAnsi="Calibri"/>
          <w:color w:val="auto"/>
          <w:sz w:val="22"/>
          <w:szCs w:val="22"/>
          <w:lang w:val="en-US"/>
        </w:rPr>
        <w:t>2.3 Aligning individual and business expectations</w:t>
      </w:r>
      <w:bookmarkEnd w:id="12"/>
    </w:p>
    <w:p w14:paraId="11F20CDE" w14:textId="107BDA4D" w:rsidR="00B81EDE" w:rsidRPr="00287EF1" w:rsidRDefault="00B81EDE" w:rsidP="00B81EDE">
      <w:pPr>
        <w:rPr>
          <w:rFonts w:ascii="Calibri" w:hAnsi="Calibri"/>
          <w:sz w:val="22"/>
          <w:lang w:val="en-US"/>
        </w:rPr>
      </w:pPr>
      <w:r w:rsidRPr="00287EF1">
        <w:rPr>
          <w:rFonts w:ascii="Calibri" w:hAnsi="Calibri"/>
          <w:sz w:val="22"/>
          <w:lang w:val="en-US"/>
        </w:rPr>
        <w:t xml:space="preserve">A practical development agreement should connect three interests: Harrison’s career ambition, Rock’s future capability and the immediate needs of clients. For example, a supervised toolbox talk could allow Harrison to </w:t>
      </w:r>
      <w:r w:rsidR="008609A4" w:rsidRPr="00287EF1">
        <w:rPr>
          <w:rFonts w:ascii="Calibri" w:hAnsi="Calibri"/>
          <w:sz w:val="22"/>
          <w:lang w:val="en-US"/>
        </w:rPr>
        <w:t>practice</w:t>
      </w:r>
      <w:r w:rsidRPr="00287EF1">
        <w:rPr>
          <w:rFonts w:ascii="Calibri" w:hAnsi="Calibri"/>
          <w:sz w:val="22"/>
          <w:lang w:val="en-US"/>
        </w:rPr>
        <w:t xml:space="preserve"> teaching, help colleagues understand a technical procedure and provide a documented assessment opportunity. A shadowing placement could develop leadership judgement </w:t>
      </w:r>
      <w:r w:rsidRPr="00287EF1">
        <w:rPr>
          <w:rFonts w:ascii="Calibri" w:hAnsi="Calibri"/>
          <w:sz w:val="22"/>
          <w:lang w:val="en-US"/>
        </w:rPr>
        <w:lastRenderedPageBreak/>
        <w:t>without transferring authority prematurely. Where work pressures prevent a planned activity, the manager should reschedule it and explain the reason rather than allowing the development plan to lapse without discussion.</w:t>
      </w:r>
    </w:p>
    <w:p w14:paraId="0DE45CBF" w14:textId="77777777" w:rsidR="00B81EDE" w:rsidRPr="00287EF1" w:rsidRDefault="00B81EDE" w:rsidP="00B81EDE">
      <w:pPr>
        <w:rPr>
          <w:rFonts w:ascii="Calibri" w:hAnsi="Calibri"/>
          <w:sz w:val="22"/>
          <w:lang w:val="en-US"/>
        </w:rPr>
      </w:pPr>
      <w:r w:rsidRPr="00287EF1">
        <w:rPr>
          <w:rFonts w:ascii="Calibri" w:hAnsi="Calibri"/>
          <w:sz w:val="22"/>
          <w:lang w:val="en-US"/>
        </w:rPr>
        <w:t>The five Rock values can be converted into observable evidence. Be Client Focused involves clear site updates and professional communication; Be Engaging includes inclusive toolbox talks; Be Accountable involves accurate reporting and owning corrective actions; Be Passionate means taking pride in safe, high-quality work; and Be Curious involves asking questions, reflecting on incidents and seeking improvements. Behavioural evidence should complement, rather than substitute for, technical competence.</w:t>
      </w:r>
    </w:p>
    <w:p w14:paraId="48287762" w14:textId="77777777" w:rsidR="00B81EDE" w:rsidRPr="00287EF1" w:rsidRDefault="00B81EDE" w:rsidP="00B81EDE">
      <w:pPr>
        <w:rPr>
          <w:rFonts w:ascii="Calibri" w:hAnsi="Calibri"/>
          <w:sz w:val="22"/>
          <w:lang w:val="en-US"/>
        </w:rPr>
      </w:pPr>
    </w:p>
    <w:p w14:paraId="623FCC76" w14:textId="77777777" w:rsidR="00A10030" w:rsidRPr="00287EF1" w:rsidRDefault="00A10030" w:rsidP="00A10030">
      <w:pPr>
        <w:rPr>
          <w:rFonts w:ascii="Calibri" w:hAnsi="Calibri"/>
          <w:sz w:val="22"/>
          <w:lang w:val="en-US"/>
        </w:rPr>
      </w:pPr>
      <w:r w:rsidRPr="00287EF1">
        <w:rPr>
          <w:rFonts w:ascii="Calibri" w:hAnsi="Calibri"/>
          <w:b/>
          <w:sz w:val="22"/>
          <w:lang w:val="en-US"/>
        </w:rPr>
        <w:t>CPD cycle translated into Harrison’s development journey</w:t>
      </w:r>
    </w:p>
    <w:tbl>
      <w:tblPr>
        <w:tblStyle w:val="TableGrid"/>
        <w:tblW w:w="0" w:type="auto"/>
        <w:tblLook w:val="04A0" w:firstRow="1" w:lastRow="0" w:firstColumn="1" w:lastColumn="0" w:noHBand="0" w:noVBand="1"/>
      </w:tblPr>
      <w:tblGrid>
        <w:gridCol w:w="4320"/>
        <w:gridCol w:w="4320"/>
      </w:tblGrid>
      <w:tr w:rsidR="00A10030" w:rsidRPr="00287EF1" w14:paraId="2407116A" w14:textId="77777777">
        <w:tc>
          <w:tcPr>
            <w:tcW w:w="4320" w:type="dxa"/>
            <w:tcBorders>
              <w:top w:val="single" w:sz="4" w:space="0" w:color="auto"/>
              <w:left w:val="single" w:sz="4" w:space="0" w:color="auto"/>
              <w:bottom w:val="single" w:sz="4" w:space="0" w:color="auto"/>
              <w:right w:val="single" w:sz="4" w:space="0" w:color="auto"/>
            </w:tcBorders>
            <w:hideMark/>
          </w:tcPr>
          <w:p w14:paraId="4493AD53"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Stage</w:t>
            </w:r>
          </w:p>
        </w:tc>
        <w:tc>
          <w:tcPr>
            <w:tcW w:w="4320" w:type="dxa"/>
            <w:tcBorders>
              <w:top w:val="single" w:sz="4" w:space="0" w:color="auto"/>
              <w:left w:val="single" w:sz="4" w:space="0" w:color="auto"/>
              <w:bottom w:val="single" w:sz="4" w:space="0" w:color="auto"/>
              <w:right w:val="single" w:sz="4" w:space="0" w:color="auto"/>
            </w:tcBorders>
            <w:hideMark/>
          </w:tcPr>
          <w:p w14:paraId="706D168D"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Example activity</w:t>
            </w:r>
          </w:p>
        </w:tc>
      </w:tr>
      <w:tr w:rsidR="00A10030" w:rsidRPr="00287EF1" w14:paraId="34F66AD0" w14:textId="77777777">
        <w:tc>
          <w:tcPr>
            <w:tcW w:w="4320" w:type="dxa"/>
            <w:tcBorders>
              <w:top w:val="single" w:sz="4" w:space="0" w:color="auto"/>
              <w:left w:val="single" w:sz="4" w:space="0" w:color="auto"/>
              <w:bottom w:val="single" w:sz="4" w:space="0" w:color="auto"/>
              <w:right w:val="single" w:sz="4" w:space="0" w:color="auto"/>
            </w:tcBorders>
            <w:hideMark/>
          </w:tcPr>
          <w:p w14:paraId="3E33E274"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Identify → Plan</w:t>
            </w:r>
          </w:p>
        </w:tc>
        <w:tc>
          <w:tcPr>
            <w:tcW w:w="4320" w:type="dxa"/>
            <w:tcBorders>
              <w:top w:val="single" w:sz="4" w:space="0" w:color="auto"/>
              <w:left w:val="single" w:sz="4" w:space="0" w:color="auto"/>
              <w:bottom w:val="single" w:sz="4" w:space="0" w:color="auto"/>
              <w:right w:val="single" w:sz="4" w:space="0" w:color="auto"/>
            </w:tcBorders>
            <w:hideMark/>
          </w:tcPr>
          <w:p w14:paraId="678358E6"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PDR gap analysis and agreed SMART milestones</w:t>
            </w:r>
          </w:p>
        </w:tc>
      </w:tr>
      <w:tr w:rsidR="00A10030" w:rsidRPr="00287EF1" w14:paraId="41864D15" w14:textId="77777777">
        <w:tc>
          <w:tcPr>
            <w:tcW w:w="4320" w:type="dxa"/>
            <w:tcBorders>
              <w:top w:val="single" w:sz="4" w:space="0" w:color="auto"/>
              <w:left w:val="single" w:sz="4" w:space="0" w:color="auto"/>
              <w:bottom w:val="single" w:sz="4" w:space="0" w:color="auto"/>
              <w:right w:val="single" w:sz="4" w:space="0" w:color="auto"/>
            </w:tcBorders>
            <w:hideMark/>
          </w:tcPr>
          <w:p w14:paraId="6C6C7FAE"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Act → Reflect</w:t>
            </w:r>
          </w:p>
        </w:tc>
        <w:tc>
          <w:tcPr>
            <w:tcW w:w="4320" w:type="dxa"/>
            <w:tcBorders>
              <w:top w:val="single" w:sz="4" w:space="0" w:color="auto"/>
              <w:left w:val="single" w:sz="4" w:space="0" w:color="auto"/>
              <w:bottom w:val="single" w:sz="4" w:space="0" w:color="auto"/>
              <w:right w:val="single" w:sz="4" w:space="0" w:color="auto"/>
            </w:tcBorders>
            <w:hideMark/>
          </w:tcPr>
          <w:p w14:paraId="196B396A"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Shadow supervisors; record learning and feedback</w:t>
            </w:r>
          </w:p>
        </w:tc>
      </w:tr>
      <w:tr w:rsidR="00A10030" w:rsidRPr="00287EF1" w14:paraId="026E5834" w14:textId="77777777">
        <w:tc>
          <w:tcPr>
            <w:tcW w:w="4320" w:type="dxa"/>
            <w:tcBorders>
              <w:top w:val="single" w:sz="4" w:space="0" w:color="auto"/>
              <w:left w:val="single" w:sz="4" w:space="0" w:color="auto"/>
              <w:bottom w:val="single" w:sz="4" w:space="0" w:color="auto"/>
              <w:right w:val="single" w:sz="4" w:space="0" w:color="auto"/>
            </w:tcBorders>
            <w:hideMark/>
          </w:tcPr>
          <w:p w14:paraId="5847F399"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Apply → Share</w:t>
            </w:r>
          </w:p>
        </w:tc>
        <w:tc>
          <w:tcPr>
            <w:tcW w:w="4320" w:type="dxa"/>
            <w:tcBorders>
              <w:top w:val="single" w:sz="4" w:space="0" w:color="auto"/>
              <w:left w:val="single" w:sz="4" w:space="0" w:color="auto"/>
              <w:bottom w:val="single" w:sz="4" w:space="0" w:color="auto"/>
              <w:right w:val="single" w:sz="4" w:space="0" w:color="auto"/>
            </w:tcBorders>
            <w:hideMark/>
          </w:tcPr>
          <w:p w14:paraId="5B590DAC"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Lead a supervised briefing; deliver a trial training session</w:t>
            </w:r>
          </w:p>
        </w:tc>
      </w:tr>
      <w:tr w:rsidR="00A10030" w:rsidRPr="00287EF1" w14:paraId="6A0E362E" w14:textId="77777777">
        <w:tc>
          <w:tcPr>
            <w:tcW w:w="4320" w:type="dxa"/>
            <w:tcBorders>
              <w:top w:val="single" w:sz="4" w:space="0" w:color="auto"/>
              <w:left w:val="single" w:sz="4" w:space="0" w:color="auto"/>
              <w:bottom w:val="single" w:sz="4" w:space="0" w:color="auto"/>
              <w:right w:val="single" w:sz="4" w:space="0" w:color="auto"/>
            </w:tcBorders>
            <w:hideMark/>
          </w:tcPr>
          <w:p w14:paraId="5E3A78C3"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Impact → Reassess</w:t>
            </w:r>
          </w:p>
        </w:tc>
        <w:tc>
          <w:tcPr>
            <w:tcW w:w="4320" w:type="dxa"/>
            <w:tcBorders>
              <w:top w:val="single" w:sz="4" w:space="0" w:color="auto"/>
              <w:left w:val="single" w:sz="4" w:space="0" w:color="auto"/>
              <w:bottom w:val="single" w:sz="4" w:space="0" w:color="auto"/>
              <w:right w:val="single" w:sz="4" w:space="0" w:color="auto"/>
            </w:tcBorders>
            <w:hideMark/>
          </w:tcPr>
          <w:p w14:paraId="0437C1B0" w14:textId="77777777" w:rsidR="00A10030" w:rsidRPr="00287EF1" w:rsidRDefault="00A10030" w:rsidP="00A10030">
            <w:pPr>
              <w:spacing w:after="160" w:line="259" w:lineRule="auto"/>
              <w:rPr>
                <w:rFonts w:ascii="Calibri" w:hAnsi="Calibri"/>
                <w:sz w:val="22"/>
                <w:lang w:val="en-US"/>
              </w:rPr>
            </w:pPr>
            <w:r w:rsidRPr="00287EF1">
              <w:rPr>
                <w:rFonts w:ascii="Calibri" w:hAnsi="Calibri"/>
                <w:sz w:val="22"/>
                <w:lang w:val="en-US"/>
              </w:rPr>
              <w:t>Review competency evidence and revise the next PDR objectives</w:t>
            </w:r>
          </w:p>
        </w:tc>
      </w:tr>
    </w:tbl>
    <w:p w14:paraId="3E417A39" w14:textId="42A48587" w:rsidR="00A10030" w:rsidRPr="00287EF1" w:rsidRDefault="00A10030" w:rsidP="00A10030">
      <w:pPr>
        <w:rPr>
          <w:rFonts w:ascii="Calibri" w:hAnsi="Calibri"/>
          <w:sz w:val="22"/>
          <w:lang w:val="en-US"/>
        </w:rPr>
      </w:pPr>
      <w:r w:rsidRPr="00287EF1">
        <w:rPr>
          <w:rFonts w:ascii="Calibri" w:hAnsi="Calibri"/>
          <w:i/>
          <w:sz w:val="22"/>
          <w:lang w:val="en-US"/>
        </w:rPr>
        <w:t xml:space="preserve">Adaptation of CIPD, </w:t>
      </w:r>
      <w:r w:rsidR="008609A4" w:rsidRPr="00287EF1">
        <w:rPr>
          <w:rFonts w:ascii="Calibri" w:hAnsi="Calibri"/>
          <w:i/>
          <w:sz w:val="22"/>
          <w:lang w:val="en-US"/>
        </w:rPr>
        <w:t>getting</w:t>
      </w:r>
      <w:r w:rsidRPr="00287EF1">
        <w:rPr>
          <w:rFonts w:ascii="Calibri" w:hAnsi="Calibri"/>
          <w:i/>
          <w:sz w:val="22"/>
          <w:lang w:val="en-US"/>
        </w:rPr>
        <w:t xml:space="preserve"> started with your CPD (n.d.), https://www.cipd.org/uk/learning/cpd/cycle/.</w:t>
      </w:r>
    </w:p>
    <w:p w14:paraId="70FAABAE" w14:textId="77777777" w:rsidR="00A10030" w:rsidRPr="00287EF1" w:rsidRDefault="00A10030" w:rsidP="00A10030">
      <w:pPr>
        <w:rPr>
          <w:rFonts w:ascii="Calibri" w:hAnsi="Calibri"/>
          <w:sz w:val="22"/>
          <w:lang w:val="en-US"/>
        </w:rPr>
      </w:pPr>
      <w:r w:rsidRPr="00287EF1">
        <w:rPr>
          <w:rFonts w:ascii="Calibri" w:hAnsi="Calibri"/>
          <w:sz w:val="22"/>
          <w:lang w:val="en-US"/>
        </w:rPr>
        <w:t>This cycle supports a flexible development plan: Harrison can demonstrate learning through supervised work and reflection rather than relying solely on attendance at courses (CIPD, n.d.).</w:t>
      </w:r>
    </w:p>
    <w:p w14:paraId="6765888E" w14:textId="77777777" w:rsidR="00473860" w:rsidRPr="00287EF1" w:rsidRDefault="00473860" w:rsidP="00A10030">
      <w:pPr>
        <w:rPr>
          <w:rFonts w:ascii="Calibri" w:hAnsi="Calibri"/>
          <w:sz w:val="22"/>
          <w:lang w:val="en-US"/>
        </w:rPr>
      </w:pPr>
    </w:p>
    <w:p w14:paraId="26ADC80F" w14:textId="77777777" w:rsidR="00473860" w:rsidRPr="00287EF1" w:rsidRDefault="00473860" w:rsidP="00A10030">
      <w:pPr>
        <w:rPr>
          <w:rFonts w:ascii="Calibri" w:hAnsi="Calibri"/>
          <w:sz w:val="22"/>
          <w:lang w:val="en-US"/>
        </w:rPr>
      </w:pPr>
    </w:p>
    <w:p w14:paraId="0FDFCB82" w14:textId="77777777" w:rsidR="00473860" w:rsidRPr="00287EF1" w:rsidRDefault="00473860" w:rsidP="00A10030">
      <w:pPr>
        <w:rPr>
          <w:rFonts w:ascii="Calibri" w:hAnsi="Calibri"/>
          <w:sz w:val="22"/>
          <w:lang w:val="en-US"/>
        </w:rPr>
      </w:pPr>
    </w:p>
    <w:p w14:paraId="60DA68B7" w14:textId="77777777" w:rsidR="00473860" w:rsidRPr="00287EF1" w:rsidRDefault="00473860" w:rsidP="00A10030">
      <w:pPr>
        <w:rPr>
          <w:rFonts w:ascii="Calibri" w:hAnsi="Calibri"/>
          <w:sz w:val="22"/>
          <w:lang w:val="en-US"/>
        </w:rPr>
      </w:pPr>
    </w:p>
    <w:p w14:paraId="5A4D38D1" w14:textId="77777777" w:rsidR="00473860" w:rsidRPr="00287EF1" w:rsidRDefault="00473860" w:rsidP="00A10030">
      <w:pPr>
        <w:rPr>
          <w:rFonts w:ascii="Calibri" w:hAnsi="Calibri"/>
          <w:sz w:val="22"/>
          <w:lang w:val="en-US"/>
        </w:rPr>
      </w:pPr>
    </w:p>
    <w:p w14:paraId="3934CC04" w14:textId="77777777" w:rsidR="00473860" w:rsidRPr="00287EF1" w:rsidRDefault="00473860" w:rsidP="00A10030">
      <w:pPr>
        <w:rPr>
          <w:rFonts w:ascii="Calibri" w:hAnsi="Calibri"/>
          <w:sz w:val="22"/>
          <w:lang w:val="en-US"/>
        </w:rPr>
      </w:pPr>
    </w:p>
    <w:p w14:paraId="03CFE7F2" w14:textId="77777777" w:rsidR="00473860" w:rsidRPr="00287EF1" w:rsidRDefault="00473860" w:rsidP="00A10030">
      <w:pPr>
        <w:rPr>
          <w:rFonts w:ascii="Calibri" w:hAnsi="Calibri"/>
          <w:sz w:val="22"/>
          <w:lang w:val="en-US"/>
        </w:rPr>
      </w:pPr>
    </w:p>
    <w:p w14:paraId="12DE8474" w14:textId="77777777" w:rsidR="00473860" w:rsidRPr="00287EF1" w:rsidRDefault="00473860" w:rsidP="00A10030">
      <w:pPr>
        <w:rPr>
          <w:rFonts w:ascii="Calibri" w:hAnsi="Calibri"/>
          <w:sz w:val="22"/>
          <w:lang w:val="en-US"/>
        </w:rPr>
      </w:pPr>
    </w:p>
    <w:p w14:paraId="03EBDAF3" w14:textId="77777777" w:rsidR="00473860" w:rsidRPr="00287EF1" w:rsidRDefault="00473860" w:rsidP="00A10030">
      <w:pPr>
        <w:rPr>
          <w:rFonts w:ascii="Calibri" w:hAnsi="Calibri"/>
          <w:sz w:val="22"/>
          <w:lang w:val="en-US"/>
        </w:rPr>
      </w:pPr>
    </w:p>
    <w:p w14:paraId="37DD86EA" w14:textId="77777777" w:rsidR="00473860" w:rsidRPr="00287EF1" w:rsidRDefault="00473860" w:rsidP="00A10030">
      <w:pPr>
        <w:rPr>
          <w:rFonts w:ascii="Calibri" w:hAnsi="Calibri"/>
          <w:sz w:val="22"/>
          <w:lang w:val="en-US"/>
        </w:rPr>
      </w:pPr>
    </w:p>
    <w:p w14:paraId="76A7C833" w14:textId="01336217" w:rsidR="00473860" w:rsidRPr="00287EF1" w:rsidRDefault="00473860" w:rsidP="00473860">
      <w:pPr>
        <w:pStyle w:val="Heading1"/>
        <w:rPr>
          <w:rFonts w:ascii="Calibri" w:hAnsi="Calibri"/>
          <w:b/>
          <w:bCs/>
          <w:color w:val="auto"/>
          <w:sz w:val="22"/>
          <w:szCs w:val="22"/>
          <w:lang w:val="en-US"/>
        </w:rPr>
      </w:pPr>
      <w:bookmarkStart w:id="13" w:name="_Toc242456063"/>
      <w:r w:rsidRPr="00287EF1">
        <w:rPr>
          <w:rFonts w:ascii="Calibri" w:hAnsi="Calibri"/>
          <w:b/>
          <w:bCs/>
          <w:color w:val="auto"/>
          <w:sz w:val="22"/>
          <w:szCs w:val="22"/>
          <w:lang w:val="en-US"/>
        </w:rPr>
        <w:lastRenderedPageBreak/>
        <w:t>3. Critically evaluating development vehicles</w:t>
      </w:r>
      <w:bookmarkEnd w:id="13"/>
    </w:p>
    <w:p w14:paraId="1DB83B0D" w14:textId="77777777" w:rsidR="00473860" w:rsidRPr="00287EF1" w:rsidRDefault="00473860" w:rsidP="00473860">
      <w:pPr>
        <w:rPr>
          <w:rFonts w:ascii="Calibri" w:hAnsi="Calibri"/>
          <w:sz w:val="22"/>
          <w:lang w:val="en-US"/>
        </w:rPr>
      </w:pPr>
      <w:r w:rsidRPr="00287EF1">
        <w:rPr>
          <w:rFonts w:ascii="Calibri" w:hAnsi="Calibri"/>
          <w:sz w:val="22"/>
          <w:lang w:val="en-US"/>
        </w:rPr>
        <w:t>No single learning vehicle will adequately prepare Harrison for both supervisory and trainer responsibilities. Kolb (1984) proposes learning through experience, reflection, conceptualisation and experimentation, whereas Bandura (1977) emphasises observation and modelling. These perspectives support a blended programme rather than relying solely on classroom teaching. They should not be reduced to fixed “learning styles”: Pashler et al. (2008) found insufficient evidence to justify matching instruction to purported individual learning-style categories.</w:t>
      </w:r>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80"/>
        <w:gridCol w:w="2880"/>
      </w:tblGrid>
      <w:tr w:rsidR="00552D88" w:rsidRPr="00287EF1" w14:paraId="1C025164" w14:textId="77777777" w:rsidTr="008609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hideMark/>
          </w:tcPr>
          <w:p w14:paraId="3724C146"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Vehicle</w:t>
            </w:r>
          </w:p>
        </w:tc>
        <w:tc>
          <w:tcPr>
            <w:tcW w:w="2880" w:type="dxa"/>
            <w:tcBorders>
              <w:top w:val="none" w:sz="0" w:space="0" w:color="auto"/>
              <w:left w:val="none" w:sz="0" w:space="0" w:color="auto"/>
              <w:bottom w:val="none" w:sz="0" w:space="0" w:color="auto"/>
              <w:right w:val="none" w:sz="0" w:space="0" w:color="auto"/>
            </w:tcBorders>
            <w:hideMark/>
          </w:tcPr>
          <w:p w14:paraId="18176B21" w14:textId="77777777" w:rsidR="00552D88" w:rsidRPr="00287EF1" w:rsidRDefault="00552D88" w:rsidP="00552D8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Potential benefit</w:t>
            </w:r>
          </w:p>
        </w:tc>
        <w:tc>
          <w:tcPr>
            <w:tcW w:w="2880" w:type="dxa"/>
            <w:tcBorders>
              <w:top w:val="none" w:sz="0" w:space="0" w:color="auto"/>
              <w:left w:val="none" w:sz="0" w:space="0" w:color="auto"/>
              <w:bottom w:val="none" w:sz="0" w:space="0" w:color="auto"/>
              <w:right w:val="none" w:sz="0" w:space="0" w:color="auto"/>
            </w:tcBorders>
            <w:hideMark/>
          </w:tcPr>
          <w:p w14:paraId="55759C84" w14:textId="77777777" w:rsidR="00552D88" w:rsidRPr="00287EF1" w:rsidRDefault="00552D88" w:rsidP="00552D8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Limitation / control</w:t>
            </w:r>
          </w:p>
        </w:tc>
      </w:tr>
      <w:tr w:rsidR="00552D88" w:rsidRPr="00287EF1" w14:paraId="508AE024"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1FF93036"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Supervisor shadowing</w:t>
            </w:r>
          </w:p>
        </w:tc>
        <w:tc>
          <w:tcPr>
            <w:tcW w:w="2880" w:type="dxa"/>
            <w:tcBorders>
              <w:left w:val="none" w:sz="0" w:space="0" w:color="auto"/>
              <w:right w:val="none" w:sz="0" w:space="0" w:color="auto"/>
            </w:tcBorders>
            <w:hideMark/>
          </w:tcPr>
          <w:p w14:paraId="35BB5B03"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Exposure to decisions, prioritisation and client escalation</w:t>
            </w:r>
          </w:p>
        </w:tc>
        <w:tc>
          <w:tcPr>
            <w:tcW w:w="2880" w:type="dxa"/>
            <w:tcBorders>
              <w:left w:val="none" w:sz="0" w:space="0" w:color="auto"/>
              <w:right w:val="none" w:sz="0" w:space="0" w:color="auto"/>
            </w:tcBorders>
            <w:hideMark/>
          </w:tcPr>
          <w:p w14:paraId="6F9F624C"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Observer role can be passive; require reflective log and debrief</w:t>
            </w:r>
          </w:p>
        </w:tc>
      </w:tr>
      <w:tr w:rsidR="00552D88" w:rsidRPr="00287EF1" w14:paraId="32711F55"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7AC59985"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Coaching and mentoring</w:t>
            </w:r>
          </w:p>
        </w:tc>
        <w:tc>
          <w:tcPr>
            <w:tcW w:w="2880" w:type="dxa"/>
            <w:hideMark/>
          </w:tcPr>
          <w:p w14:paraId="099F785C"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Individualised feedback and confidence</w:t>
            </w:r>
          </w:p>
        </w:tc>
        <w:tc>
          <w:tcPr>
            <w:tcW w:w="2880" w:type="dxa"/>
            <w:hideMark/>
          </w:tcPr>
          <w:p w14:paraId="45D90A68"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Quality depends on mentor; agree boundaries and check-ins</w:t>
            </w:r>
          </w:p>
        </w:tc>
      </w:tr>
      <w:tr w:rsidR="00552D88" w:rsidRPr="00287EF1" w14:paraId="75149F1B"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38CBDAC5"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Technical refresher / eLearning</w:t>
            </w:r>
          </w:p>
        </w:tc>
        <w:tc>
          <w:tcPr>
            <w:tcW w:w="2880" w:type="dxa"/>
            <w:tcBorders>
              <w:left w:val="none" w:sz="0" w:space="0" w:color="auto"/>
              <w:right w:val="none" w:sz="0" w:space="0" w:color="auto"/>
            </w:tcBorders>
            <w:hideMark/>
          </w:tcPr>
          <w:p w14:paraId="7F9477B4"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Consistent knowledge and mandatory compliance</w:t>
            </w:r>
          </w:p>
        </w:tc>
        <w:tc>
          <w:tcPr>
            <w:tcW w:w="2880" w:type="dxa"/>
            <w:tcBorders>
              <w:left w:val="none" w:sz="0" w:space="0" w:color="auto"/>
              <w:right w:val="none" w:sz="0" w:space="0" w:color="auto"/>
            </w:tcBorders>
            <w:hideMark/>
          </w:tcPr>
          <w:p w14:paraId="7DC120CF"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Completion alone does not demonstrate competence</w:t>
            </w:r>
          </w:p>
        </w:tc>
      </w:tr>
      <w:tr w:rsidR="00552D88" w:rsidRPr="00287EF1" w14:paraId="51E7D7E2"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3328BD07"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Stretch assignment</w:t>
            </w:r>
          </w:p>
        </w:tc>
        <w:tc>
          <w:tcPr>
            <w:tcW w:w="2880" w:type="dxa"/>
            <w:hideMark/>
          </w:tcPr>
          <w:p w14:paraId="3CE896E0"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Tests coordination and problem-solving in context</w:t>
            </w:r>
          </w:p>
        </w:tc>
        <w:tc>
          <w:tcPr>
            <w:tcW w:w="2880" w:type="dxa"/>
            <w:hideMark/>
          </w:tcPr>
          <w:p w14:paraId="41F0E757"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Avoid unsafe delegation; appoint accountable supervisor</w:t>
            </w:r>
          </w:p>
        </w:tc>
      </w:tr>
      <w:tr w:rsidR="00552D88" w:rsidRPr="00287EF1" w14:paraId="3D0DB843"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4651ECCA"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Train-the-trainer workshop</w:t>
            </w:r>
          </w:p>
        </w:tc>
        <w:tc>
          <w:tcPr>
            <w:tcW w:w="2880" w:type="dxa"/>
            <w:tcBorders>
              <w:left w:val="none" w:sz="0" w:space="0" w:color="auto"/>
              <w:right w:val="none" w:sz="0" w:space="0" w:color="auto"/>
            </w:tcBorders>
            <w:hideMark/>
          </w:tcPr>
          <w:p w14:paraId="4FF5EC9B"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Facilitation, lesson planning and assessment</w:t>
            </w:r>
          </w:p>
        </w:tc>
        <w:tc>
          <w:tcPr>
            <w:tcW w:w="2880" w:type="dxa"/>
            <w:tcBorders>
              <w:left w:val="none" w:sz="0" w:space="0" w:color="auto"/>
              <w:right w:val="none" w:sz="0" w:space="0" w:color="auto"/>
            </w:tcBorders>
            <w:hideMark/>
          </w:tcPr>
          <w:p w14:paraId="2882CD61"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Requires observed delivery and learner feedback</w:t>
            </w:r>
          </w:p>
        </w:tc>
      </w:tr>
      <w:tr w:rsidR="00552D88" w:rsidRPr="00287EF1" w14:paraId="185EE4A6"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5262BAC1"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Peer toolbox talks</w:t>
            </w:r>
          </w:p>
        </w:tc>
        <w:tc>
          <w:tcPr>
            <w:tcW w:w="2880" w:type="dxa"/>
            <w:hideMark/>
          </w:tcPr>
          <w:p w14:paraId="30A364D7"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Practice communication and knowledge sharing</w:t>
            </w:r>
          </w:p>
        </w:tc>
        <w:tc>
          <w:tcPr>
            <w:tcW w:w="2880" w:type="dxa"/>
            <w:hideMark/>
          </w:tcPr>
          <w:p w14:paraId="07606712" w14:textId="77777777" w:rsidR="00552D88" w:rsidRPr="00287EF1" w:rsidRDefault="00552D88" w:rsidP="00552D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Use standardised technical content and supervisor review</w:t>
            </w:r>
          </w:p>
        </w:tc>
      </w:tr>
      <w:tr w:rsidR="00552D88" w:rsidRPr="00287EF1" w14:paraId="76F1F9A3"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0B76763F" w14:textId="77777777" w:rsidR="00552D88" w:rsidRPr="00287EF1" w:rsidRDefault="00552D88" w:rsidP="00552D88">
            <w:pPr>
              <w:spacing w:after="160" w:line="259" w:lineRule="auto"/>
              <w:rPr>
                <w:rFonts w:ascii="Calibri" w:hAnsi="Calibri"/>
                <w:sz w:val="22"/>
                <w:lang w:val="en-US"/>
              </w:rPr>
            </w:pPr>
            <w:r w:rsidRPr="00287EF1">
              <w:rPr>
                <w:rFonts w:ascii="Calibri" w:hAnsi="Calibri"/>
                <w:sz w:val="22"/>
                <w:lang w:val="en-US"/>
              </w:rPr>
              <w:t>Reflective CPD journal</w:t>
            </w:r>
          </w:p>
        </w:tc>
        <w:tc>
          <w:tcPr>
            <w:tcW w:w="2880" w:type="dxa"/>
            <w:tcBorders>
              <w:left w:val="none" w:sz="0" w:space="0" w:color="auto"/>
              <w:right w:val="none" w:sz="0" w:space="0" w:color="auto"/>
            </w:tcBorders>
            <w:hideMark/>
          </w:tcPr>
          <w:p w14:paraId="5AA2FC5E"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Supports insight and improvement</w:t>
            </w:r>
          </w:p>
        </w:tc>
        <w:tc>
          <w:tcPr>
            <w:tcW w:w="2880" w:type="dxa"/>
            <w:tcBorders>
              <w:left w:val="none" w:sz="0" w:space="0" w:color="auto"/>
              <w:right w:val="none" w:sz="0" w:space="0" w:color="auto"/>
            </w:tcBorders>
            <w:hideMark/>
          </w:tcPr>
          <w:p w14:paraId="39B885CE" w14:textId="77777777" w:rsidR="00552D88" w:rsidRPr="00287EF1" w:rsidRDefault="00552D88" w:rsidP="00552D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Can become superficial without evidence and feedback</w:t>
            </w:r>
          </w:p>
        </w:tc>
      </w:tr>
    </w:tbl>
    <w:p w14:paraId="65ECBBF6" w14:textId="77777777" w:rsidR="00473860" w:rsidRPr="00287EF1" w:rsidRDefault="00473860" w:rsidP="00473860">
      <w:pPr>
        <w:rPr>
          <w:rFonts w:ascii="Calibri" w:hAnsi="Calibri"/>
          <w:sz w:val="22"/>
          <w:lang w:val="en-US"/>
        </w:rPr>
      </w:pPr>
    </w:p>
    <w:p w14:paraId="480FF3E4" w14:textId="77777777" w:rsidR="00552D88" w:rsidRPr="00287EF1" w:rsidRDefault="00552D88" w:rsidP="00473860">
      <w:pPr>
        <w:rPr>
          <w:rFonts w:ascii="Calibri" w:hAnsi="Calibri"/>
          <w:sz w:val="22"/>
          <w:lang w:val="en-US"/>
        </w:rPr>
      </w:pPr>
    </w:p>
    <w:p w14:paraId="18908BF9" w14:textId="77777777" w:rsidR="004B07B4" w:rsidRPr="00287EF1" w:rsidRDefault="004B07B4" w:rsidP="004B07B4">
      <w:pPr>
        <w:rPr>
          <w:rFonts w:ascii="Calibri" w:hAnsi="Calibri"/>
          <w:sz w:val="22"/>
          <w:lang w:val="en-US"/>
        </w:rPr>
      </w:pPr>
      <w:r w:rsidRPr="00287EF1">
        <w:rPr>
          <w:rFonts w:ascii="Calibri" w:hAnsi="Calibri"/>
          <w:sz w:val="22"/>
          <w:lang w:val="en-US"/>
        </w:rPr>
        <w:t>Formal training is suitable for technical updates, health and safety and structured teaching methods, but the evidence of transfer must come from application. Coaching is valuable for managing difficult conversations and providing individual feedback, although an untrained coach can reinforce poor habits. Shadowing gives insight into supervisory judgement, but Harrison must progressively undertake appropriately authorised tasks to demonstrate independent capability. Temporary stretch assignments can reveal potential, provided the designated supervisor retains accountability for decisions and the organisation has assessed risk.</w:t>
      </w:r>
    </w:p>
    <w:p w14:paraId="7C56833B" w14:textId="77777777" w:rsidR="004B07B4" w:rsidRPr="00287EF1" w:rsidRDefault="004B07B4" w:rsidP="004B07B4">
      <w:pPr>
        <w:rPr>
          <w:rFonts w:ascii="Calibri" w:hAnsi="Calibri"/>
          <w:sz w:val="22"/>
          <w:lang w:val="en-US"/>
        </w:rPr>
      </w:pPr>
      <w:r w:rsidRPr="00287EF1">
        <w:rPr>
          <w:rFonts w:ascii="Calibri" w:hAnsi="Calibri"/>
          <w:sz w:val="22"/>
          <w:lang w:val="en-US"/>
        </w:rPr>
        <w:lastRenderedPageBreak/>
        <w:t>For the School of Rock ambition, training design should include identifying learning outcomes, preparing a short session, checking learner understanding and adapting communication to different experience levels. Kirkpatrick and Kirkpatrick (2006) distinguish reaction, learning, behaviour and results as evaluation levels. A positive workshop survey is therefore insufficient. Harrison should demonstrate improved delivery in observed sessions and evidence that participants can apply the material safely. The School of Rock function should validate any proposed trainer criteria before final approval.</w:t>
      </w:r>
    </w:p>
    <w:p w14:paraId="1DF55BFB" w14:textId="77777777" w:rsidR="004B07B4" w:rsidRPr="00287EF1" w:rsidRDefault="004B07B4" w:rsidP="004B07B4">
      <w:pPr>
        <w:rPr>
          <w:rFonts w:ascii="Calibri" w:hAnsi="Calibri"/>
          <w:sz w:val="22"/>
          <w:lang w:val="en-US"/>
        </w:rPr>
      </w:pPr>
      <w:r w:rsidRPr="00287EF1">
        <w:rPr>
          <w:rFonts w:ascii="Calibri" w:hAnsi="Calibri"/>
          <w:sz w:val="22"/>
          <w:lang w:val="en-US"/>
        </w:rPr>
        <w:t>The module’s CPD cycle—identify, plan, act, reflect, apply, share and impact—offers a useful structure. Harrison could identify a capability gap, complete supervised practice, reflect on feedback, deliver a toolbox talk and assess its effect on colleagues. Schön (1983) emphasises reflection in professional practice; Gibbs (1988) provides a more structured reflection cycle. I would use brief reflective entries after meaningful incidents rather than demanding excessive paperwork that competes with engineering delivery.</w:t>
      </w:r>
    </w:p>
    <w:p w14:paraId="1E8EA77C" w14:textId="77777777" w:rsidR="00552D88" w:rsidRPr="00287EF1" w:rsidRDefault="00552D88" w:rsidP="00473860">
      <w:pPr>
        <w:rPr>
          <w:rFonts w:ascii="Calibri" w:hAnsi="Calibri"/>
          <w:sz w:val="22"/>
          <w:lang w:val="en-US"/>
        </w:rPr>
      </w:pPr>
    </w:p>
    <w:p w14:paraId="40300902" w14:textId="77777777" w:rsidR="004B07B4" w:rsidRPr="00287EF1" w:rsidRDefault="004B07B4" w:rsidP="00473860">
      <w:pPr>
        <w:rPr>
          <w:rFonts w:ascii="Calibri" w:hAnsi="Calibri"/>
          <w:sz w:val="22"/>
          <w:lang w:val="en-US"/>
        </w:rPr>
      </w:pPr>
    </w:p>
    <w:p w14:paraId="76A16311" w14:textId="77777777" w:rsidR="004B07B4" w:rsidRPr="00287EF1" w:rsidRDefault="004B07B4" w:rsidP="00473860">
      <w:pPr>
        <w:rPr>
          <w:rFonts w:ascii="Calibri" w:hAnsi="Calibri"/>
          <w:sz w:val="22"/>
          <w:lang w:val="en-US"/>
        </w:rPr>
      </w:pPr>
    </w:p>
    <w:p w14:paraId="66FDAA7B" w14:textId="77777777" w:rsidR="004B07B4" w:rsidRPr="00287EF1" w:rsidRDefault="004B07B4" w:rsidP="00473860">
      <w:pPr>
        <w:rPr>
          <w:rFonts w:ascii="Calibri" w:hAnsi="Calibri"/>
          <w:sz w:val="22"/>
          <w:lang w:val="en-US"/>
        </w:rPr>
      </w:pPr>
    </w:p>
    <w:p w14:paraId="19412A26" w14:textId="77777777" w:rsidR="004B07B4" w:rsidRPr="00287EF1" w:rsidRDefault="004B07B4" w:rsidP="00473860">
      <w:pPr>
        <w:rPr>
          <w:rFonts w:ascii="Calibri" w:hAnsi="Calibri"/>
          <w:sz w:val="22"/>
          <w:lang w:val="en-US"/>
        </w:rPr>
      </w:pPr>
    </w:p>
    <w:p w14:paraId="73C4D1BF" w14:textId="77777777" w:rsidR="004B07B4" w:rsidRPr="00287EF1" w:rsidRDefault="004B07B4" w:rsidP="00473860">
      <w:pPr>
        <w:rPr>
          <w:rFonts w:ascii="Calibri" w:hAnsi="Calibri"/>
          <w:sz w:val="22"/>
          <w:lang w:val="en-US"/>
        </w:rPr>
      </w:pPr>
    </w:p>
    <w:p w14:paraId="46B4B101" w14:textId="77777777" w:rsidR="004B07B4" w:rsidRPr="00287EF1" w:rsidRDefault="004B07B4" w:rsidP="00473860">
      <w:pPr>
        <w:rPr>
          <w:rFonts w:ascii="Calibri" w:hAnsi="Calibri"/>
          <w:sz w:val="22"/>
          <w:lang w:val="en-US"/>
        </w:rPr>
      </w:pPr>
    </w:p>
    <w:p w14:paraId="54E10681" w14:textId="77777777" w:rsidR="004B07B4" w:rsidRPr="00287EF1" w:rsidRDefault="004B07B4" w:rsidP="00473860">
      <w:pPr>
        <w:rPr>
          <w:rFonts w:ascii="Calibri" w:hAnsi="Calibri"/>
          <w:sz w:val="22"/>
          <w:lang w:val="en-US"/>
        </w:rPr>
      </w:pPr>
    </w:p>
    <w:p w14:paraId="7D21530D" w14:textId="77777777" w:rsidR="004B07B4" w:rsidRPr="00287EF1" w:rsidRDefault="004B07B4" w:rsidP="00473860">
      <w:pPr>
        <w:rPr>
          <w:rFonts w:ascii="Calibri" w:hAnsi="Calibri"/>
          <w:sz w:val="22"/>
          <w:lang w:val="en-US"/>
        </w:rPr>
      </w:pPr>
    </w:p>
    <w:p w14:paraId="6C046166" w14:textId="77777777" w:rsidR="004B07B4" w:rsidRPr="00287EF1" w:rsidRDefault="004B07B4" w:rsidP="00473860">
      <w:pPr>
        <w:rPr>
          <w:rFonts w:ascii="Calibri" w:hAnsi="Calibri"/>
          <w:sz w:val="22"/>
          <w:lang w:val="en-US"/>
        </w:rPr>
      </w:pPr>
    </w:p>
    <w:p w14:paraId="100728D3" w14:textId="77777777" w:rsidR="004B07B4" w:rsidRPr="00287EF1" w:rsidRDefault="004B07B4" w:rsidP="00473860">
      <w:pPr>
        <w:rPr>
          <w:rFonts w:ascii="Calibri" w:hAnsi="Calibri"/>
          <w:sz w:val="22"/>
          <w:lang w:val="en-US"/>
        </w:rPr>
      </w:pPr>
    </w:p>
    <w:p w14:paraId="48328AFB" w14:textId="77777777" w:rsidR="004B07B4" w:rsidRPr="00287EF1" w:rsidRDefault="004B07B4" w:rsidP="00473860">
      <w:pPr>
        <w:rPr>
          <w:rFonts w:ascii="Calibri" w:hAnsi="Calibri"/>
          <w:sz w:val="22"/>
          <w:lang w:val="en-US"/>
        </w:rPr>
      </w:pPr>
    </w:p>
    <w:p w14:paraId="72B6A928" w14:textId="77777777" w:rsidR="004B07B4" w:rsidRPr="00287EF1" w:rsidRDefault="004B07B4" w:rsidP="00473860">
      <w:pPr>
        <w:rPr>
          <w:rFonts w:ascii="Calibri" w:hAnsi="Calibri"/>
          <w:sz w:val="22"/>
          <w:lang w:val="en-US"/>
        </w:rPr>
      </w:pPr>
    </w:p>
    <w:p w14:paraId="422760C2" w14:textId="77777777" w:rsidR="004B07B4" w:rsidRPr="00287EF1" w:rsidRDefault="004B07B4" w:rsidP="00473860">
      <w:pPr>
        <w:rPr>
          <w:rFonts w:ascii="Calibri" w:hAnsi="Calibri"/>
          <w:sz w:val="22"/>
          <w:lang w:val="en-US"/>
        </w:rPr>
      </w:pPr>
    </w:p>
    <w:p w14:paraId="522693A0" w14:textId="77777777" w:rsidR="004B07B4" w:rsidRPr="00287EF1" w:rsidRDefault="004B07B4" w:rsidP="00473860">
      <w:pPr>
        <w:rPr>
          <w:rFonts w:ascii="Calibri" w:hAnsi="Calibri"/>
          <w:sz w:val="22"/>
          <w:lang w:val="en-US"/>
        </w:rPr>
      </w:pPr>
    </w:p>
    <w:p w14:paraId="1A91BAEB" w14:textId="77777777" w:rsidR="004B07B4" w:rsidRPr="00287EF1" w:rsidRDefault="004B07B4" w:rsidP="00473860">
      <w:pPr>
        <w:rPr>
          <w:rFonts w:ascii="Calibri" w:hAnsi="Calibri"/>
          <w:sz w:val="22"/>
          <w:lang w:val="en-US"/>
        </w:rPr>
      </w:pPr>
    </w:p>
    <w:p w14:paraId="5142202D" w14:textId="77777777" w:rsidR="004B07B4" w:rsidRPr="00287EF1" w:rsidRDefault="004B07B4" w:rsidP="00473860">
      <w:pPr>
        <w:rPr>
          <w:rFonts w:ascii="Calibri" w:hAnsi="Calibri"/>
          <w:sz w:val="22"/>
          <w:lang w:val="en-US"/>
        </w:rPr>
      </w:pPr>
    </w:p>
    <w:p w14:paraId="589DD77D" w14:textId="77777777" w:rsidR="004B07B4" w:rsidRPr="00287EF1" w:rsidRDefault="004B07B4" w:rsidP="00473860">
      <w:pPr>
        <w:rPr>
          <w:rFonts w:ascii="Calibri" w:hAnsi="Calibri"/>
          <w:sz w:val="22"/>
          <w:lang w:val="en-US"/>
        </w:rPr>
      </w:pPr>
    </w:p>
    <w:p w14:paraId="2A3F59F5" w14:textId="77777777" w:rsidR="004B07B4" w:rsidRPr="00287EF1" w:rsidRDefault="004B07B4" w:rsidP="00473860">
      <w:pPr>
        <w:rPr>
          <w:rFonts w:ascii="Calibri" w:hAnsi="Calibri"/>
          <w:sz w:val="22"/>
          <w:lang w:val="en-US"/>
        </w:rPr>
      </w:pPr>
    </w:p>
    <w:p w14:paraId="2E202B3B" w14:textId="77777777" w:rsidR="004B07B4" w:rsidRPr="00287EF1" w:rsidRDefault="004B07B4" w:rsidP="00473860">
      <w:pPr>
        <w:rPr>
          <w:rFonts w:ascii="Calibri" w:hAnsi="Calibri"/>
          <w:sz w:val="22"/>
          <w:lang w:val="en-US"/>
        </w:rPr>
      </w:pPr>
    </w:p>
    <w:p w14:paraId="329C0901" w14:textId="77777777" w:rsidR="004B07B4" w:rsidRPr="00287EF1" w:rsidRDefault="004B07B4" w:rsidP="00473860">
      <w:pPr>
        <w:rPr>
          <w:rFonts w:ascii="Calibri" w:hAnsi="Calibri"/>
          <w:sz w:val="22"/>
          <w:lang w:val="en-US"/>
        </w:rPr>
      </w:pPr>
    </w:p>
    <w:p w14:paraId="01C4FB46" w14:textId="77777777" w:rsidR="004B07B4" w:rsidRPr="00287EF1" w:rsidRDefault="004B07B4" w:rsidP="00473860">
      <w:pPr>
        <w:rPr>
          <w:rFonts w:ascii="Calibri" w:hAnsi="Calibri"/>
          <w:sz w:val="22"/>
          <w:lang w:val="en-US"/>
        </w:rPr>
      </w:pPr>
    </w:p>
    <w:p w14:paraId="58068B2C" w14:textId="77777777" w:rsidR="004B07B4" w:rsidRPr="00287EF1" w:rsidRDefault="004B07B4" w:rsidP="00473860">
      <w:pPr>
        <w:rPr>
          <w:rFonts w:ascii="Calibri" w:hAnsi="Calibri"/>
          <w:sz w:val="22"/>
          <w:lang w:val="en-US"/>
        </w:rPr>
      </w:pPr>
    </w:p>
    <w:p w14:paraId="363C6D6D" w14:textId="2C62B03E" w:rsidR="002E3CA1" w:rsidRPr="00287EF1" w:rsidRDefault="002E3CA1" w:rsidP="002E3CA1">
      <w:pPr>
        <w:pStyle w:val="Heading1"/>
        <w:rPr>
          <w:rFonts w:ascii="Calibri" w:hAnsi="Calibri"/>
          <w:b/>
          <w:bCs/>
          <w:color w:val="auto"/>
          <w:sz w:val="22"/>
          <w:szCs w:val="22"/>
          <w:lang w:val="en-US"/>
        </w:rPr>
      </w:pPr>
      <w:bookmarkStart w:id="14" w:name="_Toc242456064"/>
      <w:r w:rsidRPr="00287EF1">
        <w:rPr>
          <w:rFonts w:ascii="Calibri" w:hAnsi="Calibri"/>
          <w:b/>
          <w:bCs/>
          <w:color w:val="auto"/>
          <w:sz w:val="22"/>
          <w:szCs w:val="22"/>
          <w:lang w:val="en-US"/>
        </w:rPr>
        <w:t>4. Detailed development plan and performance management</w:t>
      </w:r>
      <w:bookmarkEnd w:id="14"/>
    </w:p>
    <w:p w14:paraId="473EC78A" w14:textId="77777777" w:rsidR="002E3CA1" w:rsidRPr="00287EF1" w:rsidRDefault="002E3CA1" w:rsidP="002E3CA1">
      <w:pPr>
        <w:rPr>
          <w:rFonts w:ascii="Calibri" w:hAnsi="Calibri"/>
          <w:sz w:val="22"/>
          <w:lang w:val="en-US"/>
        </w:rPr>
      </w:pPr>
      <w:r w:rsidRPr="00287EF1">
        <w:rPr>
          <w:rFonts w:ascii="Calibri" w:hAnsi="Calibri"/>
          <w:sz w:val="22"/>
          <w:lang w:val="en-US"/>
        </w:rPr>
        <w:t>Harrison Burchill’s Rock Compliance Performance Development Review (PDR) is reproduced in Appendix A. It documents development objectives, training requirements, SMART targets and review arrangements supporting his progression towards Engineer Supervisor and School of Rock Trainer. The review should be interpreted alongside the performance-management discussion in Task 4.</w:t>
      </w:r>
    </w:p>
    <w:p w14:paraId="4E79C3E9" w14:textId="77777777" w:rsidR="002E3CA1" w:rsidRPr="00287EF1" w:rsidRDefault="002E3CA1" w:rsidP="002E3CA1">
      <w:pPr>
        <w:rPr>
          <w:rFonts w:ascii="Calibri" w:hAnsi="Calibri"/>
          <w:sz w:val="22"/>
          <w:lang w:val="en-US"/>
        </w:rPr>
      </w:pPr>
      <w:r w:rsidRPr="00287EF1">
        <w:rPr>
          <w:rFonts w:ascii="Calibri" w:hAnsi="Calibri"/>
          <w:sz w:val="22"/>
          <w:lang w:val="en-US"/>
        </w:rPr>
        <w:t>The following PDR adapts the headings and intent of the supplied Rock template. All entries are illustrative development proposals for agreement, not a completed or authenticated employee appraisal. Review period: November 2026–October 2027. Role: Level 2 Engineer. Development aspirations: Engineer Supervisor and School of Rock Trainer. Line manager: to be confirmed. Initial baseline: to be established through competency review, not presumed.</w:t>
      </w:r>
    </w:p>
    <w:p w14:paraId="4B988A2F" w14:textId="77777777" w:rsidR="00B610DE" w:rsidRPr="00287EF1" w:rsidRDefault="00B610DE" w:rsidP="00B610DE">
      <w:pPr>
        <w:pStyle w:val="Heading2"/>
        <w:rPr>
          <w:rFonts w:ascii="Calibri" w:hAnsi="Calibri"/>
          <w:color w:val="auto"/>
          <w:sz w:val="22"/>
          <w:szCs w:val="22"/>
          <w:lang w:val="en-US"/>
        </w:rPr>
      </w:pPr>
      <w:bookmarkStart w:id="15" w:name="_Toc242456065"/>
      <w:r w:rsidRPr="00287EF1">
        <w:rPr>
          <w:rFonts w:ascii="Calibri" w:hAnsi="Calibri"/>
          <w:color w:val="auto"/>
          <w:sz w:val="22"/>
          <w:szCs w:val="22"/>
          <w:lang w:val="en-US"/>
        </w:rPr>
        <w:t>4.1 Business, values and personal objectives</w:t>
      </w:r>
      <w:bookmarkEnd w:id="15"/>
    </w:p>
    <w:p w14:paraId="3BAC6095" w14:textId="77777777" w:rsidR="002E3CA1" w:rsidRPr="00287EF1" w:rsidRDefault="002E3CA1" w:rsidP="002E3CA1">
      <w:pPr>
        <w:rPr>
          <w:rFonts w:ascii="Calibri" w:hAnsi="Calibri"/>
          <w:sz w:val="22"/>
          <w:lang w:val="en-US"/>
        </w:rPr>
      </w:pPr>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80"/>
        <w:gridCol w:w="2880"/>
      </w:tblGrid>
      <w:tr w:rsidR="000253AD" w:rsidRPr="00287EF1" w14:paraId="2AABDCA0" w14:textId="77777777" w:rsidTr="008609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hideMark/>
          </w:tcPr>
          <w:p w14:paraId="1321196B"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PDR area / SMART objective</w:t>
            </w:r>
          </w:p>
        </w:tc>
        <w:tc>
          <w:tcPr>
            <w:tcW w:w="2880" w:type="dxa"/>
            <w:tcBorders>
              <w:top w:val="none" w:sz="0" w:space="0" w:color="auto"/>
              <w:left w:val="none" w:sz="0" w:space="0" w:color="auto"/>
              <w:bottom w:val="none" w:sz="0" w:space="0" w:color="auto"/>
              <w:right w:val="none" w:sz="0" w:space="0" w:color="auto"/>
            </w:tcBorders>
            <w:hideMark/>
          </w:tcPr>
          <w:p w14:paraId="77D8CEF3" w14:textId="77777777" w:rsidR="000253AD" w:rsidRPr="00287EF1" w:rsidRDefault="000253AD" w:rsidP="000253A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Evidence of success</w:t>
            </w:r>
          </w:p>
        </w:tc>
        <w:tc>
          <w:tcPr>
            <w:tcW w:w="2880" w:type="dxa"/>
            <w:tcBorders>
              <w:top w:val="none" w:sz="0" w:space="0" w:color="auto"/>
              <w:left w:val="none" w:sz="0" w:space="0" w:color="auto"/>
              <w:bottom w:val="none" w:sz="0" w:space="0" w:color="auto"/>
              <w:right w:val="none" w:sz="0" w:space="0" w:color="auto"/>
            </w:tcBorders>
            <w:hideMark/>
          </w:tcPr>
          <w:p w14:paraId="53883025" w14:textId="77777777" w:rsidR="000253AD" w:rsidRPr="00287EF1" w:rsidRDefault="000253AD" w:rsidP="000253A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Support / deadline</w:t>
            </w:r>
          </w:p>
        </w:tc>
      </w:tr>
      <w:tr w:rsidR="000253AD" w:rsidRPr="00287EF1" w14:paraId="2FFFD8CB"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1E3BB028"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Business: complete all assigned mandatory eLearning by each individual due date</w:t>
            </w:r>
          </w:p>
        </w:tc>
        <w:tc>
          <w:tcPr>
            <w:tcW w:w="2880" w:type="dxa"/>
            <w:tcBorders>
              <w:left w:val="none" w:sz="0" w:space="0" w:color="auto"/>
              <w:right w:val="none" w:sz="0" w:space="0" w:color="auto"/>
            </w:tcBorders>
            <w:hideMark/>
          </w:tcPr>
          <w:p w14:paraId="72E1B3B0"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Portal shows no overdue mandatory modules; manager verifies</w:t>
            </w:r>
          </w:p>
        </w:tc>
        <w:tc>
          <w:tcPr>
            <w:tcW w:w="2880" w:type="dxa"/>
            <w:tcBorders>
              <w:left w:val="none" w:sz="0" w:space="0" w:color="auto"/>
              <w:right w:val="none" w:sz="0" w:space="0" w:color="auto"/>
            </w:tcBorders>
            <w:hideMark/>
          </w:tcPr>
          <w:p w14:paraId="57B759E0"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Protected learning time; ongoing</w:t>
            </w:r>
          </w:p>
        </w:tc>
      </w:tr>
      <w:tr w:rsidR="000253AD" w:rsidRPr="00287EF1" w14:paraId="7EEA4DA1"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052CA53D"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Business: demonstrate safe technical and reporting standards on 4 observed assignments</w:t>
            </w:r>
          </w:p>
        </w:tc>
        <w:tc>
          <w:tcPr>
            <w:tcW w:w="2880" w:type="dxa"/>
            <w:hideMark/>
          </w:tcPr>
          <w:p w14:paraId="1CCBBF33" w14:textId="77777777" w:rsidR="000253AD" w:rsidRPr="00287EF1" w:rsidRDefault="000253AD" w:rsidP="000253A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Supervisor checklist meets agreed standard on all 4; corrective actions closed</w:t>
            </w:r>
          </w:p>
        </w:tc>
        <w:tc>
          <w:tcPr>
            <w:tcW w:w="2880" w:type="dxa"/>
            <w:hideMark/>
          </w:tcPr>
          <w:p w14:paraId="4F72B72E" w14:textId="77777777" w:rsidR="000253AD" w:rsidRPr="00287EF1" w:rsidRDefault="000253AD" w:rsidP="000253A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Competent assessor; by month 6</w:t>
            </w:r>
          </w:p>
        </w:tc>
      </w:tr>
      <w:tr w:rsidR="000253AD" w:rsidRPr="00287EF1" w14:paraId="77C6305A"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7DB1053B"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Values: lead 3 clear client or team handovers and record feedback</w:t>
            </w:r>
          </w:p>
        </w:tc>
        <w:tc>
          <w:tcPr>
            <w:tcW w:w="2880" w:type="dxa"/>
            <w:tcBorders>
              <w:left w:val="none" w:sz="0" w:space="0" w:color="auto"/>
              <w:right w:val="none" w:sz="0" w:space="0" w:color="auto"/>
            </w:tcBorders>
            <w:hideMark/>
          </w:tcPr>
          <w:p w14:paraId="0B22B06F"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Three observed handovers, evidence of accountability and client focus</w:t>
            </w:r>
          </w:p>
        </w:tc>
        <w:tc>
          <w:tcPr>
            <w:tcW w:w="2880" w:type="dxa"/>
            <w:tcBorders>
              <w:left w:val="none" w:sz="0" w:space="0" w:color="auto"/>
              <w:right w:val="none" w:sz="0" w:space="0" w:color="auto"/>
            </w:tcBorders>
            <w:hideMark/>
          </w:tcPr>
          <w:p w14:paraId="4CD73983"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Supervisor and scheduler feedback; by month 6</w:t>
            </w:r>
          </w:p>
        </w:tc>
      </w:tr>
      <w:tr w:rsidR="000253AD" w:rsidRPr="00287EF1" w14:paraId="2303AD07"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0939DDC4"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Personal: develop supervisory skills through shadowing and two controlled coordination tasks</w:t>
            </w:r>
          </w:p>
        </w:tc>
        <w:tc>
          <w:tcPr>
            <w:tcW w:w="2880" w:type="dxa"/>
            <w:hideMark/>
          </w:tcPr>
          <w:p w14:paraId="0BFD5F6E" w14:textId="77777777" w:rsidR="000253AD" w:rsidRPr="00287EF1" w:rsidRDefault="000253AD" w:rsidP="000253A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Two shadow shifts, two debriefed tasks, risk and escalation evidence</w:t>
            </w:r>
          </w:p>
        </w:tc>
        <w:tc>
          <w:tcPr>
            <w:tcW w:w="2880" w:type="dxa"/>
            <w:hideMark/>
          </w:tcPr>
          <w:p w14:paraId="1242AD6B" w14:textId="77777777" w:rsidR="000253AD" w:rsidRPr="00287EF1" w:rsidRDefault="000253AD" w:rsidP="000253A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sz w:val="22"/>
                <w:lang w:val="en-US"/>
              </w:rPr>
            </w:pPr>
            <w:r w:rsidRPr="00287EF1">
              <w:rPr>
                <w:rFonts w:ascii="Calibri" w:hAnsi="Calibri"/>
                <w:sz w:val="22"/>
                <w:lang w:val="en-US"/>
              </w:rPr>
              <w:t>Supervisor mentor; by month 9</w:t>
            </w:r>
          </w:p>
        </w:tc>
      </w:tr>
      <w:tr w:rsidR="000253AD" w:rsidRPr="00287EF1" w14:paraId="0581E3F7"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5F11A023" w14:textId="77777777" w:rsidR="000253AD" w:rsidRPr="00287EF1" w:rsidRDefault="000253AD" w:rsidP="000253AD">
            <w:pPr>
              <w:spacing w:after="160" w:line="259" w:lineRule="auto"/>
              <w:rPr>
                <w:rFonts w:ascii="Calibri" w:hAnsi="Calibri"/>
                <w:sz w:val="22"/>
                <w:lang w:val="en-US"/>
              </w:rPr>
            </w:pPr>
            <w:r w:rsidRPr="00287EF1">
              <w:rPr>
                <w:rFonts w:ascii="Calibri" w:hAnsi="Calibri"/>
                <w:sz w:val="22"/>
                <w:lang w:val="en-US"/>
              </w:rPr>
              <w:t>Personal: design and deliver 2 observed technical learning sessions</w:t>
            </w:r>
          </w:p>
        </w:tc>
        <w:tc>
          <w:tcPr>
            <w:tcW w:w="2880" w:type="dxa"/>
            <w:tcBorders>
              <w:left w:val="none" w:sz="0" w:space="0" w:color="auto"/>
              <w:right w:val="none" w:sz="0" w:space="0" w:color="auto"/>
            </w:tcBorders>
            <w:hideMark/>
          </w:tcPr>
          <w:p w14:paraId="42393A34"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Approved materials, two observations and feedback review</w:t>
            </w:r>
          </w:p>
        </w:tc>
        <w:tc>
          <w:tcPr>
            <w:tcW w:w="2880" w:type="dxa"/>
            <w:tcBorders>
              <w:left w:val="none" w:sz="0" w:space="0" w:color="auto"/>
              <w:right w:val="none" w:sz="0" w:space="0" w:color="auto"/>
            </w:tcBorders>
            <w:hideMark/>
          </w:tcPr>
          <w:p w14:paraId="287AAE6A" w14:textId="77777777" w:rsidR="000253AD" w:rsidRPr="00287EF1" w:rsidRDefault="000253AD" w:rsidP="000253A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sz w:val="22"/>
                <w:lang w:val="en-US"/>
              </w:rPr>
            </w:pPr>
            <w:r w:rsidRPr="00287EF1">
              <w:rPr>
                <w:rFonts w:ascii="Calibri" w:hAnsi="Calibri"/>
                <w:sz w:val="22"/>
                <w:lang w:val="en-US"/>
              </w:rPr>
              <w:t>School of Rock mentor; by month 12</w:t>
            </w:r>
          </w:p>
        </w:tc>
      </w:tr>
    </w:tbl>
    <w:p w14:paraId="154B64E2" w14:textId="71FEDFE1" w:rsidR="00C669F0" w:rsidRPr="00287EF1" w:rsidRDefault="00B44D80" w:rsidP="00C669F0">
      <w:pPr>
        <w:rPr>
          <w:rFonts w:ascii="Calibri" w:hAnsi="Calibri"/>
          <w:sz w:val="22"/>
          <w:lang w:val="en-US"/>
        </w:rPr>
      </w:pPr>
      <w:r w:rsidRPr="00287EF1">
        <w:rPr>
          <w:rFonts w:ascii="Calibri" w:hAnsi="Calibri"/>
          <w:sz w:val="22"/>
          <w:lang w:val="en-US"/>
        </w:rPr>
        <w:lastRenderedPageBreak/>
        <w:t>Above table is an example competency planning chart, created for this report. The displayed values are illustrative targets, not Harrison’s measured scores; a genuine baseline and assessor rubric are required before any gap can be calculated.</w:t>
      </w:r>
    </w:p>
    <w:p w14:paraId="77C2D955" w14:textId="77777777" w:rsidR="00B44D80" w:rsidRPr="00287EF1" w:rsidRDefault="00B44D80" w:rsidP="00C669F0">
      <w:pPr>
        <w:rPr>
          <w:rFonts w:ascii="Calibri" w:hAnsi="Calibri"/>
          <w:sz w:val="22"/>
          <w:lang w:val="en-US"/>
        </w:rPr>
      </w:pPr>
    </w:p>
    <w:p w14:paraId="0928EE4B" w14:textId="53E863D9" w:rsidR="00C669F0" w:rsidRPr="00287EF1" w:rsidRDefault="00C669F0" w:rsidP="00C669F0">
      <w:pPr>
        <w:rPr>
          <w:rFonts w:ascii="Calibri" w:hAnsi="Calibri"/>
          <w:sz w:val="22"/>
          <w:lang w:val="en-US"/>
        </w:rPr>
      </w:pPr>
      <w:r w:rsidRPr="00287EF1">
        <w:rPr>
          <w:rFonts w:ascii="Calibri" w:hAnsi="Calibri"/>
          <w:sz w:val="22"/>
          <w:lang w:val="en-US"/>
        </w:rPr>
        <w:t>The distinction between business, values and personal objectives reflects the Rock form. Success measures should be agreed with Harrison and may need adjusting after the initial skills audit. The mandatory eLearning requirement remains non-negotiable. The aspirational objective is to be ready to apply for suitable opportunities, not to be appointed automatically. The company’s PDR also requests monthly check-ins and formal mid-year and year-end ratings, which should be completed by the authorised manager.</w:t>
      </w:r>
    </w:p>
    <w:p w14:paraId="4902C0B4" w14:textId="77777777" w:rsidR="0061431C" w:rsidRPr="00287EF1" w:rsidRDefault="0061431C" w:rsidP="0061431C">
      <w:pPr>
        <w:pStyle w:val="Heading2"/>
        <w:rPr>
          <w:rFonts w:ascii="Calibri" w:hAnsi="Calibri"/>
          <w:color w:val="auto"/>
          <w:sz w:val="22"/>
          <w:szCs w:val="22"/>
          <w:lang w:val="en-US"/>
        </w:rPr>
      </w:pPr>
      <w:bookmarkStart w:id="16" w:name="_Toc242456066"/>
      <w:r w:rsidRPr="00287EF1">
        <w:rPr>
          <w:rFonts w:ascii="Calibri" w:hAnsi="Calibri"/>
          <w:color w:val="auto"/>
          <w:sz w:val="22"/>
          <w:szCs w:val="22"/>
          <w:lang w:val="en-US"/>
        </w:rPr>
        <w:t>4.2 Capability gap assessment</w:t>
      </w:r>
      <w:bookmarkEnd w:id="16"/>
    </w:p>
    <w:p w14:paraId="09A79661" w14:textId="77777777" w:rsidR="0061431C" w:rsidRPr="00287EF1" w:rsidRDefault="0061431C" w:rsidP="0061431C">
      <w:pPr>
        <w:rPr>
          <w:rFonts w:ascii="Calibri" w:hAnsi="Calibri"/>
          <w:sz w:val="22"/>
          <w:lang w:val="en-US"/>
        </w:rPr>
      </w:pPr>
      <w:r w:rsidRPr="00287EF1">
        <w:rPr>
          <w:rFonts w:ascii="Calibri" w:hAnsi="Calibri"/>
          <w:sz w:val="22"/>
          <w:lang w:val="en-US"/>
        </w:rPr>
        <w:t>At month 1, Harrison and the assessor should jointly rate current evidence against an agreed 1–5 competency rubric. The figure below is a planning illustration only; the baseline values are hypothetical and must be replaced after the actual assessment. It illustrates how a gap analysis could identify development priorities rather than claiming measured performance.</w:t>
      </w:r>
    </w:p>
    <w:p w14:paraId="524E3856" w14:textId="77777777" w:rsidR="00192BCF" w:rsidRPr="00287EF1" w:rsidRDefault="00192BCF" w:rsidP="00192BCF">
      <w:pPr>
        <w:pStyle w:val="Heading2"/>
        <w:rPr>
          <w:rFonts w:ascii="Calibri" w:hAnsi="Calibri"/>
          <w:color w:val="auto"/>
          <w:sz w:val="22"/>
          <w:szCs w:val="22"/>
          <w:lang w:val="en-US"/>
        </w:rPr>
      </w:pPr>
      <w:bookmarkStart w:id="17" w:name="_Toc242456067"/>
      <w:r w:rsidRPr="00287EF1">
        <w:rPr>
          <w:rFonts w:ascii="Calibri" w:hAnsi="Calibri"/>
          <w:color w:val="auto"/>
          <w:sz w:val="22"/>
          <w:szCs w:val="22"/>
          <w:lang w:val="en-US"/>
        </w:rPr>
        <w:t>4.3 Twelve-month implementation and review schedule</w:t>
      </w:r>
      <w:bookmarkEnd w:id="17"/>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80"/>
        <w:gridCol w:w="2880"/>
      </w:tblGrid>
      <w:tr w:rsidR="00192BCF" w:rsidRPr="00287EF1" w14:paraId="6E08E3BC" w14:textId="77777777" w:rsidTr="008609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hideMark/>
          </w:tcPr>
          <w:p w14:paraId="1DD42365"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Period</w:t>
            </w:r>
          </w:p>
        </w:tc>
        <w:tc>
          <w:tcPr>
            <w:tcW w:w="2880" w:type="dxa"/>
            <w:tcBorders>
              <w:top w:val="none" w:sz="0" w:space="0" w:color="auto"/>
              <w:left w:val="none" w:sz="0" w:space="0" w:color="auto"/>
              <w:bottom w:val="none" w:sz="0" w:space="0" w:color="auto"/>
              <w:right w:val="none" w:sz="0" w:space="0" w:color="auto"/>
            </w:tcBorders>
            <w:hideMark/>
          </w:tcPr>
          <w:p w14:paraId="6E5E9F99" w14:textId="77777777" w:rsidR="00192BCF" w:rsidRPr="00287EF1" w:rsidRDefault="00192BCF" w:rsidP="00192BCF">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Development activity</w:t>
            </w:r>
          </w:p>
        </w:tc>
        <w:tc>
          <w:tcPr>
            <w:tcW w:w="2880" w:type="dxa"/>
            <w:tcBorders>
              <w:top w:val="none" w:sz="0" w:space="0" w:color="auto"/>
              <w:left w:val="none" w:sz="0" w:space="0" w:color="auto"/>
              <w:bottom w:val="none" w:sz="0" w:space="0" w:color="auto"/>
              <w:right w:val="none" w:sz="0" w:space="0" w:color="auto"/>
            </w:tcBorders>
            <w:hideMark/>
          </w:tcPr>
          <w:p w14:paraId="3F1D9C7B" w14:textId="77777777" w:rsidR="00192BCF" w:rsidRPr="00287EF1" w:rsidRDefault="00192BCF" w:rsidP="00192BCF">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Evidence / review gate</w:t>
            </w:r>
          </w:p>
        </w:tc>
      </w:tr>
      <w:tr w:rsidR="00192BCF" w:rsidRPr="00287EF1" w14:paraId="03963B3A"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6615A752"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1–2</w:t>
            </w:r>
          </w:p>
        </w:tc>
        <w:tc>
          <w:tcPr>
            <w:tcW w:w="2880" w:type="dxa"/>
            <w:tcBorders>
              <w:left w:val="none" w:sz="0" w:space="0" w:color="auto"/>
              <w:right w:val="none" w:sz="0" w:space="0" w:color="auto"/>
            </w:tcBorders>
            <w:hideMark/>
          </w:tcPr>
          <w:p w14:paraId="67C0D0B9"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PDR conversation; skills audit; mandatory learning review; mentor allocated</w:t>
            </w:r>
          </w:p>
        </w:tc>
        <w:tc>
          <w:tcPr>
            <w:tcW w:w="2880" w:type="dxa"/>
            <w:tcBorders>
              <w:left w:val="none" w:sz="0" w:space="0" w:color="auto"/>
              <w:right w:val="none" w:sz="0" w:space="0" w:color="auto"/>
            </w:tcBorders>
            <w:hideMark/>
          </w:tcPr>
          <w:p w14:paraId="6B144489"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Signed goals; role criteria; baseline assessment</w:t>
            </w:r>
          </w:p>
        </w:tc>
      </w:tr>
      <w:tr w:rsidR="00192BCF" w:rsidRPr="00287EF1" w14:paraId="14C05A80"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356AD27F"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3–4</w:t>
            </w:r>
          </w:p>
        </w:tc>
        <w:tc>
          <w:tcPr>
            <w:tcW w:w="2880" w:type="dxa"/>
            <w:hideMark/>
          </w:tcPr>
          <w:p w14:paraId="5E1A3557" w14:textId="16FBB47B"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Shadow supervisor; practi</w:t>
            </w:r>
            <w:r w:rsidR="008609A4">
              <w:rPr>
                <w:rFonts w:ascii="Calibri" w:hAnsi="Calibri"/>
                <w:color w:val="auto"/>
                <w:sz w:val="22"/>
                <w:lang w:val="en-US"/>
              </w:rPr>
              <w:t>c</w:t>
            </w:r>
            <w:r w:rsidRPr="00287EF1">
              <w:rPr>
                <w:rFonts w:ascii="Calibri" w:hAnsi="Calibri"/>
                <w:color w:val="auto"/>
                <w:sz w:val="22"/>
                <w:lang w:val="en-US"/>
              </w:rPr>
              <w:t>e handovers; keep CPD notes</w:t>
            </w:r>
          </w:p>
        </w:tc>
        <w:tc>
          <w:tcPr>
            <w:tcW w:w="2880" w:type="dxa"/>
            <w:hideMark/>
          </w:tcPr>
          <w:p w14:paraId="2E7D3754" w14:textId="77777777"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Observation and reflection; monthly 1:1</w:t>
            </w:r>
          </w:p>
        </w:tc>
      </w:tr>
      <w:tr w:rsidR="00192BCF" w:rsidRPr="00287EF1" w14:paraId="4A2046F7"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325C90D4"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5–6</w:t>
            </w:r>
          </w:p>
        </w:tc>
        <w:tc>
          <w:tcPr>
            <w:tcW w:w="2880" w:type="dxa"/>
            <w:tcBorders>
              <w:left w:val="none" w:sz="0" w:space="0" w:color="auto"/>
              <w:right w:val="none" w:sz="0" w:space="0" w:color="auto"/>
            </w:tcBorders>
            <w:hideMark/>
          </w:tcPr>
          <w:p w14:paraId="242CF4ED"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Complete four supervised technical observations; first toolbox talk</w:t>
            </w:r>
          </w:p>
        </w:tc>
        <w:tc>
          <w:tcPr>
            <w:tcW w:w="2880" w:type="dxa"/>
            <w:tcBorders>
              <w:left w:val="none" w:sz="0" w:space="0" w:color="auto"/>
              <w:right w:val="none" w:sz="0" w:space="0" w:color="auto"/>
            </w:tcBorders>
            <w:hideMark/>
          </w:tcPr>
          <w:p w14:paraId="6BBCEEC1"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Mid-year PDR, evidence review and rating</w:t>
            </w:r>
          </w:p>
        </w:tc>
      </w:tr>
      <w:tr w:rsidR="00192BCF" w:rsidRPr="00287EF1" w14:paraId="4A38B88C"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534F5E73"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7–8</w:t>
            </w:r>
          </w:p>
        </w:tc>
        <w:tc>
          <w:tcPr>
            <w:tcW w:w="2880" w:type="dxa"/>
            <w:hideMark/>
          </w:tcPr>
          <w:p w14:paraId="26E7511F" w14:textId="77777777"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Lead controlled coordination tasks; undertake conflict/feedback coaching</w:t>
            </w:r>
          </w:p>
        </w:tc>
        <w:tc>
          <w:tcPr>
            <w:tcW w:w="2880" w:type="dxa"/>
            <w:hideMark/>
          </w:tcPr>
          <w:p w14:paraId="131FE8F5" w14:textId="77777777"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Supervisor debrief and risk review</w:t>
            </w:r>
          </w:p>
        </w:tc>
      </w:tr>
      <w:tr w:rsidR="00192BCF" w:rsidRPr="00287EF1" w14:paraId="363766D2"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7D0CBFE0"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9–10</w:t>
            </w:r>
          </w:p>
        </w:tc>
        <w:tc>
          <w:tcPr>
            <w:tcW w:w="2880" w:type="dxa"/>
            <w:tcBorders>
              <w:left w:val="none" w:sz="0" w:space="0" w:color="auto"/>
              <w:right w:val="none" w:sz="0" w:space="0" w:color="auto"/>
            </w:tcBorders>
            <w:hideMark/>
          </w:tcPr>
          <w:p w14:paraId="6D29FF97"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Train-the-trainer learning; design approved lesson materials</w:t>
            </w:r>
          </w:p>
        </w:tc>
        <w:tc>
          <w:tcPr>
            <w:tcW w:w="2880" w:type="dxa"/>
            <w:tcBorders>
              <w:left w:val="none" w:sz="0" w:space="0" w:color="auto"/>
              <w:right w:val="none" w:sz="0" w:space="0" w:color="auto"/>
            </w:tcBorders>
            <w:hideMark/>
          </w:tcPr>
          <w:p w14:paraId="7F3F3093" w14:textId="77777777" w:rsidR="00192BCF" w:rsidRPr="00287EF1" w:rsidRDefault="00192BCF" w:rsidP="00192BCF">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Training plan and rehearsal observation</w:t>
            </w:r>
          </w:p>
        </w:tc>
      </w:tr>
      <w:tr w:rsidR="00192BCF" w:rsidRPr="00287EF1" w14:paraId="342C2ECA"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06706407" w14:textId="77777777" w:rsidR="00192BCF" w:rsidRPr="00287EF1" w:rsidRDefault="00192BCF" w:rsidP="00192BCF">
            <w:pPr>
              <w:spacing w:after="160" w:line="259" w:lineRule="auto"/>
              <w:rPr>
                <w:rFonts w:ascii="Calibri" w:hAnsi="Calibri"/>
                <w:color w:val="auto"/>
                <w:sz w:val="22"/>
                <w:lang w:val="en-US"/>
              </w:rPr>
            </w:pPr>
            <w:r w:rsidRPr="00287EF1">
              <w:rPr>
                <w:rFonts w:ascii="Calibri" w:hAnsi="Calibri"/>
                <w:color w:val="auto"/>
                <w:sz w:val="22"/>
                <w:lang w:val="en-US"/>
              </w:rPr>
              <w:t>Months 11–12</w:t>
            </w:r>
          </w:p>
        </w:tc>
        <w:tc>
          <w:tcPr>
            <w:tcW w:w="2880" w:type="dxa"/>
            <w:hideMark/>
          </w:tcPr>
          <w:p w14:paraId="20BA1CF0" w14:textId="77777777"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Deliver two observed sessions; final capability review</w:t>
            </w:r>
          </w:p>
        </w:tc>
        <w:tc>
          <w:tcPr>
            <w:tcW w:w="2880" w:type="dxa"/>
            <w:hideMark/>
          </w:tcPr>
          <w:p w14:paraId="1EF4E61A" w14:textId="77777777" w:rsidR="00192BCF" w:rsidRPr="00287EF1" w:rsidRDefault="00192BCF" w:rsidP="00192BCF">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Year-end PDR; readiness decision and next steps</w:t>
            </w:r>
          </w:p>
        </w:tc>
      </w:tr>
    </w:tbl>
    <w:p w14:paraId="326DD30A" w14:textId="77777777" w:rsidR="009632AC" w:rsidRPr="00287EF1" w:rsidRDefault="009632AC" w:rsidP="009632AC">
      <w:pPr>
        <w:rPr>
          <w:rFonts w:ascii="Calibri" w:hAnsi="Calibri"/>
          <w:sz w:val="22"/>
          <w:lang w:val="en-US"/>
        </w:rPr>
      </w:pPr>
      <w:r w:rsidRPr="00287EF1">
        <w:rPr>
          <w:rFonts w:ascii="Calibri" w:hAnsi="Calibri"/>
          <w:sz w:val="22"/>
        </w:rPr>
        <w:t>Proposed cumulative milestones over 12 months, created for this report. This is a planned schedule, not actual progress data.</w:t>
      </w:r>
    </w:p>
    <w:p w14:paraId="1E0BCFD4" w14:textId="61CD23F9" w:rsidR="00192BCF" w:rsidRPr="00287EF1" w:rsidRDefault="00192BCF" w:rsidP="00192BCF">
      <w:pPr>
        <w:rPr>
          <w:rFonts w:ascii="Calibri" w:hAnsi="Calibri"/>
          <w:sz w:val="22"/>
          <w:lang w:val="en-US"/>
        </w:rPr>
      </w:pPr>
      <w:r w:rsidRPr="00287EF1">
        <w:rPr>
          <w:rFonts w:ascii="Calibri" w:hAnsi="Calibri"/>
          <w:sz w:val="22"/>
          <w:lang w:val="en-US"/>
        </w:rPr>
        <w:lastRenderedPageBreak/>
        <w:t>Operational scheduling is integral to implementation. I would agree learning dates with the relevant manager in advance, flag resource requirements, consider geographical clustering of work and avoid releasing multiple critical engineers at once. When reactive work interrupts a planned observation, the activity should be rescheduled promptly. This preserves client service while demonstrating that development is an operational commitment rather than an informal extra.</w:t>
      </w:r>
    </w:p>
    <w:p w14:paraId="7CD6452F" w14:textId="77777777" w:rsidR="00E05940" w:rsidRPr="00287EF1" w:rsidRDefault="00E05940" w:rsidP="00E05940">
      <w:pPr>
        <w:pStyle w:val="Heading2"/>
        <w:rPr>
          <w:rFonts w:ascii="Calibri" w:hAnsi="Calibri"/>
          <w:color w:val="auto"/>
          <w:sz w:val="22"/>
          <w:szCs w:val="22"/>
          <w:lang w:val="en-US"/>
        </w:rPr>
      </w:pPr>
      <w:bookmarkStart w:id="18" w:name="_Toc242456068"/>
      <w:r w:rsidRPr="00287EF1">
        <w:rPr>
          <w:rFonts w:ascii="Calibri" w:hAnsi="Calibri"/>
          <w:color w:val="auto"/>
          <w:sz w:val="22"/>
          <w:szCs w:val="22"/>
          <w:lang w:val="en-US"/>
        </w:rPr>
        <w:t>4.4 Monitoring, evaluation and performance management</w:t>
      </w:r>
      <w:bookmarkEnd w:id="18"/>
    </w:p>
    <w:p w14:paraId="43292472" w14:textId="77777777" w:rsidR="00E05940" w:rsidRPr="00287EF1" w:rsidRDefault="00E05940" w:rsidP="00E05940">
      <w:pPr>
        <w:rPr>
          <w:rFonts w:ascii="Calibri" w:hAnsi="Calibri"/>
          <w:sz w:val="22"/>
          <w:lang w:val="en-US"/>
        </w:rPr>
      </w:pPr>
      <w:r w:rsidRPr="00287EF1">
        <w:rPr>
          <w:rFonts w:ascii="Calibri" w:hAnsi="Calibri"/>
          <w:sz w:val="22"/>
          <w:lang w:val="en-US"/>
        </w:rPr>
        <w:t>Performance management should be continuous rather than restricted to a year-end meeting. Aguinis (2019) describes performance management as an ongoing process linking individual contributions with organisational goals. Rock’s monthly 1:1 format supports this approach. Each meeting should capture completed activity, evidence, barriers, support required, actions and the next review date. At mid-year, the manager should assess progress against each agreed objective and use the actual PDR rating definitions; at year-end, a documented decision should distinguish competent current-role performance from readiness for expanded responsibilities.</w:t>
      </w:r>
    </w:p>
    <w:p w14:paraId="1C67F35F" w14:textId="77777777" w:rsidR="00E05940" w:rsidRPr="00287EF1" w:rsidRDefault="00E05940" w:rsidP="00E05940">
      <w:pPr>
        <w:rPr>
          <w:rFonts w:ascii="Calibri" w:hAnsi="Calibri"/>
          <w:sz w:val="22"/>
          <w:lang w:val="en-US"/>
        </w:rPr>
      </w:pPr>
      <w:r w:rsidRPr="00287EF1">
        <w:rPr>
          <w:rFonts w:ascii="Calibri" w:hAnsi="Calibri"/>
          <w:sz w:val="22"/>
          <w:lang w:val="en-US"/>
        </w:rPr>
        <w:t>To ensure Harrison’s development is monitored consistently, a structured PDR Review and Development Monitoring Form has been developed to support monthly one-to-one meetings, mid-year assessments and annual performance reviews. The form enables progress against SMART objectives to be recorded, identifies additional training requirements and provides evidence of performance improvements. It also supports accountability and continuous feedback within my role as Operations Scheduling Manager, managing engineers remotely. The structured review form is provided in Appendix B.</w:t>
      </w:r>
    </w:p>
    <w:p w14:paraId="5AF041B3" w14:textId="77777777" w:rsidR="00E05940" w:rsidRPr="00287EF1" w:rsidRDefault="00E05940" w:rsidP="00E05940">
      <w:pPr>
        <w:rPr>
          <w:rFonts w:ascii="Calibri" w:hAnsi="Calibri"/>
          <w:sz w:val="22"/>
          <w:lang w:val="en-US"/>
        </w:rPr>
      </w:pPr>
      <w:r w:rsidRPr="00287EF1">
        <w:rPr>
          <w:rFonts w:ascii="Calibri" w:hAnsi="Calibri"/>
          <w:sz w:val="22"/>
          <w:lang w:val="en-US"/>
        </w:rPr>
        <w:t>Evaluation should be multi-level. Immediate learning evidence could include a knowledge check or lesson observation; behavioural evidence might include accurate handovers, confident escalation and constructive coaching; operational results might include fewer avoidable re-visits or more consistent records. However, attributing a change in service metrics solely to Harrison would be inappropriate because scheduling, client access and job complexity also influence outcomes. Before-and-after comparisons should therefore use comparable tasks and explain confounding factors.</w:t>
      </w:r>
    </w:p>
    <w:p w14:paraId="4E156716" w14:textId="77777777" w:rsidR="00E05940" w:rsidRPr="00287EF1" w:rsidRDefault="00E05940" w:rsidP="00E05940">
      <w:pPr>
        <w:rPr>
          <w:rFonts w:ascii="Calibri" w:hAnsi="Calibri"/>
          <w:sz w:val="22"/>
          <w:lang w:val="en-US"/>
        </w:rPr>
      </w:pPr>
      <w:r w:rsidRPr="00287EF1">
        <w:rPr>
          <w:rFonts w:ascii="Calibri" w:hAnsi="Calibri"/>
          <w:sz w:val="22"/>
          <w:lang w:val="en-US"/>
        </w:rPr>
        <w:t>A balanced scorecard prevents a narrow focus on quantity. The following indicators are proposed for the programme: mandatory learning completed on time; observed technical standards; quality of handovers; demonstrated supervisory behaviours; learner feedback and application of training. A target should be treated as an agreed threshold, not as a fabricated achievement.</w:t>
      </w:r>
    </w:p>
    <w:p w14:paraId="64795071" w14:textId="77777777" w:rsidR="00E05940" w:rsidRDefault="00E05940" w:rsidP="00E05940">
      <w:pPr>
        <w:rPr>
          <w:rFonts w:ascii="Calibri" w:hAnsi="Calibri"/>
          <w:sz w:val="22"/>
          <w:lang w:val="en-US"/>
        </w:rPr>
      </w:pPr>
    </w:p>
    <w:p w14:paraId="6633E3F6" w14:textId="77777777" w:rsidR="008609A4" w:rsidRDefault="008609A4" w:rsidP="00E05940">
      <w:pPr>
        <w:rPr>
          <w:rFonts w:ascii="Calibri" w:hAnsi="Calibri"/>
          <w:sz w:val="22"/>
          <w:lang w:val="en-US"/>
        </w:rPr>
      </w:pPr>
    </w:p>
    <w:p w14:paraId="48A24D6A" w14:textId="77777777" w:rsidR="008609A4" w:rsidRDefault="008609A4" w:rsidP="00E05940">
      <w:pPr>
        <w:rPr>
          <w:rFonts w:ascii="Calibri" w:hAnsi="Calibri"/>
          <w:sz w:val="22"/>
          <w:lang w:val="en-US"/>
        </w:rPr>
      </w:pPr>
    </w:p>
    <w:p w14:paraId="08324C8E" w14:textId="77777777" w:rsidR="008609A4" w:rsidRDefault="008609A4" w:rsidP="00E05940">
      <w:pPr>
        <w:rPr>
          <w:rFonts w:ascii="Calibri" w:hAnsi="Calibri"/>
          <w:sz w:val="22"/>
          <w:lang w:val="en-US"/>
        </w:rPr>
      </w:pPr>
    </w:p>
    <w:p w14:paraId="494E3AF2" w14:textId="77777777" w:rsidR="008609A4" w:rsidRDefault="008609A4" w:rsidP="00E05940">
      <w:pPr>
        <w:rPr>
          <w:rFonts w:ascii="Calibri" w:hAnsi="Calibri"/>
          <w:sz w:val="22"/>
          <w:lang w:val="en-US"/>
        </w:rPr>
      </w:pPr>
    </w:p>
    <w:p w14:paraId="5E10B3D1" w14:textId="77777777" w:rsidR="008609A4" w:rsidRDefault="008609A4" w:rsidP="00E05940">
      <w:pPr>
        <w:rPr>
          <w:rFonts w:ascii="Calibri" w:hAnsi="Calibri"/>
          <w:sz w:val="22"/>
          <w:lang w:val="en-US"/>
        </w:rPr>
      </w:pPr>
    </w:p>
    <w:p w14:paraId="446E1FCA" w14:textId="77777777" w:rsidR="008609A4" w:rsidRDefault="008609A4" w:rsidP="00E05940">
      <w:pPr>
        <w:rPr>
          <w:rFonts w:ascii="Calibri" w:hAnsi="Calibri"/>
          <w:sz w:val="22"/>
          <w:lang w:val="en-US"/>
        </w:rPr>
      </w:pPr>
    </w:p>
    <w:p w14:paraId="797FF603" w14:textId="77777777" w:rsidR="008609A4" w:rsidRPr="00287EF1" w:rsidRDefault="008609A4" w:rsidP="00E05940">
      <w:pPr>
        <w:rPr>
          <w:rFonts w:ascii="Calibri" w:hAnsi="Calibri"/>
          <w:sz w:val="22"/>
          <w:lang w:val="en-US"/>
        </w:rPr>
      </w:pPr>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80"/>
        <w:gridCol w:w="2880"/>
      </w:tblGrid>
      <w:tr w:rsidR="002B218B" w:rsidRPr="00287EF1" w14:paraId="611D6BB8" w14:textId="77777777" w:rsidTr="008609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hideMark/>
          </w:tcPr>
          <w:p w14:paraId="026AD7D8"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lastRenderedPageBreak/>
              <w:t>Indicator</w:t>
            </w:r>
          </w:p>
        </w:tc>
        <w:tc>
          <w:tcPr>
            <w:tcW w:w="2880" w:type="dxa"/>
            <w:tcBorders>
              <w:top w:val="none" w:sz="0" w:space="0" w:color="auto"/>
              <w:left w:val="none" w:sz="0" w:space="0" w:color="auto"/>
              <w:bottom w:val="none" w:sz="0" w:space="0" w:color="auto"/>
              <w:right w:val="none" w:sz="0" w:space="0" w:color="auto"/>
            </w:tcBorders>
            <w:hideMark/>
          </w:tcPr>
          <w:p w14:paraId="57E71C9C" w14:textId="77777777" w:rsidR="002B218B" w:rsidRPr="00287EF1" w:rsidRDefault="002B218B" w:rsidP="002B218B">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Proposed threshold</w:t>
            </w:r>
          </w:p>
        </w:tc>
        <w:tc>
          <w:tcPr>
            <w:tcW w:w="2880" w:type="dxa"/>
            <w:tcBorders>
              <w:top w:val="none" w:sz="0" w:space="0" w:color="auto"/>
              <w:left w:val="none" w:sz="0" w:space="0" w:color="auto"/>
              <w:bottom w:val="none" w:sz="0" w:space="0" w:color="auto"/>
              <w:right w:val="none" w:sz="0" w:space="0" w:color="auto"/>
            </w:tcBorders>
            <w:hideMark/>
          </w:tcPr>
          <w:p w14:paraId="58416DC8" w14:textId="77777777" w:rsidR="002B218B" w:rsidRPr="00287EF1" w:rsidRDefault="002B218B" w:rsidP="002B218B">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Evidence owner</w:t>
            </w:r>
          </w:p>
        </w:tc>
      </w:tr>
      <w:tr w:rsidR="002B218B" w:rsidRPr="00287EF1" w14:paraId="6ADBB07C"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40BA586C"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Mandatory learning</w:t>
            </w:r>
          </w:p>
        </w:tc>
        <w:tc>
          <w:tcPr>
            <w:tcW w:w="2880" w:type="dxa"/>
            <w:tcBorders>
              <w:left w:val="none" w:sz="0" w:space="0" w:color="auto"/>
              <w:right w:val="none" w:sz="0" w:space="0" w:color="auto"/>
            </w:tcBorders>
            <w:hideMark/>
          </w:tcPr>
          <w:p w14:paraId="47DEF443"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100% completed by assigned due dates</w:t>
            </w:r>
          </w:p>
        </w:tc>
        <w:tc>
          <w:tcPr>
            <w:tcW w:w="2880" w:type="dxa"/>
            <w:tcBorders>
              <w:left w:val="none" w:sz="0" w:space="0" w:color="auto"/>
              <w:right w:val="none" w:sz="0" w:space="0" w:color="auto"/>
            </w:tcBorders>
            <w:hideMark/>
          </w:tcPr>
          <w:p w14:paraId="4F4D7DB0"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Learning portal / manager</w:t>
            </w:r>
          </w:p>
        </w:tc>
      </w:tr>
      <w:tr w:rsidR="002B218B" w:rsidRPr="00287EF1" w14:paraId="4BC2A294"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090E864D"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Technical observations</w:t>
            </w:r>
          </w:p>
        </w:tc>
        <w:tc>
          <w:tcPr>
            <w:tcW w:w="2880" w:type="dxa"/>
            <w:hideMark/>
          </w:tcPr>
          <w:p w14:paraId="0D42F831"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4 satisfactory assessed tasks</w:t>
            </w:r>
          </w:p>
        </w:tc>
        <w:tc>
          <w:tcPr>
            <w:tcW w:w="2880" w:type="dxa"/>
            <w:hideMark/>
          </w:tcPr>
          <w:p w14:paraId="5D381676"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Technical assessor</w:t>
            </w:r>
          </w:p>
        </w:tc>
      </w:tr>
      <w:tr w:rsidR="002B218B" w:rsidRPr="00287EF1" w14:paraId="093010BD"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04E3EF52"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Observed handovers</w:t>
            </w:r>
          </w:p>
        </w:tc>
        <w:tc>
          <w:tcPr>
            <w:tcW w:w="2880" w:type="dxa"/>
            <w:tcBorders>
              <w:left w:val="none" w:sz="0" w:space="0" w:color="auto"/>
              <w:right w:val="none" w:sz="0" w:space="0" w:color="auto"/>
            </w:tcBorders>
            <w:hideMark/>
          </w:tcPr>
          <w:p w14:paraId="3760D151"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3 satisfactory examples</w:t>
            </w:r>
          </w:p>
        </w:tc>
        <w:tc>
          <w:tcPr>
            <w:tcW w:w="2880" w:type="dxa"/>
            <w:tcBorders>
              <w:left w:val="none" w:sz="0" w:space="0" w:color="auto"/>
              <w:right w:val="none" w:sz="0" w:space="0" w:color="auto"/>
            </w:tcBorders>
            <w:hideMark/>
          </w:tcPr>
          <w:p w14:paraId="184AD091"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Supervisor / scheduler</w:t>
            </w:r>
          </w:p>
        </w:tc>
      </w:tr>
      <w:tr w:rsidR="002B218B" w:rsidRPr="00287EF1" w14:paraId="5BF5210C"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13FECFC5"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Supervisory practice</w:t>
            </w:r>
          </w:p>
        </w:tc>
        <w:tc>
          <w:tcPr>
            <w:tcW w:w="2880" w:type="dxa"/>
            <w:hideMark/>
          </w:tcPr>
          <w:p w14:paraId="31757961"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2 controlled tasks with debriefs</w:t>
            </w:r>
          </w:p>
        </w:tc>
        <w:tc>
          <w:tcPr>
            <w:tcW w:w="2880" w:type="dxa"/>
            <w:hideMark/>
          </w:tcPr>
          <w:p w14:paraId="02BE5CA7"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Supervisor mentor</w:t>
            </w:r>
          </w:p>
        </w:tc>
      </w:tr>
      <w:tr w:rsidR="002B218B" w:rsidRPr="00287EF1" w14:paraId="20A91D40" w14:textId="77777777" w:rsidTr="00860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Borders>
              <w:left w:val="none" w:sz="0" w:space="0" w:color="auto"/>
              <w:right w:val="none" w:sz="0" w:space="0" w:color="auto"/>
            </w:tcBorders>
            <w:hideMark/>
          </w:tcPr>
          <w:p w14:paraId="6601B3E8"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Trainer practice</w:t>
            </w:r>
          </w:p>
        </w:tc>
        <w:tc>
          <w:tcPr>
            <w:tcW w:w="2880" w:type="dxa"/>
            <w:tcBorders>
              <w:left w:val="none" w:sz="0" w:space="0" w:color="auto"/>
              <w:right w:val="none" w:sz="0" w:space="0" w:color="auto"/>
            </w:tcBorders>
            <w:hideMark/>
          </w:tcPr>
          <w:p w14:paraId="6A5FC75C"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2 observed sessions</w:t>
            </w:r>
          </w:p>
        </w:tc>
        <w:tc>
          <w:tcPr>
            <w:tcW w:w="2880" w:type="dxa"/>
            <w:tcBorders>
              <w:left w:val="none" w:sz="0" w:space="0" w:color="auto"/>
              <w:right w:val="none" w:sz="0" w:space="0" w:color="auto"/>
            </w:tcBorders>
            <w:hideMark/>
          </w:tcPr>
          <w:p w14:paraId="77700CD4" w14:textId="77777777" w:rsidR="002B218B" w:rsidRPr="00287EF1" w:rsidRDefault="002B218B" w:rsidP="002B218B">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School of Rock assessor</w:t>
            </w:r>
          </w:p>
        </w:tc>
      </w:tr>
      <w:tr w:rsidR="002B218B" w:rsidRPr="00287EF1" w14:paraId="0111FF45" w14:textId="77777777" w:rsidTr="008609A4">
        <w:trPr>
          <w:jc w:val="center"/>
        </w:trPr>
        <w:tc>
          <w:tcPr>
            <w:cnfStyle w:val="001000000000" w:firstRow="0" w:lastRow="0" w:firstColumn="1" w:lastColumn="0" w:oddVBand="0" w:evenVBand="0" w:oddHBand="0" w:evenHBand="0" w:firstRowFirstColumn="0" w:firstRowLastColumn="0" w:lastRowFirstColumn="0" w:lastRowLastColumn="0"/>
            <w:tcW w:w="2880" w:type="dxa"/>
            <w:hideMark/>
          </w:tcPr>
          <w:p w14:paraId="12D3DA06" w14:textId="77777777" w:rsidR="002B218B" w:rsidRPr="00287EF1" w:rsidRDefault="002B218B" w:rsidP="002B218B">
            <w:pPr>
              <w:spacing w:after="160" w:line="259" w:lineRule="auto"/>
              <w:rPr>
                <w:rFonts w:ascii="Calibri" w:hAnsi="Calibri"/>
                <w:color w:val="auto"/>
                <w:sz w:val="22"/>
                <w:lang w:val="en-US"/>
              </w:rPr>
            </w:pPr>
            <w:r w:rsidRPr="00287EF1">
              <w:rPr>
                <w:rFonts w:ascii="Calibri" w:hAnsi="Calibri"/>
                <w:color w:val="auto"/>
                <w:sz w:val="22"/>
                <w:lang w:val="en-US"/>
              </w:rPr>
              <w:t>PDR rhythm</w:t>
            </w:r>
          </w:p>
        </w:tc>
        <w:tc>
          <w:tcPr>
            <w:tcW w:w="2880" w:type="dxa"/>
            <w:hideMark/>
          </w:tcPr>
          <w:p w14:paraId="645FCD60"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Monthly 1:1; mid-year and year-end reviews</w:t>
            </w:r>
          </w:p>
        </w:tc>
        <w:tc>
          <w:tcPr>
            <w:tcW w:w="2880" w:type="dxa"/>
            <w:hideMark/>
          </w:tcPr>
          <w:p w14:paraId="4A56DABA" w14:textId="77777777" w:rsidR="002B218B" w:rsidRPr="00287EF1" w:rsidRDefault="002B218B" w:rsidP="002B218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olor w:val="auto"/>
                <w:sz w:val="22"/>
                <w:lang w:val="en-US"/>
              </w:rPr>
            </w:pPr>
            <w:r w:rsidRPr="00287EF1">
              <w:rPr>
                <w:rFonts w:ascii="Calibri" w:hAnsi="Calibri"/>
                <w:color w:val="auto"/>
                <w:sz w:val="22"/>
                <w:lang w:val="en-US"/>
              </w:rPr>
              <w:t>Line manager</w:t>
            </w:r>
          </w:p>
        </w:tc>
      </w:tr>
    </w:tbl>
    <w:p w14:paraId="0B163AC5" w14:textId="77777777" w:rsidR="002B218B" w:rsidRPr="00287EF1" w:rsidRDefault="002B218B" w:rsidP="002B218B">
      <w:pPr>
        <w:rPr>
          <w:rFonts w:ascii="Calibri" w:hAnsi="Calibri"/>
          <w:b/>
          <w:sz w:val="22"/>
          <w:lang w:val="en-US"/>
        </w:rPr>
      </w:pPr>
    </w:p>
    <w:p w14:paraId="2A7AAA8C" w14:textId="02156D7E" w:rsidR="002B218B" w:rsidRPr="00287EF1" w:rsidRDefault="002B218B" w:rsidP="002B218B">
      <w:pPr>
        <w:rPr>
          <w:rFonts w:ascii="Calibri" w:hAnsi="Calibri"/>
          <w:sz w:val="22"/>
          <w:lang w:val="en-US"/>
        </w:rPr>
      </w:pPr>
      <w:r w:rsidRPr="00287EF1">
        <w:rPr>
          <w:rFonts w:ascii="Calibri" w:hAnsi="Calibri"/>
          <w:b/>
          <w:sz w:val="22"/>
          <w:lang w:val="en-US"/>
        </w:rPr>
        <w:t>Continuous performance management and review cycle</w:t>
      </w:r>
    </w:p>
    <w:tbl>
      <w:tblPr>
        <w:tblStyle w:val="TableGrid"/>
        <w:tblW w:w="0" w:type="auto"/>
        <w:tblLook w:val="04A0" w:firstRow="1" w:lastRow="0" w:firstColumn="1" w:lastColumn="0" w:noHBand="0" w:noVBand="1"/>
      </w:tblPr>
      <w:tblGrid>
        <w:gridCol w:w="4320"/>
        <w:gridCol w:w="4320"/>
      </w:tblGrid>
      <w:tr w:rsidR="002B218B" w:rsidRPr="00287EF1" w14:paraId="0D84EB65" w14:textId="77777777">
        <w:tc>
          <w:tcPr>
            <w:tcW w:w="4320" w:type="dxa"/>
            <w:tcBorders>
              <w:top w:val="single" w:sz="4" w:space="0" w:color="auto"/>
              <w:left w:val="single" w:sz="4" w:space="0" w:color="auto"/>
              <w:bottom w:val="single" w:sz="4" w:space="0" w:color="auto"/>
              <w:right w:val="single" w:sz="4" w:space="0" w:color="auto"/>
            </w:tcBorders>
            <w:hideMark/>
          </w:tcPr>
          <w:p w14:paraId="3EED8458"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Stage</w:t>
            </w:r>
          </w:p>
        </w:tc>
        <w:tc>
          <w:tcPr>
            <w:tcW w:w="4320" w:type="dxa"/>
            <w:tcBorders>
              <w:top w:val="single" w:sz="4" w:space="0" w:color="auto"/>
              <w:left w:val="single" w:sz="4" w:space="0" w:color="auto"/>
              <w:bottom w:val="single" w:sz="4" w:space="0" w:color="auto"/>
              <w:right w:val="single" w:sz="4" w:space="0" w:color="auto"/>
            </w:tcBorders>
            <w:hideMark/>
          </w:tcPr>
          <w:p w14:paraId="38FAEDE3"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Rock PDR application</w:t>
            </w:r>
          </w:p>
        </w:tc>
      </w:tr>
      <w:tr w:rsidR="002B218B" w:rsidRPr="00287EF1" w14:paraId="6BDF2FE2" w14:textId="77777777">
        <w:tc>
          <w:tcPr>
            <w:tcW w:w="4320" w:type="dxa"/>
            <w:tcBorders>
              <w:top w:val="single" w:sz="4" w:space="0" w:color="auto"/>
              <w:left w:val="single" w:sz="4" w:space="0" w:color="auto"/>
              <w:bottom w:val="single" w:sz="4" w:space="0" w:color="auto"/>
              <w:right w:val="single" w:sz="4" w:space="0" w:color="auto"/>
            </w:tcBorders>
            <w:hideMark/>
          </w:tcPr>
          <w:p w14:paraId="3F473192"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Set expectations</w:t>
            </w:r>
          </w:p>
        </w:tc>
        <w:tc>
          <w:tcPr>
            <w:tcW w:w="4320" w:type="dxa"/>
            <w:tcBorders>
              <w:top w:val="single" w:sz="4" w:space="0" w:color="auto"/>
              <w:left w:val="single" w:sz="4" w:space="0" w:color="auto"/>
              <w:bottom w:val="single" w:sz="4" w:space="0" w:color="auto"/>
              <w:right w:val="single" w:sz="4" w:space="0" w:color="auto"/>
            </w:tcBorders>
            <w:hideMark/>
          </w:tcPr>
          <w:p w14:paraId="29458A81"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Agree SMART objectives, values and required standards</w:t>
            </w:r>
          </w:p>
        </w:tc>
      </w:tr>
      <w:tr w:rsidR="002B218B" w:rsidRPr="00287EF1" w14:paraId="38613661" w14:textId="77777777">
        <w:tc>
          <w:tcPr>
            <w:tcW w:w="4320" w:type="dxa"/>
            <w:tcBorders>
              <w:top w:val="single" w:sz="4" w:space="0" w:color="auto"/>
              <w:left w:val="single" w:sz="4" w:space="0" w:color="auto"/>
              <w:bottom w:val="single" w:sz="4" w:space="0" w:color="auto"/>
              <w:right w:val="single" w:sz="4" w:space="0" w:color="auto"/>
            </w:tcBorders>
            <w:hideMark/>
          </w:tcPr>
          <w:p w14:paraId="6C3CD3B4"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Observe and support</w:t>
            </w:r>
          </w:p>
        </w:tc>
        <w:tc>
          <w:tcPr>
            <w:tcW w:w="4320" w:type="dxa"/>
            <w:tcBorders>
              <w:top w:val="single" w:sz="4" w:space="0" w:color="auto"/>
              <w:left w:val="single" w:sz="4" w:space="0" w:color="auto"/>
              <w:bottom w:val="single" w:sz="4" w:space="0" w:color="auto"/>
              <w:right w:val="single" w:sz="4" w:space="0" w:color="auto"/>
            </w:tcBorders>
            <w:hideMark/>
          </w:tcPr>
          <w:p w14:paraId="7492A217"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Gather job evidence, coaching notes and client feedback</w:t>
            </w:r>
          </w:p>
        </w:tc>
      </w:tr>
      <w:tr w:rsidR="002B218B" w:rsidRPr="00287EF1" w14:paraId="5FCA2043" w14:textId="77777777">
        <w:tc>
          <w:tcPr>
            <w:tcW w:w="4320" w:type="dxa"/>
            <w:tcBorders>
              <w:top w:val="single" w:sz="4" w:space="0" w:color="auto"/>
              <w:left w:val="single" w:sz="4" w:space="0" w:color="auto"/>
              <w:bottom w:val="single" w:sz="4" w:space="0" w:color="auto"/>
              <w:right w:val="single" w:sz="4" w:space="0" w:color="auto"/>
            </w:tcBorders>
            <w:hideMark/>
          </w:tcPr>
          <w:p w14:paraId="047001FB"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Review and discuss</w:t>
            </w:r>
          </w:p>
        </w:tc>
        <w:tc>
          <w:tcPr>
            <w:tcW w:w="4320" w:type="dxa"/>
            <w:tcBorders>
              <w:top w:val="single" w:sz="4" w:space="0" w:color="auto"/>
              <w:left w:val="single" w:sz="4" w:space="0" w:color="auto"/>
              <w:bottom w:val="single" w:sz="4" w:space="0" w:color="auto"/>
              <w:right w:val="single" w:sz="4" w:space="0" w:color="auto"/>
            </w:tcBorders>
            <w:hideMark/>
          </w:tcPr>
          <w:p w14:paraId="5808AC62"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Monthly one-to-ones and mid-year review</w:t>
            </w:r>
          </w:p>
        </w:tc>
      </w:tr>
      <w:tr w:rsidR="002B218B" w:rsidRPr="00287EF1" w14:paraId="6E3AC765" w14:textId="77777777">
        <w:tc>
          <w:tcPr>
            <w:tcW w:w="4320" w:type="dxa"/>
            <w:tcBorders>
              <w:top w:val="single" w:sz="4" w:space="0" w:color="auto"/>
              <w:left w:val="single" w:sz="4" w:space="0" w:color="auto"/>
              <w:bottom w:val="single" w:sz="4" w:space="0" w:color="auto"/>
              <w:right w:val="single" w:sz="4" w:space="0" w:color="auto"/>
            </w:tcBorders>
            <w:hideMark/>
          </w:tcPr>
          <w:p w14:paraId="6844A36C"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Adjust and evaluate</w:t>
            </w:r>
          </w:p>
        </w:tc>
        <w:tc>
          <w:tcPr>
            <w:tcW w:w="4320" w:type="dxa"/>
            <w:tcBorders>
              <w:top w:val="single" w:sz="4" w:space="0" w:color="auto"/>
              <w:left w:val="single" w:sz="4" w:space="0" w:color="auto"/>
              <w:bottom w:val="single" w:sz="4" w:space="0" w:color="auto"/>
              <w:right w:val="single" w:sz="4" w:space="0" w:color="auto"/>
            </w:tcBorders>
            <w:hideMark/>
          </w:tcPr>
          <w:p w14:paraId="2C3E5475" w14:textId="77777777" w:rsidR="002B218B" w:rsidRPr="00287EF1" w:rsidRDefault="002B218B" w:rsidP="002B218B">
            <w:pPr>
              <w:spacing w:after="160" w:line="259" w:lineRule="auto"/>
              <w:rPr>
                <w:rFonts w:ascii="Calibri" w:hAnsi="Calibri"/>
                <w:sz w:val="22"/>
                <w:lang w:val="en-US"/>
              </w:rPr>
            </w:pPr>
            <w:r w:rsidRPr="00287EF1">
              <w:rPr>
                <w:rFonts w:ascii="Calibri" w:hAnsi="Calibri"/>
                <w:sz w:val="22"/>
                <w:lang w:val="en-US"/>
              </w:rPr>
              <w:t>Update development actions; assess readiness at year end</w:t>
            </w:r>
          </w:p>
        </w:tc>
      </w:tr>
    </w:tbl>
    <w:p w14:paraId="6000650D" w14:textId="5F3DFB1A" w:rsidR="002B218B" w:rsidRPr="00287EF1" w:rsidRDefault="002B218B" w:rsidP="002B218B">
      <w:pPr>
        <w:rPr>
          <w:rFonts w:ascii="Calibri" w:hAnsi="Calibri"/>
          <w:sz w:val="22"/>
          <w:lang w:val="en-US"/>
        </w:rPr>
      </w:pPr>
      <w:r w:rsidRPr="00287EF1">
        <w:rPr>
          <w:rFonts w:ascii="Calibri" w:hAnsi="Calibri"/>
          <w:i/>
          <w:sz w:val="22"/>
          <w:lang w:val="en-US"/>
        </w:rPr>
        <w:t>Adaptation of CIPD (2026), Performance management: An introduction, https://www.cipd.org/en/knowledge/factsheets/performance-factsheet/; aligned to Rock’s supplied PDR form.</w:t>
      </w:r>
    </w:p>
    <w:p w14:paraId="0A318B34" w14:textId="77777777" w:rsidR="002B218B" w:rsidRPr="00287EF1" w:rsidRDefault="002B218B" w:rsidP="002B218B">
      <w:pPr>
        <w:rPr>
          <w:rFonts w:ascii="Calibri" w:hAnsi="Calibri"/>
          <w:sz w:val="22"/>
          <w:lang w:val="en-US"/>
        </w:rPr>
      </w:pPr>
      <w:r w:rsidRPr="00287EF1">
        <w:rPr>
          <w:rFonts w:ascii="Calibri" w:hAnsi="Calibri"/>
          <w:sz w:val="22"/>
          <w:lang w:val="en-US"/>
        </w:rPr>
        <w:t>Regular evidence-led reviews allow the Operations Scheduling Manager and line manager to identify support needs early, while avoiding the mistaken assumption that completing training automatically qualifies Harrison for promotion (CIPD, 2026).</w:t>
      </w:r>
    </w:p>
    <w:p w14:paraId="0DD2EBAE" w14:textId="77777777" w:rsidR="00531F03" w:rsidRPr="00287EF1" w:rsidRDefault="00531F03" w:rsidP="00531F03">
      <w:pPr>
        <w:pStyle w:val="Heading2"/>
        <w:rPr>
          <w:rFonts w:ascii="Calibri" w:hAnsi="Calibri"/>
          <w:color w:val="auto"/>
          <w:sz w:val="22"/>
          <w:szCs w:val="22"/>
          <w:lang w:val="en-US"/>
        </w:rPr>
      </w:pPr>
      <w:bookmarkStart w:id="19" w:name="_Toc242456069"/>
      <w:r w:rsidRPr="00287EF1">
        <w:rPr>
          <w:rFonts w:ascii="Calibri" w:hAnsi="Calibri"/>
          <w:color w:val="auto"/>
          <w:sz w:val="22"/>
          <w:szCs w:val="22"/>
          <w:lang w:val="en-US"/>
        </w:rPr>
        <w:t>4.5 Risks, ethics and contingency arrangements</w:t>
      </w:r>
      <w:bookmarkEnd w:id="19"/>
    </w:p>
    <w:p w14:paraId="6FA8265C" w14:textId="77777777" w:rsidR="00531F03" w:rsidRPr="00287EF1" w:rsidRDefault="00531F03" w:rsidP="00531F03">
      <w:pPr>
        <w:rPr>
          <w:rFonts w:ascii="Calibri" w:hAnsi="Calibri"/>
          <w:sz w:val="22"/>
          <w:lang w:val="en-US"/>
        </w:rPr>
      </w:pPr>
      <w:r w:rsidRPr="00287EF1">
        <w:rPr>
          <w:rFonts w:ascii="Calibri" w:hAnsi="Calibri"/>
          <w:sz w:val="22"/>
          <w:lang w:val="en-US"/>
        </w:rPr>
        <w:t>The main risks are insufficient release time, inconsistent mentoring, premature delegation, subjective ratings and the possibility of no vacancy after development. Mitigations include protected learning slots, a named mentor, documented assessment criteria, role-based authorisation and clear communication about opportunities. Technical and safety competency must be signed off by an authorised assessor, not inferred from confidence or enthusiasm. Feedback from colleagues must be used proportionately and handled confidentially. Harrison should be able to raise concerns or request a second review if he disputes an assessment.</w:t>
      </w:r>
    </w:p>
    <w:p w14:paraId="3B973728" w14:textId="7C87E848" w:rsidR="002B218B" w:rsidRPr="00287EF1" w:rsidRDefault="00531F03" w:rsidP="002B218B">
      <w:pPr>
        <w:rPr>
          <w:rFonts w:ascii="Calibri" w:hAnsi="Calibri"/>
          <w:sz w:val="22"/>
          <w:lang w:val="en-US"/>
        </w:rPr>
      </w:pPr>
      <w:r w:rsidRPr="00287EF1">
        <w:rPr>
          <w:rFonts w:ascii="Calibri" w:hAnsi="Calibri"/>
          <w:sz w:val="22"/>
          <w:lang w:val="en-US"/>
        </w:rPr>
        <w:lastRenderedPageBreak/>
        <w:t>If progress is slower than expected, the plan should be revised collaboratively. An employee may need more supervised practice, a different coach or a longer timescale. Failure to meet one milestone should not automatically become a punitive judgement. Conversely, where mandatory learning or safety requirements are unmet, the organisation must respond promptly through its established processes. The balance of support and accountability reflects the hybrid Harvard–Michigan approach argued for earlier.</w:t>
      </w:r>
    </w:p>
    <w:p w14:paraId="38E40775" w14:textId="77777777" w:rsidR="007D3BCD" w:rsidRPr="00287EF1" w:rsidRDefault="007D3BCD" w:rsidP="007D3BCD">
      <w:pPr>
        <w:pStyle w:val="Heading2"/>
        <w:rPr>
          <w:rFonts w:ascii="Calibri" w:hAnsi="Calibri"/>
          <w:color w:val="auto"/>
          <w:sz w:val="22"/>
          <w:szCs w:val="22"/>
          <w:lang w:val="en-US"/>
        </w:rPr>
      </w:pPr>
      <w:bookmarkStart w:id="20" w:name="_Toc242456070"/>
      <w:r w:rsidRPr="00287EF1">
        <w:rPr>
          <w:rFonts w:ascii="Calibri" w:hAnsi="Calibri"/>
          <w:color w:val="auto"/>
          <w:sz w:val="22"/>
          <w:szCs w:val="22"/>
          <w:lang w:val="en-US"/>
        </w:rPr>
        <w:t>4.6 Personal reflection and recommendations</w:t>
      </w:r>
      <w:bookmarkEnd w:id="20"/>
    </w:p>
    <w:p w14:paraId="1EFEF0B8" w14:textId="38CA5B76" w:rsidR="007D3BCD" w:rsidRPr="00287EF1" w:rsidRDefault="007D3BCD" w:rsidP="007D3BCD">
      <w:pPr>
        <w:rPr>
          <w:rFonts w:ascii="Calibri" w:hAnsi="Calibri"/>
          <w:sz w:val="22"/>
          <w:lang w:val="en-US"/>
        </w:rPr>
      </w:pPr>
      <w:r w:rsidRPr="00287EF1">
        <w:rPr>
          <w:rFonts w:ascii="Calibri" w:hAnsi="Calibri"/>
          <w:sz w:val="22"/>
          <w:lang w:val="en-US"/>
        </w:rPr>
        <w:t xml:space="preserve">My scheduling experience has shaped my understanding that development must work in real operational conditions. A theoretical programme may look effective on paper but fail when engineers are repeatedly moved to urgent client sites. I have learned that early communication, realistic journey planning and awareness of SLAs help avoid unnecessary disruption. I have also contributed ideas to improve scheduling practice, including a </w:t>
      </w:r>
      <w:r w:rsidR="00815E4D" w:rsidRPr="00287EF1">
        <w:rPr>
          <w:rFonts w:ascii="Calibri" w:hAnsi="Calibri"/>
          <w:sz w:val="22"/>
          <w:lang w:val="en-US"/>
        </w:rPr>
        <w:t>dinnertime</w:t>
      </w:r>
      <w:r w:rsidRPr="00287EF1">
        <w:rPr>
          <w:rFonts w:ascii="Calibri" w:hAnsi="Calibri"/>
          <w:sz w:val="22"/>
          <w:lang w:val="en-US"/>
        </w:rPr>
        <w:t xml:space="preserve"> planning function and locking confirmed sites during route optimisation. These experiences reinforce my view that learning becomes valuable when employees are encouraged to question existing processes and test practical improvements.</w:t>
      </w:r>
    </w:p>
    <w:p w14:paraId="356574D2" w14:textId="77777777" w:rsidR="007D3BCD" w:rsidRPr="00287EF1" w:rsidRDefault="007D3BCD" w:rsidP="007D3BCD">
      <w:pPr>
        <w:rPr>
          <w:rFonts w:ascii="Calibri" w:hAnsi="Calibri"/>
          <w:sz w:val="22"/>
          <w:lang w:val="en-US"/>
        </w:rPr>
      </w:pPr>
      <w:r w:rsidRPr="00287EF1">
        <w:rPr>
          <w:rFonts w:ascii="Calibri" w:hAnsi="Calibri"/>
          <w:sz w:val="22"/>
          <w:lang w:val="en-US"/>
        </w:rPr>
        <w:t>I also recognise a limitation in my own perspective: as an Operations Scheduling Manager managing engineers remotely, I can observe communication, reliability and operational coordination, but I cannot independently judge all technical competencies or trainer qualifications. For this reason, Harrison’s PDR should combine my operational observations with the expertise of engineering supervisors and School of Rock assessors. This avoids confusing familiarity with objective competence. I would personally favour constructive monthly conversations over relying exclusively on a final rating, while retaining formal evidence to protect fairness.</w:t>
      </w:r>
    </w:p>
    <w:p w14:paraId="103F7C0D" w14:textId="77777777" w:rsidR="007D3BCD" w:rsidRPr="00287EF1" w:rsidRDefault="007D3BCD" w:rsidP="007D3BCD">
      <w:pPr>
        <w:rPr>
          <w:rFonts w:ascii="Calibri" w:hAnsi="Calibri"/>
          <w:sz w:val="22"/>
          <w:lang w:val="en-US"/>
        </w:rPr>
      </w:pPr>
      <w:r w:rsidRPr="00287EF1">
        <w:rPr>
          <w:rFonts w:ascii="Calibri" w:hAnsi="Calibri"/>
          <w:sz w:val="22"/>
          <w:lang w:val="en-US"/>
        </w:rPr>
        <w:t>Three recommendations follow. First, Rock should maintain consistent development pathways for engineers who wish to move into supervision or training, with published competency criteria and realistic access to mentors. Second, the PDR should explicitly link technical evidence, values-based behaviour and career aspirations, so employees understand how their learning supports the business enablers. Third, development should be evaluated through observed workplace behaviour and relevant service outcomes rather than course attendance alone. These recommendations could improve both the employee experience and the reliability of succession decisions.</w:t>
      </w:r>
    </w:p>
    <w:p w14:paraId="00B8A95F" w14:textId="77777777" w:rsidR="007D3BCD" w:rsidRPr="00287EF1" w:rsidRDefault="007D3BCD" w:rsidP="007D3BCD">
      <w:pPr>
        <w:rPr>
          <w:rFonts w:ascii="Calibri" w:hAnsi="Calibri"/>
          <w:sz w:val="22"/>
          <w:lang w:val="en-US"/>
        </w:rPr>
      </w:pPr>
    </w:p>
    <w:p w14:paraId="7184B094" w14:textId="77777777" w:rsidR="007D3BCD" w:rsidRPr="00287EF1" w:rsidRDefault="007D3BCD" w:rsidP="007D3BCD">
      <w:pPr>
        <w:rPr>
          <w:rFonts w:ascii="Calibri" w:hAnsi="Calibri"/>
          <w:sz w:val="22"/>
          <w:lang w:val="en-US"/>
        </w:rPr>
      </w:pPr>
    </w:p>
    <w:p w14:paraId="15C5B06E" w14:textId="77777777" w:rsidR="007D3BCD" w:rsidRPr="00287EF1" w:rsidRDefault="007D3BCD" w:rsidP="007D3BCD">
      <w:pPr>
        <w:rPr>
          <w:rFonts w:ascii="Calibri" w:hAnsi="Calibri"/>
          <w:sz w:val="22"/>
          <w:lang w:val="en-US"/>
        </w:rPr>
      </w:pPr>
    </w:p>
    <w:p w14:paraId="2457832E" w14:textId="77777777" w:rsidR="007D3BCD" w:rsidRPr="00287EF1" w:rsidRDefault="007D3BCD" w:rsidP="007D3BCD">
      <w:pPr>
        <w:rPr>
          <w:rFonts w:ascii="Calibri" w:hAnsi="Calibri"/>
          <w:sz w:val="22"/>
          <w:lang w:val="en-US"/>
        </w:rPr>
      </w:pPr>
    </w:p>
    <w:p w14:paraId="3FE93FAA" w14:textId="77777777" w:rsidR="007D3BCD" w:rsidRPr="00287EF1" w:rsidRDefault="007D3BCD" w:rsidP="007D3BCD">
      <w:pPr>
        <w:rPr>
          <w:rFonts w:ascii="Calibri" w:hAnsi="Calibri"/>
          <w:sz w:val="22"/>
          <w:lang w:val="en-US"/>
        </w:rPr>
      </w:pPr>
    </w:p>
    <w:p w14:paraId="09AB8CE8" w14:textId="77777777" w:rsidR="007D3BCD" w:rsidRPr="00287EF1" w:rsidRDefault="007D3BCD" w:rsidP="007D3BCD">
      <w:pPr>
        <w:rPr>
          <w:rFonts w:ascii="Calibri" w:hAnsi="Calibri"/>
          <w:sz w:val="22"/>
          <w:lang w:val="en-US"/>
        </w:rPr>
      </w:pPr>
    </w:p>
    <w:p w14:paraId="390DCBED" w14:textId="77777777" w:rsidR="007D3BCD" w:rsidRPr="00287EF1" w:rsidRDefault="007D3BCD" w:rsidP="007D3BCD">
      <w:pPr>
        <w:rPr>
          <w:rFonts w:ascii="Calibri" w:hAnsi="Calibri"/>
          <w:sz w:val="22"/>
          <w:lang w:val="en-US"/>
        </w:rPr>
      </w:pPr>
    </w:p>
    <w:p w14:paraId="17278D2D" w14:textId="77777777" w:rsidR="007D3BCD" w:rsidRPr="00287EF1" w:rsidRDefault="007D3BCD" w:rsidP="007D3BCD">
      <w:pPr>
        <w:rPr>
          <w:rFonts w:ascii="Calibri" w:hAnsi="Calibri"/>
          <w:sz w:val="22"/>
          <w:lang w:val="en-US"/>
        </w:rPr>
      </w:pPr>
    </w:p>
    <w:p w14:paraId="6937662A" w14:textId="77777777" w:rsidR="007D3BCD" w:rsidRPr="00287EF1" w:rsidRDefault="007D3BCD" w:rsidP="007D3BCD">
      <w:pPr>
        <w:rPr>
          <w:rFonts w:ascii="Calibri" w:hAnsi="Calibri"/>
          <w:sz w:val="22"/>
          <w:lang w:val="en-US"/>
        </w:rPr>
      </w:pPr>
    </w:p>
    <w:p w14:paraId="774F2ADD" w14:textId="38760E4C" w:rsidR="005324A2" w:rsidRPr="00287EF1" w:rsidRDefault="00FA4539" w:rsidP="00FA4539">
      <w:pPr>
        <w:pStyle w:val="Heading1"/>
        <w:rPr>
          <w:rFonts w:ascii="Calibri" w:hAnsi="Calibri"/>
          <w:b/>
          <w:bCs/>
          <w:color w:val="auto"/>
          <w:sz w:val="22"/>
          <w:szCs w:val="22"/>
          <w:lang w:val="en-US"/>
        </w:rPr>
      </w:pPr>
      <w:bookmarkStart w:id="21" w:name="_Toc242456071"/>
      <w:r w:rsidRPr="00287EF1">
        <w:rPr>
          <w:rFonts w:ascii="Calibri" w:hAnsi="Calibri"/>
          <w:b/>
          <w:bCs/>
          <w:color w:val="auto"/>
          <w:sz w:val="22"/>
          <w:szCs w:val="22"/>
          <w:lang w:val="en-US"/>
        </w:rPr>
        <w:lastRenderedPageBreak/>
        <w:t xml:space="preserve">5. </w:t>
      </w:r>
      <w:r w:rsidR="005324A2" w:rsidRPr="00287EF1">
        <w:rPr>
          <w:rFonts w:ascii="Calibri" w:hAnsi="Calibri"/>
          <w:b/>
          <w:bCs/>
          <w:color w:val="auto"/>
          <w:sz w:val="22"/>
          <w:szCs w:val="22"/>
          <w:lang w:val="en-US"/>
        </w:rPr>
        <w:t>Conclusion</w:t>
      </w:r>
      <w:bookmarkEnd w:id="21"/>
    </w:p>
    <w:p w14:paraId="332C5254" w14:textId="77777777" w:rsidR="005324A2" w:rsidRPr="00287EF1" w:rsidRDefault="005324A2" w:rsidP="005324A2">
      <w:pPr>
        <w:rPr>
          <w:rFonts w:ascii="Calibri" w:hAnsi="Calibri"/>
          <w:sz w:val="22"/>
          <w:lang w:val="en-US"/>
        </w:rPr>
      </w:pPr>
      <w:r w:rsidRPr="00287EF1">
        <w:rPr>
          <w:rFonts w:ascii="Calibri" w:hAnsi="Calibri"/>
          <w:sz w:val="22"/>
          <w:lang w:val="en-US"/>
        </w:rPr>
        <w:t>Developing individuals can improve Rock Compliance’s technical capability, succession planning, employee engagement and client service, but the benefits are conditional on effective training transfer, fair assessment and operational support. Harrison Burchill’s proposed progression from Level 2 Engineer to potential Engineer Supervisor and School of Rock Trainer illustrates why a development plan must combine technical assurance with coaching, communication, judgement and reflective practice. The Harvard model most closely matches my understanding of collaborative employee development, while the Michigan model contributes useful discipline through strategic alignment and measurable standards. A blended approach, embedded within Rock’s actual PDR, values and monthly review cycle, provides a credible pathway without making unrealistic promises about promotion. The proposed 12-month programme offers an evidence-based basis for a future readiness decision, subject to confirmation of Harrison’s actual baseline, role criteria and organisational opportunities.</w:t>
      </w:r>
    </w:p>
    <w:p w14:paraId="59416A44" w14:textId="77777777" w:rsidR="007D3BCD" w:rsidRPr="00287EF1" w:rsidRDefault="007D3BCD" w:rsidP="007D3BCD">
      <w:pPr>
        <w:rPr>
          <w:rFonts w:ascii="Calibri" w:hAnsi="Calibri"/>
          <w:sz w:val="22"/>
          <w:lang w:val="en-US"/>
        </w:rPr>
      </w:pPr>
    </w:p>
    <w:p w14:paraId="68C5A618" w14:textId="77777777" w:rsidR="005324A2" w:rsidRPr="00287EF1" w:rsidRDefault="005324A2" w:rsidP="007D3BCD">
      <w:pPr>
        <w:rPr>
          <w:rFonts w:ascii="Calibri" w:hAnsi="Calibri"/>
          <w:sz w:val="22"/>
          <w:lang w:val="en-US"/>
        </w:rPr>
      </w:pPr>
    </w:p>
    <w:p w14:paraId="6C06C5A0" w14:textId="77777777" w:rsidR="005324A2" w:rsidRPr="00287EF1" w:rsidRDefault="005324A2" w:rsidP="007D3BCD">
      <w:pPr>
        <w:rPr>
          <w:rFonts w:ascii="Calibri" w:hAnsi="Calibri"/>
          <w:sz w:val="22"/>
          <w:lang w:val="en-US"/>
        </w:rPr>
      </w:pPr>
    </w:p>
    <w:p w14:paraId="3CEDBAB0" w14:textId="77777777" w:rsidR="005324A2" w:rsidRPr="00287EF1" w:rsidRDefault="005324A2" w:rsidP="007D3BCD">
      <w:pPr>
        <w:rPr>
          <w:rFonts w:ascii="Calibri" w:hAnsi="Calibri"/>
          <w:sz w:val="22"/>
          <w:lang w:val="en-US"/>
        </w:rPr>
      </w:pPr>
    </w:p>
    <w:p w14:paraId="6ABC78BF" w14:textId="77777777" w:rsidR="005324A2" w:rsidRPr="00287EF1" w:rsidRDefault="005324A2" w:rsidP="007D3BCD">
      <w:pPr>
        <w:rPr>
          <w:rFonts w:ascii="Calibri" w:hAnsi="Calibri"/>
          <w:sz w:val="22"/>
          <w:lang w:val="en-US"/>
        </w:rPr>
      </w:pPr>
    </w:p>
    <w:p w14:paraId="1E916E82" w14:textId="77777777" w:rsidR="005324A2" w:rsidRPr="00287EF1" w:rsidRDefault="005324A2" w:rsidP="007D3BCD">
      <w:pPr>
        <w:rPr>
          <w:rFonts w:ascii="Calibri" w:hAnsi="Calibri"/>
          <w:sz w:val="22"/>
          <w:lang w:val="en-US"/>
        </w:rPr>
      </w:pPr>
    </w:p>
    <w:p w14:paraId="2F4265D8" w14:textId="77777777" w:rsidR="005324A2" w:rsidRPr="00287EF1" w:rsidRDefault="005324A2" w:rsidP="007D3BCD">
      <w:pPr>
        <w:rPr>
          <w:rFonts w:ascii="Calibri" w:hAnsi="Calibri"/>
          <w:sz w:val="22"/>
          <w:lang w:val="en-US"/>
        </w:rPr>
      </w:pPr>
    </w:p>
    <w:p w14:paraId="2BC4AAA8" w14:textId="77777777" w:rsidR="005324A2" w:rsidRPr="00287EF1" w:rsidRDefault="005324A2" w:rsidP="007D3BCD">
      <w:pPr>
        <w:rPr>
          <w:rFonts w:ascii="Calibri" w:hAnsi="Calibri"/>
          <w:sz w:val="22"/>
          <w:lang w:val="en-US"/>
        </w:rPr>
      </w:pPr>
    </w:p>
    <w:p w14:paraId="00441668" w14:textId="77777777" w:rsidR="005324A2" w:rsidRPr="00287EF1" w:rsidRDefault="005324A2" w:rsidP="007D3BCD">
      <w:pPr>
        <w:rPr>
          <w:rFonts w:ascii="Calibri" w:hAnsi="Calibri"/>
          <w:sz w:val="22"/>
          <w:lang w:val="en-US"/>
        </w:rPr>
      </w:pPr>
    </w:p>
    <w:p w14:paraId="0934742F" w14:textId="77777777" w:rsidR="005324A2" w:rsidRPr="00287EF1" w:rsidRDefault="005324A2" w:rsidP="007D3BCD">
      <w:pPr>
        <w:rPr>
          <w:rFonts w:ascii="Calibri" w:hAnsi="Calibri"/>
          <w:sz w:val="22"/>
          <w:lang w:val="en-US"/>
        </w:rPr>
      </w:pPr>
    </w:p>
    <w:p w14:paraId="5CF0C871" w14:textId="77777777" w:rsidR="005324A2" w:rsidRPr="00287EF1" w:rsidRDefault="005324A2" w:rsidP="007D3BCD">
      <w:pPr>
        <w:rPr>
          <w:rFonts w:ascii="Calibri" w:hAnsi="Calibri"/>
          <w:sz w:val="22"/>
          <w:lang w:val="en-US"/>
        </w:rPr>
      </w:pPr>
    </w:p>
    <w:p w14:paraId="54A5152A" w14:textId="77777777" w:rsidR="005324A2" w:rsidRPr="00287EF1" w:rsidRDefault="005324A2" w:rsidP="007D3BCD">
      <w:pPr>
        <w:rPr>
          <w:rFonts w:ascii="Calibri" w:hAnsi="Calibri"/>
          <w:sz w:val="22"/>
          <w:lang w:val="en-US"/>
        </w:rPr>
      </w:pPr>
    </w:p>
    <w:p w14:paraId="4AB29278" w14:textId="77777777" w:rsidR="005324A2" w:rsidRPr="00287EF1" w:rsidRDefault="005324A2" w:rsidP="007D3BCD">
      <w:pPr>
        <w:rPr>
          <w:rFonts w:ascii="Calibri" w:hAnsi="Calibri"/>
          <w:sz w:val="22"/>
          <w:lang w:val="en-US"/>
        </w:rPr>
      </w:pPr>
    </w:p>
    <w:p w14:paraId="71AE6559" w14:textId="77777777" w:rsidR="005324A2" w:rsidRPr="00287EF1" w:rsidRDefault="005324A2" w:rsidP="007D3BCD">
      <w:pPr>
        <w:rPr>
          <w:rFonts w:ascii="Calibri" w:hAnsi="Calibri"/>
          <w:sz w:val="22"/>
          <w:lang w:val="en-US"/>
        </w:rPr>
      </w:pPr>
    </w:p>
    <w:p w14:paraId="39738A69" w14:textId="77777777" w:rsidR="005324A2" w:rsidRPr="00287EF1" w:rsidRDefault="005324A2" w:rsidP="007D3BCD">
      <w:pPr>
        <w:rPr>
          <w:rFonts w:ascii="Calibri" w:hAnsi="Calibri"/>
          <w:sz w:val="22"/>
          <w:lang w:val="en-US"/>
        </w:rPr>
      </w:pPr>
    </w:p>
    <w:p w14:paraId="125D23F0" w14:textId="77777777" w:rsidR="005324A2" w:rsidRPr="00287EF1" w:rsidRDefault="005324A2" w:rsidP="007D3BCD">
      <w:pPr>
        <w:rPr>
          <w:rFonts w:ascii="Calibri" w:hAnsi="Calibri"/>
          <w:sz w:val="22"/>
          <w:lang w:val="en-US"/>
        </w:rPr>
      </w:pPr>
    </w:p>
    <w:p w14:paraId="7EC876C8" w14:textId="77777777" w:rsidR="005324A2" w:rsidRPr="00287EF1" w:rsidRDefault="005324A2" w:rsidP="007D3BCD">
      <w:pPr>
        <w:rPr>
          <w:rFonts w:ascii="Calibri" w:hAnsi="Calibri"/>
          <w:sz w:val="22"/>
          <w:lang w:val="en-US"/>
        </w:rPr>
      </w:pPr>
    </w:p>
    <w:p w14:paraId="6E9B2D90" w14:textId="77777777" w:rsidR="005324A2" w:rsidRPr="00287EF1" w:rsidRDefault="005324A2" w:rsidP="007D3BCD">
      <w:pPr>
        <w:rPr>
          <w:rFonts w:ascii="Calibri" w:hAnsi="Calibri"/>
          <w:sz w:val="22"/>
          <w:lang w:val="en-US"/>
        </w:rPr>
      </w:pPr>
    </w:p>
    <w:p w14:paraId="0F0BE881" w14:textId="77777777" w:rsidR="005324A2" w:rsidRPr="00287EF1" w:rsidRDefault="005324A2" w:rsidP="007D3BCD">
      <w:pPr>
        <w:rPr>
          <w:rFonts w:ascii="Calibri" w:hAnsi="Calibri"/>
          <w:sz w:val="22"/>
          <w:lang w:val="en-US"/>
        </w:rPr>
      </w:pPr>
    </w:p>
    <w:p w14:paraId="68BC14B7" w14:textId="77777777" w:rsidR="005324A2" w:rsidRPr="00287EF1" w:rsidRDefault="005324A2" w:rsidP="007D3BCD">
      <w:pPr>
        <w:rPr>
          <w:rFonts w:ascii="Calibri" w:hAnsi="Calibri"/>
          <w:sz w:val="22"/>
          <w:lang w:val="en-US"/>
        </w:rPr>
      </w:pPr>
    </w:p>
    <w:p w14:paraId="7A53E67F" w14:textId="77777777" w:rsidR="005324A2" w:rsidRPr="00287EF1" w:rsidRDefault="005324A2" w:rsidP="007D3BCD">
      <w:pPr>
        <w:rPr>
          <w:rFonts w:ascii="Calibri" w:hAnsi="Calibri"/>
          <w:sz w:val="22"/>
          <w:lang w:val="en-US"/>
        </w:rPr>
      </w:pPr>
    </w:p>
    <w:p w14:paraId="0D173275" w14:textId="77777777" w:rsidR="00FA4539" w:rsidRPr="00287EF1" w:rsidRDefault="00FA4539" w:rsidP="00FA4539">
      <w:pPr>
        <w:pStyle w:val="Heading1"/>
        <w:rPr>
          <w:rFonts w:ascii="Calibri" w:hAnsi="Calibri"/>
          <w:b/>
          <w:bCs/>
          <w:color w:val="auto"/>
          <w:sz w:val="22"/>
          <w:szCs w:val="22"/>
          <w:lang w:val="en-US"/>
        </w:rPr>
      </w:pPr>
      <w:bookmarkStart w:id="22" w:name="_Toc242456072"/>
      <w:r w:rsidRPr="00287EF1">
        <w:rPr>
          <w:rFonts w:ascii="Calibri" w:hAnsi="Calibri"/>
          <w:b/>
          <w:bCs/>
          <w:color w:val="auto"/>
          <w:sz w:val="22"/>
          <w:szCs w:val="22"/>
          <w:lang w:val="en-US"/>
        </w:rPr>
        <w:lastRenderedPageBreak/>
        <w:t>References</w:t>
      </w:r>
      <w:bookmarkEnd w:id="22"/>
    </w:p>
    <w:p w14:paraId="4DF77D0F" w14:textId="77777777" w:rsidR="00FA4539" w:rsidRPr="00287EF1" w:rsidRDefault="00FA4539" w:rsidP="00FA4539">
      <w:pPr>
        <w:rPr>
          <w:rFonts w:ascii="Calibri" w:hAnsi="Calibri"/>
          <w:sz w:val="22"/>
          <w:lang w:val="en-US"/>
        </w:rPr>
      </w:pPr>
      <w:r w:rsidRPr="00287EF1">
        <w:rPr>
          <w:rFonts w:ascii="Calibri" w:hAnsi="Calibri"/>
          <w:sz w:val="22"/>
          <w:lang w:val="en-US"/>
        </w:rPr>
        <w:t>Aguinis, H. (2019). Performance management (4th ed.). Chicago Business Press.</w:t>
      </w:r>
    </w:p>
    <w:p w14:paraId="2A857806" w14:textId="77777777" w:rsidR="00FA4539" w:rsidRPr="00287EF1" w:rsidRDefault="00FA4539" w:rsidP="00FA4539">
      <w:pPr>
        <w:rPr>
          <w:rFonts w:ascii="Calibri" w:hAnsi="Calibri"/>
          <w:sz w:val="22"/>
          <w:lang w:val="en-US"/>
        </w:rPr>
      </w:pPr>
      <w:r w:rsidRPr="00287EF1">
        <w:rPr>
          <w:rFonts w:ascii="Calibri" w:hAnsi="Calibri"/>
          <w:sz w:val="22"/>
          <w:lang w:val="en-US"/>
        </w:rPr>
        <w:t>Argyris, C., &amp; Schön, D. A. (1978). Organizational learning: A theory of action perspective. Addison-Wesley.</w:t>
      </w:r>
    </w:p>
    <w:p w14:paraId="5D5A5445" w14:textId="77777777" w:rsidR="00FA4539" w:rsidRPr="00287EF1" w:rsidRDefault="00FA4539" w:rsidP="00FA4539">
      <w:pPr>
        <w:rPr>
          <w:rFonts w:ascii="Calibri" w:hAnsi="Calibri"/>
          <w:sz w:val="22"/>
          <w:lang w:val="en-US"/>
        </w:rPr>
      </w:pPr>
      <w:r w:rsidRPr="00287EF1">
        <w:rPr>
          <w:rFonts w:ascii="Calibri" w:hAnsi="Calibri"/>
          <w:sz w:val="22"/>
          <w:lang w:val="en-US"/>
        </w:rPr>
        <w:t>Baldwin, T. T., &amp; Ford, J. K. (1988). Transfer of training: A review and directions for future research. Personnel Psychology, 41(1), 63–105. https://doi.org/10.1111/j.1744-6570.1988.tb00632.x</w:t>
      </w:r>
    </w:p>
    <w:p w14:paraId="6D5FCFF4" w14:textId="77777777" w:rsidR="00FA4539" w:rsidRPr="00287EF1" w:rsidRDefault="00FA4539" w:rsidP="00FA4539">
      <w:pPr>
        <w:rPr>
          <w:rFonts w:ascii="Calibri" w:hAnsi="Calibri"/>
          <w:sz w:val="22"/>
          <w:lang w:val="en-US"/>
        </w:rPr>
      </w:pPr>
      <w:r w:rsidRPr="00287EF1">
        <w:rPr>
          <w:rFonts w:ascii="Calibri" w:hAnsi="Calibri"/>
          <w:sz w:val="22"/>
          <w:lang w:val="en-US"/>
        </w:rPr>
        <w:t>Bandura, A. (1977). Social learning theory. Prentice Hall.</w:t>
      </w:r>
    </w:p>
    <w:p w14:paraId="0FB9AB45" w14:textId="77777777" w:rsidR="00FA4539" w:rsidRPr="00287EF1" w:rsidRDefault="00FA4539" w:rsidP="00FA4539">
      <w:pPr>
        <w:rPr>
          <w:rFonts w:ascii="Calibri" w:hAnsi="Calibri"/>
          <w:sz w:val="22"/>
          <w:lang w:val="en-US"/>
        </w:rPr>
      </w:pPr>
      <w:r w:rsidRPr="00287EF1">
        <w:rPr>
          <w:rFonts w:ascii="Calibri" w:hAnsi="Calibri"/>
          <w:sz w:val="22"/>
          <w:lang w:val="en-US"/>
        </w:rPr>
        <w:t>Becker, G. S. (1964). Human capital: A theoretical and empirical analysis, with special reference to education. University of Chicago Press.</w:t>
      </w:r>
    </w:p>
    <w:p w14:paraId="60EC31A2" w14:textId="77777777" w:rsidR="00FA4539" w:rsidRPr="00287EF1" w:rsidRDefault="00FA4539" w:rsidP="00FA4539">
      <w:pPr>
        <w:rPr>
          <w:rFonts w:ascii="Calibri" w:hAnsi="Calibri"/>
          <w:sz w:val="22"/>
          <w:lang w:val="en-US"/>
        </w:rPr>
      </w:pPr>
      <w:r w:rsidRPr="00287EF1">
        <w:rPr>
          <w:rFonts w:ascii="Calibri" w:hAnsi="Calibri"/>
          <w:sz w:val="22"/>
          <w:lang w:val="en-US"/>
        </w:rPr>
        <w:t>Beer, M., Spector, B., Lawrence, P. R., Mills, D. Q., &amp; Walton, R. E. (1984). Managing human assets. Free Press.</w:t>
      </w:r>
    </w:p>
    <w:p w14:paraId="6038FD33" w14:textId="77777777" w:rsidR="00FA4539" w:rsidRPr="00287EF1" w:rsidRDefault="00FA4539" w:rsidP="00FA4539">
      <w:pPr>
        <w:rPr>
          <w:rFonts w:ascii="Calibri" w:hAnsi="Calibri"/>
          <w:sz w:val="22"/>
          <w:lang w:val="en-US"/>
        </w:rPr>
      </w:pPr>
      <w:r w:rsidRPr="00287EF1">
        <w:rPr>
          <w:rFonts w:ascii="Calibri" w:hAnsi="Calibri"/>
          <w:sz w:val="22"/>
          <w:lang w:val="en-US"/>
        </w:rPr>
        <w:t>Colquitt, J. A., Conlon, D. E., Wesson, M. J., Porter, C. O. L. H., &amp; Ng, K. Y. (2001). Justice at the millennium: A meta-analytic review of 25 years of organizational justice research. Journal of Applied Psychology, 86(3), 425–445. https://doi.org/10.1037/0021-9010.86.3.425</w:t>
      </w:r>
    </w:p>
    <w:p w14:paraId="05567635" w14:textId="77777777" w:rsidR="00FA4539" w:rsidRPr="00287EF1" w:rsidRDefault="00FA4539" w:rsidP="00FA4539">
      <w:pPr>
        <w:rPr>
          <w:rFonts w:ascii="Calibri" w:hAnsi="Calibri"/>
          <w:sz w:val="22"/>
          <w:lang w:val="en-US"/>
        </w:rPr>
      </w:pPr>
      <w:r w:rsidRPr="00287EF1">
        <w:rPr>
          <w:rFonts w:ascii="Calibri" w:hAnsi="Calibri"/>
          <w:sz w:val="22"/>
          <w:lang w:val="en-US"/>
        </w:rPr>
        <w:t>Cropanzano, R., &amp; Mitchell, M. S. (2005). Social exchange theory: An interdisciplinary review. Journal of Management, 31(6), 874–900. https://doi.org/10.1177/0149206305279602</w:t>
      </w:r>
    </w:p>
    <w:p w14:paraId="61017936" w14:textId="77777777" w:rsidR="00FA4539" w:rsidRPr="00287EF1" w:rsidRDefault="00FA4539" w:rsidP="00FA4539">
      <w:pPr>
        <w:rPr>
          <w:rFonts w:ascii="Calibri" w:hAnsi="Calibri"/>
          <w:sz w:val="22"/>
          <w:lang w:val="en-US"/>
        </w:rPr>
      </w:pPr>
      <w:r w:rsidRPr="00287EF1">
        <w:rPr>
          <w:rFonts w:ascii="Calibri" w:hAnsi="Calibri"/>
          <w:sz w:val="22"/>
          <w:lang w:val="en-US"/>
        </w:rPr>
        <w:t>Deci, E. L., &amp; Ryan, R. M. (2000). The “what” and “why” of goal pursuits: Human needs and the self-determination of behavior. Psychological Inquiry, 11(4), 227–268. https://doi.org/10.1207/S15327965PLI1104_01</w:t>
      </w:r>
    </w:p>
    <w:p w14:paraId="10940208" w14:textId="77777777" w:rsidR="00FA4539" w:rsidRPr="00287EF1" w:rsidRDefault="00FA4539" w:rsidP="00FA4539">
      <w:pPr>
        <w:rPr>
          <w:rFonts w:ascii="Calibri" w:hAnsi="Calibri"/>
          <w:sz w:val="22"/>
          <w:lang w:val="en-US"/>
        </w:rPr>
      </w:pPr>
      <w:r w:rsidRPr="00287EF1">
        <w:rPr>
          <w:rFonts w:ascii="Calibri" w:hAnsi="Calibri"/>
          <w:sz w:val="22"/>
          <w:lang w:val="en-US"/>
        </w:rPr>
        <w:t>De Vos, A., De Hauw, S., &amp; Van der Heijden, B. I. J. M. (2011). Competency development and career success: The mediating role of employability. Journal of Vocational Behavior, 79(2), 438–447. https://doi.org/10.1016/j.jvb.2011.05.010</w:t>
      </w:r>
    </w:p>
    <w:p w14:paraId="191EB896" w14:textId="77777777" w:rsidR="00FA4539" w:rsidRPr="00287EF1" w:rsidRDefault="00FA4539" w:rsidP="00FA4539">
      <w:pPr>
        <w:rPr>
          <w:rFonts w:ascii="Calibri" w:hAnsi="Calibri"/>
          <w:sz w:val="22"/>
          <w:lang w:val="en-US"/>
        </w:rPr>
      </w:pPr>
      <w:r w:rsidRPr="00287EF1">
        <w:rPr>
          <w:rFonts w:ascii="Calibri" w:hAnsi="Calibri"/>
          <w:sz w:val="22"/>
          <w:lang w:val="en-US"/>
        </w:rPr>
        <w:t>Edmondson, A. (1999). Psychological safety and learning behavior in work teams. Administrative Science Quarterly, 44(2), 350–383. https://doi.org/10.2307/2666999</w:t>
      </w:r>
    </w:p>
    <w:p w14:paraId="4A9C1780" w14:textId="77777777" w:rsidR="00FA4539" w:rsidRPr="00287EF1" w:rsidRDefault="00FA4539" w:rsidP="00FA4539">
      <w:pPr>
        <w:rPr>
          <w:rFonts w:ascii="Calibri" w:hAnsi="Calibri"/>
          <w:sz w:val="22"/>
          <w:lang w:val="en-US"/>
        </w:rPr>
      </w:pPr>
      <w:r w:rsidRPr="00287EF1">
        <w:rPr>
          <w:rFonts w:ascii="Calibri" w:hAnsi="Calibri"/>
          <w:sz w:val="22"/>
          <w:lang w:val="en-US"/>
        </w:rPr>
        <w:t>Fombrun, C. J., Tichy, N. M., &amp; Devanna, M. A. (Eds.). (1984). Strategic human resource management. Wiley.</w:t>
      </w:r>
    </w:p>
    <w:p w14:paraId="613E6E80" w14:textId="77777777" w:rsidR="00FA4539" w:rsidRPr="00287EF1" w:rsidRDefault="00FA4539" w:rsidP="00FA4539">
      <w:pPr>
        <w:rPr>
          <w:rFonts w:ascii="Calibri" w:hAnsi="Calibri"/>
          <w:sz w:val="22"/>
          <w:lang w:val="en-US"/>
        </w:rPr>
      </w:pPr>
      <w:r w:rsidRPr="00287EF1">
        <w:rPr>
          <w:rFonts w:ascii="Calibri" w:hAnsi="Calibri"/>
          <w:sz w:val="22"/>
          <w:lang w:val="en-US"/>
        </w:rPr>
        <w:t>Garvin, D. A. (1993). Building a learning organization. Harvard Business Review, 71(4), 78–91.</w:t>
      </w:r>
    </w:p>
    <w:p w14:paraId="33221F02" w14:textId="77777777" w:rsidR="00FA4539" w:rsidRPr="00287EF1" w:rsidRDefault="00FA4539" w:rsidP="00FA4539">
      <w:pPr>
        <w:rPr>
          <w:rFonts w:ascii="Calibri" w:hAnsi="Calibri"/>
          <w:sz w:val="22"/>
          <w:lang w:val="en-US"/>
        </w:rPr>
      </w:pPr>
      <w:r w:rsidRPr="00287EF1">
        <w:rPr>
          <w:rFonts w:ascii="Calibri" w:hAnsi="Calibri"/>
          <w:sz w:val="22"/>
          <w:lang w:val="en-US"/>
        </w:rPr>
        <w:t>Gibbs, G. (1988). Learning by doing: A guide to teaching and learning methods. Further Education Unit.</w:t>
      </w:r>
    </w:p>
    <w:p w14:paraId="3F0C68E4" w14:textId="77777777" w:rsidR="00FA4539" w:rsidRPr="00287EF1" w:rsidRDefault="00FA4539" w:rsidP="00FA4539">
      <w:pPr>
        <w:rPr>
          <w:rFonts w:ascii="Calibri" w:hAnsi="Calibri"/>
          <w:sz w:val="22"/>
          <w:lang w:val="en-US"/>
        </w:rPr>
      </w:pPr>
      <w:r w:rsidRPr="00287EF1">
        <w:rPr>
          <w:rFonts w:ascii="Calibri" w:hAnsi="Calibri"/>
          <w:sz w:val="22"/>
          <w:lang w:val="en-US"/>
        </w:rPr>
        <w:t>Kirkpatrick, D. L., &amp; Kirkpatrick, J. D. (2006). Evaluating training programs: The four levels (3rd ed.). Berrett-Koehler.</w:t>
      </w:r>
    </w:p>
    <w:p w14:paraId="5A20D283" w14:textId="77777777" w:rsidR="00FA4539" w:rsidRPr="00287EF1" w:rsidRDefault="00FA4539" w:rsidP="00FA4539">
      <w:pPr>
        <w:rPr>
          <w:rFonts w:ascii="Calibri" w:hAnsi="Calibri"/>
          <w:sz w:val="22"/>
          <w:lang w:val="en-US"/>
        </w:rPr>
      </w:pPr>
      <w:r w:rsidRPr="00287EF1">
        <w:rPr>
          <w:rFonts w:ascii="Calibri" w:hAnsi="Calibri"/>
          <w:sz w:val="22"/>
          <w:lang w:val="en-US"/>
        </w:rPr>
        <w:t>Kluger, A. N., &amp; DeNisi, A. (1996). The effects of feedback interventions on performance: A historical review, a meta-analysis, and a preliminary feedback intervention theory. Psychological Bulletin, 119(2), 254–284. https://doi.org/10.1037/0033-2909.119.2.254</w:t>
      </w:r>
    </w:p>
    <w:p w14:paraId="3838C3B5" w14:textId="77777777" w:rsidR="00FA4539" w:rsidRPr="00287EF1" w:rsidRDefault="00FA4539" w:rsidP="00FA4539">
      <w:pPr>
        <w:rPr>
          <w:rFonts w:ascii="Calibri" w:hAnsi="Calibri"/>
          <w:sz w:val="22"/>
          <w:lang w:val="en-US"/>
        </w:rPr>
      </w:pPr>
      <w:r w:rsidRPr="00287EF1">
        <w:rPr>
          <w:rFonts w:ascii="Calibri" w:hAnsi="Calibri"/>
          <w:sz w:val="22"/>
          <w:lang w:val="en-US"/>
        </w:rPr>
        <w:t>Kolb, D. A. (1984). Experiential learning: Experience as the source of learning and development. Prentice Hall.</w:t>
      </w:r>
    </w:p>
    <w:p w14:paraId="74B8C19B" w14:textId="77777777" w:rsidR="00FA4539" w:rsidRPr="00287EF1" w:rsidRDefault="00FA4539" w:rsidP="00FA4539">
      <w:pPr>
        <w:rPr>
          <w:rFonts w:ascii="Calibri" w:hAnsi="Calibri"/>
          <w:sz w:val="22"/>
          <w:lang w:val="en-US"/>
        </w:rPr>
      </w:pPr>
      <w:r w:rsidRPr="00287EF1">
        <w:rPr>
          <w:rFonts w:ascii="Calibri" w:hAnsi="Calibri"/>
          <w:sz w:val="22"/>
          <w:lang w:val="en-US"/>
        </w:rPr>
        <w:lastRenderedPageBreak/>
        <w:t>Locke, E. A., &amp; Latham, G. P. (2002). Building a practically useful theory of goal setting and task motivation: A 35-year odyssey. American Psychologist, 57(9), 705–717. https://doi.org/10.1037/0003-066X.57.9.705</w:t>
      </w:r>
    </w:p>
    <w:p w14:paraId="6EE842C1" w14:textId="77777777" w:rsidR="00FA4539" w:rsidRPr="00287EF1" w:rsidRDefault="00FA4539" w:rsidP="00FA4539">
      <w:pPr>
        <w:rPr>
          <w:rFonts w:ascii="Calibri" w:hAnsi="Calibri"/>
          <w:sz w:val="22"/>
          <w:lang w:val="en-US"/>
        </w:rPr>
      </w:pPr>
      <w:r w:rsidRPr="00287EF1">
        <w:rPr>
          <w:rFonts w:ascii="Calibri" w:hAnsi="Calibri"/>
          <w:sz w:val="22"/>
          <w:lang w:val="en-US"/>
        </w:rPr>
        <w:t>Pashler, H., McDaniel, M., Rohrer, D., &amp; Bjork, R. (2008). Learning styles: Concepts and evidence. Psychological Science in the Public Interest, 9(3), 105–119. https://doi.org/10.1111/j.1539-6053.2009.01038.x</w:t>
      </w:r>
    </w:p>
    <w:p w14:paraId="5F55D23C" w14:textId="77777777" w:rsidR="00FA4539" w:rsidRPr="00287EF1" w:rsidRDefault="00FA4539" w:rsidP="00FA4539">
      <w:pPr>
        <w:rPr>
          <w:rFonts w:ascii="Calibri" w:hAnsi="Calibri"/>
          <w:sz w:val="22"/>
          <w:lang w:val="en-US"/>
        </w:rPr>
      </w:pPr>
      <w:r w:rsidRPr="00287EF1">
        <w:rPr>
          <w:rFonts w:ascii="Calibri" w:hAnsi="Calibri"/>
          <w:sz w:val="22"/>
          <w:lang w:val="en-US"/>
        </w:rPr>
        <w:t>Rock Compliance. (n.d.). Performance development review [Internal template supplied for BMSK5010 assignment].</w:t>
      </w:r>
    </w:p>
    <w:p w14:paraId="7A6F25D4" w14:textId="77777777" w:rsidR="00FA4539" w:rsidRPr="00287EF1" w:rsidRDefault="00FA4539" w:rsidP="00FA4539">
      <w:pPr>
        <w:rPr>
          <w:rFonts w:ascii="Calibri" w:hAnsi="Calibri"/>
          <w:sz w:val="22"/>
          <w:lang w:val="en-US"/>
        </w:rPr>
      </w:pPr>
      <w:r w:rsidRPr="00287EF1">
        <w:rPr>
          <w:rFonts w:ascii="Calibri" w:hAnsi="Calibri"/>
          <w:sz w:val="22"/>
          <w:lang w:val="en-US"/>
        </w:rPr>
        <w:t>Rousseau, D. M. (1995). Psychological contracts in organizations: Understanding written and unwritten agreements. SAGE Publications.</w:t>
      </w:r>
    </w:p>
    <w:p w14:paraId="150B34A6" w14:textId="77777777" w:rsidR="00FA4539" w:rsidRPr="00287EF1" w:rsidRDefault="00FA4539" w:rsidP="00FA4539">
      <w:pPr>
        <w:rPr>
          <w:rFonts w:ascii="Calibri" w:hAnsi="Calibri"/>
          <w:sz w:val="22"/>
          <w:lang w:val="en-US"/>
        </w:rPr>
      </w:pPr>
      <w:r w:rsidRPr="00287EF1">
        <w:rPr>
          <w:rFonts w:ascii="Calibri" w:hAnsi="Calibri"/>
          <w:sz w:val="22"/>
          <w:lang w:val="en-US"/>
        </w:rPr>
        <w:t>Schön, D. A. (1983). The reflective practitioner: How professionals think in action. Basic Books.</w:t>
      </w:r>
    </w:p>
    <w:p w14:paraId="69EF76E1" w14:textId="77777777" w:rsidR="00FA4539" w:rsidRPr="00287EF1" w:rsidRDefault="00FA4539" w:rsidP="00FA4539">
      <w:pPr>
        <w:rPr>
          <w:rFonts w:ascii="Calibri" w:hAnsi="Calibri"/>
          <w:sz w:val="22"/>
          <w:lang w:val="en-US"/>
        </w:rPr>
      </w:pPr>
      <w:r w:rsidRPr="00287EF1">
        <w:rPr>
          <w:rFonts w:ascii="Calibri" w:hAnsi="Calibri"/>
          <w:sz w:val="22"/>
          <w:lang w:val="en-US"/>
        </w:rPr>
        <w:t>Senge, P. M. (1990). The fifth discipline: The art and practice of the learning organization. Doubleday.</w:t>
      </w:r>
    </w:p>
    <w:p w14:paraId="22B086E2" w14:textId="77777777" w:rsidR="00FA4539" w:rsidRPr="00287EF1" w:rsidRDefault="00FA4539" w:rsidP="00FA4539">
      <w:pPr>
        <w:rPr>
          <w:rFonts w:ascii="Calibri" w:hAnsi="Calibri"/>
          <w:sz w:val="22"/>
          <w:lang w:val="en-US"/>
        </w:rPr>
      </w:pPr>
      <w:r w:rsidRPr="00287EF1">
        <w:rPr>
          <w:rFonts w:ascii="Calibri" w:hAnsi="Calibri"/>
          <w:sz w:val="22"/>
          <w:lang w:val="en-US"/>
        </w:rPr>
        <w:t>University module teaching team. (2024). BMSK5010: Developing the learning organisation, sessions 1–9 [Lecture slides supplied for the module].</w:t>
      </w:r>
    </w:p>
    <w:p w14:paraId="69334A37" w14:textId="77777777" w:rsidR="00FA4539" w:rsidRPr="00287EF1" w:rsidRDefault="00FA4539" w:rsidP="00FA4539">
      <w:pPr>
        <w:rPr>
          <w:rFonts w:ascii="Calibri" w:hAnsi="Calibri"/>
          <w:sz w:val="22"/>
          <w:lang w:val="en-US"/>
        </w:rPr>
      </w:pPr>
      <w:r w:rsidRPr="00287EF1">
        <w:rPr>
          <w:rFonts w:ascii="Calibri" w:hAnsi="Calibri"/>
          <w:sz w:val="22"/>
          <w:lang w:val="en-US"/>
        </w:rPr>
        <w:t>Chartered Institute of Personnel and Development. (n.d.). Getting started with your CPD. https://www.cipd.org/uk/learning/cpd/cycle/</w:t>
      </w:r>
    </w:p>
    <w:p w14:paraId="6FB31012" w14:textId="736AF5A4" w:rsidR="00FA4539" w:rsidRPr="00287EF1" w:rsidRDefault="00FA4539" w:rsidP="00FA4539">
      <w:pPr>
        <w:rPr>
          <w:rFonts w:ascii="Calibri" w:hAnsi="Calibri"/>
          <w:sz w:val="22"/>
          <w:lang w:val="en-US"/>
        </w:rPr>
      </w:pPr>
      <w:r w:rsidRPr="00287EF1">
        <w:rPr>
          <w:rFonts w:ascii="Calibri" w:hAnsi="Calibri"/>
          <w:sz w:val="22"/>
          <w:lang w:val="en-US"/>
        </w:rPr>
        <w:t xml:space="preserve">Chartered Institute of Personnel and Development. (2026, January 29). Performance management: An introduction. </w:t>
      </w:r>
      <w:hyperlink r:id="rId9" w:history="1">
        <w:r w:rsidRPr="00287EF1">
          <w:rPr>
            <w:rStyle w:val="Hyperlink"/>
            <w:rFonts w:ascii="Calibri" w:hAnsi="Calibri"/>
            <w:sz w:val="22"/>
            <w:lang w:val="en-US"/>
          </w:rPr>
          <w:t>https://www.cipd.org/en/knowledge/factsheets/performance-factsheet/</w:t>
        </w:r>
      </w:hyperlink>
    </w:p>
    <w:p w14:paraId="3C0B34F0" w14:textId="77777777" w:rsidR="00FA4539" w:rsidRPr="00287EF1" w:rsidRDefault="00FA4539" w:rsidP="00FA4539">
      <w:pPr>
        <w:rPr>
          <w:rFonts w:ascii="Calibri" w:hAnsi="Calibri"/>
          <w:sz w:val="22"/>
          <w:lang w:val="en-US"/>
        </w:rPr>
      </w:pPr>
    </w:p>
    <w:p w14:paraId="4FE406D3" w14:textId="77777777" w:rsidR="00FA4539" w:rsidRPr="00287EF1" w:rsidRDefault="00FA4539" w:rsidP="00FA4539">
      <w:pPr>
        <w:rPr>
          <w:rFonts w:ascii="Calibri" w:hAnsi="Calibri"/>
          <w:sz w:val="22"/>
          <w:lang w:val="en-US"/>
        </w:rPr>
      </w:pPr>
    </w:p>
    <w:p w14:paraId="221D8F79" w14:textId="77777777" w:rsidR="00FA4539" w:rsidRPr="00287EF1" w:rsidRDefault="00FA4539" w:rsidP="00FA4539">
      <w:pPr>
        <w:rPr>
          <w:rFonts w:ascii="Calibri" w:hAnsi="Calibri"/>
          <w:sz w:val="22"/>
          <w:lang w:val="en-US"/>
        </w:rPr>
      </w:pPr>
    </w:p>
    <w:p w14:paraId="560D581E" w14:textId="77777777" w:rsidR="00FA4539" w:rsidRPr="00287EF1" w:rsidRDefault="00FA4539" w:rsidP="00FA4539">
      <w:pPr>
        <w:rPr>
          <w:rFonts w:ascii="Calibri" w:hAnsi="Calibri"/>
          <w:sz w:val="22"/>
          <w:lang w:val="en-US"/>
        </w:rPr>
      </w:pPr>
    </w:p>
    <w:p w14:paraId="149F43DB" w14:textId="77777777" w:rsidR="00FA4539" w:rsidRPr="00287EF1" w:rsidRDefault="00FA4539" w:rsidP="00FA4539">
      <w:pPr>
        <w:rPr>
          <w:rFonts w:ascii="Calibri" w:hAnsi="Calibri"/>
          <w:sz w:val="22"/>
          <w:lang w:val="en-US"/>
        </w:rPr>
      </w:pPr>
    </w:p>
    <w:p w14:paraId="7E25DEF5" w14:textId="77777777" w:rsidR="00FA4539" w:rsidRPr="00287EF1" w:rsidRDefault="00FA4539" w:rsidP="00FA4539">
      <w:pPr>
        <w:rPr>
          <w:rFonts w:ascii="Calibri" w:hAnsi="Calibri"/>
          <w:sz w:val="22"/>
          <w:lang w:val="en-US"/>
        </w:rPr>
      </w:pPr>
    </w:p>
    <w:p w14:paraId="7DEA2347" w14:textId="77777777" w:rsidR="00FA4539" w:rsidRPr="00287EF1" w:rsidRDefault="00FA4539" w:rsidP="00FA4539">
      <w:pPr>
        <w:rPr>
          <w:rFonts w:ascii="Calibri" w:hAnsi="Calibri"/>
          <w:sz w:val="22"/>
          <w:lang w:val="en-US"/>
        </w:rPr>
      </w:pPr>
    </w:p>
    <w:p w14:paraId="47D07B2D" w14:textId="77777777" w:rsidR="00FA4539" w:rsidRPr="00287EF1" w:rsidRDefault="00FA4539" w:rsidP="00FA4539">
      <w:pPr>
        <w:rPr>
          <w:rFonts w:ascii="Calibri" w:hAnsi="Calibri"/>
          <w:sz w:val="22"/>
          <w:lang w:val="en-US"/>
        </w:rPr>
      </w:pPr>
    </w:p>
    <w:p w14:paraId="6F4CCB0F" w14:textId="77777777" w:rsidR="00FA4539" w:rsidRPr="00287EF1" w:rsidRDefault="00FA4539" w:rsidP="00FA4539">
      <w:pPr>
        <w:rPr>
          <w:rFonts w:ascii="Calibri" w:hAnsi="Calibri"/>
          <w:sz w:val="22"/>
          <w:lang w:val="en-US"/>
        </w:rPr>
      </w:pPr>
    </w:p>
    <w:p w14:paraId="3C7F067D" w14:textId="77777777" w:rsidR="00FA4539" w:rsidRPr="00287EF1" w:rsidRDefault="00FA4539" w:rsidP="00FA4539">
      <w:pPr>
        <w:rPr>
          <w:rFonts w:ascii="Calibri" w:hAnsi="Calibri"/>
          <w:sz w:val="22"/>
          <w:lang w:val="en-US"/>
        </w:rPr>
      </w:pPr>
    </w:p>
    <w:p w14:paraId="6572CFF5" w14:textId="77777777" w:rsidR="00FA4539" w:rsidRPr="00287EF1" w:rsidRDefault="00FA4539" w:rsidP="00FA4539">
      <w:pPr>
        <w:rPr>
          <w:rFonts w:ascii="Calibri" w:hAnsi="Calibri"/>
          <w:sz w:val="22"/>
          <w:lang w:val="en-US"/>
        </w:rPr>
      </w:pPr>
    </w:p>
    <w:p w14:paraId="3451F273" w14:textId="77777777" w:rsidR="00FA4539" w:rsidRPr="00287EF1" w:rsidRDefault="00FA4539" w:rsidP="00FA4539">
      <w:pPr>
        <w:rPr>
          <w:rFonts w:ascii="Calibri" w:hAnsi="Calibri"/>
          <w:sz w:val="22"/>
          <w:lang w:val="en-US"/>
        </w:rPr>
      </w:pPr>
    </w:p>
    <w:p w14:paraId="0D0BFAC4" w14:textId="77777777" w:rsidR="00FA4539" w:rsidRPr="00287EF1" w:rsidRDefault="00FA4539" w:rsidP="00FA4539">
      <w:pPr>
        <w:rPr>
          <w:rFonts w:ascii="Calibri" w:hAnsi="Calibri"/>
          <w:sz w:val="22"/>
          <w:lang w:val="en-US"/>
        </w:rPr>
      </w:pPr>
    </w:p>
    <w:p w14:paraId="55F4C349" w14:textId="77777777" w:rsidR="00FA4539" w:rsidRPr="00287EF1" w:rsidRDefault="00FA4539" w:rsidP="00FA4539">
      <w:pPr>
        <w:rPr>
          <w:rFonts w:ascii="Calibri" w:hAnsi="Calibri"/>
          <w:sz w:val="22"/>
          <w:lang w:val="en-US"/>
        </w:rPr>
      </w:pPr>
    </w:p>
    <w:p w14:paraId="3940A40B" w14:textId="77777777" w:rsidR="00446416" w:rsidRPr="00287EF1" w:rsidRDefault="00446416" w:rsidP="00446416">
      <w:pPr>
        <w:pStyle w:val="Heading1"/>
        <w:rPr>
          <w:rFonts w:ascii="Calibri" w:hAnsi="Calibri"/>
          <w:b/>
          <w:bCs/>
          <w:color w:val="auto"/>
          <w:sz w:val="22"/>
          <w:szCs w:val="22"/>
          <w:lang w:val="en-US"/>
        </w:rPr>
      </w:pPr>
      <w:bookmarkStart w:id="23" w:name="_Toc242456073"/>
      <w:r w:rsidRPr="00287EF1">
        <w:rPr>
          <w:rFonts w:ascii="Calibri" w:hAnsi="Calibri"/>
          <w:b/>
          <w:bCs/>
          <w:color w:val="auto"/>
          <w:sz w:val="22"/>
          <w:szCs w:val="22"/>
          <w:lang w:val="en-US"/>
        </w:rPr>
        <w:lastRenderedPageBreak/>
        <w:t>Appendix A. Harrison Burchill – Rock Compliance Performance Development Review</w:t>
      </w:r>
      <w:bookmarkEnd w:id="23"/>
    </w:p>
    <w:p w14:paraId="7FAD35C5" w14:textId="32F4C499" w:rsidR="00E22098" w:rsidRDefault="00E22098" w:rsidP="00E22098">
      <w:pPr>
        <w:rPr>
          <w:lang w:val="en-US"/>
        </w:rPr>
      </w:pPr>
      <w:r>
        <w:rPr>
          <w:noProof/>
        </w:rPr>
        <w:drawing>
          <wp:inline distT="0" distB="0" distL="0" distR="0" wp14:anchorId="7326E923" wp14:editId="33233899">
            <wp:extent cx="6187566" cy="4373880"/>
            <wp:effectExtent l="0" t="0" r="3810" b="7620"/>
            <wp:docPr id="1020234458" name="Picture 102023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r-1.png"/>
                    <pic:cNvPicPr/>
                  </pic:nvPicPr>
                  <pic:blipFill>
                    <a:blip r:embed="rId10"/>
                    <a:stretch>
                      <a:fillRect/>
                    </a:stretch>
                  </pic:blipFill>
                  <pic:spPr>
                    <a:xfrm>
                      <a:off x="0" y="0"/>
                      <a:ext cx="6204749" cy="4386027"/>
                    </a:xfrm>
                    <a:prstGeom prst="rect">
                      <a:avLst/>
                    </a:prstGeom>
                  </pic:spPr>
                </pic:pic>
              </a:graphicData>
            </a:graphic>
          </wp:inline>
        </w:drawing>
      </w:r>
    </w:p>
    <w:p w14:paraId="31DD8337" w14:textId="3C482B56" w:rsidR="00E22098" w:rsidRDefault="00285D65" w:rsidP="00E22098">
      <w:pPr>
        <w:rPr>
          <w:lang w:val="en-US"/>
        </w:rPr>
      </w:pPr>
      <w:r>
        <w:rPr>
          <w:noProof/>
        </w:rPr>
        <w:lastRenderedPageBreak/>
        <w:drawing>
          <wp:inline distT="0" distB="0" distL="0" distR="0" wp14:anchorId="37B35437" wp14:editId="4CD795DD">
            <wp:extent cx="5943600" cy="420142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r-2.png"/>
                    <pic:cNvPicPr/>
                  </pic:nvPicPr>
                  <pic:blipFill>
                    <a:blip r:embed="rId11"/>
                    <a:stretch>
                      <a:fillRect/>
                    </a:stretch>
                  </pic:blipFill>
                  <pic:spPr>
                    <a:xfrm>
                      <a:off x="0" y="0"/>
                      <a:ext cx="5943600" cy="4201425"/>
                    </a:xfrm>
                    <a:prstGeom prst="rect">
                      <a:avLst/>
                    </a:prstGeom>
                  </pic:spPr>
                </pic:pic>
              </a:graphicData>
            </a:graphic>
          </wp:inline>
        </w:drawing>
      </w:r>
    </w:p>
    <w:p w14:paraId="77B9E835" w14:textId="438DDEB1" w:rsidR="00285D65" w:rsidRDefault="005A41D5" w:rsidP="00E22098">
      <w:pPr>
        <w:rPr>
          <w:lang w:val="en-US"/>
        </w:rPr>
      </w:pPr>
      <w:r>
        <w:rPr>
          <w:noProof/>
        </w:rPr>
        <w:lastRenderedPageBreak/>
        <w:drawing>
          <wp:inline distT="0" distB="0" distL="0" distR="0" wp14:anchorId="34A50085" wp14:editId="51A2CC63">
            <wp:extent cx="5943600" cy="420142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r-3.png"/>
                    <pic:cNvPicPr/>
                  </pic:nvPicPr>
                  <pic:blipFill>
                    <a:blip r:embed="rId12"/>
                    <a:stretch>
                      <a:fillRect/>
                    </a:stretch>
                  </pic:blipFill>
                  <pic:spPr>
                    <a:xfrm>
                      <a:off x="0" y="0"/>
                      <a:ext cx="5943600" cy="4201425"/>
                    </a:xfrm>
                    <a:prstGeom prst="rect">
                      <a:avLst/>
                    </a:prstGeom>
                  </pic:spPr>
                </pic:pic>
              </a:graphicData>
            </a:graphic>
          </wp:inline>
        </w:drawing>
      </w:r>
    </w:p>
    <w:p w14:paraId="0D26D512" w14:textId="3CB1F6E7" w:rsidR="005A41D5" w:rsidRPr="00E22098" w:rsidRDefault="00287EF1" w:rsidP="00E22098">
      <w:pPr>
        <w:rPr>
          <w:lang w:val="en-US"/>
        </w:rPr>
      </w:pPr>
      <w:r>
        <w:rPr>
          <w:noProof/>
        </w:rPr>
        <w:lastRenderedPageBreak/>
        <w:drawing>
          <wp:inline distT="0" distB="0" distL="0" distR="0" wp14:anchorId="1259E0D9" wp14:editId="214E1BCD">
            <wp:extent cx="5943600" cy="420142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r-4.png"/>
                    <pic:cNvPicPr/>
                  </pic:nvPicPr>
                  <pic:blipFill>
                    <a:blip r:embed="rId13"/>
                    <a:stretch>
                      <a:fillRect/>
                    </a:stretch>
                  </pic:blipFill>
                  <pic:spPr>
                    <a:xfrm>
                      <a:off x="0" y="0"/>
                      <a:ext cx="5943600" cy="4201425"/>
                    </a:xfrm>
                    <a:prstGeom prst="rect">
                      <a:avLst/>
                    </a:prstGeom>
                  </pic:spPr>
                </pic:pic>
              </a:graphicData>
            </a:graphic>
          </wp:inline>
        </w:drawing>
      </w:r>
    </w:p>
    <w:sectPr w:rsidR="005A41D5" w:rsidRPr="00E2209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4C15F" w14:textId="77777777" w:rsidR="002621F9" w:rsidRDefault="002621F9" w:rsidP="005831A9">
      <w:pPr>
        <w:spacing w:after="0" w:line="240" w:lineRule="auto"/>
      </w:pPr>
      <w:r>
        <w:separator/>
      </w:r>
    </w:p>
  </w:endnote>
  <w:endnote w:type="continuationSeparator" w:id="0">
    <w:p w14:paraId="0CB3E1BB" w14:textId="77777777" w:rsidR="002621F9" w:rsidRDefault="002621F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258DE" w14:textId="77777777" w:rsidR="002621F9" w:rsidRDefault="002621F9" w:rsidP="005831A9">
      <w:pPr>
        <w:spacing w:after="0" w:line="240" w:lineRule="auto"/>
      </w:pPr>
      <w:r>
        <w:separator/>
      </w:r>
    </w:p>
  </w:footnote>
  <w:footnote w:type="continuationSeparator" w:id="0">
    <w:p w14:paraId="1E180133" w14:textId="77777777" w:rsidR="002621F9" w:rsidRDefault="002621F9"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457A7E"/>
    <w:multiLevelType w:val="hybridMultilevel"/>
    <w:tmpl w:val="AFF86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897713">
    <w:abstractNumId w:val="0"/>
  </w:num>
  <w:num w:numId="2" w16cid:durableId="673344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53AD"/>
    <w:rsid w:val="000B142C"/>
    <w:rsid w:val="000F29EC"/>
    <w:rsid w:val="00113ECD"/>
    <w:rsid w:val="00183B04"/>
    <w:rsid w:val="00192BCF"/>
    <w:rsid w:val="002621F9"/>
    <w:rsid w:val="00272723"/>
    <w:rsid w:val="00285D65"/>
    <w:rsid w:val="00287EF1"/>
    <w:rsid w:val="002B218B"/>
    <w:rsid w:val="002B3153"/>
    <w:rsid w:val="002E3CA1"/>
    <w:rsid w:val="003675FC"/>
    <w:rsid w:val="003B566D"/>
    <w:rsid w:val="003D668E"/>
    <w:rsid w:val="00446416"/>
    <w:rsid w:val="00473860"/>
    <w:rsid w:val="00490C56"/>
    <w:rsid w:val="004B07B4"/>
    <w:rsid w:val="004D32FF"/>
    <w:rsid w:val="004D3647"/>
    <w:rsid w:val="00531F03"/>
    <w:rsid w:val="005324A2"/>
    <w:rsid w:val="00552D88"/>
    <w:rsid w:val="005831A9"/>
    <w:rsid w:val="00583709"/>
    <w:rsid w:val="0059067C"/>
    <w:rsid w:val="00594C03"/>
    <w:rsid w:val="005A41D5"/>
    <w:rsid w:val="005D25C0"/>
    <w:rsid w:val="0061431C"/>
    <w:rsid w:val="0068457A"/>
    <w:rsid w:val="006E052D"/>
    <w:rsid w:val="00767209"/>
    <w:rsid w:val="007A741E"/>
    <w:rsid w:val="007C2ED5"/>
    <w:rsid w:val="007D3BCD"/>
    <w:rsid w:val="00806574"/>
    <w:rsid w:val="00815E4D"/>
    <w:rsid w:val="008312FD"/>
    <w:rsid w:val="00840D0A"/>
    <w:rsid w:val="008609A4"/>
    <w:rsid w:val="009632AC"/>
    <w:rsid w:val="00A10030"/>
    <w:rsid w:val="00A56198"/>
    <w:rsid w:val="00AA35AC"/>
    <w:rsid w:val="00AF2C74"/>
    <w:rsid w:val="00B44D80"/>
    <w:rsid w:val="00B610DE"/>
    <w:rsid w:val="00B81EDE"/>
    <w:rsid w:val="00B87951"/>
    <w:rsid w:val="00B92C2B"/>
    <w:rsid w:val="00BC17A6"/>
    <w:rsid w:val="00BD6870"/>
    <w:rsid w:val="00C13B48"/>
    <w:rsid w:val="00C239A3"/>
    <w:rsid w:val="00C47D89"/>
    <w:rsid w:val="00C669F0"/>
    <w:rsid w:val="00C77669"/>
    <w:rsid w:val="00D13967"/>
    <w:rsid w:val="00D16646"/>
    <w:rsid w:val="00D742ED"/>
    <w:rsid w:val="00D803DC"/>
    <w:rsid w:val="00DB1540"/>
    <w:rsid w:val="00DD177A"/>
    <w:rsid w:val="00DE7836"/>
    <w:rsid w:val="00E05940"/>
    <w:rsid w:val="00E22098"/>
    <w:rsid w:val="00E516FA"/>
    <w:rsid w:val="00E841CA"/>
    <w:rsid w:val="00EB2589"/>
    <w:rsid w:val="00F24CAC"/>
    <w:rsid w:val="00F266C2"/>
    <w:rsid w:val="00F867C0"/>
    <w:rsid w:val="00F92B48"/>
    <w:rsid w:val="00F94F3E"/>
    <w:rsid w:val="00FA45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AF2C74"/>
    <w:rPr>
      <w:color w:val="605E5C"/>
      <w:shd w:val="clear" w:color="auto" w:fill="E1DFDD"/>
    </w:rPr>
  </w:style>
  <w:style w:type="table" w:styleId="TableGrid">
    <w:name w:val="Table Grid"/>
    <w:basedOn w:val="TableNormal"/>
    <w:uiPriority w:val="39"/>
    <w:rsid w:val="006E0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semiHidden/>
    <w:unhideWhenUsed/>
    <w:rsid w:val="00552D8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1432"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cipd.org/en/knowledge/factsheets/performance-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1001</TotalTime>
  <Pages>23</Pages>
  <Words>5649</Words>
  <Characters>37063</Characters>
  <Application>Microsoft Office Word</Application>
  <DocSecurity>0</DocSecurity>
  <Lines>861</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Nicola Powell</cp:lastModifiedBy>
  <cp:revision>49</cp:revision>
  <dcterms:created xsi:type="dcterms:W3CDTF">2026-10-09T14:48:00Z</dcterms:created>
  <dcterms:modified xsi:type="dcterms:W3CDTF">2026-10-10T07:45:00Z</dcterms:modified>
</cp:coreProperties>
</file>