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29399525"/>
        <w:docPartObj>
          <w:docPartGallery w:val="Cover Pages"/>
          <w:docPartUnique/>
        </w:docPartObj>
      </w:sdtPr>
      <w:sdtEndPr>
        <w:rPr>
          <w:rFonts w:ascii="Arial" w:hAnsi="Arial"/>
          <w:lang w:val="en-GB"/>
        </w:rPr>
      </w:sdtEndPr>
      <w:sdtContent>
        <w:p w14:paraId="28764875" w14:textId="056E865E" w:rsidR="00472B1E" w:rsidRDefault="00472B1E">
          <w:pPr>
            <w:pStyle w:val="NoSpacing"/>
          </w:pPr>
          <w:r>
            <w:rPr>
              <w:noProof/>
            </w:rPr>
            <mc:AlternateContent>
              <mc:Choice Requires="wpg">
                <w:drawing>
                  <wp:anchor distT="0" distB="0" distL="114300" distR="114300" simplePos="0" relativeHeight="251659264" behindDoc="1" locked="0" layoutInCell="1" allowOverlap="1" wp14:anchorId="5CC66793" wp14:editId="42805FA6">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5-13T00:00:00Z">
                                      <w:dateFormat w:val="M/d/yyyy"/>
                                      <w:lid w:val="en-US"/>
                                      <w:storeMappedDataAs w:val="dateTime"/>
                                      <w:calendar w:val="gregorian"/>
                                    </w:date>
                                  </w:sdtPr>
                                  <w:sdtContent>
                                    <w:p w14:paraId="22866819" w14:textId="4B09A630" w:rsidR="00472B1E" w:rsidRDefault="00472B1E">
                                      <w:pPr>
                                        <w:pStyle w:val="NoSpacing"/>
                                        <w:jc w:val="right"/>
                                        <w:rPr>
                                          <w:color w:val="FFFFFF" w:themeColor="background1"/>
                                          <w:sz w:val="28"/>
                                          <w:szCs w:val="28"/>
                                        </w:rPr>
                                      </w:pPr>
                                      <w:r>
                                        <w:rPr>
                                          <w:color w:val="FFFFFF" w:themeColor="background1"/>
                                          <w:sz w:val="28"/>
                                          <w:szCs w:val="28"/>
                                        </w:rPr>
                                        <w:t>5/13/2024</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CC66793" id="Group 1"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5-13T00:00:00Z">
                                <w:dateFormat w:val="M/d/yyyy"/>
                                <w:lid w:val="en-US"/>
                                <w:storeMappedDataAs w:val="dateTime"/>
                                <w:calendar w:val="gregorian"/>
                              </w:date>
                            </w:sdtPr>
                            <w:sdtContent>
                              <w:p w14:paraId="22866819" w14:textId="4B09A630" w:rsidR="00472B1E" w:rsidRDefault="00472B1E">
                                <w:pPr>
                                  <w:pStyle w:val="NoSpacing"/>
                                  <w:jc w:val="right"/>
                                  <w:rPr>
                                    <w:color w:val="FFFFFF" w:themeColor="background1"/>
                                    <w:sz w:val="28"/>
                                    <w:szCs w:val="28"/>
                                  </w:rPr>
                                </w:pPr>
                                <w:r>
                                  <w:rPr>
                                    <w:color w:val="FFFFFF" w:themeColor="background1"/>
                                    <w:sz w:val="28"/>
                                    <w:szCs w:val="28"/>
                                  </w:rPr>
                                  <w:t>5/13/2024</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51E236B3" wp14:editId="6E59513C">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622310" w14:textId="6EF45B15" w:rsidR="00472B1E" w:rsidRDefault="00472B1E">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156082" w:themeColor="accent1"/>
                                        <w:sz w:val="26"/>
                                        <w:szCs w:val="26"/>
                                      </w:rPr>
                                      <w:t>Constantin-Bogdan Rusu</w:t>
                                    </w:r>
                                  </w:sdtContent>
                                </w:sdt>
                              </w:p>
                              <w:p w14:paraId="76E802C9" w14:textId="4B0A9815" w:rsidR="00472B1E" w:rsidRDefault="00472B1E">
                                <w:pPr>
                                  <w:pStyle w:val="NoSpacing"/>
                                  <w:rPr>
                                    <w:caps/>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Student Number: 2014305 </w:t>
                                    </w:r>
                                  </w:sdtContent>
                                </w:sdt>
                              </w:p>
                              <w:p w14:paraId="7604003F" w14:textId="32B66155" w:rsidR="00472B1E" w:rsidRDefault="00472B1E">
                                <w:pPr>
                                  <w:pStyle w:val="NoSpacing"/>
                                  <w:rPr>
                                    <w:color w:val="595959" w:themeColor="text1" w:themeTint="A6"/>
                                    <w:sz w:val="20"/>
                                    <w:szCs w:val="20"/>
                                  </w:rPr>
                                </w:pPr>
                                <w:r>
                                  <w:rPr>
                                    <w:caps/>
                                    <w:color w:val="595959" w:themeColor="text1" w:themeTint="A6"/>
                                    <w:sz w:val="20"/>
                                    <w:szCs w:val="20"/>
                                  </w:rPr>
                                  <w:t xml:space="preserve">Lecturer: </w:t>
                                </w:r>
                                <w:r w:rsidRPr="00472B1E">
                                  <w:rPr>
                                    <w:caps/>
                                    <w:color w:val="595959" w:themeColor="text1" w:themeTint="A6"/>
                                    <w:sz w:val="20"/>
                                    <w:szCs w:val="20"/>
                                  </w:rPr>
                                  <w:t>Lisa-Marie Bassler</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1E236B3" id="_x0000_t202" coordsize="21600,21600" o:spt="202" path="m,l,21600r21600,l21600,xe">
                    <v:stroke joinstyle="miter"/>
                    <v:path gradientshapeok="t" o:connecttype="rect"/>
                  </v:shapetype>
                  <v:shape id="Text Box 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53622310" w14:textId="6EF45B15" w:rsidR="00472B1E" w:rsidRDefault="00472B1E">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156082" w:themeColor="accent1"/>
                                  <w:sz w:val="26"/>
                                  <w:szCs w:val="26"/>
                                </w:rPr>
                                <w:t>Constantin-Bogdan Rusu</w:t>
                              </w:r>
                            </w:sdtContent>
                          </w:sdt>
                        </w:p>
                        <w:p w14:paraId="76E802C9" w14:textId="4B0A9815" w:rsidR="00472B1E" w:rsidRDefault="00472B1E">
                          <w:pPr>
                            <w:pStyle w:val="NoSpacing"/>
                            <w:rPr>
                              <w:caps/>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Student Number: 2014305 </w:t>
                              </w:r>
                            </w:sdtContent>
                          </w:sdt>
                        </w:p>
                        <w:p w14:paraId="7604003F" w14:textId="32B66155" w:rsidR="00472B1E" w:rsidRDefault="00472B1E">
                          <w:pPr>
                            <w:pStyle w:val="NoSpacing"/>
                            <w:rPr>
                              <w:color w:val="595959" w:themeColor="text1" w:themeTint="A6"/>
                              <w:sz w:val="20"/>
                              <w:szCs w:val="20"/>
                            </w:rPr>
                          </w:pPr>
                          <w:r>
                            <w:rPr>
                              <w:caps/>
                              <w:color w:val="595959" w:themeColor="text1" w:themeTint="A6"/>
                              <w:sz w:val="20"/>
                              <w:szCs w:val="20"/>
                            </w:rPr>
                            <w:t xml:space="preserve">Lecturer: </w:t>
                          </w:r>
                          <w:r w:rsidRPr="00472B1E">
                            <w:rPr>
                              <w:caps/>
                              <w:color w:val="595959" w:themeColor="text1" w:themeTint="A6"/>
                              <w:sz w:val="20"/>
                              <w:szCs w:val="20"/>
                            </w:rPr>
                            <w:t>Lisa-Marie Bassler</w:t>
                          </w:r>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738E4D53" wp14:editId="353963F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368349" w14:textId="6F4C4396" w:rsidR="00472B1E" w:rsidRDefault="00472B1E">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Essay</w:t>
                                    </w:r>
                                  </w:sdtContent>
                                </w:sdt>
                              </w:p>
                              <w:p w14:paraId="175745B6" w14:textId="1E552B65" w:rsidR="00472B1E" w:rsidRDefault="00472B1E">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472B1E">
                                      <w:rPr>
                                        <w:color w:val="404040" w:themeColor="text1" w:themeTint="BF"/>
                                        <w:sz w:val="36"/>
                                        <w:szCs w:val="36"/>
                                      </w:rPr>
                                      <w:t>BMIH5006 Sustainable Hospitality &amp; Tourism Management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38E4D53" id="Text Box 3"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05368349" w14:textId="6F4C4396" w:rsidR="00472B1E" w:rsidRDefault="00472B1E">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Essay</w:t>
                              </w:r>
                            </w:sdtContent>
                          </w:sdt>
                        </w:p>
                        <w:p w14:paraId="175745B6" w14:textId="1E552B65" w:rsidR="00472B1E" w:rsidRDefault="00472B1E">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472B1E">
                                <w:rPr>
                                  <w:color w:val="404040" w:themeColor="text1" w:themeTint="BF"/>
                                  <w:sz w:val="36"/>
                                  <w:szCs w:val="36"/>
                                </w:rPr>
                                <w:t>BMIH5006 Sustainable Hospitality &amp; Tourism Management</w:t>
                              </w:r>
                            </w:sdtContent>
                          </w:sdt>
                        </w:p>
                      </w:txbxContent>
                    </v:textbox>
                    <w10:wrap anchorx="page" anchory="page"/>
                  </v:shape>
                </w:pict>
              </mc:Fallback>
            </mc:AlternateContent>
          </w:r>
        </w:p>
        <w:p w14:paraId="61AD20C0" w14:textId="75BCA31D" w:rsidR="00472B1E" w:rsidRDefault="00472B1E">
          <w:pPr>
            <w:spacing w:line="259" w:lineRule="auto"/>
            <w:jc w:val="left"/>
          </w:pPr>
          <w:r>
            <w:br w:type="page"/>
          </w:r>
        </w:p>
      </w:sdtContent>
    </w:sdt>
    <w:p w14:paraId="1AB6FB83" w14:textId="77777777" w:rsidR="00AE0ADB" w:rsidRDefault="00AE0ADB" w:rsidP="00AE0ADB">
      <w:r>
        <w:lastRenderedPageBreak/>
        <w:t>21st century corporations have made sustainable company operations a crucial priority, in line with the United Nations' sustainable development goals. This essay examines the sustainability strategy of Premier Inn, exploring the impact of corporate social responsibility (CSR) on advancing sustainability in the hospitality sector. The text examines the critical domains in which CSR initiatives can exert the greatest influence on sustainability practices within the hotel industry. Furthermore, it delves into the challenges and opportunities associated with the implementation of effective CSR policies.</w:t>
      </w:r>
    </w:p>
    <w:p w14:paraId="14165FFB" w14:textId="77777777" w:rsidR="00D655EF" w:rsidRDefault="00D655EF" w:rsidP="00AE0ADB"/>
    <w:p w14:paraId="78DBA33C" w14:textId="6CFAA433" w:rsidR="00AE0ADB" w:rsidRDefault="00AE0ADB" w:rsidP="00AE0ADB">
      <w:r>
        <w:t xml:space="preserve">Sustainability is the practice of meeting current demands while ensuring that future generations can meet their own needs without compromise. The United Nations Brundtland Commission provided this concept in 1987 (Hajian and Kashani, 2021). CSR encompasses the </w:t>
      </w:r>
      <w:r>
        <w:t>integration</w:t>
      </w:r>
      <w:r>
        <w:t xml:space="preserve"> of social and environmental </w:t>
      </w:r>
      <w:r>
        <w:t>factors</w:t>
      </w:r>
      <w:r>
        <w:t xml:space="preserve"> into a </w:t>
      </w:r>
      <w:r>
        <w:t>firm's</w:t>
      </w:r>
      <w:r>
        <w:t xml:space="preserve"> activities and its engagement with stakeholders (Dahlsrud, 2008). Corporate social responsibility entails firms willingly undertaking acts and accepting duties that go beyond their legal commitments and economic or business objectives (Dahlsrud, 2008). Premier Inn is Britain’s largest hotel chain, and it has a strong CSR strategy that aims to demonstrate that the company is a ‘force for good’ (Premier Inn, 2024a).</w:t>
      </w:r>
    </w:p>
    <w:p w14:paraId="575BBB3E" w14:textId="77777777" w:rsidR="00D655EF" w:rsidRDefault="00D655EF" w:rsidP="00AE0ADB"/>
    <w:p w14:paraId="1D121C0D" w14:textId="24786032" w:rsidR="00AE0ADB" w:rsidRDefault="00AE0ADB" w:rsidP="00AE0ADB">
      <w:r>
        <w:t xml:space="preserve">The UK hospitality sector is actively participating in the Courtauld Commitment 2030, a </w:t>
      </w:r>
      <w:r>
        <w:t>volunteer</w:t>
      </w:r>
      <w:r>
        <w:t xml:space="preserve"> </w:t>
      </w:r>
      <w:r>
        <w:t>arrangement</w:t>
      </w:r>
      <w:r>
        <w:t xml:space="preserve"> that promotes collective efforts throughout the </w:t>
      </w:r>
      <w:r>
        <w:t>whole</w:t>
      </w:r>
      <w:r>
        <w:t xml:space="preserve"> </w:t>
      </w:r>
      <w:r>
        <w:t>British</w:t>
      </w:r>
      <w:r>
        <w:t xml:space="preserve"> food chain to </w:t>
      </w:r>
      <w:r>
        <w:t>diminish</w:t>
      </w:r>
      <w:r>
        <w:t xml:space="preserve"> food waste, greenhouse gas (GHG) emissions, and water stress (WRAP, 2024). This commitment aims to assist the national food and drink sector in achieving global environmental objectives (WRAP, 2024). </w:t>
      </w:r>
      <w:r w:rsidR="002B720A">
        <w:t xml:space="preserve">The goals of this agreement are to accomplish the following objectives: a 50% decrease in food waste per individual by 2030 in the UK, encompassing manufacturing, retail, hospitality, food service, and households, compared to the 2007 baseline; a 50% reduction in greenhouse gas emissions linked to food and beverage consumption in the UK by 2030, compared to the 2015 baseline; and a target that by 2030, 50% of fresh food is obtained from regions with sustainable water management (WRAP, 2024). </w:t>
      </w:r>
      <w:r>
        <w:t xml:space="preserve">As a result, these issues are the primary obstacles in the hotel industry in terms of establishing sustainable business practices, which have become extremely significant. There is a growing recognition of the food system's role in causing climate change, deforestation, water scarcity, food waste, and other sustainability issues, and taking action to address </w:t>
      </w:r>
      <w:r>
        <w:lastRenderedPageBreak/>
        <w:t>these concerns can provide both financial and reputational advantages. According to WRAP (2024), the hospitality and food service business incurs a financial loss of £3.2 billion annually due to food waste, which amounts to an average of £10,000 per outlet per year. The participating companies in this agreement have the ability to decrease it while simultaneously enhancing water efficiency and diminishing greenhouse gas emissions.</w:t>
      </w:r>
    </w:p>
    <w:p w14:paraId="5ACADDE3" w14:textId="70EDFD52" w:rsidR="00AE0ADB" w:rsidRDefault="00AE0ADB" w:rsidP="00AE0ADB">
      <w:r>
        <w:t xml:space="preserve">According to White et al. (2006), sustainable development and sustainable tourism are two interrelated concepts. </w:t>
      </w:r>
      <w:r w:rsidR="00284472">
        <w:t>The principle of sustainable development seeks to achieve equilibrium among economic, social, and environmental issues, by satisfying the requirements of the current generation while safeguarding the ability of future generations to realise their own needs.</w:t>
      </w:r>
      <w:r w:rsidR="00284472">
        <w:t xml:space="preserve"> </w:t>
      </w:r>
      <w:r>
        <w:t>Sustainability entails assessing the long-term consequences of human actions on the environment, society, and economy and making choices that benefit all three domains</w:t>
      </w:r>
      <w:r w:rsidR="0018626A">
        <w:t xml:space="preserve"> (</w:t>
      </w:r>
      <w:r w:rsidR="0018626A" w:rsidRPr="0018626A">
        <w:t>Gibson, 2006</w:t>
      </w:r>
      <w:r w:rsidR="0018626A">
        <w:t>)</w:t>
      </w:r>
      <w:r>
        <w:t xml:space="preserve">. Furthermore, sustainable tourism is a </w:t>
      </w:r>
      <w:r w:rsidR="00284472">
        <w:t>style</w:t>
      </w:r>
      <w:r>
        <w:t xml:space="preserve"> of tourism that </w:t>
      </w:r>
      <w:r w:rsidR="00284472">
        <w:t>counts</w:t>
      </w:r>
      <w:r>
        <w:t xml:space="preserve"> the environmental, social, and economic consequences of tourism </w:t>
      </w:r>
      <w:r w:rsidR="00284472">
        <w:t>processes</w:t>
      </w:r>
      <w:r w:rsidR="002F4509">
        <w:t xml:space="preserve"> (</w:t>
      </w:r>
      <w:r w:rsidR="002F4509" w:rsidRPr="002F4509">
        <w:t>Gössling, Hall, and Weaver, 2009</w:t>
      </w:r>
      <w:r w:rsidR="002F4509">
        <w:t>)</w:t>
      </w:r>
      <w:r>
        <w:t xml:space="preserve">. Its goal is to </w:t>
      </w:r>
      <w:r w:rsidR="00284472">
        <w:t>decrease</w:t>
      </w:r>
      <w:r>
        <w:t xml:space="preserve"> negative </w:t>
      </w:r>
      <w:r w:rsidR="00284472">
        <w:t>outcomes</w:t>
      </w:r>
      <w:r>
        <w:t xml:space="preserve"> and </w:t>
      </w:r>
      <w:r w:rsidR="00284472">
        <w:t>expand</w:t>
      </w:r>
      <w:r>
        <w:t xml:space="preserve"> positive results for destinations, communities, and visitors. Sustainable tourism encompasses the prudent use of resources, the preservation of natural and cultural assets, and the advancement of local economic growth and community welfare</w:t>
      </w:r>
      <w:r w:rsidR="00654B67">
        <w:t xml:space="preserve"> (</w:t>
      </w:r>
      <w:r w:rsidR="00654B67" w:rsidRPr="00654B67">
        <w:t>Brokaj, 2014</w:t>
      </w:r>
      <w:r w:rsidR="00654B67">
        <w:t>)</w:t>
      </w:r>
      <w:r>
        <w:t>.</w:t>
      </w:r>
    </w:p>
    <w:p w14:paraId="33AF2C07" w14:textId="47B1EF60" w:rsidR="00AE0ADB" w:rsidRDefault="00AE0ADB" w:rsidP="00AE0ADB">
      <w:r>
        <w:t xml:space="preserve">The </w:t>
      </w:r>
      <w:r w:rsidR="00284472">
        <w:t>essential</w:t>
      </w:r>
      <w:r>
        <w:t xml:space="preserve"> </w:t>
      </w:r>
      <w:r w:rsidR="00284472">
        <w:t>values</w:t>
      </w:r>
      <w:r>
        <w:t xml:space="preserve"> of sustainable tourism </w:t>
      </w:r>
      <w:r w:rsidR="00284472">
        <w:t>incorporate</w:t>
      </w:r>
      <w:r>
        <w:t xml:space="preserve"> environmental conservation, socio-cultural respect, economic benefits, visitor education and awareness, and destination management</w:t>
      </w:r>
      <w:r w:rsidR="005A5345">
        <w:t xml:space="preserve"> (</w:t>
      </w:r>
      <w:r w:rsidR="005A5345" w:rsidRPr="005A5345">
        <w:t>Salman,</w:t>
      </w:r>
      <w:r w:rsidR="005A5345">
        <w:t xml:space="preserve"> </w:t>
      </w:r>
      <w:r w:rsidR="005A5345" w:rsidRPr="005A5345">
        <w:t>Jaafar, and Mohamad, 2020</w:t>
      </w:r>
      <w:r w:rsidR="005A5345">
        <w:t>)</w:t>
      </w:r>
      <w:r>
        <w:t>. Thus, sustainable tourism seeks to minimise the negative impacts on the natural environment, such as pollution, habitat destruction, and resource depletion. It promotes the conservation of biodiversity, ecosystems, and natural resources</w:t>
      </w:r>
      <w:r w:rsidR="005A5345">
        <w:t xml:space="preserve"> (Neto, 1990)</w:t>
      </w:r>
      <w:r>
        <w:t xml:space="preserve">. Additionally, </w:t>
      </w:r>
      <w:r w:rsidR="00284472">
        <w:t>it</w:t>
      </w:r>
      <w:r>
        <w:t xml:space="preserve"> </w:t>
      </w:r>
      <w:r w:rsidR="00284472">
        <w:t>values</w:t>
      </w:r>
      <w:r>
        <w:t xml:space="preserve"> and </w:t>
      </w:r>
      <w:r w:rsidR="00284472">
        <w:t>respects</w:t>
      </w:r>
      <w:r>
        <w:t xml:space="preserve"> the local culture, </w:t>
      </w:r>
      <w:r w:rsidR="00284472">
        <w:t>background</w:t>
      </w:r>
      <w:r>
        <w:t xml:space="preserve">, and heritage of the </w:t>
      </w:r>
      <w:r w:rsidR="00284472">
        <w:t>local</w:t>
      </w:r>
      <w:r>
        <w:t xml:space="preserve"> communities</w:t>
      </w:r>
      <w:r w:rsidR="005A5345">
        <w:t xml:space="preserve"> (</w:t>
      </w:r>
      <w:r w:rsidR="005A5345" w:rsidRPr="005A5345">
        <w:t>Amerta, Sara, and Bagiada,</w:t>
      </w:r>
      <w:r w:rsidR="005A5345">
        <w:t xml:space="preserve"> </w:t>
      </w:r>
      <w:r w:rsidR="005A5345" w:rsidRPr="005A5345">
        <w:t>2018</w:t>
      </w:r>
      <w:r w:rsidR="005A5345">
        <w:t>)</w:t>
      </w:r>
      <w:r>
        <w:t xml:space="preserve">. It </w:t>
      </w:r>
      <w:r w:rsidR="00284472">
        <w:t>nurtures</w:t>
      </w:r>
      <w:r>
        <w:t xml:space="preserve"> local communities to participate in tourism planning and decision-making processes. Furthermore, sustainable tourism aims to </w:t>
      </w:r>
      <w:r w:rsidR="00284472">
        <w:t>create</w:t>
      </w:r>
      <w:r>
        <w:t xml:space="preserve"> </w:t>
      </w:r>
      <w:r w:rsidR="00284472">
        <w:t>profitable</w:t>
      </w:r>
      <w:r>
        <w:t xml:space="preserve"> </w:t>
      </w:r>
      <w:r w:rsidR="00284472">
        <w:t>advantages</w:t>
      </w:r>
      <w:r>
        <w:t xml:space="preserve"> for </w:t>
      </w:r>
      <w:r w:rsidR="00284472">
        <w:t>resident</w:t>
      </w:r>
      <w:r>
        <w:t xml:space="preserve"> communities, </w:t>
      </w:r>
      <w:r w:rsidR="00284472">
        <w:t>incorporating</w:t>
      </w:r>
      <w:r>
        <w:t xml:space="preserve"> job creation, income </w:t>
      </w:r>
      <w:r w:rsidR="00284472">
        <w:t>creation</w:t>
      </w:r>
      <w:r>
        <w:t>, and the support of local businesses and industries</w:t>
      </w:r>
      <w:r w:rsidR="0013733E">
        <w:t xml:space="preserve"> (</w:t>
      </w:r>
      <w:r w:rsidR="0013733E" w:rsidRPr="0013733E">
        <w:t>Dangi and Jamal, 2016</w:t>
      </w:r>
      <w:r w:rsidR="0013733E">
        <w:t>)</w:t>
      </w:r>
      <w:r>
        <w:t>. It promotes fair trade and the equitable distribution of tourism revenues</w:t>
      </w:r>
      <w:r w:rsidR="0013733E">
        <w:t xml:space="preserve"> (</w:t>
      </w:r>
      <w:r w:rsidR="0013733E" w:rsidRPr="0013733E">
        <w:t>Cleverdon and Kalisch, 2000</w:t>
      </w:r>
      <w:r w:rsidR="0013733E">
        <w:t>)</w:t>
      </w:r>
      <w:r>
        <w:t xml:space="preserve">. Additionally, from the perspective of visitor education and awareness, sustainable tourism seeks to educate and raise awareness among visitors about the importance of responsible travel practices, cultural sensitivity, </w:t>
      </w:r>
      <w:r>
        <w:lastRenderedPageBreak/>
        <w:t>and environmental conservation</w:t>
      </w:r>
      <w:r w:rsidR="00CA4D16">
        <w:t xml:space="preserve"> (</w:t>
      </w:r>
      <w:r w:rsidR="00CA4D16" w:rsidRPr="00CA4D16">
        <w:t>Cárdenas, Byrd, and Duffy,</w:t>
      </w:r>
      <w:r w:rsidR="00CA4D16">
        <w:t xml:space="preserve"> </w:t>
      </w:r>
      <w:r w:rsidR="00CA4D16" w:rsidRPr="00CA4D16">
        <w:t>2015</w:t>
      </w:r>
      <w:r w:rsidR="00CA4D16">
        <w:t>)</w:t>
      </w:r>
      <w:r>
        <w:t>. It encourages visitors to minimise their impact on the destination and engage in sustainable activities. Finally, sustainable tourism entails effective destination management, including the creation and implementation of sustainable tourism policies, regulations, and practices. It emphasises the need for collaboration and cooperation among stakeholders, including the government, local communities, tourism operators, and visitors. In conclusion, overall, sustainable tourism aims to create a positive and mutually beneficial relationship between tourism, the environment, and local communities, ensuring that tourism activities contribute to the long-term well-being and sustainability of destinations. ​</w:t>
      </w:r>
    </w:p>
    <w:p w14:paraId="36E50E3B" w14:textId="4D2DEB8F" w:rsidR="00AE0ADB" w:rsidRDefault="00AE0ADB" w:rsidP="00AE0ADB">
      <w:r>
        <w:t>Firms in this sector employ CSR strategies that incorporate most of these key principles of sustainable tourism. The CSR approaches encompass</w:t>
      </w:r>
      <w:r w:rsidR="00D14521">
        <w:t xml:space="preserve"> </w:t>
      </w:r>
      <w:r>
        <w:t>several aspects to consider, including voluntary actions, stakeholder involvement, commitment to social and environmental responsibilities, and adherence to economic responsibilities (Dahlsrud, 2008). The topic focuses on firms' ethical behaviour, their contribution to economic growth, and their efforts to improve the well-being of their employees, their families, the local community, and society as a whole. CSR entails enterprises surpassing their legal responsibilities and willingly undertaking measures to contribute to society and mitigate any adverse effects they might cause</w:t>
      </w:r>
      <w:r w:rsidR="00EA2110">
        <w:t xml:space="preserve"> (</w:t>
      </w:r>
      <w:r w:rsidR="00EA2110" w:rsidRPr="00EA2110">
        <w:t>Lantos, 2001</w:t>
      </w:r>
      <w:r w:rsidR="00EA2110">
        <w:t>)</w:t>
      </w:r>
      <w:r>
        <w:t>. The concept includes a variety of components, such as the physical surroundings, the interaction between businesses and society, socio-economic or financial factors, stakeholders or parties with an interest in the matter, and activities that are not mandated by legislation (Dahlsrud, 2008).</w:t>
      </w:r>
    </w:p>
    <w:p w14:paraId="4D78C7A0" w14:textId="607DE072" w:rsidR="00AE0ADB" w:rsidRDefault="00AE0ADB" w:rsidP="00AE0ADB">
      <w:r>
        <w:t>CSR initiatives in the hospitality industry can have a significant impact on sustainability practices in the following key areas: environmental protection, sustainable supply chain, community engagement, employee well-being and development, guest education and engagement, and philanthropy and social impact. CSR initiatives can focus on reducing the environmental footprint of hospitality operations</w:t>
      </w:r>
      <w:r w:rsidR="00DE5D0F">
        <w:t xml:space="preserve"> (</w:t>
      </w:r>
      <w:r w:rsidR="00DE5D0F" w:rsidRPr="00DE5D0F">
        <w:t>Rhou and Singal, 2020</w:t>
      </w:r>
      <w:r w:rsidR="00DE5D0F">
        <w:t>)</w:t>
      </w:r>
      <w:r>
        <w:t>. This can include implementing energy-efficient practices, reducing water consumption, minimising waste generation, and promoting recycling and composting. Moreover, CSR initiatives can encourage sustainable sourcing practices, such as procuring locally produced and organic food, using eco-friendly cleaning products, and partnering with suppliers that adhere to ethical and sustainable standards</w:t>
      </w:r>
      <w:r w:rsidR="00AD46E9">
        <w:t xml:space="preserve"> (Fernando et al., 2022)</w:t>
      </w:r>
      <w:r>
        <w:t>. Additionally,</w:t>
      </w:r>
      <w:r w:rsidR="00AD46E9">
        <w:t xml:space="preserve"> </w:t>
      </w:r>
      <w:r>
        <w:t xml:space="preserve">CSR programmes can involve </w:t>
      </w:r>
      <w:r>
        <w:lastRenderedPageBreak/>
        <w:t>engaging with local communities and supporting their social and economic development. This can include providing employment opportunities for local residents, supporting local businesses and artisans, and investing in community projects and infrastructure. CSR initiatives can also prioritise the well-being and development of employees. This can involve providing fair wages, promoting diversity and inclusion, offering training and career development opportunities, and ensuring a safe and healthy work environment. Moreover, CSR initiatives can educate and engage guests in sustainable practices. This can include providing information on sustainable tourism options, encouraging responsible behaviour (e.g., water and energy conservation), and offering eco-friendly amenities and services. Lastly, CSR initiatives can involve philanthropic activities and social impact projects</w:t>
      </w:r>
      <w:r w:rsidR="00D25459">
        <w:t xml:space="preserve"> (</w:t>
      </w:r>
      <w:r w:rsidR="00D25459" w:rsidRPr="00D25459">
        <w:t>Barnett, Henriques, and Husted, 2020</w:t>
      </w:r>
      <w:r w:rsidR="00D25459">
        <w:t>)</w:t>
      </w:r>
      <w:r>
        <w:t>.</w:t>
      </w:r>
      <w:r w:rsidR="00D25459">
        <w:t xml:space="preserve"> </w:t>
      </w:r>
      <w:r>
        <w:t>This can include supporting local charities and non-profit organisations, contributing to environmental conservation efforts, and addressing social issues such as poverty and inequality. By focusing on these key areas, CSR initiatives can drive positive change and contribute to the overall sustainability of the hospitality industry. ​</w:t>
      </w:r>
    </w:p>
    <w:p w14:paraId="2D8F1753" w14:textId="77777777" w:rsidR="00AE0ADB" w:rsidRDefault="00AE0ADB" w:rsidP="00AE0ADB">
      <w:r>
        <w:t>The challenges associated with implementing good CSR policies include resistance to change, reduced awareness and understanding, resource constraints, the complexity of the supply chain, and measuring the impact and effectiveness of CSR. On the other hand, the benefits of implementing good CSR policies include enhanced reputation and brand image, improved stakeholder relationships, cost savings and efficiency, talent attraction and retention, innovation and differentiation, long-term business sustainability, and so on. Overall, implementing good CSR policies presents both challenges and opportunities, but organisations that successfully navigate these challenges can reap the benefits of improved reputation, stakeholder relationships, cost savings, and long-term business sustainability.</w:t>
      </w:r>
    </w:p>
    <w:p w14:paraId="657E8897" w14:textId="50898C8B" w:rsidR="00AE0ADB" w:rsidRDefault="00AE0ADB" w:rsidP="00AE0ADB">
      <w:r>
        <w:t xml:space="preserve">Whitbread, the owner of the prominent hospitality brand Premier Inn and many bar and restaurant brands, has joined in 2022 the Sustainable Hospitality Alliance, a worldwide network dedicated to responsible hospitality (Hospitality Net, 2022). Whitbread's sustainability strategy, 'Force for Good', is </w:t>
      </w:r>
      <w:r w:rsidR="00284472">
        <w:t>committed</w:t>
      </w:r>
      <w:r>
        <w:t xml:space="preserve"> to </w:t>
      </w:r>
      <w:r w:rsidR="00284472">
        <w:t>guaranteeing</w:t>
      </w:r>
      <w:r>
        <w:t xml:space="preserve"> that their business has a </w:t>
      </w:r>
      <w:r w:rsidR="00284472">
        <w:t>positive</w:t>
      </w:r>
      <w:r>
        <w:t xml:space="preserve"> </w:t>
      </w:r>
      <w:r w:rsidR="00284472">
        <w:t>efect</w:t>
      </w:r>
      <w:r>
        <w:t xml:space="preserve"> on all of their stakeholders and the global community. In order to achieve this goal, the organisation has established long-term strategic objectives. Their objectives encompass achieving carbon neutrality by 2040, eradicating unnecessary disposable plastic by 2025, and reducing food waste by 50% by 2030 (Hospitality Net, 2022).</w:t>
      </w:r>
    </w:p>
    <w:p w14:paraId="424B06F6" w14:textId="77777777" w:rsidR="00AE0ADB" w:rsidRDefault="00AE0ADB" w:rsidP="00AE0ADB">
      <w:r>
        <w:lastRenderedPageBreak/>
        <w:t> </w:t>
      </w:r>
    </w:p>
    <w:p w14:paraId="5356D9BE" w14:textId="77777777" w:rsidR="00AE0ADB" w:rsidRDefault="00AE0ADB" w:rsidP="00AE0ADB">
      <w:r>
        <w:t>According to Whitbread's last Environmental, Social, and Governance (ESG) report (Premier Inn, 2024b), the main achievements of the 'Force for Good' CSR strategy relate to the environment, society, and business governance.</w:t>
      </w:r>
    </w:p>
    <w:p w14:paraId="45EC27B6" w14:textId="77777777" w:rsidR="00AE0ADB" w:rsidRDefault="00AE0ADB" w:rsidP="00AE0ADB">
      <w:r>
        <w:t>The company reported a reduction of carbon emissions by 50.1% against the 2016–17 baseline, while their target is to become net zero for carbon emissions by 2040. It also reported the reduction of food waste by 32.3% from the 2018 baseline year, minimization of water use across the business and championing water stewardship in high-risk areas, and diversion of 99.9% of operational waste from landfills (Premier Inn, 2024b).</w:t>
      </w:r>
    </w:p>
    <w:p w14:paraId="0FBC5B38" w14:textId="0E75862B" w:rsidR="00AE0ADB" w:rsidRDefault="00AE0ADB" w:rsidP="00AE0ADB">
      <w:r>
        <w:t>The company also reported an increase in female representation in the leadership population to 41%, support for apprenticeship programs with 274 team members completing their apprenticeships, promotion of internal succession, and support for cross-functional and meaningful career development (Premier Inn, 2024b). The social programs also included genuine listening to teams, the incorporation of their views in decision-making, and support for team members' physical, mental, and financial well-being. Moreover, it achieved a donation of 200 hours to local communities through new site openings and the measures implemented to be a leader in the sector for delicious, appealing, and healthier children's food</w:t>
      </w:r>
      <w:r w:rsidR="00284472">
        <w:t xml:space="preserve"> </w:t>
      </w:r>
      <w:r w:rsidR="00284472">
        <w:t>(Premier Inn, 2024b).</w:t>
      </w:r>
    </w:p>
    <w:p w14:paraId="48042E9D" w14:textId="77777777" w:rsidR="00AE0ADB" w:rsidRDefault="00AE0ADB" w:rsidP="00AE0ADB">
      <w:r>
        <w:t>Governance refers to the engagement with stakeholders, including shareholders, customers, government, industry bodies, team members, suppliers, and communities; materiality assessment to identify the most pressing and pertinent issues for the business; integration of sustainability strategy throughout the organisation; and external reporting against key indices (Premier Inn, 2024b). These achievements demonstrate Whitbread's commitment to being a force for good in terms of environmental sustainability, social responsibility, and strong governance practices. ​</w:t>
      </w:r>
    </w:p>
    <w:p w14:paraId="637D0A82" w14:textId="77777777" w:rsidR="00AE0ADB" w:rsidRDefault="00AE0ADB" w:rsidP="00AE0ADB">
      <w:r>
        <w:t> </w:t>
      </w:r>
    </w:p>
    <w:p w14:paraId="4F091663" w14:textId="7E33C1C1" w:rsidR="00AE0ADB" w:rsidRDefault="00AE0ADB" w:rsidP="00AE0ADB">
      <w:r>
        <w:t xml:space="preserve">Premier Inn strives to be an inclusive and representative employer, with a focus on fostering talent through the implementation of top-tier training and development programs, apprenticeships, and assistance for cross-functional and purposeful career growth. Another key aspect of the CSR strategy is to efficiently promote the physical and mental well-being of the workers (Premier Inn, 2024a). In addition, Premier Inn is committed to actively participating in the communities where they operate by engaging in charity fundraising, volunteering, and offering employment opportunities to local </w:t>
      </w:r>
      <w:r>
        <w:lastRenderedPageBreak/>
        <w:t xml:space="preserve">residents. Every time the corporation establishes a new hotel or restaurant, it provides financial assistance and endorsements to each staff member, allowing them to dedicate three hours of their time to a local cause that both they and the local community deeply care about. Activities encompass a wide range of possibilities, including but not limited to tree planting, community centre refurbishment, and contributions to food banks. Consequently, the company gains a deeper understanding of the areas in which they operate, and the community gains a more comprehensive view of Premier Inn's true identity. In addition, Premier Inn has been </w:t>
      </w:r>
      <w:r w:rsidR="00FC1795">
        <w:t>aiding</w:t>
      </w:r>
      <w:r>
        <w:t xml:space="preserve"> Great Ormond Street Hospital Children's Charity (GOSH Charity) </w:t>
      </w:r>
      <w:r w:rsidR="00FC1795">
        <w:t>for the last twelve years</w:t>
      </w:r>
      <w:r>
        <w:t xml:space="preserve"> (Premier Inn, 2024a). They have organised </w:t>
      </w:r>
      <w:r w:rsidR="00FC1795">
        <w:t>numerous</w:t>
      </w:r>
      <w:r>
        <w:t xml:space="preserve"> events, </w:t>
      </w:r>
      <w:r w:rsidR="00FC1795">
        <w:t>including</w:t>
      </w:r>
      <w:r>
        <w:t xml:space="preserve"> bed-ins and fun runs, to collect funds for critically ill children from all across the United Kingdom.</w:t>
      </w:r>
    </w:p>
    <w:p w14:paraId="2AACA2CB" w14:textId="004B9BF1" w:rsidR="00AE0ADB" w:rsidRDefault="00AE0ADB" w:rsidP="00AE0ADB">
      <w:r>
        <w:t xml:space="preserve">Within the next five years, the corporation has committed to donating £20 million to the GOSH Charity </w:t>
      </w:r>
      <w:r w:rsidR="00654521">
        <w:t>‘</w:t>
      </w:r>
      <w:r>
        <w:t>Build It, Beat It.</w:t>
      </w:r>
      <w:r w:rsidR="00654521">
        <w:t>’</w:t>
      </w:r>
      <w:r>
        <w:t xml:space="preserve"> appeal. This donation aims to support the construction of a </w:t>
      </w:r>
      <w:r w:rsidR="00D655EF">
        <w:t>worldwide</w:t>
      </w:r>
      <w:r>
        <w:t xml:space="preserve"> </w:t>
      </w:r>
      <w:r w:rsidR="00D655EF">
        <w:t>recognized</w:t>
      </w:r>
      <w:r>
        <w:t xml:space="preserve"> children's cancer centre at Great Ormond Street Hospital (Premier Inn, 2024a). The goal is to improve the quality of care for children with cancer and increase the number of lives saved. Furthermore, they consistently strive to improve the nutritional quality of the menu by reducing the levels of sugar, salt, and calories. Additionally, they will continue to create menus that cater to consumers with various dietary requirements</w:t>
      </w:r>
      <w:r w:rsidR="00B256FF">
        <w:t xml:space="preserve"> </w:t>
      </w:r>
      <w:r w:rsidR="00B256FF">
        <w:t>(Premier Inn, 2024a).</w:t>
      </w:r>
    </w:p>
    <w:p w14:paraId="43A63124" w14:textId="352E2E95" w:rsidR="00EC2F23" w:rsidRDefault="00AE0ADB" w:rsidP="00AE0ADB">
      <w:r>
        <w:t xml:space="preserve">This essay has examined the sustainability strategy of Premier Inn, exploring the </w:t>
      </w:r>
      <w:r w:rsidR="00D655EF">
        <w:t>effect</w:t>
      </w:r>
      <w:r>
        <w:t xml:space="preserve"> of corporate social responsibility on advancing sustainability in the hospitality sector. The text examined the critical domains in which CSR initiatives can exert the greatest influence on sustainability practices within the hotel industry. Premier Inn is Britain’s largest hotel chain, and it has a strong CSR strategy that aims to demonstrate that the company is a ‘force for good’. Whitbread's latest ESG report highlights the primary accomplishments of the 'Force for Good' CSR strategy in the areas of environment, society, and business governance.</w:t>
      </w:r>
    </w:p>
    <w:p w14:paraId="72CC3C35" w14:textId="59B8162E" w:rsidR="00EC2F23" w:rsidRPr="003A6E0E" w:rsidRDefault="00EC2F23" w:rsidP="003A6E0E">
      <w:pPr>
        <w:rPr>
          <w:rFonts w:ascii="Helvetica" w:hAnsi="Helvetica"/>
          <w:color w:val="333333"/>
          <w:shd w:val="clear" w:color="auto" w:fill="FFFFFF"/>
        </w:rPr>
      </w:pPr>
    </w:p>
    <w:p w14:paraId="21590028" w14:textId="77777777" w:rsidR="003A6E0E" w:rsidRPr="003A6E0E" w:rsidRDefault="003A6E0E" w:rsidP="003A6E0E">
      <w:pPr>
        <w:rPr>
          <w:rFonts w:ascii="Helvetica" w:hAnsi="Helvetica"/>
          <w:color w:val="333333"/>
          <w:shd w:val="clear" w:color="auto" w:fill="FFFFFF"/>
        </w:rPr>
      </w:pPr>
    </w:p>
    <w:p w14:paraId="3D566CFD" w14:textId="6E67B1DB" w:rsidR="00F9711C" w:rsidRPr="001F0885" w:rsidRDefault="00F9711C" w:rsidP="001F0885">
      <w:pPr>
        <w:rPr>
          <w:rFonts w:ascii="Helvetica" w:hAnsi="Helvetica"/>
          <w:color w:val="333333"/>
          <w:shd w:val="clear" w:color="auto" w:fill="FFFFFF"/>
        </w:rPr>
      </w:pPr>
    </w:p>
    <w:p w14:paraId="6F5FEFAA" w14:textId="3AB2CF70" w:rsidR="00BC50F5" w:rsidRDefault="00BC50F5" w:rsidP="00E93C7A"/>
    <w:p w14:paraId="44DEAB6D" w14:textId="77777777" w:rsidR="00BC50F5" w:rsidRDefault="00BC50F5" w:rsidP="00E93C7A"/>
    <w:p w14:paraId="041232EF" w14:textId="77777777" w:rsidR="00086754" w:rsidRDefault="00086754" w:rsidP="001D577C"/>
    <w:p w14:paraId="1D13A233" w14:textId="77777777" w:rsidR="00086754" w:rsidRDefault="00086754" w:rsidP="001D577C"/>
    <w:p w14:paraId="2BC3B127" w14:textId="227CA26D" w:rsidR="00086754" w:rsidRDefault="00086754" w:rsidP="00904A6A">
      <w:pPr>
        <w:rPr>
          <w:b/>
          <w:bCs/>
        </w:rPr>
      </w:pPr>
      <w:r w:rsidRPr="00904A6A">
        <w:rPr>
          <w:b/>
          <w:bCs/>
        </w:rPr>
        <w:t>References</w:t>
      </w:r>
    </w:p>
    <w:p w14:paraId="32BA5CB6" w14:textId="77777777" w:rsidR="00904A6A" w:rsidRPr="00904A6A" w:rsidRDefault="00904A6A" w:rsidP="00904A6A">
      <w:pPr>
        <w:rPr>
          <w:b/>
          <w:bCs/>
        </w:rPr>
      </w:pPr>
    </w:p>
    <w:p w14:paraId="5485EAB0" w14:textId="77777777" w:rsidR="00904A6A" w:rsidRPr="00036BE8" w:rsidRDefault="00904A6A" w:rsidP="00036BE8">
      <w:r w:rsidRPr="00036BE8">
        <w:t xml:space="preserve">Amerta, I.M.S., Sara, I.M. and Bagiada, K. </w:t>
      </w:r>
      <w:r>
        <w:t>(</w:t>
      </w:r>
      <w:r w:rsidRPr="00036BE8">
        <w:t>2018</w:t>
      </w:r>
      <w:r>
        <w:t>)</w:t>
      </w:r>
      <w:r w:rsidRPr="00036BE8">
        <w:t xml:space="preserve"> </w:t>
      </w:r>
      <w:r>
        <w:t>‘</w:t>
      </w:r>
      <w:r w:rsidRPr="00036BE8">
        <w:t>Sustainable tourism development</w:t>
      </w:r>
      <w:r>
        <w:t>’</w:t>
      </w:r>
      <w:r w:rsidRPr="00036BE8">
        <w:t xml:space="preserve">. </w:t>
      </w:r>
      <w:r w:rsidRPr="00036BE8">
        <w:rPr>
          <w:i/>
          <w:iCs/>
        </w:rPr>
        <w:t>International research journal of management, IT and social sciences</w:t>
      </w:r>
      <w:r w:rsidRPr="00036BE8">
        <w:t>, 5(2), pp.</w:t>
      </w:r>
      <w:r>
        <w:t xml:space="preserve"> </w:t>
      </w:r>
      <w:r w:rsidRPr="00036BE8">
        <w:t>248-254.</w:t>
      </w:r>
      <w:r>
        <w:t xml:space="preserve"> Available at: </w:t>
      </w:r>
      <w:hyperlink r:id="rId7" w:history="1">
        <w:r w:rsidRPr="00E15350">
          <w:rPr>
            <w:rStyle w:val="Hyperlink"/>
          </w:rPr>
          <w:t>https://doi.org/10.21744/irjmis.v5i2.674</w:t>
        </w:r>
      </w:hyperlink>
      <w:r>
        <w:t xml:space="preserve"> </w:t>
      </w:r>
    </w:p>
    <w:p w14:paraId="30893DF3" w14:textId="77777777" w:rsidR="00904A6A" w:rsidRPr="008C25A9" w:rsidRDefault="00904A6A" w:rsidP="008C25A9">
      <w:r w:rsidRPr="008C25A9">
        <w:t xml:space="preserve">Barnett, M.L., Henriques, I. and Husted, B.W. </w:t>
      </w:r>
      <w:r>
        <w:t>(</w:t>
      </w:r>
      <w:r w:rsidRPr="008C25A9">
        <w:t>2020</w:t>
      </w:r>
      <w:r>
        <w:t>)</w:t>
      </w:r>
      <w:r w:rsidRPr="008C25A9">
        <w:t xml:space="preserve"> </w:t>
      </w:r>
      <w:r>
        <w:t>‘</w:t>
      </w:r>
      <w:r w:rsidRPr="008C25A9">
        <w:t>Beyond good intentions: Designing CSR initiatives for greater social impact</w:t>
      </w:r>
      <w:r>
        <w:t>’</w:t>
      </w:r>
      <w:r w:rsidRPr="008C25A9">
        <w:t xml:space="preserve">. </w:t>
      </w:r>
      <w:r w:rsidRPr="008C25A9">
        <w:rPr>
          <w:i/>
          <w:iCs/>
        </w:rPr>
        <w:t>Journal of Management</w:t>
      </w:r>
      <w:r w:rsidRPr="008C25A9">
        <w:t>, 46(6), pp.</w:t>
      </w:r>
      <w:r>
        <w:t xml:space="preserve"> </w:t>
      </w:r>
      <w:r w:rsidRPr="008C25A9">
        <w:t>937-964.</w:t>
      </w:r>
      <w:r>
        <w:t xml:space="preserve"> Available at: </w:t>
      </w:r>
      <w:hyperlink r:id="rId8" w:history="1">
        <w:r w:rsidRPr="00E15350">
          <w:rPr>
            <w:rStyle w:val="Hyperlink"/>
          </w:rPr>
          <w:t>https://doi.org/10.1177/0149206319900539</w:t>
        </w:r>
      </w:hyperlink>
      <w:r>
        <w:t xml:space="preserve"> </w:t>
      </w:r>
    </w:p>
    <w:p w14:paraId="1C1A6F38" w14:textId="77777777" w:rsidR="00904A6A" w:rsidRPr="00654B67" w:rsidRDefault="00904A6A" w:rsidP="00654B67">
      <w:r w:rsidRPr="00654B67">
        <w:t xml:space="preserve">Brokaj, R. </w:t>
      </w:r>
      <w:r>
        <w:t>(</w:t>
      </w:r>
      <w:r w:rsidRPr="00654B67">
        <w:t>2014</w:t>
      </w:r>
      <w:r>
        <w:t>)</w:t>
      </w:r>
      <w:r w:rsidRPr="00654B67">
        <w:t xml:space="preserve"> </w:t>
      </w:r>
      <w:r>
        <w:t>‘</w:t>
      </w:r>
      <w:r w:rsidRPr="00654B67">
        <w:t>Local Governments role in the sustainable tourism development of a destination</w:t>
      </w:r>
      <w:r>
        <w:t>’</w:t>
      </w:r>
      <w:r w:rsidRPr="00654B67">
        <w:t xml:space="preserve">. </w:t>
      </w:r>
      <w:r w:rsidRPr="00654B67">
        <w:rPr>
          <w:i/>
          <w:iCs/>
        </w:rPr>
        <w:t>European scientific journal</w:t>
      </w:r>
      <w:r w:rsidRPr="00654B67">
        <w:t>, 10(31)</w:t>
      </w:r>
      <w:r>
        <w:t xml:space="preserve">, pp. 103-118. Available at: </w:t>
      </w:r>
      <w:hyperlink r:id="rId9" w:history="1">
        <w:r w:rsidRPr="00E15350">
          <w:rPr>
            <w:rStyle w:val="Hyperlink"/>
          </w:rPr>
          <w:t>https://www.academia.edu/download/73168742/4571-Article_Text-13276-1-10-20141128.pdf</w:t>
        </w:r>
      </w:hyperlink>
      <w:r>
        <w:t xml:space="preserve"> </w:t>
      </w:r>
    </w:p>
    <w:p w14:paraId="3D2965F3" w14:textId="77777777" w:rsidR="00904A6A" w:rsidRPr="00CA4D16" w:rsidRDefault="00904A6A" w:rsidP="00CA4D16">
      <w:r w:rsidRPr="00CA4D16">
        <w:t>Cárdenas, D.A., Byrd, E.T. and Duffy, L.N.</w:t>
      </w:r>
      <w:r>
        <w:t xml:space="preserve"> (</w:t>
      </w:r>
      <w:r w:rsidRPr="00CA4D16">
        <w:t>2015</w:t>
      </w:r>
      <w:r>
        <w:t>)</w:t>
      </w:r>
      <w:r w:rsidRPr="00CA4D16">
        <w:t xml:space="preserve"> </w:t>
      </w:r>
      <w:r>
        <w:t>‘</w:t>
      </w:r>
      <w:r w:rsidRPr="00CA4D16">
        <w:t>An exploratory study of community awareness of impacts and agreement to sustainable tourism development principles</w:t>
      </w:r>
      <w:r>
        <w:t>’</w:t>
      </w:r>
      <w:r w:rsidRPr="00CA4D16">
        <w:t xml:space="preserve">. </w:t>
      </w:r>
      <w:r w:rsidRPr="00CA4D16">
        <w:rPr>
          <w:i/>
          <w:iCs/>
        </w:rPr>
        <w:t>Tourism and Hospitality Research</w:t>
      </w:r>
      <w:r w:rsidRPr="00CA4D16">
        <w:t>, 15(4), pp.</w:t>
      </w:r>
      <w:r>
        <w:t xml:space="preserve"> </w:t>
      </w:r>
      <w:r w:rsidRPr="00CA4D16">
        <w:t>254-266.</w:t>
      </w:r>
      <w:r>
        <w:t xml:space="preserve"> Available at: </w:t>
      </w:r>
      <w:hyperlink r:id="rId10" w:history="1">
        <w:r w:rsidRPr="00E15350">
          <w:rPr>
            <w:rStyle w:val="Hyperlink"/>
          </w:rPr>
          <w:t>https://doi.org/10.1177/1467358415580359</w:t>
        </w:r>
      </w:hyperlink>
      <w:r>
        <w:t xml:space="preserve"> </w:t>
      </w:r>
    </w:p>
    <w:p w14:paraId="7838F45D" w14:textId="77777777" w:rsidR="00904A6A" w:rsidRPr="00962D3B" w:rsidRDefault="00904A6A" w:rsidP="00962D3B">
      <w:r w:rsidRPr="00962D3B">
        <w:t>Cleverdon, R. and Kalisch, A.</w:t>
      </w:r>
      <w:r>
        <w:t xml:space="preserve"> (</w:t>
      </w:r>
      <w:r w:rsidRPr="00962D3B">
        <w:t>2000</w:t>
      </w:r>
      <w:r>
        <w:t>)</w:t>
      </w:r>
      <w:r w:rsidRPr="00962D3B">
        <w:t xml:space="preserve"> </w:t>
      </w:r>
      <w:r>
        <w:t>‘</w:t>
      </w:r>
      <w:r w:rsidRPr="00962D3B">
        <w:t>Fair trade in tourism</w:t>
      </w:r>
      <w:r>
        <w:t>’</w:t>
      </w:r>
      <w:r w:rsidRPr="00962D3B">
        <w:t xml:space="preserve">. </w:t>
      </w:r>
      <w:r w:rsidRPr="00962D3B">
        <w:rPr>
          <w:i/>
          <w:iCs/>
        </w:rPr>
        <w:t>International journal of tourism research</w:t>
      </w:r>
      <w:r w:rsidRPr="00962D3B">
        <w:t>, 2(3), pp.</w:t>
      </w:r>
      <w:r>
        <w:t xml:space="preserve"> </w:t>
      </w:r>
      <w:r w:rsidRPr="00962D3B">
        <w:t>171-187.</w:t>
      </w:r>
      <w:r>
        <w:t xml:space="preserve"> Available at: </w:t>
      </w:r>
    </w:p>
    <w:p w14:paraId="3C0392DD" w14:textId="77777777" w:rsidR="00904A6A" w:rsidRDefault="00904A6A" w:rsidP="001D577C">
      <w:r w:rsidRPr="004A3F94">
        <w:t>Dahlsrud, A.</w:t>
      </w:r>
      <w:r>
        <w:t xml:space="preserve"> (</w:t>
      </w:r>
      <w:r w:rsidRPr="004A3F94">
        <w:t>2008</w:t>
      </w:r>
      <w:r>
        <w:t>)</w:t>
      </w:r>
      <w:r w:rsidRPr="004A3F94">
        <w:t xml:space="preserve"> </w:t>
      </w:r>
      <w:r>
        <w:t>‘</w:t>
      </w:r>
      <w:r w:rsidRPr="004A3F94">
        <w:t>How corporate social responsibility is defined: an analysis of 37 definitions</w:t>
      </w:r>
      <w:r>
        <w:t>’</w:t>
      </w:r>
      <w:r w:rsidRPr="004A3F94">
        <w:t xml:space="preserve">. </w:t>
      </w:r>
      <w:r w:rsidRPr="004A3F94">
        <w:rPr>
          <w:i/>
          <w:iCs/>
        </w:rPr>
        <w:t>Corporate social responsibility and environmental management</w:t>
      </w:r>
      <w:r w:rsidRPr="004A3F94">
        <w:t>, 15(1), pp.</w:t>
      </w:r>
      <w:r>
        <w:t xml:space="preserve"> </w:t>
      </w:r>
      <w:r w:rsidRPr="004A3F94">
        <w:t>1-13.</w:t>
      </w:r>
      <w:r>
        <w:t xml:space="preserve"> Available at: </w:t>
      </w:r>
      <w:hyperlink r:id="rId11" w:history="1">
        <w:r w:rsidRPr="00E15350">
          <w:rPr>
            <w:rStyle w:val="Hyperlink"/>
          </w:rPr>
          <w:t>https://doi.org/10.1002/csr.132</w:t>
        </w:r>
      </w:hyperlink>
      <w:r>
        <w:t xml:space="preserve"> </w:t>
      </w:r>
    </w:p>
    <w:p w14:paraId="70260485" w14:textId="77777777" w:rsidR="00904A6A" w:rsidRPr="0013733E" w:rsidRDefault="00904A6A" w:rsidP="0013733E">
      <w:r w:rsidRPr="0013733E">
        <w:t>Dangi, T.B. and Jamal, T.</w:t>
      </w:r>
      <w:r>
        <w:t xml:space="preserve"> (</w:t>
      </w:r>
      <w:r w:rsidRPr="0013733E">
        <w:t>2016</w:t>
      </w:r>
      <w:r>
        <w:t>)</w:t>
      </w:r>
      <w:r w:rsidRPr="0013733E">
        <w:t xml:space="preserve"> </w:t>
      </w:r>
      <w:r>
        <w:t>‘</w:t>
      </w:r>
      <w:r w:rsidRPr="0013733E">
        <w:t>An integrated approach to “sustainable community-based tourism”</w:t>
      </w:r>
      <w:r>
        <w:t>’</w:t>
      </w:r>
      <w:r w:rsidRPr="0013733E">
        <w:t xml:space="preserve">. </w:t>
      </w:r>
      <w:r w:rsidRPr="0013733E">
        <w:rPr>
          <w:i/>
          <w:iCs/>
        </w:rPr>
        <w:t>Sustainability</w:t>
      </w:r>
      <w:r w:rsidRPr="0013733E">
        <w:t>, 8(5), p.</w:t>
      </w:r>
      <w:r>
        <w:t xml:space="preserve"> </w:t>
      </w:r>
      <w:r w:rsidRPr="0013733E">
        <w:t>475.</w:t>
      </w:r>
      <w:r>
        <w:t xml:space="preserve"> Available at: </w:t>
      </w:r>
      <w:hyperlink r:id="rId12" w:history="1">
        <w:r w:rsidRPr="00E15350">
          <w:rPr>
            <w:rStyle w:val="Hyperlink"/>
          </w:rPr>
          <w:t>https://doi.org/10.3390/su8050475</w:t>
        </w:r>
      </w:hyperlink>
      <w:r>
        <w:t xml:space="preserve"> </w:t>
      </w:r>
    </w:p>
    <w:p w14:paraId="7D885328" w14:textId="77777777" w:rsidR="00904A6A" w:rsidRPr="00AD46E9" w:rsidRDefault="00904A6A" w:rsidP="00AD46E9">
      <w:r w:rsidRPr="00AD46E9">
        <w:t xml:space="preserve">Fernando, Y., Halili, M., Tseng, M.L., Tseng, J.W. and Lim, M.K. </w:t>
      </w:r>
      <w:r>
        <w:t>(</w:t>
      </w:r>
      <w:r w:rsidRPr="00AD46E9">
        <w:t>2022</w:t>
      </w:r>
      <w:r>
        <w:t>)</w:t>
      </w:r>
      <w:r w:rsidRPr="00AD46E9">
        <w:t xml:space="preserve"> </w:t>
      </w:r>
      <w:r>
        <w:t>‘</w:t>
      </w:r>
      <w:r w:rsidRPr="00AD46E9">
        <w:t>Sustainable social supply chain practices and firm social performance: Framework and empirical evidence</w:t>
      </w:r>
      <w:r>
        <w:t>’</w:t>
      </w:r>
      <w:r w:rsidRPr="00AD46E9">
        <w:t xml:space="preserve">. </w:t>
      </w:r>
      <w:r w:rsidRPr="00AD46E9">
        <w:rPr>
          <w:i/>
          <w:iCs/>
        </w:rPr>
        <w:t>Sustainable Production and Consumption</w:t>
      </w:r>
      <w:r w:rsidRPr="00AD46E9">
        <w:t>, 32, pp.</w:t>
      </w:r>
      <w:r>
        <w:t xml:space="preserve"> </w:t>
      </w:r>
      <w:r w:rsidRPr="00AD46E9">
        <w:t>160-172.</w:t>
      </w:r>
      <w:r>
        <w:t xml:space="preserve"> Available at: </w:t>
      </w:r>
      <w:hyperlink r:id="rId13" w:history="1">
        <w:r w:rsidRPr="00E15350">
          <w:rPr>
            <w:rStyle w:val="Hyperlink"/>
          </w:rPr>
          <w:t>https://doi.org/10.1016/j.spc.2022.04.020</w:t>
        </w:r>
      </w:hyperlink>
      <w:r>
        <w:t xml:space="preserve"> </w:t>
      </w:r>
    </w:p>
    <w:p w14:paraId="71EB14A6" w14:textId="77777777" w:rsidR="00904A6A" w:rsidRPr="0018626A" w:rsidRDefault="00904A6A" w:rsidP="0018626A">
      <w:r w:rsidRPr="0018626A">
        <w:t>Gibson, R.B.</w:t>
      </w:r>
      <w:r>
        <w:t xml:space="preserve"> (</w:t>
      </w:r>
      <w:r w:rsidRPr="0018626A">
        <w:t>2006</w:t>
      </w:r>
      <w:r>
        <w:t>)</w:t>
      </w:r>
      <w:r w:rsidRPr="0018626A">
        <w:t xml:space="preserve"> </w:t>
      </w:r>
      <w:r>
        <w:t>‘</w:t>
      </w:r>
      <w:r w:rsidRPr="0018626A">
        <w:t>Sustainability assessment: basic components of a practical approach</w:t>
      </w:r>
      <w:r>
        <w:t>’</w:t>
      </w:r>
      <w:r w:rsidRPr="0018626A">
        <w:t xml:space="preserve">. </w:t>
      </w:r>
      <w:r w:rsidRPr="0018626A">
        <w:rPr>
          <w:i/>
          <w:iCs/>
        </w:rPr>
        <w:t>Impact assessment and project appraisal</w:t>
      </w:r>
      <w:r w:rsidRPr="0018626A">
        <w:t>, 24(3), pp.</w:t>
      </w:r>
      <w:r>
        <w:t xml:space="preserve"> </w:t>
      </w:r>
      <w:r w:rsidRPr="0018626A">
        <w:t>170-182.</w:t>
      </w:r>
      <w:r>
        <w:t xml:space="preserve"> Available at: </w:t>
      </w:r>
      <w:hyperlink r:id="rId14" w:history="1">
        <w:r w:rsidRPr="00E15350">
          <w:rPr>
            <w:rStyle w:val="Hyperlink"/>
          </w:rPr>
          <w:t>https://doi.org/10.3152/147154606781765147</w:t>
        </w:r>
      </w:hyperlink>
      <w:r>
        <w:t xml:space="preserve"> </w:t>
      </w:r>
    </w:p>
    <w:p w14:paraId="62840C87" w14:textId="77777777" w:rsidR="00904A6A" w:rsidRDefault="00904A6A" w:rsidP="00654B67">
      <w:r w:rsidRPr="00654B67">
        <w:lastRenderedPageBreak/>
        <w:t>Gössling, S., Hall, C.M. and Weaver, D.B.</w:t>
      </w:r>
      <w:r>
        <w:t xml:space="preserve"> (</w:t>
      </w:r>
      <w:r w:rsidRPr="00654B67">
        <w:t>2009</w:t>
      </w:r>
      <w:r>
        <w:t>)</w:t>
      </w:r>
      <w:r w:rsidRPr="00654B67">
        <w:t xml:space="preserve"> </w:t>
      </w:r>
      <w:r>
        <w:t>‘</w:t>
      </w:r>
      <w:r w:rsidRPr="00654B67">
        <w:t>Sustainable tourism futures: Perspectives on systems, restructuring and innovations</w:t>
      </w:r>
      <w:r>
        <w:t>’</w:t>
      </w:r>
      <w:r w:rsidRPr="00654B67">
        <w:t xml:space="preserve">. In </w:t>
      </w:r>
      <w:r w:rsidRPr="00654B67">
        <w:rPr>
          <w:i/>
          <w:iCs/>
        </w:rPr>
        <w:t>Sustainable tourism futures</w:t>
      </w:r>
      <w:r>
        <w:rPr>
          <w:i/>
          <w:iCs/>
        </w:rPr>
        <w:t>.</w:t>
      </w:r>
      <w:r w:rsidRPr="00654B67">
        <w:t xml:space="preserve"> </w:t>
      </w:r>
      <w:r>
        <w:t xml:space="preserve">London: </w:t>
      </w:r>
      <w:r w:rsidRPr="00654B67">
        <w:t>Routledge</w:t>
      </w:r>
      <w:r>
        <w:t xml:space="preserve">, </w:t>
      </w:r>
      <w:r w:rsidRPr="00654B67">
        <w:t>pp. 1-16.</w:t>
      </w:r>
    </w:p>
    <w:p w14:paraId="7EE18A5B" w14:textId="77777777" w:rsidR="00904A6A" w:rsidRDefault="00904A6A" w:rsidP="001D577C">
      <w:r w:rsidRPr="00086754">
        <w:t>Hajian, M. and Kashani, S.J.</w:t>
      </w:r>
      <w:r>
        <w:t xml:space="preserve"> (</w:t>
      </w:r>
      <w:r w:rsidRPr="00086754">
        <w:t>2021</w:t>
      </w:r>
      <w:r>
        <w:t>)</w:t>
      </w:r>
      <w:r w:rsidRPr="00086754">
        <w:t xml:space="preserve"> </w:t>
      </w:r>
      <w:r>
        <w:t>‘</w:t>
      </w:r>
      <w:r w:rsidRPr="00086754">
        <w:t>Evolution of the concept of sustainability. From Brundtland Report to sustainable development goals</w:t>
      </w:r>
      <w:r>
        <w:t>’</w:t>
      </w:r>
      <w:r w:rsidRPr="00086754">
        <w:t xml:space="preserve">. In Hussain, </w:t>
      </w:r>
      <w:r>
        <w:t xml:space="preserve">C.M., and </w:t>
      </w:r>
      <w:r w:rsidRPr="00086754">
        <w:t>Velasco-Muñoz,</w:t>
      </w:r>
      <w:r>
        <w:t xml:space="preserve"> J.F. (eds) </w:t>
      </w:r>
      <w:r w:rsidRPr="00086754">
        <w:rPr>
          <w:i/>
          <w:iCs/>
        </w:rPr>
        <w:t>Sustainable resource management</w:t>
      </w:r>
      <w:r>
        <w:rPr>
          <w:i/>
          <w:iCs/>
        </w:rPr>
        <w:t>,</w:t>
      </w:r>
      <w:r w:rsidRPr="00086754">
        <w:t xml:space="preserve"> Elsevier</w:t>
      </w:r>
      <w:r>
        <w:t xml:space="preserve">, </w:t>
      </w:r>
      <w:r w:rsidRPr="00086754">
        <w:t>pp. 1-24.</w:t>
      </w:r>
    </w:p>
    <w:p w14:paraId="2D85B3CE" w14:textId="77777777" w:rsidR="00904A6A" w:rsidRDefault="00904A6A" w:rsidP="001D577C">
      <w:r>
        <w:t xml:space="preserve">Hospitality Net (2022) </w:t>
      </w:r>
      <w:r w:rsidRPr="004E4A8A">
        <w:rPr>
          <w:i/>
          <w:iCs/>
        </w:rPr>
        <w:t>UK’s biggest hotel brand, Whitbread, builds on its commitment to sustainability by joining the Sustainable Hospitality Alliance</w:t>
      </w:r>
      <w:r>
        <w:t xml:space="preserve">. Available at: </w:t>
      </w:r>
      <w:hyperlink r:id="rId15" w:history="1">
        <w:r w:rsidRPr="00E15350">
          <w:rPr>
            <w:rStyle w:val="Hyperlink"/>
          </w:rPr>
          <w:t>https://www.hospitalitynet.org/news/4113783.html</w:t>
        </w:r>
      </w:hyperlink>
      <w:r>
        <w:t xml:space="preserve"> </w:t>
      </w:r>
      <w:r>
        <w:t xml:space="preserve">(Accessed </w:t>
      </w:r>
      <w:r>
        <w:t>7</w:t>
      </w:r>
      <w:r>
        <w:t xml:space="preserve"> May 2024)</w:t>
      </w:r>
    </w:p>
    <w:p w14:paraId="7D4FAB4B" w14:textId="77777777" w:rsidR="00904A6A" w:rsidRPr="00EA2110" w:rsidRDefault="00904A6A" w:rsidP="00EA2110">
      <w:r w:rsidRPr="00EA2110">
        <w:t>Lantos, G.P.</w:t>
      </w:r>
      <w:r>
        <w:t xml:space="preserve"> (</w:t>
      </w:r>
      <w:r w:rsidRPr="00EA2110">
        <w:t>2001</w:t>
      </w:r>
      <w:r>
        <w:t>)</w:t>
      </w:r>
      <w:r w:rsidRPr="00EA2110">
        <w:t xml:space="preserve"> </w:t>
      </w:r>
      <w:r>
        <w:t>‘</w:t>
      </w:r>
      <w:r w:rsidRPr="00EA2110">
        <w:t>The boundaries of strategic corporate social responsibility</w:t>
      </w:r>
      <w:r>
        <w:t>’</w:t>
      </w:r>
      <w:r w:rsidRPr="00EA2110">
        <w:t xml:space="preserve">. </w:t>
      </w:r>
      <w:r w:rsidRPr="00EA2110">
        <w:rPr>
          <w:i/>
          <w:iCs/>
        </w:rPr>
        <w:t>Journal of consumer marketing</w:t>
      </w:r>
      <w:r w:rsidRPr="00EA2110">
        <w:t>, 18(7), pp.</w:t>
      </w:r>
      <w:r>
        <w:t xml:space="preserve"> </w:t>
      </w:r>
      <w:r w:rsidRPr="00EA2110">
        <w:t>595-632.</w:t>
      </w:r>
      <w:r>
        <w:t xml:space="preserve"> Available at: </w:t>
      </w:r>
      <w:hyperlink r:id="rId16" w:history="1">
        <w:r w:rsidRPr="00E15350">
          <w:rPr>
            <w:rStyle w:val="Hyperlink"/>
          </w:rPr>
          <w:t>https://doi.org/10.1108/07363760110410281</w:t>
        </w:r>
      </w:hyperlink>
      <w:r>
        <w:t xml:space="preserve"> </w:t>
      </w:r>
    </w:p>
    <w:p w14:paraId="746B44B1" w14:textId="77777777" w:rsidR="00904A6A" w:rsidRPr="005A5345" w:rsidRDefault="00904A6A" w:rsidP="005A5345">
      <w:r w:rsidRPr="005A5345">
        <w:t>Neto, F.</w:t>
      </w:r>
      <w:r>
        <w:t xml:space="preserve"> (</w:t>
      </w:r>
      <w:r w:rsidRPr="005A5345">
        <w:t>1990</w:t>
      </w:r>
      <w:r>
        <w:t>)</w:t>
      </w:r>
      <w:r w:rsidRPr="005A5345">
        <w:t xml:space="preserve"> </w:t>
      </w:r>
      <w:r>
        <w:t>‘</w:t>
      </w:r>
      <w:r w:rsidRPr="005A5345">
        <w:t>Sustainable tourism, environmental protection and natural resource management: paradise on Earth?</w:t>
      </w:r>
      <w:r>
        <w:t>’</w:t>
      </w:r>
      <w:r w:rsidRPr="005A5345">
        <w:t xml:space="preserve">. </w:t>
      </w:r>
      <w:r w:rsidRPr="005A5345">
        <w:rPr>
          <w:i/>
          <w:iCs/>
        </w:rPr>
        <w:t>Growth</w:t>
      </w:r>
      <w:r w:rsidRPr="005A5345">
        <w:t>, 1999</w:t>
      </w:r>
      <w:r>
        <w:t xml:space="preserve">. Available at: </w:t>
      </w:r>
      <w:hyperlink r:id="rId17" w:history="1">
        <w:r w:rsidRPr="00E15350">
          <w:rPr>
            <w:rStyle w:val="Hyperlink"/>
          </w:rPr>
          <w:t>https://www.academia.edu/download/6611163/unpan002600.pdf</w:t>
        </w:r>
      </w:hyperlink>
      <w:r>
        <w:t xml:space="preserve"> </w:t>
      </w:r>
    </w:p>
    <w:p w14:paraId="52374298" w14:textId="77777777" w:rsidR="00904A6A" w:rsidRDefault="00904A6A" w:rsidP="001D577C">
      <w:r>
        <w:t xml:space="preserve">Premier Inn (2024a) </w:t>
      </w:r>
      <w:r w:rsidRPr="00E97320">
        <w:rPr>
          <w:i/>
          <w:iCs/>
        </w:rPr>
        <w:t>We're a Force for Good</w:t>
      </w:r>
      <w:r>
        <w:t xml:space="preserve">. </w:t>
      </w:r>
      <w:r>
        <w:t>Available at:</w:t>
      </w:r>
      <w:r w:rsidRPr="00E97320">
        <w:t xml:space="preserve"> </w:t>
      </w:r>
      <w:hyperlink r:id="rId18" w:history="1">
        <w:r w:rsidRPr="00E15350">
          <w:rPr>
            <w:rStyle w:val="Hyperlink"/>
          </w:rPr>
          <w:t>https://www.premierinn.com/gb/en/why/force-for-good.html</w:t>
        </w:r>
      </w:hyperlink>
      <w:r>
        <w:t xml:space="preserve"> (Accessed 2 May 2024)</w:t>
      </w:r>
    </w:p>
    <w:p w14:paraId="2D02AAA5" w14:textId="77777777" w:rsidR="00904A6A" w:rsidRDefault="00904A6A" w:rsidP="001D577C">
      <w:r>
        <w:t>Premier Inn (2024</w:t>
      </w:r>
      <w:r>
        <w:t>b</w:t>
      </w:r>
      <w:r>
        <w:t>)</w:t>
      </w:r>
      <w:r>
        <w:t xml:space="preserve"> Environmental, Social and Governance Report 2021/2022. Available at: </w:t>
      </w:r>
      <w:hyperlink r:id="rId19" w:history="1">
        <w:r w:rsidRPr="00E15350">
          <w:rPr>
            <w:rStyle w:val="Hyperlink"/>
          </w:rPr>
          <w:t>https://cdn.whitbread.co.uk/media/2023/07/Whitbread_ESG_Report_2022.pdf</w:t>
        </w:r>
      </w:hyperlink>
      <w:r>
        <w:t xml:space="preserve"> </w:t>
      </w:r>
      <w:r>
        <w:t xml:space="preserve">(Accessed </w:t>
      </w:r>
      <w:r>
        <w:t>8</w:t>
      </w:r>
      <w:r>
        <w:t xml:space="preserve"> May 2024)</w:t>
      </w:r>
    </w:p>
    <w:p w14:paraId="5A594538" w14:textId="77777777" w:rsidR="00904A6A" w:rsidRPr="00DE5D0F" w:rsidRDefault="00904A6A" w:rsidP="00DE5D0F">
      <w:r w:rsidRPr="00DE5D0F">
        <w:t>Rhou, Y. and Singal, M.</w:t>
      </w:r>
      <w:r>
        <w:t xml:space="preserve"> (</w:t>
      </w:r>
      <w:r w:rsidRPr="00DE5D0F">
        <w:t>2020</w:t>
      </w:r>
      <w:r>
        <w:t>)</w:t>
      </w:r>
      <w:r w:rsidRPr="00DE5D0F">
        <w:t xml:space="preserve"> </w:t>
      </w:r>
      <w:r>
        <w:t>‘</w:t>
      </w:r>
      <w:r w:rsidRPr="00DE5D0F">
        <w:t>A review of the business case for CSR in the hospitality industry</w:t>
      </w:r>
      <w:r>
        <w:t>’</w:t>
      </w:r>
      <w:r w:rsidRPr="00DE5D0F">
        <w:t xml:space="preserve">. </w:t>
      </w:r>
      <w:r w:rsidRPr="00DE5D0F">
        <w:rPr>
          <w:i/>
          <w:iCs/>
        </w:rPr>
        <w:t>International Journal of Hospitality Management</w:t>
      </w:r>
      <w:r w:rsidRPr="00DE5D0F">
        <w:t>, 84</w:t>
      </w:r>
      <w:r>
        <w:t xml:space="preserve">. Available at: </w:t>
      </w:r>
      <w:hyperlink r:id="rId20" w:history="1">
        <w:r w:rsidRPr="00E15350">
          <w:rPr>
            <w:rStyle w:val="Hyperlink"/>
          </w:rPr>
          <w:t>https://doi.org/10.1016/j.ijhm.2019.102330</w:t>
        </w:r>
      </w:hyperlink>
      <w:r>
        <w:t xml:space="preserve"> </w:t>
      </w:r>
    </w:p>
    <w:p w14:paraId="2DC167E9" w14:textId="77777777" w:rsidR="00904A6A" w:rsidRPr="005A5345" w:rsidRDefault="00904A6A" w:rsidP="005A5345">
      <w:r w:rsidRPr="005A5345">
        <w:t>Salman, A., Jaafar, M. and Mohamad, D.</w:t>
      </w:r>
      <w:r>
        <w:t xml:space="preserve"> (</w:t>
      </w:r>
      <w:r w:rsidRPr="005A5345">
        <w:t>2020</w:t>
      </w:r>
      <w:r>
        <w:t>)</w:t>
      </w:r>
      <w:r w:rsidRPr="005A5345">
        <w:t xml:space="preserve"> </w:t>
      </w:r>
      <w:r>
        <w:t>‘</w:t>
      </w:r>
      <w:r w:rsidRPr="005A5345">
        <w:t>A comprehensive review of the role of Ecotourism in sustainable tourism development</w:t>
      </w:r>
      <w:r>
        <w:t>’</w:t>
      </w:r>
      <w:r w:rsidRPr="005A5345">
        <w:t xml:space="preserve">. </w:t>
      </w:r>
      <w:r w:rsidRPr="005A5345">
        <w:rPr>
          <w:i/>
          <w:iCs/>
        </w:rPr>
        <w:t>E-Review of Tourism Research</w:t>
      </w:r>
      <w:r w:rsidRPr="005A5345">
        <w:t>, 18(2), pp.</w:t>
      </w:r>
      <w:r>
        <w:t xml:space="preserve"> </w:t>
      </w:r>
      <w:r w:rsidRPr="005A5345">
        <w:t>215-233.</w:t>
      </w:r>
      <w:r>
        <w:t xml:space="preserve"> Available at: </w:t>
      </w:r>
      <w:hyperlink r:id="rId21" w:history="1">
        <w:r w:rsidRPr="00E15350">
          <w:rPr>
            <w:rStyle w:val="Hyperlink"/>
          </w:rPr>
          <w:t>https://ertr-ojs-tamu.tdl.org/ertr/article/view/482</w:t>
        </w:r>
      </w:hyperlink>
      <w:r>
        <w:t xml:space="preserve"> </w:t>
      </w:r>
    </w:p>
    <w:p w14:paraId="6FBC2511" w14:textId="77777777" w:rsidR="00904A6A" w:rsidRDefault="00904A6A" w:rsidP="001D577C">
      <w:r w:rsidRPr="00984773">
        <w:t>White, V., McCrum, G., Blackstock, K.L. and Scott, A.</w:t>
      </w:r>
      <w:r>
        <w:t xml:space="preserve"> (</w:t>
      </w:r>
      <w:r w:rsidRPr="00984773">
        <w:t>2006</w:t>
      </w:r>
      <w:r>
        <w:t>)</w:t>
      </w:r>
      <w:r w:rsidRPr="00984773">
        <w:t xml:space="preserve"> </w:t>
      </w:r>
      <w:r w:rsidRPr="00984773">
        <w:rPr>
          <w:i/>
          <w:iCs/>
        </w:rPr>
        <w:t>Indicators and sustainable tourism: Literature review</w:t>
      </w:r>
      <w:r w:rsidRPr="00984773">
        <w:t>. Macaulay Institute: Aberdeen, UK.</w:t>
      </w:r>
    </w:p>
    <w:p w14:paraId="1FE6EBB3" w14:textId="77777777" w:rsidR="00904A6A" w:rsidRDefault="00904A6A" w:rsidP="001D577C">
      <w:r>
        <w:t xml:space="preserve">WRAP (2024) </w:t>
      </w:r>
      <w:r w:rsidRPr="007665EF">
        <w:rPr>
          <w:i/>
          <w:iCs/>
        </w:rPr>
        <w:t>The Courtauld Commitment 2030</w:t>
      </w:r>
      <w:r>
        <w:t xml:space="preserve">. Available at: </w:t>
      </w:r>
      <w:hyperlink r:id="rId22" w:history="1">
        <w:r w:rsidRPr="00E15350">
          <w:rPr>
            <w:rStyle w:val="Hyperlink"/>
          </w:rPr>
          <w:t>https://wrap.org.uk/taking-action/food-drink/initiatives/courtauld-commitment</w:t>
        </w:r>
      </w:hyperlink>
      <w:r>
        <w:t xml:space="preserve"> </w:t>
      </w:r>
      <w:r>
        <w:t>(Accessed 2 May 2024)</w:t>
      </w:r>
    </w:p>
    <w:p w14:paraId="53AF2A87" w14:textId="77777777" w:rsidR="00E97320" w:rsidRDefault="00E97320" w:rsidP="001D577C"/>
    <w:p w14:paraId="792A2436" w14:textId="77777777" w:rsidR="003A2629" w:rsidRDefault="003A2629" w:rsidP="001D577C"/>
    <w:sectPr w:rsidR="003A2629" w:rsidSect="00472B1E">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6FC4E6" w14:textId="77777777" w:rsidR="004D20A5" w:rsidRDefault="004D20A5" w:rsidP="00472B1E">
      <w:pPr>
        <w:spacing w:after="0" w:line="240" w:lineRule="auto"/>
      </w:pPr>
      <w:r>
        <w:separator/>
      </w:r>
    </w:p>
  </w:endnote>
  <w:endnote w:type="continuationSeparator" w:id="0">
    <w:p w14:paraId="7C9C52CF" w14:textId="77777777" w:rsidR="004D20A5" w:rsidRDefault="004D20A5" w:rsidP="00472B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altName w:val="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69399558"/>
      <w:docPartObj>
        <w:docPartGallery w:val="Page Numbers (Bottom of Page)"/>
        <w:docPartUnique/>
      </w:docPartObj>
    </w:sdtPr>
    <w:sdtEndPr>
      <w:rPr>
        <w:noProof/>
      </w:rPr>
    </w:sdtEndPr>
    <w:sdtContent>
      <w:p w14:paraId="0F9120F9" w14:textId="25126880" w:rsidR="00472B1E" w:rsidRDefault="00472B1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D3C7695" w14:textId="77777777" w:rsidR="00472B1E" w:rsidRDefault="00472B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06AFFC" w14:textId="77777777" w:rsidR="004D20A5" w:rsidRDefault="004D20A5" w:rsidP="00472B1E">
      <w:pPr>
        <w:spacing w:after="0" w:line="240" w:lineRule="auto"/>
      </w:pPr>
      <w:r>
        <w:separator/>
      </w:r>
    </w:p>
  </w:footnote>
  <w:footnote w:type="continuationSeparator" w:id="0">
    <w:p w14:paraId="46743164" w14:textId="77777777" w:rsidR="004D20A5" w:rsidRDefault="004D20A5" w:rsidP="00472B1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2B1E"/>
    <w:rsid w:val="00026E6B"/>
    <w:rsid w:val="00030640"/>
    <w:rsid w:val="00036BE8"/>
    <w:rsid w:val="00054754"/>
    <w:rsid w:val="000642C7"/>
    <w:rsid w:val="00086754"/>
    <w:rsid w:val="00110C75"/>
    <w:rsid w:val="0013733E"/>
    <w:rsid w:val="0018626A"/>
    <w:rsid w:val="001C6F9D"/>
    <w:rsid w:val="001D577C"/>
    <w:rsid w:val="001F0885"/>
    <w:rsid w:val="001F495D"/>
    <w:rsid w:val="00261039"/>
    <w:rsid w:val="00284472"/>
    <w:rsid w:val="002932FF"/>
    <w:rsid w:val="002A7DC4"/>
    <w:rsid w:val="002B720A"/>
    <w:rsid w:val="002F4509"/>
    <w:rsid w:val="00301A5C"/>
    <w:rsid w:val="00354021"/>
    <w:rsid w:val="003A2629"/>
    <w:rsid w:val="003A6E0E"/>
    <w:rsid w:val="00426597"/>
    <w:rsid w:val="00465887"/>
    <w:rsid w:val="00472B1E"/>
    <w:rsid w:val="004779A6"/>
    <w:rsid w:val="004A3F94"/>
    <w:rsid w:val="004A5D31"/>
    <w:rsid w:val="004C10BA"/>
    <w:rsid w:val="004D20A5"/>
    <w:rsid w:val="004E4864"/>
    <w:rsid w:val="004E4A8A"/>
    <w:rsid w:val="005A5345"/>
    <w:rsid w:val="0065113A"/>
    <w:rsid w:val="00654521"/>
    <w:rsid w:val="00654B67"/>
    <w:rsid w:val="006852C3"/>
    <w:rsid w:val="006F12B5"/>
    <w:rsid w:val="006F3843"/>
    <w:rsid w:val="00740DA1"/>
    <w:rsid w:val="007665EF"/>
    <w:rsid w:val="007A0173"/>
    <w:rsid w:val="008C25A9"/>
    <w:rsid w:val="008D283E"/>
    <w:rsid w:val="008E7428"/>
    <w:rsid w:val="00904A6A"/>
    <w:rsid w:val="00962D3B"/>
    <w:rsid w:val="00984773"/>
    <w:rsid w:val="009D78A5"/>
    <w:rsid w:val="00AD46E9"/>
    <w:rsid w:val="00AE0ADB"/>
    <w:rsid w:val="00B114D0"/>
    <w:rsid w:val="00B1290F"/>
    <w:rsid w:val="00B256FF"/>
    <w:rsid w:val="00BB1A7D"/>
    <w:rsid w:val="00BC50F5"/>
    <w:rsid w:val="00BD21C5"/>
    <w:rsid w:val="00BF2D26"/>
    <w:rsid w:val="00CA4D16"/>
    <w:rsid w:val="00D14521"/>
    <w:rsid w:val="00D25459"/>
    <w:rsid w:val="00D356CC"/>
    <w:rsid w:val="00D60F60"/>
    <w:rsid w:val="00D655EF"/>
    <w:rsid w:val="00D80129"/>
    <w:rsid w:val="00DE5D0F"/>
    <w:rsid w:val="00E746FE"/>
    <w:rsid w:val="00E93C7A"/>
    <w:rsid w:val="00E97320"/>
    <w:rsid w:val="00EA2110"/>
    <w:rsid w:val="00EA29D2"/>
    <w:rsid w:val="00EC2F23"/>
    <w:rsid w:val="00F9711C"/>
    <w:rsid w:val="00FC1795"/>
    <w:rsid w:val="00FF6D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9572F"/>
  <w15:chartTrackingRefBased/>
  <w15:docId w15:val="{2BF10951-DF94-4751-B8A9-ED76CDCE0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2B1E"/>
    <w:pPr>
      <w:spacing w:line="360" w:lineRule="auto"/>
      <w:jc w:val="both"/>
    </w:pPr>
    <w:rPr>
      <w:rFonts w:ascii="Arial" w:hAnsi="Arial"/>
    </w:rPr>
  </w:style>
  <w:style w:type="paragraph" w:styleId="Heading1">
    <w:name w:val="heading 1"/>
    <w:basedOn w:val="Normal"/>
    <w:next w:val="Normal"/>
    <w:link w:val="Heading1Char"/>
    <w:uiPriority w:val="9"/>
    <w:qFormat/>
    <w:rsid w:val="00472B1E"/>
    <w:pPr>
      <w:keepNext/>
      <w:keepLines/>
      <w:spacing w:before="240" w:after="0"/>
      <w:jc w:val="left"/>
      <w:outlineLvl w:val="0"/>
    </w:pPr>
    <w:rPr>
      <w:rFonts w:eastAsiaTheme="majorEastAsia"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472B1E"/>
    <w:pPr>
      <w:keepNext/>
      <w:keepLines/>
      <w:spacing w:before="40" w:after="0"/>
      <w:outlineLvl w:val="1"/>
    </w:pPr>
    <w:rPr>
      <w:rFonts w:eastAsiaTheme="majorEastAsia"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472B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12B5"/>
    <w:pPr>
      <w:keepNext/>
      <w:keepLines/>
      <w:spacing w:before="40" w:after="0"/>
      <w:outlineLvl w:val="3"/>
    </w:pPr>
    <w:rPr>
      <w:rFonts w:asciiTheme="majorHAnsi" w:eastAsiaTheme="majorEastAsia" w:hAnsiTheme="maj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472B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2B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2B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2B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2B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2B1E"/>
    <w:rPr>
      <w:rFonts w:ascii="Arial" w:eastAsiaTheme="majorEastAsia" w:hAnsi="Arial"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472B1E"/>
    <w:rPr>
      <w:rFonts w:ascii="Arial" w:eastAsiaTheme="majorEastAsia" w:hAnsi="Arial" w:cstheme="majorBidi"/>
      <w:color w:val="0F4761" w:themeColor="accent1" w:themeShade="BF"/>
      <w:sz w:val="26"/>
      <w:szCs w:val="26"/>
    </w:rPr>
  </w:style>
  <w:style w:type="character" w:customStyle="1" w:styleId="Heading4Char">
    <w:name w:val="Heading 4 Char"/>
    <w:basedOn w:val="DefaultParagraphFont"/>
    <w:link w:val="Heading4"/>
    <w:uiPriority w:val="9"/>
    <w:semiHidden/>
    <w:rsid w:val="006F12B5"/>
    <w:rPr>
      <w:rFonts w:asciiTheme="majorHAnsi" w:eastAsiaTheme="majorEastAsia" w:hAnsiTheme="majorHAnsi" w:cstheme="majorBidi"/>
      <w:i/>
      <w:iCs/>
      <w:color w:val="0F4761" w:themeColor="accent1" w:themeShade="BF"/>
      <w:lang w:val="en-US"/>
    </w:rPr>
  </w:style>
  <w:style w:type="paragraph" w:styleId="Caption">
    <w:name w:val="caption"/>
    <w:basedOn w:val="Normal"/>
    <w:next w:val="Normal"/>
    <w:uiPriority w:val="35"/>
    <w:semiHidden/>
    <w:unhideWhenUsed/>
    <w:qFormat/>
    <w:rsid w:val="006F12B5"/>
    <w:pPr>
      <w:spacing w:after="200" w:line="240" w:lineRule="auto"/>
    </w:pPr>
    <w:rPr>
      <w:i/>
      <w:iCs/>
      <w:color w:val="0E2841" w:themeColor="text2"/>
      <w:sz w:val="18"/>
      <w:szCs w:val="18"/>
    </w:rPr>
  </w:style>
  <w:style w:type="paragraph" w:styleId="NoSpacing">
    <w:name w:val="No Spacing"/>
    <w:link w:val="NoSpacingChar"/>
    <w:uiPriority w:val="1"/>
    <w:qFormat/>
    <w:rsid w:val="006F12B5"/>
    <w:pPr>
      <w:spacing w:after="0" w:line="240" w:lineRule="auto"/>
    </w:pPr>
    <w:rPr>
      <w:lang w:val="en-US"/>
    </w:rPr>
  </w:style>
  <w:style w:type="character" w:customStyle="1" w:styleId="NoSpacingChar">
    <w:name w:val="No Spacing Char"/>
    <w:basedOn w:val="DefaultParagraphFont"/>
    <w:link w:val="NoSpacing"/>
    <w:uiPriority w:val="1"/>
    <w:rsid w:val="006F12B5"/>
    <w:rPr>
      <w:lang w:val="en-US"/>
    </w:rPr>
  </w:style>
  <w:style w:type="paragraph" w:styleId="ListParagraph">
    <w:name w:val="List Paragraph"/>
    <w:basedOn w:val="Normal"/>
    <w:uiPriority w:val="34"/>
    <w:qFormat/>
    <w:rsid w:val="006F12B5"/>
    <w:pPr>
      <w:ind w:left="720"/>
      <w:contextualSpacing/>
    </w:pPr>
  </w:style>
  <w:style w:type="paragraph" w:styleId="TOCHeading">
    <w:name w:val="TOC Heading"/>
    <w:basedOn w:val="Heading1"/>
    <w:next w:val="Normal"/>
    <w:uiPriority w:val="39"/>
    <w:semiHidden/>
    <w:unhideWhenUsed/>
    <w:qFormat/>
    <w:rsid w:val="006F12B5"/>
    <w:pPr>
      <w:outlineLvl w:val="9"/>
    </w:pPr>
  </w:style>
  <w:style w:type="character" w:customStyle="1" w:styleId="Heading3Char">
    <w:name w:val="Heading 3 Char"/>
    <w:basedOn w:val="DefaultParagraphFont"/>
    <w:link w:val="Heading3"/>
    <w:uiPriority w:val="9"/>
    <w:semiHidden/>
    <w:rsid w:val="00472B1E"/>
    <w:rPr>
      <w:rFonts w:eastAsiaTheme="majorEastAsia" w:cstheme="majorBidi"/>
      <w:color w:val="0F4761" w:themeColor="accent1" w:themeShade="BF"/>
      <w:sz w:val="28"/>
      <w:szCs w:val="28"/>
    </w:rPr>
  </w:style>
  <w:style w:type="character" w:customStyle="1" w:styleId="Heading5Char">
    <w:name w:val="Heading 5 Char"/>
    <w:basedOn w:val="DefaultParagraphFont"/>
    <w:link w:val="Heading5"/>
    <w:uiPriority w:val="9"/>
    <w:semiHidden/>
    <w:rsid w:val="00472B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2B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2B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2B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2B1E"/>
    <w:rPr>
      <w:rFonts w:eastAsiaTheme="majorEastAsia" w:cstheme="majorBidi"/>
      <w:color w:val="272727" w:themeColor="text1" w:themeTint="D8"/>
    </w:rPr>
  </w:style>
  <w:style w:type="paragraph" w:styleId="Title">
    <w:name w:val="Title"/>
    <w:basedOn w:val="Normal"/>
    <w:next w:val="Normal"/>
    <w:link w:val="TitleChar"/>
    <w:uiPriority w:val="10"/>
    <w:qFormat/>
    <w:rsid w:val="00472B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2B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2B1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2B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2B1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72B1E"/>
    <w:rPr>
      <w:i/>
      <w:iCs/>
      <w:color w:val="404040" w:themeColor="text1" w:themeTint="BF"/>
    </w:rPr>
  </w:style>
  <w:style w:type="character" w:styleId="IntenseEmphasis">
    <w:name w:val="Intense Emphasis"/>
    <w:basedOn w:val="DefaultParagraphFont"/>
    <w:uiPriority w:val="21"/>
    <w:qFormat/>
    <w:rsid w:val="00472B1E"/>
    <w:rPr>
      <w:i/>
      <w:iCs/>
      <w:color w:val="0F4761" w:themeColor="accent1" w:themeShade="BF"/>
    </w:rPr>
  </w:style>
  <w:style w:type="paragraph" w:styleId="IntenseQuote">
    <w:name w:val="Intense Quote"/>
    <w:basedOn w:val="Normal"/>
    <w:next w:val="Normal"/>
    <w:link w:val="IntenseQuoteChar"/>
    <w:uiPriority w:val="30"/>
    <w:qFormat/>
    <w:rsid w:val="00472B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2B1E"/>
    <w:rPr>
      <w:i/>
      <w:iCs/>
      <w:color w:val="0F4761" w:themeColor="accent1" w:themeShade="BF"/>
    </w:rPr>
  </w:style>
  <w:style w:type="character" w:styleId="IntenseReference">
    <w:name w:val="Intense Reference"/>
    <w:basedOn w:val="DefaultParagraphFont"/>
    <w:uiPriority w:val="32"/>
    <w:qFormat/>
    <w:rsid w:val="00472B1E"/>
    <w:rPr>
      <w:b/>
      <w:bCs/>
      <w:smallCaps/>
      <w:color w:val="0F4761" w:themeColor="accent1" w:themeShade="BF"/>
      <w:spacing w:val="5"/>
    </w:rPr>
  </w:style>
  <w:style w:type="paragraph" w:styleId="Header">
    <w:name w:val="header"/>
    <w:basedOn w:val="Normal"/>
    <w:link w:val="HeaderChar"/>
    <w:uiPriority w:val="99"/>
    <w:unhideWhenUsed/>
    <w:rsid w:val="00472B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2B1E"/>
    <w:rPr>
      <w:rFonts w:ascii="Arial" w:hAnsi="Arial"/>
    </w:rPr>
  </w:style>
  <w:style w:type="paragraph" w:styleId="Footer">
    <w:name w:val="footer"/>
    <w:basedOn w:val="Normal"/>
    <w:link w:val="FooterChar"/>
    <w:uiPriority w:val="99"/>
    <w:unhideWhenUsed/>
    <w:rsid w:val="00472B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2B1E"/>
    <w:rPr>
      <w:rFonts w:ascii="Arial" w:hAnsi="Arial"/>
    </w:rPr>
  </w:style>
  <w:style w:type="character" w:styleId="Hyperlink">
    <w:name w:val="Hyperlink"/>
    <w:basedOn w:val="DefaultParagraphFont"/>
    <w:uiPriority w:val="99"/>
    <w:unhideWhenUsed/>
    <w:rsid w:val="004A3F94"/>
    <w:rPr>
      <w:color w:val="467886" w:themeColor="hyperlink"/>
      <w:u w:val="single"/>
    </w:rPr>
  </w:style>
  <w:style w:type="character" w:styleId="UnresolvedMention">
    <w:name w:val="Unresolved Mention"/>
    <w:basedOn w:val="DefaultParagraphFont"/>
    <w:uiPriority w:val="99"/>
    <w:semiHidden/>
    <w:unhideWhenUsed/>
    <w:rsid w:val="004A3F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08557">
      <w:bodyDiv w:val="1"/>
      <w:marLeft w:val="0"/>
      <w:marRight w:val="0"/>
      <w:marTop w:val="0"/>
      <w:marBottom w:val="0"/>
      <w:divBdr>
        <w:top w:val="none" w:sz="0" w:space="0" w:color="auto"/>
        <w:left w:val="none" w:sz="0" w:space="0" w:color="auto"/>
        <w:bottom w:val="none" w:sz="0" w:space="0" w:color="auto"/>
        <w:right w:val="none" w:sz="0" w:space="0" w:color="auto"/>
      </w:divBdr>
      <w:divsChild>
        <w:div w:id="2094431971">
          <w:marLeft w:val="0"/>
          <w:marRight w:val="0"/>
          <w:marTop w:val="0"/>
          <w:marBottom w:val="0"/>
          <w:divBdr>
            <w:top w:val="none" w:sz="0" w:space="0" w:color="auto"/>
            <w:left w:val="none" w:sz="0" w:space="0" w:color="auto"/>
            <w:bottom w:val="none" w:sz="0" w:space="0" w:color="auto"/>
            <w:right w:val="none" w:sz="0" w:space="0" w:color="auto"/>
          </w:divBdr>
        </w:div>
      </w:divsChild>
    </w:div>
    <w:div w:id="82460975">
      <w:bodyDiv w:val="1"/>
      <w:marLeft w:val="0"/>
      <w:marRight w:val="0"/>
      <w:marTop w:val="0"/>
      <w:marBottom w:val="0"/>
      <w:divBdr>
        <w:top w:val="none" w:sz="0" w:space="0" w:color="auto"/>
        <w:left w:val="none" w:sz="0" w:space="0" w:color="auto"/>
        <w:bottom w:val="none" w:sz="0" w:space="0" w:color="auto"/>
        <w:right w:val="none" w:sz="0" w:space="0" w:color="auto"/>
      </w:divBdr>
    </w:div>
    <w:div w:id="94445868">
      <w:bodyDiv w:val="1"/>
      <w:marLeft w:val="0"/>
      <w:marRight w:val="0"/>
      <w:marTop w:val="0"/>
      <w:marBottom w:val="0"/>
      <w:divBdr>
        <w:top w:val="none" w:sz="0" w:space="0" w:color="auto"/>
        <w:left w:val="none" w:sz="0" w:space="0" w:color="auto"/>
        <w:bottom w:val="none" w:sz="0" w:space="0" w:color="auto"/>
        <w:right w:val="none" w:sz="0" w:space="0" w:color="auto"/>
      </w:divBdr>
      <w:divsChild>
        <w:div w:id="949970411">
          <w:marLeft w:val="0"/>
          <w:marRight w:val="0"/>
          <w:marTop w:val="0"/>
          <w:marBottom w:val="0"/>
          <w:divBdr>
            <w:top w:val="none" w:sz="0" w:space="0" w:color="auto"/>
            <w:left w:val="none" w:sz="0" w:space="0" w:color="auto"/>
            <w:bottom w:val="none" w:sz="0" w:space="0" w:color="auto"/>
            <w:right w:val="none" w:sz="0" w:space="0" w:color="auto"/>
          </w:divBdr>
        </w:div>
      </w:divsChild>
    </w:div>
    <w:div w:id="181090644">
      <w:bodyDiv w:val="1"/>
      <w:marLeft w:val="0"/>
      <w:marRight w:val="0"/>
      <w:marTop w:val="0"/>
      <w:marBottom w:val="0"/>
      <w:divBdr>
        <w:top w:val="none" w:sz="0" w:space="0" w:color="auto"/>
        <w:left w:val="none" w:sz="0" w:space="0" w:color="auto"/>
        <w:bottom w:val="none" w:sz="0" w:space="0" w:color="auto"/>
        <w:right w:val="none" w:sz="0" w:space="0" w:color="auto"/>
      </w:divBdr>
    </w:div>
    <w:div w:id="195316785">
      <w:bodyDiv w:val="1"/>
      <w:marLeft w:val="0"/>
      <w:marRight w:val="0"/>
      <w:marTop w:val="0"/>
      <w:marBottom w:val="0"/>
      <w:divBdr>
        <w:top w:val="none" w:sz="0" w:space="0" w:color="auto"/>
        <w:left w:val="none" w:sz="0" w:space="0" w:color="auto"/>
        <w:bottom w:val="none" w:sz="0" w:space="0" w:color="auto"/>
        <w:right w:val="none" w:sz="0" w:space="0" w:color="auto"/>
      </w:divBdr>
      <w:divsChild>
        <w:div w:id="1566405770">
          <w:marLeft w:val="0"/>
          <w:marRight w:val="0"/>
          <w:marTop w:val="0"/>
          <w:marBottom w:val="0"/>
          <w:divBdr>
            <w:top w:val="none" w:sz="0" w:space="0" w:color="auto"/>
            <w:left w:val="none" w:sz="0" w:space="0" w:color="auto"/>
            <w:bottom w:val="none" w:sz="0" w:space="0" w:color="auto"/>
            <w:right w:val="none" w:sz="0" w:space="0" w:color="auto"/>
          </w:divBdr>
        </w:div>
      </w:divsChild>
    </w:div>
    <w:div w:id="244463965">
      <w:bodyDiv w:val="1"/>
      <w:marLeft w:val="0"/>
      <w:marRight w:val="0"/>
      <w:marTop w:val="0"/>
      <w:marBottom w:val="0"/>
      <w:divBdr>
        <w:top w:val="none" w:sz="0" w:space="0" w:color="auto"/>
        <w:left w:val="none" w:sz="0" w:space="0" w:color="auto"/>
        <w:bottom w:val="none" w:sz="0" w:space="0" w:color="auto"/>
        <w:right w:val="none" w:sz="0" w:space="0" w:color="auto"/>
      </w:divBdr>
    </w:div>
    <w:div w:id="253632915">
      <w:bodyDiv w:val="1"/>
      <w:marLeft w:val="0"/>
      <w:marRight w:val="0"/>
      <w:marTop w:val="0"/>
      <w:marBottom w:val="0"/>
      <w:divBdr>
        <w:top w:val="none" w:sz="0" w:space="0" w:color="auto"/>
        <w:left w:val="none" w:sz="0" w:space="0" w:color="auto"/>
        <w:bottom w:val="none" w:sz="0" w:space="0" w:color="auto"/>
        <w:right w:val="none" w:sz="0" w:space="0" w:color="auto"/>
      </w:divBdr>
      <w:divsChild>
        <w:div w:id="1526207390">
          <w:marLeft w:val="0"/>
          <w:marRight w:val="0"/>
          <w:marTop w:val="0"/>
          <w:marBottom w:val="0"/>
          <w:divBdr>
            <w:top w:val="none" w:sz="0" w:space="0" w:color="auto"/>
            <w:left w:val="none" w:sz="0" w:space="0" w:color="auto"/>
            <w:bottom w:val="none" w:sz="0" w:space="0" w:color="auto"/>
            <w:right w:val="none" w:sz="0" w:space="0" w:color="auto"/>
          </w:divBdr>
          <w:divsChild>
            <w:div w:id="69932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932071">
      <w:bodyDiv w:val="1"/>
      <w:marLeft w:val="0"/>
      <w:marRight w:val="0"/>
      <w:marTop w:val="0"/>
      <w:marBottom w:val="0"/>
      <w:divBdr>
        <w:top w:val="none" w:sz="0" w:space="0" w:color="auto"/>
        <w:left w:val="none" w:sz="0" w:space="0" w:color="auto"/>
        <w:bottom w:val="none" w:sz="0" w:space="0" w:color="auto"/>
        <w:right w:val="none" w:sz="0" w:space="0" w:color="auto"/>
      </w:divBdr>
      <w:divsChild>
        <w:div w:id="1165823336">
          <w:marLeft w:val="0"/>
          <w:marRight w:val="0"/>
          <w:marTop w:val="0"/>
          <w:marBottom w:val="0"/>
          <w:divBdr>
            <w:top w:val="none" w:sz="0" w:space="0" w:color="auto"/>
            <w:left w:val="none" w:sz="0" w:space="0" w:color="auto"/>
            <w:bottom w:val="none" w:sz="0" w:space="0" w:color="auto"/>
            <w:right w:val="none" w:sz="0" w:space="0" w:color="auto"/>
          </w:divBdr>
        </w:div>
      </w:divsChild>
    </w:div>
    <w:div w:id="380979523">
      <w:bodyDiv w:val="1"/>
      <w:marLeft w:val="0"/>
      <w:marRight w:val="0"/>
      <w:marTop w:val="0"/>
      <w:marBottom w:val="0"/>
      <w:divBdr>
        <w:top w:val="none" w:sz="0" w:space="0" w:color="auto"/>
        <w:left w:val="none" w:sz="0" w:space="0" w:color="auto"/>
        <w:bottom w:val="none" w:sz="0" w:space="0" w:color="auto"/>
        <w:right w:val="none" w:sz="0" w:space="0" w:color="auto"/>
      </w:divBdr>
      <w:divsChild>
        <w:div w:id="395471750">
          <w:marLeft w:val="0"/>
          <w:marRight w:val="0"/>
          <w:marTop w:val="0"/>
          <w:marBottom w:val="0"/>
          <w:divBdr>
            <w:top w:val="none" w:sz="0" w:space="0" w:color="auto"/>
            <w:left w:val="none" w:sz="0" w:space="0" w:color="auto"/>
            <w:bottom w:val="none" w:sz="0" w:space="0" w:color="auto"/>
            <w:right w:val="none" w:sz="0" w:space="0" w:color="auto"/>
          </w:divBdr>
        </w:div>
      </w:divsChild>
    </w:div>
    <w:div w:id="421100498">
      <w:bodyDiv w:val="1"/>
      <w:marLeft w:val="0"/>
      <w:marRight w:val="0"/>
      <w:marTop w:val="0"/>
      <w:marBottom w:val="0"/>
      <w:divBdr>
        <w:top w:val="none" w:sz="0" w:space="0" w:color="auto"/>
        <w:left w:val="none" w:sz="0" w:space="0" w:color="auto"/>
        <w:bottom w:val="none" w:sz="0" w:space="0" w:color="auto"/>
        <w:right w:val="none" w:sz="0" w:space="0" w:color="auto"/>
      </w:divBdr>
    </w:div>
    <w:div w:id="496073905">
      <w:bodyDiv w:val="1"/>
      <w:marLeft w:val="0"/>
      <w:marRight w:val="0"/>
      <w:marTop w:val="0"/>
      <w:marBottom w:val="0"/>
      <w:divBdr>
        <w:top w:val="none" w:sz="0" w:space="0" w:color="auto"/>
        <w:left w:val="none" w:sz="0" w:space="0" w:color="auto"/>
        <w:bottom w:val="none" w:sz="0" w:space="0" w:color="auto"/>
        <w:right w:val="none" w:sz="0" w:space="0" w:color="auto"/>
      </w:divBdr>
    </w:div>
    <w:div w:id="584193843">
      <w:bodyDiv w:val="1"/>
      <w:marLeft w:val="0"/>
      <w:marRight w:val="0"/>
      <w:marTop w:val="0"/>
      <w:marBottom w:val="0"/>
      <w:divBdr>
        <w:top w:val="none" w:sz="0" w:space="0" w:color="auto"/>
        <w:left w:val="none" w:sz="0" w:space="0" w:color="auto"/>
        <w:bottom w:val="none" w:sz="0" w:space="0" w:color="auto"/>
        <w:right w:val="none" w:sz="0" w:space="0" w:color="auto"/>
      </w:divBdr>
    </w:div>
    <w:div w:id="610168855">
      <w:bodyDiv w:val="1"/>
      <w:marLeft w:val="0"/>
      <w:marRight w:val="0"/>
      <w:marTop w:val="0"/>
      <w:marBottom w:val="0"/>
      <w:divBdr>
        <w:top w:val="none" w:sz="0" w:space="0" w:color="auto"/>
        <w:left w:val="none" w:sz="0" w:space="0" w:color="auto"/>
        <w:bottom w:val="none" w:sz="0" w:space="0" w:color="auto"/>
        <w:right w:val="none" w:sz="0" w:space="0" w:color="auto"/>
      </w:divBdr>
    </w:div>
    <w:div w:id="655376004">
      <w:bodyDiv w:val="1"/>
      <w:marLeft w:val="0"/>
      <w:marRight w:val="0"/>
      <w:marTop w:val="0"/>
      <w:marBottom w:val="0"/>
      <w:divBdr>
        <w:top w:val="none" w:sz="0" w:space="0" w:color="auto"/>
        <w:left w:val="none" w:sz="0" w:space="0" w:color="auto"/>
        <w:bottom w:val="none" w:sz="0" w:space="0" w:color="auto"/>
        <w:right w:val="none" w:sz="0" w:space="0" w:color="auto"/>
      </w:divBdr>
    </w:div>
    <w:div w:id="678048881">
      <w:bodyDiv w:val="1"/>
      <w:marLeft w:val="0"/>
      <w:marRight w:val="0"/>
      <w:marTop w:val="0"/>
      <w:marBottom w:val="0"/>
      <w:divBdr>
        <w:top w:val="none" w:sz="0" w:space="0" w:color="auto"/>
        <w:left w:val="none" w:sz="0" w:space="0" w:color="auto"/>
        <w:bottom w:val="none" w:sz="0" w:space="0" w:color="auto"/>
        <w:right w:val="none" w:sz="0" w:space="0" w:color="auto"/>
      </w:divBdr>
    </w:div>
    <w:div w:id="782261340">
      <w:bodyDiv w:val="1"/>
      <w:marLeft w:val="0"/>
      <w:marRight w:val="0"/>
      <w:marTop w:val="0"/>
      <w:marBottom w:val="0"/>
      <w:divBdr>
        <w:top w:val="none" w:sz="0" w:space="0" w:color="auto"/>
        <w:left w:val="none" w:sz="0" w:space="0" w:color="auto"/>
        <w:bottom w:val="none" w:sz="0" w:space="0" w:color="auto"/>
        <w:right w:val="none" w:sz="0" w:space="0" w:color="auto"/>
      </w:divBdr>
      <w:divsChild>
        <w:div w:id="1391148081">
          <w:marLeft w:val="0"/>
          <w:marRight w:val="0"/>
          <w:marTop w:val="0"/>
          <w:marBottom w:val="0"/>
          <w:divBdr>
            <w:top w:val="none" w:sz="0" w:space="0" w:color="auto"/>
            <w:left w:val="none" w:sz="0" w:space="0" w:color="auto"/>
            <w:bottom w:val="none" w:sz="0" w:space="0" w:color="auto"/>
            <w:right w:val="none" w:sz="0" w:space="0" w:color="auto"/>
          </w:divBdr>
          <w:divsChild>
            <w:div w:id="981352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817518">
      <w:bodyDiv w:val="1"/>
      <w:marLeft w:val="0"/>
      <w:marRight w:val="0"/>
      <w:marTop w:val="0"/>
      <w:marBottom w:val="0"/>
      <w:divBdr>
        <w:top w:val="none" w:sz="0" w:space="0" w:color="auto"/>
        <w:left w:val="none" w:sz="0" w:space="0" w:color="auto"/>
        <w:bottom w:val="none" w:sz="0" w:space="0" w:color="auto"/>
        <w:right w:val="none" w:sz="0" w:space="0" w:color="auto"/>
      </w:divBdr>
      <w:divsChild>
        <w:div w:id="1078018451">
          <w:marLeft w:val="0"/>
          <w:marRight w:val="0"/>
          <w:marTop w:val="0"/>
          <w:marBottom w:val="0"/>
          <w:divBdr>
            <w:top w:val="none" w:sz="0" w:space="0" w:color="auto"/>
            <w:left w:val="none" w:sz="0" w:space="0" w:color="auto"/>
            <w:bottom w:val="none" w:sz="0" w:space="0" w:color="auto"/>
            <w:right w:val="none" w:sz="0" w:space="0" w:color="auto"/>
          </w:divBdr>
          <w:divsChild>
            <w:div w:id="1723285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6041415">
      <w:bodyDiv w:val="1"/>
      <w:marLeft w:val="0"/>
      <w:marRight w:val="0"/>
      <w:marTop w:val="0"/>
      <w:marBottom w:val="0"/>
      <w:divBdr>
        <w:top w:val="none" w:sz="0" w:space="0" w:color="auto"/>
        <w:left w:val="none" w:sz="0" w:space="0" w:color="auto"/>
        <w:bottom w:val="none" w:sz="0" w:space="0" w:color="auto"/>
        <w:right w:val="none" w:sz="0" w:space="0" w:color="auto"/>
      </w:divBdr>
      <w:divsChild>
        <w:div w:id="237061253">
          <w:marLeft w:val="0"/>
          <w:marRight w:val="0"/>
          <w:marTop w:val="0"/>
          <w:marBottom w:val="0"/>
          <w:divBdr>
            <w:top w:val="none" w:sz="0" w:space="0" w:color="auto"/>
            <w:left w:val="none" w:sz="0" w:space="0" w:color="auto"/>
            <w:bottom w:val="none" w:sz="0" w:space="0" w:color="auto"/>
            <w:right w:val="none" w:sz="0" w:space="0" w:color="auto"/>
          </w:divBdr>
          <w:divsChild>
            <w:div w:id="1247762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025441">
      <w:bodyDiv w:val="1"/>
      <w:marLeft w:val="0"/>
      <w:marRight w:val="0"/>
      <w:marTop w:val="0"/>
      <w:marBottom w:val="0"/>
      <w:divBdr>
        <w:top w:val="none" w:sz="0" w:space="0" w:color="auto"/>
        <w:left w:val="none" w:sz="0" w:space="0" w:color="auto"/>
        <w:bottom w:val="none" w:sz="0" w:space="0" w:color="auto"/>
        <w:right w:val="none" w:sz="0" w:space="0" w:color="auto"/>
      </w:divBdr>
      <w:divsChild>
        <w:div w:id="593821860">
          <w:marLeft w:val="0"/>
          <w:marRight w:val="0"/>
          <w:marTop w:val="0"/>
          <w:marBottom w:val="0"/>
          <w:divBdr>
            <w:top w:val="none" w:sz="0" w:space="0" w:color="auto"/>
            <w:left w:val="none" w:sz="0" w:space="0" w:color="auto"/>
            <w:bottom w:val="none" w:sz="0" w:space="0" w:color="auto"/>
            <w:right w:val="none" w:sz="0" w:space="0" w:color="auto"/>
          </w:divBdr>
        </w:div>
      </w:divsChild>
    </w:div>
    <w:div w:id="865560885">
      <w:bodyDiv w:val="1"/>
      <w:marLeft w:val="0"/>
      <w:marRight w:val="0"/>
      <w:marTop w:val="0"/>
      <w:marBottom w:val="0"/>
      <w:divBdr>
        <w:top w:val="none" w:sz="0" w:space="0" w:color="auto"/>
        <w:left w:val="none" w:sz="0" w:space="0" w:color="auto"/>
        <w:bottom w:val="none" w:sz="0" w:space="0" w:color="auto"/>
        <w:right w:val="none" w:sz="0" w:space="0" w:color="auto"/>
      </w:divBdr>
    </w:div>
    <w:div w:id="867135420">
      <w:bodyDiv w:val="1"/>
      <w:marLeft w:val="0"/>
      <w:marRight w:val="0"/>
      <w:marTop w:val="0"/>
      <w:marBottom w:val="0"/>
      <w:divBdr>
        <w:top w:val="none" w:sz="0" w:space="0" w:color="auto"/>
        <w:left w:val="none" w:sz="0" w:space="0" w:color="auto"/>
        <w:bottom w:val="none" w:sz="0" w:space="0" w:color="auto"/>
        <w:right w:val="none" w:sz="0" w:space="0" w:color="auto"/>
      </w:divBdr>
      <w:divsChild>
        <w:div w:id="1664240314">
          <w:marLeft w:val="0"/>
          <w:marRight w:val="0"/>
          <w:marTop w:val="0"/>
          <w:marBottom w:val="0"/>
          <w:divBdr>
            <w:top w:val="none" w:sz="0" w:space="0" w:color="auto"/>
            <w:left w:val="none" w:sz="0" w:space="0" w:color="auto"/>
            <w:bottom w:val="none" w:sz="0" w:space="0" w:color="auto"/>
            <w:right w:val="none" w:sz="0" w:space="0" w:color="auto"/>
          </w:divBdr>
        </w:div>
      </w:divsChild>
    </w:div>
    <w:div w:id="892499759">
      <w:bodyDiv w:val="1"/>
      <w:marLeft w:val="0"/>
      <w:marRight w:val="0"/>
      <w:marTop w:val="0"/>
      <w:marBottom w:val="0"/>
      <w:divBdr>
        <w:top w:val="none" w:sz="0" w:space="0" w:color="auto"/>
        <w:left w:val="none" w:sz="0" w:space="0" w:color="auto"/>
        <w:bottom w:val="none" w:sz="0" w:space="0" w:color="auto"/>
        <w:right w:val="none" w:sz="0" w:space="0" w:color="auto"/>
      </w:divBdr>
    </w:div>
    <w:div w:id="1022054059">
      <w:bodyDiv w:val="1"/>
      <w:marLeft w:val="0"/>
      <w:marRight w:val="0"/>
      <w:marTop w:val="0"/>
      <w:marBottom w:val="0"/>
      <w:divBdr>
        <w:top w:val="none" w:sz="0" w:space="0" w:color="auto"/>
        <w:left w:val="none" w:sz="0" w:space="0" w:color="auto"/>
        <w:bottom w:val="none" w:sz="0" w:space="0" w:color="auto"/>
        <w:right w:val="none" w:sz="0" w:space="0" w:color="auto"/>
      </w:divBdr>
    </w:div>
    <w:div w:id="1069771669">
      <w:bodyDiv w:val="1"/>
      <w:marLeft w:val="0"/>
      <w:marRight w:val="0"/>
      <w:marTop w:val="0"/>
      <w:marBottom w:val="0"/>
      <w:divBdr>
        <w:top w:val="none" w:sz="0" w:space="0" w:color="auto"/>
        <w:left w:val="none" w:sz="0" w:space="0" w:color="auto"/>
        <w:bottom w:val="none" w:sz="0" w:space="0" w:color="auto"/>
        <w:right w:val="none" w:sz="0" w:space="0" w:color="auto"/>
      </w:divBdr>
      <w:divsChild>
        <w:div w:id="1812670601">
          <w:marLeft w:val="0"/>
          <w:marRight w:val="0"/>
          <w:marTop w:val="0"/>
          <w:marBottom w:val="0"/>
          <w:divBdr>
            <w:top w:val="none" w:sz="0" w:space="0" w:color="auto"/>
            <w:left w:val="none" w:sz="0" w:space="0" w:color="auto"/>
            <w:bottom w:val="none" w:sz="0" w:space="0" w:color="auto"/>
            <w:right w:val="none" w:sz="0" w:space="0" w:color="auto"/>
          </w:divBdr>
        </w:div>
      </w:divsChild>
    </w:div>
    <w:div w:id="1147477282">
      <w:bodyDiv w:val="1"/>
      <w:marLeft w:val="0"/>
      <w:marRight w:val="0"/>
      <w:marTop w:val="0"/>
      <w:marBottom w:val="0"/>
      <w:divBdr>
        <w:top w:val="none" w:sz="0" w:space="0" w:color="auto"/>
        <w:left w:val="none" w:sz="0" w:space="0" w:color="auto"/>
        <w:bottom w:val="none" w:sz="0" w:space="0" w:color="auto"/>
        <w:right w:val="none" w:sz="0" w:space="0" w:color="auto"/>
      </w:divBdr>
      <w:divsChild>
        <w:div w:id="432750225">
          <w:marLeft w:val="0"/>
          <w:marRight w:val="0"/>
          <w:marTop w:val="0"/>
          <w:marBottom w:val="0"/>
          <w:divBdr>
            <w:top w:val="none" w:sz="0" w:space="0" w:color="auto"/>
            <w:left w:val="none" w:sz="0" w:space="0" w:color="auto"/>
            <w:bottom w:val="none" w:sz="0" w:space="0" w:color="auto"/>
            <w:right w:val="none" w:sz="0" w:space="0" w:color="auto"/>
          </w:divBdr>
        </w:div>
      </w:divsChild>
    </w:div>
    <w:div w:id="1198006104">
      <w:bodyDiv w:val="1"/>
      <w:marLeft w:val="0"/>
      <w:marRight w:val="0"/>
      <w:marTop w:val="0"/>
      <w:marBottom w:val="0"/>
      <w:divBdr>
        <w:top w:val="none" w:sz="0" w:space="0" w:color="auto"/>
        <w:left w:val="none" w:sz="0" w:space="0" w:color="auto"/>
        <w:bottom w:val="none" w:sz="0" w:space="0" w:color="auto"/>
        <w:right w:val="none" w:sz="0" w:space="0" w:color="auto"/>
      </w:divBdr>
    </w:div>
    <w:div w:id="1226070300">
      <w:bodyDiv w:val="1"/>
      <w:marLeft w:val="0"/>
      <w:marRight w:val="0"/>
      <w:marTop w:val="0"/>
      <w:marBottom w:val="0"/>
      <w:divBdr>
        <w:top w:val="none" w:sz="0" w:space="0" w:color="auto"/>
        <w:left w:val="none" w:sz="0" w:space="0" w:color="auto"/>
        <w:bottom w:val="none" w:sz="0" w:space="0" w:color="auto"/>
        <w:right w:val="none" w:sz="0" w:space="0" w:color="auto"/>
      </w:divBdr>
      <w:divsChild>
        <w:div w:id="1961645903">
          <w:marLeft w:val="0"/>
          <w:marRight w:val="0"/>
          <w:marTop w:val="0"/>
          <w:marBottom w:val="0"/>
          <w:divBdr>
            <w:top w:val="none" w:sz="0" w:space="0" w:color="auto"/>
            <w:left w:val="none" w:sz="0" w:space="0" w:color="auto"/>
            <w:bottom w:val="none" w:sz="0" w:space="0" w:color="auto"/>
            <w:right w:val="none" w:sz="0" w:space="0" w:color="auto"/>
          </w:divBdr>
        </w:div>
      </w:divsChild>
    </w:div>
    <w:div w:id="1246110734">
      <w:bodyDiv w:val="1"/>
      <w:marLeft w:val="0"/>
      <w:marRight w:val="0"/>
      <w:marTop w:val="0"/>
      <w:marBottom w:val="0"/>
      <w:divBdr>
        <w:top w:val="none" w:sz="0" w:space="0" w:color="auto"/>
        <w:left w:val="none" w:sz="0" w:space="0" w:color="auto"/>
        <w:bottom w:val="none" w:sz="0" w:space="0" w:color="auto"/>
        <w:right w:val="none" w:sz="0" w:space="0" w:color="auto"/>
      </w:divBdr>
    </w:div>
    <w:div w:id="1278292165">
      <w:bodyDiv w:val="1"/>
      <w:marLeft w:val="0"/>
      <w:marRight w:val="0"/>
      <w:marTop w:val="0"/>
      <w:marBottom w:val="0"/>
      <w:divBdr>
        <w:top w:val="none" w:sz="0" w:space="0" w:color="auto"/>
        <w:left w:val="none" w:sz="0" w:space="0" w:color="auto"/>
        <w:bottom w:val="none" w:sz="0" w:space="0" w:color="auto"/>
        <w:right w:val="none" w:sz="0" w:space="0" w:color="auto"/>
      </w:divBdr>
      <w:divsChild>
        <w:div w:id="226572518">
          <w:marLeft w:val="0"/>
          <w:marRight w:val="0"/>
          <w:marTop w:val="0"/>
          <w:marBottom w:val="0"/>
          <w:divBdr>
            <w:top w:val="none" w:sz="0" w:space="0" w:color="auto"/>
            <w:left w:val="none" w:sz="0" w:space="0" w:color="auto"/>
            <w:bottom w:val="none" w:sz="0" w:space="0" w:color="auto"/>
            <w:right w:val="none" w:sz="0" w:space="0" w:color="auto"/>
          </w:divBdr>
        </w:div>
      </w:divsChild>
    </w:div>
    <w:div w:id="1330401462">
      <w:bodyDiv w:val="1"/>
      <w:marLeft w:val="0"/>
      <w:marRight w:val="0"/>
      <w:marTop w:val="0"/>
      <w:marBottom w:val="0"/>
      <w:divBdr>
        <w:top w:val="none" w:sz="0" w:space="0" w:color="auto"/>
        <w:left w:val="none" w:sz="0" w:space="0" w:color="auto"/>
        <w:bottom w:val="none" w:sz="0" w:space="0" w:color="auto"/>
        <w:right w:val="none" w:sz="0" w:space="0" w:color="auto"/>
      </w:divBdr>
    </w:div>
    <w:div w:id="1331250383">
      <w:bodyDiv w:val="1"/>
      <w:marLeft w:val="0"/>
      <w:marRight w:val="0"/>
      <w:marTop w:val="0"/>
      <w:marBottom w:val="0"/>
      <w:divBdr>
        <w:top w:val="none" w:sz="0" w:space="0" w:color="auto"/>
        <w:left w:val="none" w:sz="0" w:space="0" w:color="auto"/>
        <w:bottom w:val="none" w:sz="0" w:space="0" w:color="auto"/>
        <w:right w:val="none" w:sz="0" w:space="0" w:color="auto"/>
      </w:divBdr>
    </w:div>
    <w:div w:id="1409156349">
      <w:bodyDiv w:val="1"/>
      <w:marLeft w:val="0"/>
      <w:marRight w:val="0"/>
      <w:marTop w:val="0"/>
      <w:marBottom w:val="0"/>
      <w:divBdr>
        <w:top w:val="none" w:sz="0" w:space="0" w:color="auto"/>
        <w:left w:val="none" w:sz="0" w:space="0" w:color="auto"/>
        <w:bottom w:val="none" w:sz="0" w:space="0" w:color="auto"/>
        <w:right w:val="none" w:sz="0" w:space="0" w:color="auto"/>
      </w:divBdr>
    </w:div>
    <w:div w:id="1574663109">
      <w:bodyDiv w:val="1"/>
      <w:marLeft w:val="0"/>
      <w:marRight w:val="0"/>
      <w:marTop w:val="0"/>
      <w:marBottom w:val="0"/>
      <w:divBdr>
        <w:top w:val="none" w:sz="0" w:space="0" w:color="auto"/>
        <w:left w:val="none" w:sz="0" w:space="0" w:color="auto"/>
        <w:bottom w:val="none" w:sz="0" w:space="0" w:color="auto"/>
        <w:right w:val="none" w:sz="0" w:space="0" w:color="auto"/>
      </w:divBdr>
    </w:div>
    <w:div w:id="1654480222">
      <w:bodyDiv w:val="1"/>
      <w:marLeft w:val="0"/>
      <w:marRight w:val="0"/>
      <w:marTop w:val="0"/>
      <w:marBottom w:val="0"/>
      <w:divBdr>
        <w:top w:val="none" w:sz="0" w:space="0" w:color="auto"/>
        <w:left w:val="none" w:sz="0" w:space="0" w:color="auto"/>
        <w:bottom w:val="none" w:sz="0" w:space="0" w:color="auto"/>
        <w:right w:val="none" w:sz="0" w:space="0" w:color="auto"/>
      </w:divBdr>
    </w:div>
    <w:div w:id="1859075145">
      <w:bodyDiv w:val="1"/>
      <w:marLeft w:val="0"/>
      <w:marRight w:val="0"/>
      <w:marTop w:val="0"/>
      <w:marBottom w:val="0"/>
      <w:divBdr>
        <w:top w:val="none" w:sz="0" w:space="0" w:color="auto"/>
        <w:left w:val="none" w:sz="0" w:space="0" w:color="auto"/>
        <w:bottom w:val="none" w:sz="0" w:space="0" w:color="auto"/>
        <w:right w:val="none" w:sz="0" w:space="0" w:color="auto"/>
      </w:divBdr>
    </w:div>
    <w:div w:id="1864897523">
      <w:bodyDiv w:val="1"/>
      <w:marLeft w:val="0"/>
      <w:marRight w:val="0"/>
      <w:marTop w:val="0"/>
      <w:marBottom w:val="0"/>
      <w:divBdr>
        <w:top w:val="none" w:sz="0" w:space="0" w:color="auto"/>
        <w:left w:val="none" w:sz="0" w:space="0" w:color="auto"/>
        <w:bottom w:val="none" w:sz="0" w:space="0" w:color="auto"/>
        <w:right w:val="none" w:sz="0" w:space="0" w:color="auto"/>
      </w:divBdr>
    </w:div>
    <w:div w:id="1898081183">
      <w:bodyDiv w:val="1"/>
      <w:marLeft w:val="0"/>
      <w:marRight w:val="0"/>
      <w:marTop w:val="0"/>
      <w:marBottom w:val="0"/>
      <w:divBdr>
        <w:top w:val="none" w:sz="0" w:space="0" w:color="auto"/>
        <w:left w:val="none" w:sz="0" w:space="0" w:color="auto"/>
        <w:bottom w:val="none" w:sz="0" w:space="0" w:color="auto"/>
        <w:right w:val="none" w:sz="0" w:space="0" w:color="auto"/>
      </w:divBdr>
      <w:divsChild>
        <w:div w:id="699553865">
          <w:marLeft w:val="0"/>
          <w:marRight w:val="0"/>
          <w:marTop w:val="0"/>
          <w:marBottom w:val="0"/>
          <w:divBdr>
            <w:top w:val="none" w:sz="0" w:space="0" w:color="auto"/>
            <w:left w:val="none" w:sz="0" w:space="0" w:color="auto"/>
            <w:bottom w:val="none" w:sz="0" w:space="0" w:color="auto"/>
            <w:right w:val="none" w:sz="0" w:space="0" w:color="auto"/>
          </w:divBdr>
        </w:div>
      </w:divsChild>
    </w:div>
    <w:div w:id="1914117426">
      <w:bodyDiv w:val="1"/>
      <w:marLeft w:val="0"/>
      <w:marRight w:val="0"/>
      <w:marTop w:val="0"/>
      <w:marBottom w:val="0"/>
      <w:divBdr>
        <w:top w:val="none" w:sz="0" w:space="0" w:color="auto"/>
        <w:left w:val="none" w:sz="0" w:space="0" w:color="auto"/>
        <w:bottom w:val="none" w:sz="0" w:space="0" w:color="auto"/>
        <w:right w:val="none" w:sz="0" w:space="0" w:color="auto"/>
      </w:divBdr>
      <w:divsChild>
        <w:div w:id="2000385216">
          <w:marLeft w:val="0"/>
          <w:marRight w:val="0"/>
          <w:marTop w:val="0"/>
          <w:marBottom w:val="0"/>
          <w:divBdr>
            <w:top w:val="none" w:sz="0" w:space="0" w:color="auto"/>
            <w:left w:val="none" w:sz="0" w:space="0" w:color="auto"/>
            <w:bottom w:val="none" w:sz="0" w:space="0" w:color="auto"/>
            <w:right w:val="none" w:sz="0" w:space="0" w:color="auto"/>
          </w:divBdr>
        </w:div>
      </w:divsChild>
    </w:div>
    <w:div w:id="1974750065">
      <w:bodyDiv w:val="1"/>
      <w:marLeft w:val="0"/>
      <w:marRight w:val="0"/>
      <w:marTop w:val="0"/>
      <w:marBottom w:val="0"/>
      <w:divBdr>
        <w:top w:val="none" w:sz="0" w:space="0" w:color="auto"/>
        <w:left w:val="none" w:sz="0" w:space="0" w:color="auto"/>
        <w:bottom w:val="none" w:sz="0" w:space="0" w:color="auto"/>
        <w:right w:val="none" w:sz="0" w:space="0" w:color="auto"/>
      </w:divBdr>
      <w:divsChild>
        <w:div w:id="637496656">
          <w:marLeft w:val="0"/>
          <w:marRight w:val="0"/>
          <w:marTop w:val="0"/>
          <w:marBottom w:val="0"/>
          <w:divBdr>
            <w:top w:val="none" w:sz="0" w:space="0" w:color="auto"/>
            <w:left w:val="none" w:sz="0" w:space="0" w:color="auto"/>
            <w:bottom w:val="none" w:sz="0" w:space="0" w:color="auto"/>
            <w:right w:val="none" w:sz="0" w:space="0" w:color="auto"/>
          </w:divBdr>
        </w:div>
      </w:divsChild>
    </w:div>
    <w:div w:id="2087267436">
      <w:bodyDiv w:val="1"/>
      <w:marLeft w:val="0"/>
      <w:marRight w:val="0"/>
      <w:marTop w:val="0"/>
      <w:marBottom w:val="0"/>
      <w:divBdr>
        <w:top w:val="none" w:sz="0" w:space="0" w:color="auto"/>
        <w:left w:val="none" w:sz="0" w:space="0" w:color="auto"/>
        <w:bottom w:val="none" w:sz="0" w:space="0" w:color="auto"/>
        <w:right w:val="none" w:sz="0" w:space="0" w:color="auto"/>
      </w:divBdr>
      <w:divsChild>
        <w:div w:id="811945065">
          <w:marLeft w:val="0"/>
          <w:marRight w:val="0"/>
          <w:marTop w:val="0"/>
          <w:marBottom w:val="0"/>
          <w:divBdr>
            <w:top w:val="none" w:sz="0" w:space="0" w:color="auto"/>
            <w:left w:val="none" w:sz="0" w:space="0" w:color="auto"/>
            <w:bottom w:val="none" w:sz="0" w:space="0" w:color="auto"/>
            <w:right w:val="none" w:sz="0" w:space="0" w:color="auto"/>
          </w:divBdr>
          <w:divsChild>
            <w:div w:id="1450853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527309">
      <w:bodyDiv w:val="1"/>
      <w:marLeft w:val="0"/>
      <w:marRight w:val="0"/>
      <w:marTop w:val="0"/>
      <w:marBottom w:val="0"/>
      <w:divBdr>
        <w:top w:val="none" w:sz="0" w:space="0" w:color="auto"/>
        <w:left w:val="none" w:sz="0" w:space="0" w:color="auto"/>
        <w:bottom w:val="none" w:sz="0" w:space="0" w:color="auto"/>
        <w:right w:val="none" w:sz="0" w:space="0" w:color="auto"/>
      </w:divBdr>
    </w:div>
    <w:div w:id="2145654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0149206319900539" TargetMode="External"/><Relationship Id="rId13" Type="http://schemas.openxmlformats.org/officeDocument/2006/relationships/hyperlink" Target="https://doi.org/10.1016/j.spc.2022.04.020" TargetMode="External"/><Relationship Id="rId18" Type="http://schemas.openxmlformats.org/officeDocument/2006/relationships/hyperlink" Target="https://www.premierinn.com/gb/en/why/force-for-good.html" TargetMode="External"/><Relationship Id="rId3" Type="http://schemas.openxmlformats.org/officeDocument/2006/relationships/settings" Target="settings.xml"/><Relationship Id="rId21" Type="http://schemas.openxmlformats.org/officeDocument/2006/relationships/hyperlink" Target="https://ertr-ojs-tamu.tdl.org/ertr/article/view/482" TargetMode="External"/><Relationship Id="rId7" Type="http://schemas.openxmlformats.org/officeDocument/2006/relationships/hyperlink" Target="https://doi.org/10.21744/irjmis.v5i2.674" TargetMode="External"/><Relationship Id="rId12" Type="http://schemas.openxmlformats.org/officeDocument/2006/relationships/hyperlink" Target="https://doi.org/10.3390/su8050475" TargetMode="External"/><Relationship Id="rId17" Type="http://schemas.openxmlformats.org/officeDocument/2006/relationships/hyperlink" Target="https://www.academia.edu/download/6611163/unpan002600.pdf"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1108/07363760110410281" TargetMode="External"/><Relationship Id="rId20" Type="http://schemas.openxmlformats.org/officeDocument/2006/relationships/hyperlink" Target="https://doi.org/10.1016/j.ijhm.2019.102330"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002/csr.132"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hospitalitynet.org/news/4113783.html" TargetMode="External"/><Relationship Id="rId23" Type="http://schemas.openxmlformats.org/officeDocument/2006/relationships/footer" Target="footer1.xml"/><Relationship Id="rId10" Type="http://schemas.openxmlformats.org/officeDocument/2006/relationships/hyperlink" Target="https://doi.org/10.1177/1467358415580359" TargetMode="External"/><Relationship Id="rId19" Type="http://schemas.openxmlformats.org/officeDocument/2006/relationships/hyperlink" Target="https://cdn.whitbread.co.uk/media/2023/07/Whitbread_ESG_Report_2022.pdf" TargetMode="External"/><Relationship Id="rId4" Type="http://schemas.openxmlformats.org/officeDocument/2006/relationships/webSettings" Target="webSettings.xml"/><Relationship Id="rId9" Type="http://schemas.openxmlformats.org/officeDocument/2006/relationships/hyperlink" Target="https://www.academia.edu/download/73168742/4571-Article_Text-13276-1-10-20141128.pdf" TargetMode="External"/><Relationship Id="rId14" Type="http://schemas.openxmlformats.org/officeDocument/2006/relationships/hyperlink" Target="https://doi.org/10.3152/147154606781765147" TargetMode="External"/><Relationship Id="rId22" Type="http://schemas.openxmlformats.org/officeDocument/2006/relationships/hyperlink" Target="https://wrap.org.uk/taking-action/food-drink/initiatives/courtauld-commit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2024-05-13T00:00:00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578</TotalTime>
  <Pages>9</Pages>
  <Words>3105</Words>
  <Characters>17699</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Essay</vt:lpstr>
    </vt:vector>
  </TitlesOfParts>
  <Company>Student Number: 2014305</Company>
  <LinksUpToDate>false</LinksUpToDate>
  <CharactersWithSpaces>20763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Essay</dc:title>
  <dc:subject>BMIH5006 Sustainable Hospitality &amp; Tourism Management</dc:subject>
  <dc:creator>Constantin-Bogdan Rusu</dc:creator>
  <cp:keywords/>
  <dc:description/>
  <cp:lastModifiedBy>sonia badulescu</cp:lastModifiedBy>
  <cp:revision>49</cp:revision>
  <dcterms:created xsi:type="dcterms:W3CDTF">2024-05-13T08:06:00Z</dcterms:created>
  <dcterms:modified xsi:type="dcterms:W3CDTF">2024-05-13T17:45:00Z</dcterms:modified>
</cp:coreProperties>
</file>