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51CAB3" w14:textId="595919C5" w:rsidR="006D20E2" w:rsidRPr="006D20E2" w:rsidRDefault="006D20E2" w:rsidP="00A33BB7">
      <w:pPr>
        <w:pStyle w:val="NormalWeb"/>
        <w:rPr>
          <w:b/>
          <w:bCs/>
        </w:rPr>
      </w:pPr>
      <w:r w:rsidRPr="006D20E2">
        <w:rPr>
          <w:b/>
          <w:bCs/>
          <w:color w:val="1D2125"/>
          <w:sz w:val="23"/>
          <w:szCs w:val="23"/>
          <w:shd w:val="clear" w:color="auto" w:fill="FFFFFF"/>
        </w:rPr>
        <w:t>1)    Assess the main themes presented in 1 and 2 Maccabees. In your answer, please also refer to the differences between 1 and 2 Maccabees.</w:t>
      </w:r>
    </w:p>
    <w:p w14:paraId="6AE7930C" w14:textId="436E65D3" w:rsidR="00A33BB7" w:rsidRDefault="00A33BB7" w:rsidP="00A33BB7">
      <w:pPr>
        <w:pStyle w:val="NormalWeb"/>
      </w:pPr>
      <w:bookmarkStart w:id="0" w:name="_Hlk166135018"/>
      <w:r>
        <w:t xml:space="preserve">Historically the Maccabean accounts of Jewish antiquities travail the second temple period portraying the rise of </w:t>
      </w:r>
      <w:r w:rsidR="009314AA">
        <w:t>a</w:t>
      </w:r>
      <w:r>
        <w:t xml:space="preserve"> Jewish state from the first temple till 1948. The Judean peninsula occupied middle Sub-Mediterranean borders and encroaching Hellenistic empires. Israel appropriated a strategic location for geopolitical dominance. Prophetically Greek Hellenism was recorded in </w:t>
      </w:r>
      <w:r w:rsidRPr="00873ABF">
        <w:rPr>
          <w:rStyle w:val="Strong"/>
          <w:rFonts w:eastAsiaTheme="majorEastAsia"/>
          <w:b w:val="0"/>
          <w:bCs w:val="0"/>
        </w:rPr>
        <w:t>(Daniel 8: 21-22)</w:t>
      </w:r>
      <w:r>
        <w:t xml:space="preserve"> revealing the beast with four heads alluding to Alexander the Great and his four subservient Generals. The Seleucid empire politically and militarily dominated Egypt and Israel spreading Hellenism. The outlawing of Jewish religious traditions under Antiochus IV Epiphanes in 166 BCE sparked tyrannic rebellion amongst the high priests later establishing the Hasmonean dynasty. This is also prophesied in the Old Testament in </w:t>
      </w:r>
      <w:r w:rsidRPr="00873ABF">
        <w:rPr>
          <w:b/>
          <w:bCs/>
        </w:rPr>
        <w:t>(</w:t>
      </w:r>
      <w:r w:rsidRPr="00873ABF">
        <w:rPr>
          <w:rStyle w:val="Strong"/>
          <w:rFonts w:eastAsiaTheme="majorEastAsia"/>
          <w:b w:val="0"/>
          <w:bCs w:val="0"/>
        </w:rPr>
        <w:t>Daniel 8: 22-28)</w:t>
      </w:r>
      <w:r>
        <w:t xml:space="preserve"> portraying Antiochus, </w:t>
      </w:r>
      <w:r w:rsidR="00513C90">
        <w:t>uprise</w:t>
      </w:r>
      <w:r>
        <w:t xml:space="preserve"> preluding the Maccabean era. This collective historical emphasis is prophetically summated in </w:t>
      </w:r>
      <w:r w:rsidRPr="00873ABF">
        <w:rPr>
          <w:rStyle w:val="Strong"/>
          <w:rFonts w:eastAsiaTheme="majorEastAsia"/>
          <w:b w:val="0"/>
          <w:bCs w:val="0"/>
        </w:rPr>
        <w:t>(Luke 21:</w:t>
      </w:r>
      <w:r w:rsidR="00986BC3">
        <w:rPr>
          <w:rStyle w:val="Strong"/>
          <w:rFonts w:eastAsiaTheme="majorEastAsia"/>
          <w:b w:val="0"/>
          <w:bCs w:val="0"/>
        </w:rPr>
        <w:t xml:space="preserve"> </w:t>
      </w:r>
      <w:r w:rsidRPr="00873ABF">
        <w:rPr>
          <w:rStyle w:val="Strong"/>
          <w:rFonts w:eastAsiaTheme="majorEastAsia"/>
          <w:b w:val="0"/>
          <w:bCs w:val="0"/>
        </w:rPr>
        <w:t>24)</w:t>
      </w:r>
      <w:r>
        <w:t xml:space="preserve"> right up to the destruction of the temple in 70AD by the Romans ``until the times of the Gentiles be fulfilled’’. 1 and 2 Maccabees encapsulate the Maccabean revolt led by Judas Maccabeus and his sons recapturing Jerusalem and restoring temple worship. However Hellenistic influence upon Israel greatly altered the culture, </w:t>
      </w:r>
      <w:r w:rsidR="001354F6">
        <w:t>religion</w:t>
      </w:r>
      <w:r>
        <w:t>, and language even prospectively converting the first Hebrew literature into Greek. The Festivals of Hanukkah commemorate the temple dedication of the Hasmonean dynasty celebrated by modern Jews today. This essay will asses</w:t>
      </w:r>
      <w:r w:rsidR="001354F6">
        <w:t>s</w:t>
      </w:r>
      <w:r>
        <w:t xml:space="preserve"> the main themes and differences in 1 and 2 Maccabees while also discussing scholarly relevance. </w:t>
      </w:r>
    </w:p>
    <w:p w14:paraId="51011D88" w14:textId="244A8108" w:rsidR="00A33BB7" w:rsidRDefault="00A33BB7" w:rsidP="00A33BB7">
      <w:pPr>
        <w:pStyle w:val="NormalWeb"/>
      </w:pPr>
      <w:r>
        <w:t>Hellenism infiltrated not only the culture of Jewish traditions, it also created disparities among various Jewish sects. Succumbing to Greek influence was antagonistically tolerated in the homeland compared to the diaspora Jews in Egypt</w:t>
      </w:r>
      <w:r w:rsidR="00513C90">
        <w:t>, Macedonia</w:t>
      </w:r>
      <w:r>
        <w:t xml:space="preserve"> and Babylon. Seemingly 1 Maccabees was traditionally authored in Hebrew around Jerusalem in </w:t>
      </w:r>
      <w:r w:rsidR="00232EAC">
        <w:t>(</w:t>
      </w:r>
      <w:r>
        <w:t>4CE</w:t>
      </w:r>
      <w:r w:rsidR="00232EAC">
        <w:t>)</w:t>
      </w:r>
      <w:r>
        <w:t xml:space="preserve"> during the second temple period. 2 Maccabees was allegorised as a working hypothesis composed of idiomatic Hellenistic Greek in Alexandria. In terms of appealing to the audience, the writing of 1 Maccabees deferred in style, being more publicised and restrained. 2 Maccabees resembled Hellenistic Greek synonyms, less published infusing Greek literature, popular in the period of interest arousing feelings and expressions. Expounding on 1 Maccabees the writing style depicts Old Testament expressions for </w:t>
      </w:r>
      <w:r w:rsidR="00232EAC">
        <w:t>e.g.</w:t>
      </w:r>
      <w:r>
        <w:t> </w:t>
      </w:r>
      <w:r w:rsidRPr="00873ABF">
        <w:rPr>
          <w:rStyle w:val="Strong"/>
          <w:rFonts w:eastAsiaTheme="majorEastAsia"/>
          <w:b w:val="0"/>
          <w:bCs w:val="0"/>
        </w:rPr>
        <w:t>(1 Macc 1:9)</w:t>
      </w:r>
      <w:r>
        <w:t xml:space="preserve"> `` and so did their descendants after them for many years; and they caused many evils on the earth’’ is synonymous with biblical writings in (Genesis 6:5) ``wickedness of man was great in the earth’’. However, for 2 Maccabees, the understanding of the afterlife may not be understandable to a cosmopolitan Greek Jewish population. </w:t>
      </w:r>
      <w:r w:rsidR="00232EAC">
        <w:t>e.</w:t>
      </w:r>
      <w:r>
        <w:t>g. In </w:t>
      </w:r>
      <w:r w:rsidRPr="00873ABF">
        <w:rPr>
          <w:rStyle w:val="Strong"/>
          <w:rFonts w:eastAsiaTheme="majorEastAsia"/>
          <w:b w:val="0"/>
          <w:bCs w:val="0"/>
        </w:rPr>
        <w:t>(2 Macc 6</w:t>
      </w:r>
      <w:r w:rsidR="00232EAC">
        <w:rPr>
          <w:rStyle w:val="Strong"/>
          <w:rFonts w:eastAsiaTheme="majorEastAsia"/>
          <w:b w:val="0"/>
          <w:bCs w:val="0"/>
        </w:rPr>
        <w:t>:</w:t>
      </w:r>
      <w:r w:rsidRPr="00873ABF">
        <w:rPr>
          <w:rStyle w:val="Strong"/>
          <w:rFonts w:eastAsiaTheme="majorEastAsia"/>
          <w:b w:val="0"/>
          <w:bCs w:val="0"/>
        </w:rPr>
        <w:t>26)</w:t>
      </w:r>
      <w:r>
        <w:t xml:space="preserve"> ``Even if for the present I would avoid the punishment of mortals, yet whether I live or die I will not escape the hands of the Almighty’’. </w:t>
      </w:r>
      <w:r w:rsidR="009314AA">
        <w:t>To Hebrew</w:t>
      </w:r>
      <w:r>
        <w:t xml:space="preserve"> </w:t>
      </w:r>
      <w:r w:rsidR="009314AA">
        <w:t>audience’s</w:t>
      </w:r>
      <w:r>
        <w:t>, the concept of the afterlife is naturally embedded according to the Torah, but for a Greek, it would conflict with the Greek understanding of culture and mythology. Paul emphasises a similar issue when trying to explain the perception of salvation to the Greeks in </w:t>
      </w:r>
      <w:r w:rsidRPr="00873ABF">
        <w:rPr>
          <w:rStyle w:val="Strong"/>
          <w:rFonts w:eastAsiaTheme="majorEastAsia"/>
          <w:b w:val="0"/>
          <w:bCs w:val="0"/>
        </w:rPr>
        <w:t>(1 Cor 1:</w:t>
      </w:r>
      <w:r w:rsidR="00986BC3">
        <w:rPr>
          <w:rStyle w:val="Strong"/>
          <w:rFonts w:eastAsiaTheme="majorEastAsia"/>
          <w:b w:val="0"/>
          <w:bCs w:val="0"/>
        </w:rPr>
        <w:t xml:space="preserve"> </w:t>
      </w:r>
      <w:r w:rsidRPr="00873ABF">
        <w:rPr>
          <w:rStyle w:val="Strong"/>
          <w:rFonts w:eastAsiaTheme="majorEastAsia"/>
          <w:b w:val="0"/>
          <w:bCs w:val="0"/>
        </w:rPr>
        <w:t>22-23</w:t>
      </w:r>
      <w:r w:rsidRPr="00873ABF">
        <w:rPr>
          <w:b/>
          <w:bCs/>
        </w:rPr>
        <w:t>)</w:t>
      </w:r>
      <w:r>
        <w:t xml:space="preserve"> …``the Greeks seek after wisdom…and unto the Greeks foolishness’’. Inevitably the earliest works produced by diaspora Jewry was the translation of the Torah into Greek known as the Septuagint (3BCE) …by the second century BCE, the Jews of Egypt produced scholarly essays, philosophical tracts, and poetry based on Greek translations </w:t>
      </w:r>
      <w:r w:rsidRPr="00873ABF">
        <w:rPr>
          <w:rStyle w:val="Strong"/>
          <w:rFonts w:eastAsiaTheme="majorEastAsia"/>
          <w:b w:val="0"/>
          <w:bCs w:val="0"/>
        </w:rPr>
        <w:t>(Cohen 1987).</w:t>
      </w:r>
      <w:r>
        <w:rPr>
          <w:rStyle w:val="Strong"/>
          <w:rFonts w:eastAsiaTheme="majorEastAsia"/>
        </w:rPr>
        <w:t> </w:t>
      </w:r>
      <w:r>
        <w:t xml:space="preserve">This is further proven in the archaeological discovery of the Qumran scrolls evidencing Hebrew scripts written in Palestine between the Maccabean period to the temple destruction in 70 CE. We could infer that 1 Maccabees had more Hebrewic content and originality compared to 2 Maccabees infused with Greek </w:t>
      </w:r>
      <w:r w:rsidR="009314AA">
        <w:t>connotations</w:t>
      </w:r>
      <w:r>
        <w:t>.</w:t>
      </w:r>
    </w:p>
    <w:p w14:paraId="32D6D315" w14:textId="77777777" w:rsidR="00A33BB7" w:rsidRDefault="00A33BB7" w:rsidP="00A33BB7">
      <w:pPr>
        <w:pStyle w:val="NormalWeb"/>
      </w:pPr>
      <w:r>
        <w:rPr>
          <w:rStyle w:val="Strong"/>
          <w:rFonts w:eastAsiaTheme="majorEastAsia"/>
        </w:rPr>
        <w:lastRenderedPageBreak/>
        <w:t> </w:t>
      </w:r>
    </w:p>
    <w:p w14:paraId="5EA3510D" w14:textId="083208F5" w:rsidR="00A33BB7" w:rsidRDefault="00A33BB7" w:rsidP="00A33BB7">
      <w:pPr>
        <w:pStyle w:val="NormalWeb"/>
      </w:pPr>
      <w:r>
        <w:t xml:space="preserve">Culturally Hellenism overwhelmed the Jewish populations tremendously and various Jewish renegades created division, even agreeing with King Antiochus decrees (1 Macc 1:10-15). Gymnasiums were built in Jerusalem where the renegade Jews participated in gentile customs, removing circumcision, and abandoning the holy covenant. In terms of modern interpretation, assimilation is a prime example of </w:t>
      </w:r>
      <w:r w:rsidR="00513C90">
        <w:t>se</w:t>
      </w:r>
      <w:r>
        <w:t>cular culture influencing or converting religious traditions. According to Jewish tradition, the practice of circumcision was an everlasting covenant between God and Abraham (Genesis 17:</w:t>
      </w:r>
      <w:r w:rsidR="00986BC3">
        <w:t xml:space="preserve"> </w:t>
      </w:r>
      <w:r>
        <w:t>9-11). Disobeying the covenant would be a sign of contempt for the Jewish faith. Similarly in the reign of Jason as High priest, new customs introduced young men to wear a Greek Hat…Jason forsook his role in neglecting sacrifices for unlawful proceedings in the wrestling arena, putting high value upon Greek forms of prestige (2 Macc 4:</w:t>
      </w:r>
      <w:r w:rsidR="00986BC3">
        <w:t xml:space="preserve"> </w:t>
      </w:r>
      <w:r>
        <w:t xml:space="preserve">9-17). Despite being an institution separate from the temple, it was evident that a gradual integration would eventually </w:t>
      </w:r>
      <w:r w:rsidR="00232EAC">
        <w:t>s</w:t>
      </w:r>
      <w:r>
        <w:t>pur a revolt over the Jewish way of life. This is depicted by </w:t>
      </w:r>
      <w:r w:rsidRPr="00873ABF">
        <w:rPr>
          <w:rStyle w:val="Strong"/>
          <w:rFonts w:eastAsiaTheme="majorEastAsia"/>
          <w:b w:val="0"/>
          <w:bCs w:val="0"/>
        </w:rPr>
        <w:t>(Collins and Manning 2016)</w:t>
      </w:r>
      <w:r>
        <w:rPr>
          <w:rStyle w:val="Strong"/>
          <w:rFonts w:eastAsiaTheme="majorEastAsia"/>
        </w:rPr>
        <w:t> </w:t>
      </w:r>
      <w:r w:rsidR="005C112E">
        <w:t>d</w:t>
      </w:r>
      <w:r>
        <w:t>uring the Seleucid period in Judea, the problems motivating the rebels to act were culturally symbolic and largely concerned with the temple and cultic practices integrated with ethnic identity. The difference is in 1 Maccabees, Jewish associates participated in the Antiochus Hellenistic programme whereas in 2 Maccabees Jason as a high Priest personified Greek cultic practices.</w:t>
      </w:r>
    </w:p>
    <w:p w14:paraId="175E4DB8" w14:textId="40473E69" w:rsidR="00A33BB7" w:rsidRDefault="00A33BB7" w:rsidP="00A33BB7">
      <w:pPr>
        <w:pStyle w:val="NormalWeb"/>
      </w:pPr>
      <w:r>
        <w:t xml:space="preserve">Judea was susceptible to Antiochus's strategic movements in extending its reign towards Egypt. Being a bridge of landmass between Syria and Egypt allowed Antiochus troops to maximise plundering Egypt and Israel on his way back. Antiochus saw that his kingdom was established, determined to become king of the land of Egypt, and that he might reign over both kingdoms </w:t>
      </w:r>
      <w:r w:rsidRPr="00873ABF">
        <w:rPr>
          <w:b/>
          <w:bCs/>
        </w:rPr>
        <w:t>(</w:t>
      </w:r>
      <w:r w:rsidRPr="00873ABF">
        <w:rPr>
          <w:rStyle w:val="Strong"/>
          <w:rFonts w:eastAsiaTheme="majorEastAsia"/>
          <w:b w:val="0"/>
          <w:bCs w:val="0"/>
        </w:rPr>
        <w:t>1 Macc 1</w:t>
      </w:r>
      <w:r w:rsidR="00873ABF" w:rsidRPr="00873ABF">
        <w:rPr>
          <w:rStyle w:val="Strong"/>
          <w:rFonts w:eastAsiaTheme="majorEastAsia"/>
          <w:b w:val="0"/>
          <w:bCs w:val="0"/>
        </w:rPr>
        <w:t>:</w:t>
      </w:r>
      <w:r w:rsidR="00986BC3">
        <w:rPr>
          <w:rStyle w:val="Strong"/>
          <w:rFonts w:eastAsiaTheme="majorEastAsia"/>
          <w:b w:val="0"/>
          <w:bCs w:val="0"/>
        </w:rPr>
        <w:t xml:space="preserve"> </w:t>
      </w:r>
      <w:r w:rsidRPr="00873ABF">
        <w:rPr>
          <w:rStyle w:val="Strong"/>
          <w:rFonts w:eastAsiaTheme="majorEastAsia"/>
          <w:b w:val="0"/>
          <w:bCs w:val="0"/>
        </w:rPr>
        <w:t>16-19).</w:t>
      </w:r>
      <w:r>
        <w:t> The conquest is prophesied in </w:t>
      </w:r>
      <w:r w:rsidRPr="00873ABF">
        <w:rPr>
          <w:rStyle w:val="Strong"/>
          <w:rFonts w:eastAsiaTheme="majorEastAsia"/>
          <w:b w:val="0"/>
          <w:bCs w:val="0"/>
        </w:rPr>
        <w:t>(Daniel 11:</w:t>
      </w:r>
      <w:r w:rsidR="00986BC3">
        <w:rPr>
          <w:rStyle w:val="Strong"/>
          <w:rFonts w:eastAsiaTheme="majorEastAsia"/>
          <w:b w:val="0"/>
          <w:bCs w:val="0"/>
        </w:rPr>
        <w:t xml:space="preserve"> </w:t>
      </w:r>
      <w:r w:rsidRPr="00873ABF">
        <w:rPr>
          <w:rStyle w:val="Strong"/>
          <w:rFonts w:eastAsiaTheme="majorEastAsia"/>
          <w:b w:val="0"/>
          <w:bCs w:val="0"/>
        </w:rPr>
        <w:t>25-26)</w:t>
      </w:r>
      <w:r>
        <w:t> ``and he shall stir up his power and his heart against the king of the south with a great army…and the king of the south shall wage war with an exceedingly great and mighty army, but he shall not stand, for plots shall be devised against him.  Antiochus returned through Israel salvaged the sanctuary and took the treasures of the temple…The treasures were specifically identified in written text because of their Hebrew relevance </w:t>
      </w:r>
      <w:r w:rsidRPr="00873ABF">
        <w:rPr>
          <w:rStyle w:val="Strong"/>
          <w:rFonts w:eastAsiaTheme="majorEastAsia"/>
          <w:b w:val="0"/>
          <w:bCs w:val="0"/>
        </w:rPr>
        <w:t>(1 Macc 1: 20-23</w:t>
      </w:r>
      <w:r w:rsidRPr="00873ABF">
        <w:t xml:space="preserve">). </w:t>
      </w:r>
      <w:r>
        <w:t>However, according to 2 Maccabees reference to temple treasures was plainly described in written text as holy vessels showing the difference in importance to a Jewish audience compared to a non-Jews sovereign. On the contrary, during the Hasmonean's reign, the referral of temple tressures being presented to the Selucid Kings had different implications according to 1 and 2 Maccabees. The narrator of 2 Maccabees mentions them as being stolen but yet was recognised with legitimacy by the Seleucid Kings. Arguably for 1 Maccabees a concession is taking place between the Jewish high priest and the Seleucid King creating a bond according to the ethos of the period </w:t>
      </w:r>
      <w:r w:rsidRPr="00873ABF">
        <w:rPr>
          <w:rStyle w:val="Strong"/>
          <w:rFonts w:eastAsiaTheme="majorEastAsia"/>
          <w:b w:val="0"/>
          <w:bCs w:val="0"/>
        </w:rPr>
        <w:t>(Mendels 2011).</w:t>
      </w:r>
      <w:r>
        <w:t> Old Testament scriptures record similar conquest by the Babylonians also carrying away the temple tressures during the Babylonian captivity </w:t>
      </w:r>
      <w:r w:rsidRPr="00873ABF">
        <w:rPr>
          <w:rStyle w:val="Strong"/>
          <w:rFonts w:eastAsiaTheme="majorEastAsia"/>
          <w:b w:val="0"/>
          <w:bCs w:val="0"/>
        </w:rPr>
        <w:t>(2 Kings 24:13)</w:t>
      </w:r>
      <w:r>
        <w:t>. It was not uncommon for the Jerusalem temple to be plundered multiple times because God had specifically alluded these events to Israel's violations against Gods covenant. Coincidently Antiochus's disregard for the sacred treasures of the temple and quest for power subsequently lead to the</w:t>
      </w:r>
      <w:r w:rsidR="00986BC3">
        <w:t xml:space="preserve"> ``</w:t>
      </w:r>
      <w:r>
        <w:t>Abomination of Desolation</w:t>
      </w:r>
      <w:r w:rsidR="00986BC3">
        <w:t>’</w:t>
      </w:r>
      <w:r>
        <w:t>’ in the Old Testament </w:t>
      </w:r>
      <w:r w:rsidRPr="00783B45">
        <w:rPr>
          <w:rStyle w:val="Strong"/>
          <w:rFonts w:eastAsiaTheme="majorEastAsia"/>
          <w:b w:val="0"/>
          <w:bCs w:val="0"/>
        </w:rPr>
        <w:t>(Scales 2019).</w:t>
      </w:r>
      <w:r>
        <w:rPr>
          <w:rStyle w:val="Strong"/>
          <w:rFonts w:eastAsiaTheme="majorEastAsia"/>
        </w:rPr>
        <w:t> </w:t>
      </w:r>
      <w:r>
        <w:t>Ultimately because of this atrocious character Antiochus is mocked after his death by Polybius as a mad one similarly described in 2 Maccabees as the arrogant one.</w:t>
      </w:r>
    </w:p>
    <w:p w14:paraId="26FC8182" w14:textId="77777777" w:rsidR="009314AA" w:rsidRDefault="009314AA" w:rsidP="00A33BB7">
      <w:pPr>
        <w:pStyle w:val="NormalWeb"/>
      </w:pPr>
    </w:p>
    <w:p w14:paraId="17D856ED" w14:textId="0229C0B1" w:rsidR="00A33BB7" w:rsidRDefault="00A33BB7" w:rsidP="00A33BB7">
      <w:pPr>
        <w:pStyle w:val="NormalWeb"/>
      </w:pPr>
      <w:r>
        <w:t>The Maccabean revolt against Antiochus could be considered a righteous rebellion according to some sources. A defence of their integrity to fight and protect their land and covenantal law. These are depicted in (1 Macc 2: 23-28) when Mattathias slays a fellow Jew during a pagan sacrifice on the alt</w:t>
      </w:r>
      <w:r w:rsidR="00986BC3">
        <w:t>a</w:t>
      </w:r>
      <w:r>
        <w:t>r in Modein and says `` Let everyone who is zealous for the law and supports the covenant come with me!’’. This is evident that Hellenism brought division among the Jews themselves in worshiping the God of their ancestors. However, despite them being few they relied on their faith in God to defend themselves in war. A primary example is the six-day war between Israel and the Arabs in whom the Lord intervened leading to their victory </w:t>
      </w:r>
      <w:r w:rsidRPr="00783B45">
        <w:rPr>
          <w:rStyle w:val="Strong"/>
          <w:rFonts w:eastAsiaTheme="majorEastAsia"/>
          <w:b w:val="0"/>
          <w:bCs w:val="0"/>
        </w:rPr>
        <w:t>(Karsh 2022)</w:t>
      </w:r>
      <w:r>
        <w:t xml:space="preserve">. Judas Maccabeus states in </w:t>
      </w:r>
      <w:r w:rsidR="00986BC3">
        <w:t>(</w:t>
      </w:r>
      <w:r>
        <w:t>1 Macc 3: 17-22) ``It is not on the size of the army that victory in battle depends, but strengths come from Heaven...they come against us in lawlessness to destroy…he will crush them before us, as for you do not be afraid of them. In a similar fate according to (2 Macc</w:t>
      </w:r>
      <w:r w:rsidR="00783B45">
        <w:t xml:space="preserve"> </w:t>
      </w:r>
      <w:r>
        <w:t xml:space="preserve">7: 41-42) relentless persecution forced a woman encouraging her seven sons to undergo torture and death instead of eating unholy meat. The story ends with a short note to the effect that after the death of her sons, she too </w:t>
      </w:r>
      <w:r w:rsidRPr="00783B45">
        <w:t>died</w:t>
      </w:r>
      <w:r w:rsidRPr="00783B45">
        <w:rPr>
          <w:b/>
          <w:bCs/>
        </w:rPr>
        <w:t> </w:t>
      </w:r>
      <w:r w:rsidRPr="00783B45">
        <w:rPr>
          <w:rStyle w:val="Strong"/>
          <w:rFonts w:eastAsiaTheme="majorEastAsia"/>
          <w:b w:val="0"/>
          <w:bCs w:val="0"/>
        </w:rPr>
        <w:t>(Salakpi 2023).</w:t>
      </w:r>
      <w:r>
        <w:t> Though the rebellion is anticipated in reverence to the fear of the same God, the practices of Jewish traditions were carried out differently.</w:t>
      </w:r>
    </w:p>
    <w:p w14:paraId="618B8417" w14:textId="6E6C0F19" w:rsidR="00A33BB7" w:rsidRDefault="00A33BB7" w:rsidP="00A33BB7">
      <w:pPr>
        <w:pStyle w:val="NormalWeb"/>
      </w:pPr>
      <w:r>
        <w:t xml:space="preserve">The belief in the afterlife prominently indebted the Jews to withstand persecution upholding the laws of the covenant even unto death. Various promises in the Old Testament scripturally stated in the book of Enoch confirm a resurrection. In </w:t>
      </w:r>
      <w:r w:rsidR="007E59B2">
        <w:t>(</w:t>
      </w:r>
      <w:r>
        <w:t>2 Maccabees 7:9</w:t>
      </w:r>
      <w:r w:rsidR="007E59B2">
        <w:t>)</w:t>
      </w:r>
      <w:r>
        <w:t xml:space="preserve">, the martyrdom of the seven brothers profess their relentless conviction to the God of their forefathers as it states`` And when he was at his last breath, he said, ``You accursed wretch, you dismiss us from this present life, but the King of the universe will raise us to an everlasting renewal of Life, because we have died for his laws. Their deep belief in being Jews separated them from the Hellenistic nations of their assured eternal life. This is evidenced in </w:t>
      </w:r>
      <w:r w:rsidR="007E59B2">
        <w:t>(</w:t>
      </w:r>
      <w:r>
        <w:t>2 Maccabees 7:14</w:t>
      </w:r>
      <w:r w:rsidR="007E59B2">
        <w:t>)</w:t>
      </w:r>
      <w:r>
        <w:t xml:space="preserve">  When he was near death, he said, ``One cannot but choose to die at the hands of mortals and to cherish the hope God </w:t>
      </w:r>
      <w:r w:rsidR="005C112E">
        <w:t>g</w:t>
      </w:r>
      <w:r>
        <w:t>ives of being raised again by him…But for you, there will be no resurrection of life</w:t>
      </w:r>
      <w:r w:rsidR="007E59B2">
        <w:t>’’</w:t>
      </w:r>
      <w:r>
        <w:t>. The same resistant approach is anticipated in 1 Maccabees by Mattathias and his son’s refusal of Antiochus-issued decrees. ``No Matter’’ said he to the royal emissaries…I and my sons will go on walking in the covenant of our fathers’’ </w:t>
      </w:r>
      <w:r w:rsidRPr="00783B45">
        <w:rPr>
          <w:rStyle w:val="Strong"/>
          <w:rFonts w:eastAsiaTheme="majorEastAsia"/>
          <w:b w:val="0"/>
          <w:bCs w:val="0"/>
        </w:rPr>
        <w:t>(Gaster 1952).</w:t>
      </w:r>
      <w:r>
        <w:rPr>
          <w:rStyle w:val="Strong"/>
          <w:rFonts w:eastAsiaTheme="majorEastAsia"/>
        </w:rPr>
        <w:t> </w:t>
      </w:r>
      <w:r>
        <w:t>It was this constant defiance that led a growing band of guerrillas to win a series of victories over the Seleucid forces…later taking control of the temple to its former state initiating the origins of the festival of Hanukah </w:t>
      </w:r>
      <w:r w:rsidRPr="00783B45">
        <w:rPr>
          <w:rStyle w:val="Strong"/>
          <w:rFonts w:eastAsiaTheme="majorEastAsia"/>
          <w:b w:val="0"/>
          <w:bCs w:val="0"/>
        </w:rPr>
        <w:t>(Schwartz 2014).</w:t>
      </w:r>
      <w:r>
        <w:rPr>
          <w:rStyle w:val="Strong"/>
          <w:rFonts w:eastAsiaTheme="majorEastAsia"/>
        </w:rPr>
        <w:t> </w:t>
      </w:r>
      <w:r>
        <w:t xml:space="preserve">These same analogies are recorded in the book of Daniel when Sharach, Meshack, and Abednego refuse to bow down to the god statue of Nebukaneshar in Babylon and are thrown into a melting pot of fire without being burnt </w:t>
      </w:r>
      <w:r w:rsidR="00783B45">
        <w:t>(Daniel</w:t>
      </w:r>
      <w:r>
        <w:t xml:space="preserve"> 3: 16-28). These biblical stories of God's intervention amongst the Jews are an encouraging testimony to their fight until death. </w:t>
      </w:r>
    </w:p>
    <w:p w14:paraId="40574905" w14:textId="77777777" w:rsidR="00A33BB7" w:rsidRDefault="00A33BB7" w:rsidP="00A33BB7">
      <w:pPr>
        <w:pStyle w:val="NormalWeb"/>
      </w:pPr>
      <w:r>
        <w:t> </w:t>
      </w:r>
    </w:p>
    <w:p w14:paraId="0AABE7D7" w14:textId="77777777" w:rsidR="00A33BB7" w:rsidRDefault="00A33BB7" w:rsidP="00A33BB7">
      <w:pPr>
        <w:pStyle w:val="NormalWeb"/>
      </w:pPr>
    </w:p>
    <w:p w14:paraId="4B546F40" w14:textId="77777777" w:rsidR="00A33BB7" w:rsidRDefault="00A33BB7" w:rsidP="00A33BB7">
      <w:pPr>
        <w:pStyle w:val="NormalWeb"/>
      </w:pPr>
    </w:p>
    <w:p w14:paraId="1643951D" w14:textId="77777777" w:rsidR="00A33BB7" w:rsidRDefault="00A33BB7" w:rsidP="00A33BB7">
      <w:pPr>
        <w:pStyle w:val="NormalWeb"/>
      </w:pPr>
    </w:p>
    <w:p w14:paraId="0300AA4D" w14:textId="77777777" w:rsidR="00A33BB7" w:rsidRDefault="00A33BB7" w:rsidP="00A33BB7">
      <w:pPr>
        <w:pStyle w:val="NormalWeb"/>
      </w:pPr>
    </w:p>
    <w:p w14:paraId="3C520152" w14:textId="77777777" w:rsidR="00A33BB7" w:rsidRDefault="00A33BB7" w:rsidP="00A33BB7">
      <w:pPr>
        <w:pStyle w:val="NormalWeb"/>
      </w:pPr>
    </w:p>
    <w:p w14:paraId="6F9908A0" w14:textId="0A506340" w:rsidR="00A33BB7" w:rsidRDefault="00A33BB7" w:rsidP="00A33BB7">
      <w:pPr>
        <w:pStyle w:val="NormalWeb"/>
      </w:pPr>
      <w:r>
        <w:t xml:space="preserve">To conclude this essay the book of 1 and 2 Maccabees sums up a recollection of rhetorical dramatization of Israel's desperation for survival. Hellenism like the Persian's and the Babylonian's captivity inflicted cultural and political affiliation amongst Jews.  Diaspora Jews led to the conversion of the Hebrew language to Greek. I agree with the differences between 1 and 2 Maccabees in their style and appeal to Jewish and Greek audiences.  Hellenism affected culture, </w:t>
      </w:r>
      <w:r w:rsidR="007E59B2">
        <w:t>religion</w:t>
      </w:r>
      <w:r>
        <w:t>, and politics inevitably translating Hebrew scriptures. Gymnasiums altered Jewish sensitivities to circumcision and pagan practices. Furthermore, creating division between Antiochus's fellow Jews and the priestly sect in Hellenising institutions. Agreeably Hellenism integrated ethnic identity according to Collins and Mannings. 1 and 2 Maccabees description of tre</w:t>
      </w:r>
      <w:r w:rsidR="007E59B2">
        <w:t>a</w:t>
      </w:r>
      <w:r>
        <w:t>sures appealed differently to a Jewish and Greek audience in terms of literature. Antiochus conquest of Egypt and Israel was prophetically documented in the Old Testament. The Maccabean revolt is considered a righteous rebellion to preserve their land and covenantal law. Numbers are irrelevant when God is on your side during wars with a modern example of the six-day war with the Arabs. I agree with Salakpi that resistance to eating unholy meat and anticipating death manifests defiance differently. The promise of the afterlife is inevitable in both 1 and 2 Maccabees. Old Testament evidence of the faith of Jewish heroes forfeiting decrees even while summoned to death. These are inherited Jewish characteristics that dared martyrdom of the 7 brothers and Mattahisa's refusal of Antiochus's decrees. Hanu</w:t>
      </w:r>
      <w:r w:rsidR="00F40576">
        <w:t>k</w:t>
      </w:r>
      <w:r>
        <w:t>kah was the culmination of brave acts in establishing a Jewish sovereign state.</w:t>
      </w:r>
    </w:p>
    <w:p w14:paraId="0469F2B7" w14:textId="77777777" w:rsidR="009314AA" w:rsidRDefault="009314AA" w:rsidP="00A33BB7">
      <w:pPr>
        <w:pStyle w:val="NormalWeb"/>
      </w:pPr>
    </w:p>
    <w:p w14:paraId="5721CE07" w14:textId="7C75D0E3" w:rsidR="009314AA" w:rsidRDefault="009314AA" w:rsidP="00A33BB7">
      <w:pPr>
        <w:pStyle w:val="NormalWeb"/>
      </w:pPr>
      <w:r>
        <w:t>(2000 Words)</w:t>
      </w:r>
    </w:p>
    <w:bookmarkEnd w:id="0"/>
    <w:p w14:paraId="15F845B9" w14:textId="77777777" w:rsidR="00F40576" w:rsidRDefault="00F40576" w:rsidP="00A33BB7">
      <w:pPr>
        <w:pStyle w:val="NormalWeb"/>
      </w:pPr>
    </w:p>
    <w:p w14:paraId="00CB7C95" w14:textId="77777777" w:rsidR="00F40576" w:rsidRDefault="00F40576" w:rsidP="00A33BB7">
      <w:pPr>
        <w:pStyle w:val="NormalWeb"/>
      </w:pPr>
    </w:p>
    <w:p w14:paraId="6B43CAED" w14:textId="77777777" w:rsidR="00F40576" w:rsidRDefault="00F40576" w:rsidP="00A33BB7">
      <w:pPr>
        <w:pStyle w:val="NormalWeb"/>
      </w:pPr>
    </w:p>
    <w:p w14:paraId="2927AFAC" w14:textId="77777777" w:rsidR="00F40576" w:rsidRDefault="00F40576" w:rsidP="00A33BB7">
      <w:pPr>
        <w:pStyle w:val="NormalWeb"/>
      </w:pPr>
    </w:p>
    <w:p w14:paraId="5C20E3AB" w14:textId="77777777" w:rsidR="00F40576" w:rsidRDefault="00F40576" w:rsidP="00A33BB7">
      <w:pPr>
        <w:pStyle w:val="NormalWeb"/>
      </w:pPr>
    </w:p>
    <w:p w14:paraId="27C767D6" w14:textId="77777777" w:rsidR="00F40576" w:rsidRDefault="00F40576" w:rsidP="00A33BB7">
      <w:pPr>
        <w:pStyle w:val="NormalWeb"/>
      </w:pPr>
    </w:p>
    <w:p w14:paraId="6CE6925B" w14:textId="77777777" w:rsidR="00F40576" w:rsidRDefault="00F40576" w:rsidP="00A33BB7">
      <w:pPr>
        <w:pStyle w:val="NormalWeb"/>
      </w:pPr>
    </w:p>
    <w:p w14:paraId="0ED48B98" w14:textId="77777777" w:rsidR="00F40576" w:rsidRDefault="00F40576" w:rsidP="00A33BB7">
      <w:pPr>
        <w:pStyle w:val="NormalWeb"/>
      </w:pPr>
    </w:p>
    <w:p w14:paraId="7EDADC84" w14:textId="77777777" w:rsidR="00F40576" w:rsidRDefault="00F40576" w:rsidP="00A33BB7">
      <w:pPr>
        <w:pStyle w:val="NormalWeb"/>
      </w:pPr>
    </w:p>
    <w:p w14:paraId="23B7EDD5" w14:textId="77777777" w:rsidR="00F40576" w:rsidRDefault="00F40576" w:rsidP="00A33BB7">
      <w:pPr>
        <w:pStyle w:val="NormalWeb"/>
      </w:pPr>
    </w:p>
    <w:p w14:paraId="452D1C38" w14:textId="77777777" w:rsidR="00F40576" w:rsidRDefault="00F40576" w:rsidP="00A33BB7">
      <w:pPr>
        <w:pStyle w:val="NormalWeb"/>
      </w:pPr>
    </w:p>
    <w:p w14:paraId="19925035" w14:textId="77777777" w:rsidR="00F40576" w:rsidRDefault="00F40576" w:rsidP="00A33BB7">
      <w:pPr>
        <w:pStyle w:val="NormalWeb"/>
      </w:pPr>
    </w:p>
    <w:p w14:paraId="3E234EBD" w14:textId="77777777" w:rsidR="00D27D0D" w:rsidRDefault="00D27D0D" w:rsidP="00F40576">
      <w:pPr>
        <w:rPr>
          <w:rFonts w:ascii="Times New Roman" w:hAnsi="Times New Roman" w:cs="Times New Roman"/>
          <w:b/>
          <w:bCs/>
          <w:sz w:val="24"/>
          <w:szCs w:val="24"/>
        </w:rPr>
      </w:pPr>
    </w:p>
    <w:p w14:paraId="5125EF96" w14:textId="01233134" w:rsidR="00F40576" w:rsidRDefault="00F40576" w:rsidP="00F40576">
      <w:pPr>
        <w:rPr>
          <w:rFonts w:ascii="Times New Roman" w:hAnsi="Times New Roman" w:cs="Times New Roman"/>
          <w:b/>
          <w:bCs/>
          <w:sz w:val="24"/>
          <w:szCs w:val="24"/>
        </w:rPr>
      </w:pPr>
      <w:r w:rsidRPr="004862E5">
        <w:rPr>
          <w:rFonts w:ascii="Times New Roman" w:hAnsi="Times New Roman" w:cs="Times New Roman"/>
          <w:b/>
          <w:bCs/>
          <w:sz w:val="24"/>
          <w:szCs w:val="24"/>
        </w:rPr>
        <w:t>Bibliography</w:t>
      </w:r>
    </w:p>
    <w:p w14:paraId="41F9B8B7" w14:textId="4C645658" w:rsidR="00B25314" w:rsidRPr="00B25314" w:rsidRDefault="00B25314" w:rsidP="00F40576">
      <w:pPr>
        <w:rPr>
          <w:rFonts w:ascii="Times New Roman" w:hAnsi="Times New Roman" w:cs="Times New Roman"/>
          <w:sz w:val="24"/>
          <w:szCs w:val="24"/>
        </w:rPr>
      </w:pPr>
      <w:r w:rsidRPr="004862E5">
        <w:rPr>
          <w:rFonts w:ascii="Times New Roman" w:hAnsi="Times New Roman" w:cs="Times New Roman"/>
          <w:sz w:val="24"/>
          <w:szCs w:val="24"/>
        </w:rPr>
        <w:t>Cohen,</w:t>
      </w:r>
      <w:r>
        <w:rPr>
          <w:rFonts w:ascii="Times New Roman" w:hAnsi="Times New Roman" w:cs="Times New Roman"/>
          <w:sz w:val="24"/>
          <w:szCs w:val="24"/>
        </w:rPr>
        <w:t xml:space="preserve"> S J. D.</w:t>
      </w:r>
      <w:r w:rsidRPr="004862E5">
        <w:rPr>
          <w:rFonts w:ascii="Times New Roman" w:hAnsi="Times New Roman" w:cs="Times New Roman"/>
          <w:sz w:val="24"/>
          <w:szCs w:val="24"/>
        </w:rPr>
        <w:t xml:space="preserve"> 1987. From the Maccabees to the Mishnah. </w:t>
      </w:r>
      <w:r>
        <w:rPr>
          <w:rFonts w:ascii="Times New Roman" w:hAnsi="Times New Roman" w:cs="Times New Roman"/>
          <w:sz w:val="24"/>
          <w:szCs w:val="24"/>
        </w:rPr>
        <w:t>Philadelphia:</w:t>
      </w:r>
      <w:r w:rsidRPr="004862E5">
        <w:rPr>
          <w:rFonts w:ascii="Times New Roman" w:hAnsi="Times New Roman" w:cs="Times New Roman"/>
          <w:sz w:val="24"/>
          <w:szCs w:val="24"/>
        </w:rPr>
        <w:t xml:space="preserve"> The Westminister Press</w:t>
      </w:r>
      <w:r>
        <w:rPr>
          <w:rFonts w:ascii="Times New Roman" w:hAnsi="Times New Roman" w:cs="Times New Roman"/>
          <w:sz w:val="24"/>
          <w:szCs w:val="24"/>
        </w:rPr>
        <w:t>.</w:t>
      </w:r>
    </w:p>
    <w:p w14:paraId="37653006" w14:textId="3381B5FD" w:rsidR="00F40576" w:rsidRDefault="00F40576" w:rsidP="00F40576">
      <w:pPr>
        <w:rPr>
          <w:rFonts w:ascii="Times New Roman" w:hAnsi="Times New Roman" w:cs="Times New Roman"/>
          <w:sz w:val="24"/>
          <w:szCs w:val="24"/>
        </w:rPr>
      </w:pPr>
      <w:r w:rsidRPr="004862E5">
        <w:rPr>
          <w:rFonts w:ascii="Times New Roman" w:hAnsi="Times New Roman" w:cs="Times New Roman"/>
          <w:sz w:val="24"/>
          <w:szCs w:val="24"/>
        </w:rPr>
        <w:t>Collins, J. J. and Manning,</w:t>
      </w:r>
      <w:r w:rsidR="00B25314">
        <w:rPr>
          <w:rFonts w:ascii="Times New Roman" w:hAnsi="Times New Roman" w:cs="Times New Roman"/>
          <w:sz w:val="24"/>
          <w:szCs w:val="24"/>
        </w:rPr>
        <w:t xml:space="preserve"> </w:t>
      </w:r>
      <w:r w:rsidRPr="004862E5">
        <w:rPr>
          <w:rFonts w:ascii="Times New Roman" w:hAnsi="Times New Roman" w:cs="Times New Roman"/>
          <w:sz w:val="24"/>
          <w:szCs w:val="24"/>
        </w:rPr>
        <w:t>J.</w:t>
      </w:r>
      <w:r w:rsidR="00B25314">
        <w:rPr>
          <w:rFonts w:ascii="Times New Roman" w:hAnsi="Times New Roman" w:cs="Times New Roman"/>
          <w:sz w:val="24"/>
          <w:szCs w:val="24"/>
        </w:rPr>
        <w:t xml:space="preserve"> </w:t>
      </w:r>
      <w:r w:rsidRPr="004862E5">
        <w:rPr>
          <w:rFonts w:ascii="Times New Roman" w:hAnsi="Times New Roman" w:cs="Times New Roman"/>
          <w:sz w:val="24"/>
          <w:szCs w:val="24"/>
        </w:rPr>
        <w:t xml:space="preserve">G. 2016. Revolt and Resistance in the Ancient Classical World and the Near East, Leiden, The Netherlands: Brill. Available </w:t>
      </w:r>
      <w:r w:rsidR="00B25314">
        <w:rPr>
          <w:rFonts w:ascii="Times New Roman" w:hAnsi="Times New Roman" w:cs="Times New Roman"/>
          <w:sz w:val="24"/>
          <w:szCs w:val="24"/>
        </w:rPr>
        <w:t xml:space="preserve">at </w:t>
      </w:r>
      <w:r w:rsidRPr="004862E5">
        <w:rPr>
          <w:rFonts w:ascii="Times New Roman" w:hAnsi="Times New Roman" w:cs="Times New Roman"/>
          <w:sz w:val="24"/>
          <w:szCs w:val="24"/>
        </w:rPr>
        <w:t xml:space="preserve">: Brill </w:t>
      </w:r>
      <w:hyperlink r:id="rId4" w:history="1">
        <w:r w:rsidRPr="004862E5">
          <w:rPr>
            <w:rStyle w:val="Hyperlink"/>
            <w:rFonts w:ascii="Times New Roman" w:hAnsi="Times New Roman" w:cs="Times New Roman"/>
            <w:sz w:val="24"/>
            <w:szCs w:val="24"/>
          </w:rPr>
          <w:t>https://doi-org.ezproxy.uwtsd.ac.uk/10.1163/9789004330184</w:t>
        </w:r>
      </w:hyperlink>
      <w:r>
        <w:rPr>
          <w:rFonts w:ascii="Times New Roman" w:hAnsi="Times New Roman" w:cs="Times New Roman"/>
          <w:sz w:val="24"/>
          <w:szCs w:val="24"/>
        </w:rPr>
        <w:t>.</w:t>
      </w:r>
    </w:p>
    <w:p w14:paraId="396AE0AC" w14:textId="2C93BD94" w:rsidR="009314AA" w:rsidRDefault="009314AA" w:rsidP="00F40576">
      <w:pPr>
        <w:rPr>
          <w:rFonts w:ascii="Times New Roman" w:hAnsi="Times New Roman" w:cs="Times New Roman"/>
          <w:sz w:val="24"/>
          <w:szCs w:val="24"/>
        </w:rPr>
      </w:pPr>
      <w:r w:rsidRPr="004862E5">
        <w:rPr>
          <w:rFonts w:ascii="Times New Roman" w:hAnsi="Times New Roman" w:cs="Times New Roman"/>
          <w:sz w:val="24"/>
          <w:szCs w:val="24"/>
        </w:rPr>
        <w:t>Gaster, T.</w:t>
      </w:r>
      <w:r w:rsidR="00B25314">
        <w:rPr>
          <w:rFonts w:ascii="Times New Roman" w:hAnsi="Times New Roman" w:cs="Times New Roman"/>
          <w:sz w:val="24"/>
          <w:szCs w:val="24"/>
        </w:rPr>
        <w:t xml:space="preserve"> </w:t>
      </w:r>
      <w:r w:rsidRPr="004862E5">
        <w:rPr>
          <w:rFonts w:ascii="Times New Roman" w:hAnsi="Times New Roman" w:cs="Times New Roman"/>
          <w:sz w:val="24"/>
          <w:szCs w:val="24"/>
        </w:rPr>
        <w:t xml:space="preserve">H. 1952. The True Glory of the Maccabean Revolt. Commentary </w:t>
      </w:r>
      <w:r w:rsidRPr="004862E5">
        <w:rPr>
          <w:rFonts w:ascii="Times New Roman" w:hAnsi="Times New Roman" w:cs="Times New Roman"/>
          <w:i/>
          <w:iCs/>
          <w:sz w:val="24"/>
          <w:szCs w:val="24"/>
        </w:rPr>
        <w:t>(pre-19.86)</w:t>
      </w:r>
      <w:r w:rsidRPr="004862E5">
        <w:rPr>
          <w:rFonts w:ascii="Times New Roman" w:hAnsi="Times New Roman" w:cs="Times New Roman"/>
          <w:sz w:val="24"/>
          <w:szCs w:val="24"/>
        </w:rPr>
        <w:t>, 14(000006), pp.529.</w:t>
      </w:r>
    </w:p>
    <w:p w14:paraId="5379CC25" w14:textId="3B38C8CF" w:rsidR="009314AA" w:rsidRDefault="009314AA" w:rsidP="00F40576">
      <w:pPr>
        <w:rPr>
          <w:rFonts w:ascii="Times New Roman" w:hAnsi="Times New Roman" w:cs="Times New Roman"/>
          <w:sz w:val="24"/>
          <w:szCs w:val="24"/>
        </w:rPr>
      </w:pPr>
      <w:r w:rsidRPr="004862E5">
        <w:rPr>
          <w:rFonts w:ascii="Times New Roman" w:hAnsi="Times New Roman" w:cs="Times New Roman"/>
          <w:sz w:val="24"/>
          <w:szCs w:val="24"/>
        </w:rPr>
        <w:t>Himmelfarb, M. 1999. `Levi, Phinehas, and the Problem of Intermarriage at the Time of the Maccabean Revolt’, Jewish studies quarterly, 6(1), pp. 1-24.</w:t>
      </w:r>
    </w:p>
    <w:p w14:paraId="6B056713" w14:textId="7940D056" w:rsidR="00B25314" w:rsidRPr="004862E5" w:rsidRDefault="00B25314" w:rsidP="00F40576">
      <w:pPr>
        <w:rPr>
          <w:rFonts w:ascii="Times New Roman" w:hAnsi="Times New Roman" w:cs="Times New Roman"/>
          <w:sz w:val="24"/>
          <w:szCs w:val="24"/>
        </w:rPr>
      </w:pPr>
      <w:r w:rsidRPr="004862E5">
        <w:rPr>
          <w:rFonts w:ascii="Times New Roman" w:hAnsi="Times New Roman" w:cs="Times New Roman"/>
          <w:sz w:val="24"/>
          <w:szCs w:val="24"/>
        </w:rPr>
        <w:t xml:space="preserve">Karsh. A. 2022. </w:t>
      </w:r>
      <w:r w:rsidRPr="004862E5">
        <w:rPr>
          <w:rFonts w:ascii="Times New Roman" w:hAnsi="Times New Roman" w:cs="Times New Roman"/>
          <w:i/>
          <w:iCs/>
          <w:sz w:val="24"/>
          <w:szCs w:val="24"/>
        </w:rPr>
        <w:t>Rethinking the Six Day War</w:t>
      </w:r>
      <w:r w:rsidRPr="004862E5">
        <w:rPr>
          <w:rFonts w:ascii="Times New Roman" w:hAnsi="Times New Roman" w:cs="Times New Roman"/>
          <w:sz w:val="24"/>
          <w:szCs w:val="24"/>
        </w:rPr>
        <w:t>. Begin-Sadat Centre for Strategic Studies.</w:t>
      </w:r>
    </w:p>
    <w:p w14:paraId="3FF02A8D" w14:textId="3ADCB39A" w:rsidR="00F40576" w:rsidRPr="004862E5" w:rsidRDefault="00F40576" w:rsidP="00F40576">
      <w:pPr>
        <w:rPr>
          <w:rFonts w:ascii="Times New Roman" w:hAnsi="Times New Roman" w:cs="Times New Roman"/>
          <w:sz w:val="24"/>
          <w:szCs w:val="24"/>
        </w:rPr>
      </w:pPr>
      <w:r w:rsidRPr="004862E5">
        <w:rPr>
          <w:rFonts w:ascii="Times New Roman" w:hAnsi="Times New Roman" w:cs="Times New Roman"/>
          <w:sz w:val="24"/>
          <w:szCs w:val="24"/>
        </w:rPr>
        <w:t xml:space="preserve">1 Maccabees: </w:t>
      </w:r>
      <w:hyperlink r:id="rId5" w:history="1">
        <w:r w:rsidRPr="004862E5">
          <w:rPr>
            <w:rStyle w:val="Hyperlink"/>
            <w:rFonts w:ascii="Times New Roman" w:hAnsi="Times New Roman" w:cs="Times New Roman"/>
            <w:sz w:val="24"/>
            <w:szCs w:val="24"/>
          </w:rPr>
          <w:t>http://www.biblegateway.com/passage/?search=1+Maccabees+4&amp;version=NRSV</w:t>
        </w:r>
      </w:hyperlink>
      <w:r w:rsidRPr="004862E5">
        <w:rPr>
          <w:rFonts w:ascii="Times New Roman" w:hAnsi="Times New Roman" w:cs="Times New Roman"/>
          <w:sz w:val="24"/>
          <w:szCs w:val="24"/>
        </w:rPr>
        <w:t>)</w:t>
      </w:r>
      <w:r w:rsidR="00D27D0D">
        <w:rPr>
          <w:rFonts w:ascii="Times New Roman" w:hAnsi="Times New Roman" w:cs="Times New Roman"/>
          <w:sz w:val="24"/>
          <w:szCs w:val="24"/>
        </w:rPr>
        <w:t>.</w:t>
      </w:r>
    </w:p>
    <w:p w14:paraId="7B9D2AED" w14:textId="3FE2F6CF" w:rsidR="00F40576" w:rsidRDefault="00F40576" w:rsidP="00F40576">
      <w:pPr>
        <w:rPr>
          <w:rStyle w:val="Hyperlink"/>
          <w:rFonts w:ascii="Times New Roman" w:hAnsi="Times New Roman" w:cs="Times New Roman"/>
          <w:sz w:val="24"/>
          <w:szCs w:val="24"/>
        </w:rPr>
      </w:pPr>
      <w:r w:rsidRPr="004862E5">
        <w:rPr>
          <w:rFonts w:ascii="Times New Roman" w:hAnsi="Times New Roman" w:cs="Times New Roman"/>
          <w:sz w:val="24"/>
          <w:szCs w:val="24"/>
        </w:rPr>
        <w:t xml:space="preserve">2 Maccabees: </w:t>
      </w:r>
      <w:hyperlink r:id="rId6" w:history="1">
        <w:r w:rsidRPr="004862E5">
          <w:rPr>
            <w:rStyle w:val="Hyperlink"/>
            <w:rFonts w:ascii="Times New Roman" w:hAnsi="Times New Roman" w:cs="Times New Roman"/>
            <w:sz w:val="24"/>
            <w:szCs w:val="24"/>
          </w:rPr>
          <w:t>https://www.biblegateway.com/passage/?search=2+Maccabees+10&amp;version=NRSV</w:t>
        </w:r>
      </w:hyperlink>
      <w:r w:rsidR="00D27D0D">
        <w:rPr>
          <w:rStyle w:val="Hyperlink"/>
          <w:rFonts w:ascii="Times New Roman" w:hAnsi="Times New Roman" w:cs="Times New Roman"/>
          <w:sz w:val="24"/>
          <w:szCs w:val="24"/>
        </w:rPr>
        <w:t>.</w:t>
      </w:r>
    </w:p>
    <w:p w14:paraId="33D5C2A0" w14:textId="2B8FE0F8" w:rsidR="00B25314" w:rsidRPr="004862E5" w:rsidRDefault="00B25314" w:rsidP="00F40576">
      <w:pPr>
        <w:rPr>
          <w:rFonts w:ascii="Times New Roman" w:hAnsi="Times New Roman" w:cs="Times New Roman"/>
          <w:sz w:val="24"/>
          <w:szCs w:val="24"/>
        </w:rPr>
      </w:pPr>
      <w:r w:rsidRPr="004862E5">
        <w:rPr>
          <w:rFonts w:ascii="Times New Roman" w:hAnsi="Times New Roman" w:cs="Times New Roman"/>
          <w:sz w:val="24"/>
          <w:szCs w:val="24"/>
        </w:rPr>
        <w:t xml:space="preserve">Mendels, D. 2011. `Was the Rejection of Gifts One of the Reasons for the Outbreak of the Maccabean Revolt? A Preliminary Note on the Role of Gifting in the Book of 1 Maccabees’, Journal for the study of the Pseudepigrapha, 20(4), pp. 243-256. Available at: </w:t>
      </w:r>
      <w:hyperlink r:id="rId7" w:history="1">
        <w:r w:rsidRPr="004862E5">
          <w:rPr>
            <w:rStyle w:val="Hyperlink"/>
            <w:rFonts w:ascii="Times New Roman" w:hAnsi="Times New Roman" w:cs="Times New Roman"/>
            <w:sz w:val="24"/>
            <w:szCs w:val="24"/>
          </w:rPr>
          <w:t>http://doi.org/10.1177/0951820711411218</w:t>
        </w:r>
      </w:hyperlink>
      <w:r w:rsidRPr="004862E5">
        <w:rPr>
          <w:rFonts w:ascii="Times New Roman" w:hAnsi="Times New Roman" w:cs="Times New Roman"/>
          <w:sz w:val="24"/>
          <w:szCs w:val="24"/>
        </w:rPr>
        <w:t>.</w:t>
      </w:r>
    </w:p>
    <w:p w14:paraId="1F7D596F" w14:textId="77777777" w:rsidR="00F40576" w:rsidRDefault="00F40576" w:rsidP="00F40576">
      <w:pPr>
        <w:rPr>
          <w:rFonts w:ascii="Times New Roman" w:hAnsi="Times New Roman" w:cs="Times New Roman"/>
          <w:sz w:val="24"/>
          <w:szCs w:val="24"/>
        </w:rPr>
      </w:pPr>
      <w:r w:rsidRPr="004862E5">
        <w:rPr>
          <w:rFonts w:ascii="Times New Roman" w:hAnsi="Times New Roman" w:cs="Times New Roman"/>
          <w:sz w:val="24"/>
          <w:szCs w:val="24"/>
        </w:rPr>
        <w:t>Salakpi, A.G.K. 2023. `A life of Integrity: The Maccabean Story’, Religions (Basel, Switzerland), 14(11), pp. 1428. Available at: htttps://doi.org/10.3390/rel14111428.</w:t>
      </w:r>
    </w:p>
    <w:p w14:paraId="26DCA854" w14:textId="77777777" w:rsidR="00F40576" w:rsidRPr="004862E5" w:rsidRDefault="00F40576" w:rsidP="00F40576">
      <w:pPr>
        <w:rPr>
          <w:rFonts w:ascii="Times New Roman" w:hAnsi="Times New Roman" w:cs="Times New Roman"/>
          <w:sz w:val="24"/>
          <w:szCs w:val="24"/>
        </w:rPr>
      </w:pPr>
      <w:r>
        <w:rPr>
          <w:rFonts w:ascii="Times New Roman" w:hAnsi="Times New Roman" w:cs="Times New Roman"/>
          <w:sz w:val="24"/>
          <w:szCs w:val="24"/>
        </w:rPr>
        <w:t xml:space="preserve">Schwartz. D : Lecture on 1 &amp;2 Maccabees Available at: </w:t>
      </w:r>
      <w:hyperlink r:id="rId8" w:anchor="fpstate=ive&amp;vld=cid:a04175e3,vid:5RQhysxU2GU,st:0" w:history="1">
        <w:r w:rsidRPr="00EA2927">
          <w:rPr>
            <w:color w:val="0000FF"/>
            <w:u w:val="single"/>
          </w:rPr>
          <w:t>daniel schwartz maccabbees site:youtube.com - Google Search</w:t>
        </w:r>
      </w:hyperlink>
      <w:r>
        <w:t>.</w:t>
      </w:r>
    </w:p>
    <w:p w14:paraId="7A327069" w14:textId="77777777" w:rsidR="00F40576" w:rsidRDefault="00F40576" w:rsidP="00F40576">
      <w:pPr>
        <w:rPr>
          <w:rFonts w:ascii="Times New Roman" w:hAnsi="Times New Roman" w:cs="Times New Roman"/>
          <w:sz w:val="24"/>
          <w:szCs w:val="24"/>
        </w:rPr>
      </w:pPr>
      <w:r w:rsidRPr="004862E5">
        <w:rPr>
          <w:rFonts w:ascii="Times New Roman" w:hAnsi="Times New Roman" w:cs="Times New Roman"/>
          <w:sz w:val="24"/>
          <w:szCs w:val="24"/>
        </w:rPr>
        <w:t>Schwartz, S. 2014. Maccabean Revolt and Hasmonean Dynasty’, in The Ancient Jews from Alexander to Muhammad. Cambridge: University Press (Key Themes in Ancient History), pp. 39-58.</w:t>
      </w:r>
    </w:p>
    <w:p w14:paraId="7C0F5A70" w14:textId="77777777" w:rsidR="00F40576" w:rsidRPr="004862E5" w:rsidRDefault="00F40576" w:rsidP="00F40576">
      <w:pPr>
        <w:rPr>
          <w:rFonts w:ascii="Times New Roman" w:hAnsi="Times New Roman" w:cs="Times New Roman"/>
          <w:sz w:val="24"/>
          <w:szCs w:val="24"/>
        </w:rPr>
      </w:pPr>
      <w:r w:rsidRPr="004862E5">
        <w:rPr>
          <w:rFonts w:ascii="Times New Roman" w:hAnsi="Times New Roman" w:cs="Times New Roman"/>
          <w:sz w:val="24"/>
          <w:szCs w:val="24"/>
        </w:rPr>
        <w:t>The Holy Bible. 2021: England: Trinitarian Bible Society.</w:t>
      </w:r>
    </w:p>
    <w:p w14:paraId="0A209D00" w14:textId="77777777" w:rsidR="00F40576" w:rsidRDefault="00F40576" w:rsidP="00A33BB7">
      <w:pPr>
        <w:pStyle w:val="NormalWeb"/>
      </w:pPr>
    </w:p>
    <w:p w14:paraId="7BF9343E" w14:textId="77777777" w:rsidR="00F40576" w:rsidRDefault="00F40576" w:rsidP="00A33BB7">
      <w:pPr>
        <w:pStyle w:val="NormalWeb"/>
      </w:pPr>
    </w:p>
    <w:p w14:paraId="6B6C4A9E" w14:textId="77777777" w:rsidR="00125CCE" w:rsidRDefault="00125CCE" w:rsidP="002C7917">
      <w:pPr>
        <w:pStyle w:val="NormalWeb"/>
        <w:shd w:val="clear" w:color="auto" w:fill="FFFFFF"/>
        <w:spacing w:before="0" w:beforeAutospacing="0"/>
        <w:rPr>
          <w:rFonts w:ascii="Calibri" w:hAnsi="Calibri" w:cs="Calibri"/>
          <w:color w:val="1D2125"/>
          <w:sz w:val="28"/>
          <w:szCs w:val="28"/>
        </w:rPr>
      </w:pPr>
    </w:p>
    <w:p w14:paraId="02FE4EBF" w14:textId="77777777" w:rsidR="00A33BB7" w:rsidRDefault="00A33BB7" w:rsidP="002C7917">
      <w:pPr>
        <w:pStyle w:val="NormalWeb"/>
        <w:shd w:val="clear" w:color="auto" w:fill="FFFFFF"/>
        <w:spacing w:before="0" w:beforeAutospacing="0"/>
        <w:rPr>
          <w:rFonts w:ascii="Calibri" w:hAnsi="Calibri" w:cs="Calibri"/>
          <w:color w:val="1D2125"/>
          <w:sz w:val="28"/>
          <w:szCs w:val="28"/>
        </w:rPr>
      </w:pPr>
    </w:p>
    <w:sectPr w:rsidR="00A33B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917"/>
    <w:rsid w:val="00107BAD"/>
    <w:rsid w:val="00125CCE"/>
    <w:rsid w:val="001354F6"/>
    <w:rsid w:val="001563C5"/>
    <w:rsid w:val="00225913"/>
    <w:rsid w:val="00232EAC"/>
    <w:rsid w:val="00252017"/>
    <w:rsid w:val="002C04D7"/>
    <w:rsid w:val="002C7917"/>
    <w:rsid w:val="003F274F"/>
    <w:rsid w:val="00513C90"/>
    <w:rsid w:val="00561F3D"/>
    <w:rsid w:val="005C112E"/>
    <w:rsid w:val="006527DA"/>
    <w:rsid w:val="006C68C7"/>
    <w:rsid w:val="006D20E2"/>
    <w:rsid w:val="007140B6"/>
    <w:rsid w:val="007142BE"/>
    <w:rsid w:val="00783B45"/>
    <w:rsid w:val="007B331F"/>
    <w:rsid w:val="007E59B2"/>
    <w:rsid w:val="00832D63"/>
    <w:rsid w:val="00870C74"/>
    <w:rsid w:val="0087185A"/>
    <w:rsid w:val="00873ABF"/>
    <w:rsid w:val="009121CC"/>
    <w:rsid w:val="009314AA"/>
    <w:rsid w:val="00986BC3"/>
    <w:rsid w:val="00A33BB7"/>
    <w:rsid w:val="00B01801"/>
    <w:rsid w:val="00B25314"/>
    <w:rsid w:val="00C32E09"/>
    <w:rsid w:val="00CA7AFD"/>
    <w:rsid w:val="00CE4757"/>
    <w:rsid w:val="00D27D0D"/>
    <w:rsid w:val="00E52471"/>
    <w:rsid w:val="00E8005C"/>
    <w:rsid w:val="00ED4183"/>
    <w:rsid w:val="00F40576"/>
    <w:rsid w:val="00FC51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9E65A"/>
  <w15:chartTrackingRefBased/>
  <w15:docId w15:val="{8FAFAE49-BB2B-4A14-A442-A6DA59A17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79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79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79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79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79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79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79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79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79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79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79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79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79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79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79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79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79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7917"/>
    <w:rPr>
      <w:rFonts w:eastAsiaTheme="majorEastAsia" w:cstheme="majorBidi"/>
      <w:color w:val="272727" w:themeColor="text1" w:themeTint="D8"/>
    </w:rPr>
  </w:style>
  <w:style w:type="paragraph" w:styleId="Title">
    <w:name w:val="Title"/>
    <w:basedOn w:val="Normal"/>
    <w:next w:val="Normal"/>
    <w:link w:val="TitleChar"/>
    <w:uiPriority w:val="10"/>
    <w:qFormat/>
    <w:rsid w:val="002C79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79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79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79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7917"/>
    <w:pPr>
      <w:spacing w:before="160"/>
      <w:jc w:val="center"/>
    </w:pPr>
    <w:rPr>
      <w:i/>
      <w:iCs/>
      <w:color w:val="404040" w:themeColor="text1" w:themeTint="BF"/>
    </w:rPr>
  </w:style>
  <w:style w:type="character" w:customStyle="1" w:styleId="QuoteChar">
    <w:name w:val="Quote Char"/>
    <w:basedOn w:val="DefaultParagraphFont"/>
    <w:link w:val="Quote"/>
    <w:uiPriority w:val="29"/>
    <w:rsid w:val="002C7917"/>
    <w:rPr>
      <w:i/>
      <w:iCs/>
      <w:color w:val="404040" w:themeColor="text1" w:themeTint="BF"/>
    </w:rPr>
  </w:style>
  <w:style w:type="paragraph" w:styleId="ListParagraph">
    <w:name w:val="List Paragraph"/>
    <w:basedOn w:val="Normal"/>
    <w:uiPriority w:val="34"/>
    <w:qFormat/>
    <w:rsid w:val="002C7917"/>
    <w:pPr>
      <w:ind w:left="720"/>
      <w:contextualSpacing/>
    </w:pPr>
  </w:style>
  <w:style w:type="character" w:styleId="IntenseEmphasis">
    <w:name w:val="Intense Emphasis"/>
    <w:basedOn w:val="DefaultParagraphFont"/>
    <w:uiPriority w:val="21"/>
    <w:qFormat/>
    <w:rsid w:val="002C7917"/>
    <w:rPr>
      <w:i/>
      <w:iCs/>
      <w:color w:val="0F4761" w:themeColor="accent1" w:themeShade="BF"/>
    </w:rPr>
  </w:style>
  <w:style w:type="paragraph" w:styleId="IntenseQuote">
    <w:name w:val="Intense Quote"/>
    <w:basedOn w:val="Normal"/>
    <w:next w:val="Normal"/>
    <w:link w:val="IntenseQuoteChar"/>
    <w:uiPriority w:val="30"/>
    <w:qFormat/>
    <w:rsid w:val="002C79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7917"/>
    <w:rPr>
      <w:i/>
      <w:iCs/>
      <w:color w:val="0F4761" w:themeColor="accent1" w:themeShade="BF"/>
    </w:rPr>
  </w:style>
  <w:style w:type="character" w:styleId="IntenseReference">
    <w:name w:val="Intense Reference"/>
    <w:basedOn w:val="DefaultParagraphFont"/>
    <w:uiPriority w:val="32"/>
    <w:qFormat/>
    <w:rsid w:val="002C7917"/>
    <w:rPr>
      <w:b/>
      <w:bCs/>
      <w:smallCaps/>
      <w:color w:val="0F4761" w:themeColor="accent1" w:themeShade="BF"/>
      <w:spacing w:val="5"/>
    </w:rPr>
  </w:style>
  <w:style w:type="paragraph" w:styleId="NormalWeb">
    <w:name w:val="Normal (Web)"/>
    <w:basedOn w:val="Normal"/>
    <w:uiPriority w:val="99"/>
    <w:unhideWhenUsed/>
    <w:rsid w:val="002C791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Spacing">
    <w:name w:val="No Spacing"/>
    <w:uiPriority w:val="1"/>
    <w:qFormat/>
    <w:rsid w:val="002C7917"/>
    <w:pPr>
      <w:spacing w:after="0" w:line="240" w:lineRule="auto"/>
    </w:pPr>
  </w:style>
  <w:style w:type="character" w:styleId="Strong">
    <w:name w:val="Strong"/>
    <w:basedOn w:val="DefaultParagraphFont"/>
    <w:uiPriority w:val="22"/>
    <w:qFormat/>
    <w:rsid w:val="00A33BB7"/>
    <w:rPr>
      <w:b/>
      <w:bCs/>
    </w:rPr>
  </w:style>
  <w:style w:type="character" w:styleId="Hyperlink">
    <w:name w:val="Hyperlink"/>
    <w:basedOn w:val="DefaultParagraphFont"/>
    <w:uiPriority w:val="99"/>
    <w:unhideWhenUsed/>
    <w:rsid w:val="00F4057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88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search?q=daniel%20schwartz%20maccabbees%20site%3Ayoutube.com&amp;sca_esv=d7773eb477db942c&amp;source=hp&amp;ei=f_M7ZtiXC52ihbIP1aaO6Ak&amp;iflsig=AL9hbdgAAAAAZjwBhT994ixfZR_g-NRAbFv8xSwYTueW&amp;ved=2ahUKEwiY093BhP-FAxUdUUEAHVWTA50Q2wF6BAgIEAE&amp;uact=5&amp;oq=you+tube&amp;gs_lp=Egdnd3Mtd2l6Igh5b3UgdHViZTIKEAAYgAQYsQMYCjIKEAAYgAQYsQMYCjIKEAAYgAQYsQMYCjIHEAAYgAQYCjIHEAAYgAQYCjIHEAAYgAQYCjIHEAAYgAQYCjIHEAAYgAQYCjIHEC4YgAQYCjIHEAAYgAQYCkinM1AAWIArcAR4AJABAJgBYaAB7QWqAQIxMLgBA8gBAPgBAZgCDqACpAfCAgsQABiABBixAxiDAcICERAuGIAEGLEDGNEDGIMBGMcBwgILEC4YgAQYsQMYgwHCAgUQABiABMICCBAAGIAEGLEDwgIOEC4YgAQYsQMYgwEY1ALCAhEQLhiABBixAxiDARjHARivAcICBRAuGIAEwgIIEC4YgAQYsQPCAg0QABiABBixAxiDARgKmAMAkgcEMTMuMaAHjWg&amp;sclient=gws-wiz" TargetMode="External"/><Relationship Id="rId3" Type="http://schemas.openxmlformats.org/officeDocument/2006/relationships/webSettings" Target="webSettings.xml"/><Relationship Id="rId7" Type="http://schemas.openxmlformats.org/officeDocument/2006/relationships/hyperlink" Target="http://doi.org/10.1177/0951820711411218"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iblegateway.com/passage/?search=2+Maccabees+10&amp;version=NRSV" TargetMode="External"/><Relationship Id="rId5" Type="http://schemas.openxmlformats.org/officeDocument/2006/relationships/hyperlink" Target="http://www.biblegateway.com/passage/?search=1+Maccabees+4&amp;version=NRSV" TargetMode="External"/><Relationship Id="rId10" Type="http://schemas.openxmlformats.org/officeDocument/2006/relationships/theme" Target="theme/theme1.xml"/><Relationship Id="rId4" Type="http://schemas.openxmlformats.org/officeDocument/2006/relationships/hyperlink" Target="https://doi-org.ezproxy.uwtsd.ac.uk/10.1163/9789004330184"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1</Pages>
  <Words>2332</Words>
  <Characters>13297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Philitoga</dc:creator>
  <cp:keywords/>
  <dc:description/>
  <cp:lastModifiedBy>Daniel Philitoga</cp:lastModifiedBy>
  <cp:revision>4</cp:revision>
  <dcterms:created xsi:type="dcterms:W3CDTF">2024-05-08T22:01:00Z</dcterms:created>
  <dcterms:modified xsi:type="dcterms:W3CDTF">2024-05-09T07:42:00Z</dcterms:modified>
</cp:coreProperties>
</file>