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C301E" w14:textId="03A66877" w:rsidR="00162181" w:rsidRPr="0005249D" w:rsidRDefault="00994CF9" w:rsidP="00091A2A">
      <w:pPr>
        <w:pStyle w:val="NormalWeb"/>
        <w:shd w:val="clear" w:color="auto" w:fill="FFFFFF"/>
        <w:spacing w:before="0" w:beforeAutospacing="0" w:line="480" w:lineRule="auto"/>
        <w:jc w:val="both"/>
        <w:rPr>
          <w:rFonts w:ascii="Arial" w:hAnsi="Arial" w:cs="Arial"/>
          <w:color w:val="1D2125"/>
          <w:sz w:val="22"/>
          <w:szCs w:val="22"/>
        </w:rPr>
      </w:pPr>
      <w:r w:rsidRPr="0005249D">
        <w:rPr>
          <w:rFonts w:ascii="Arial" w:hAnsi="Arial" w:cs="Arial"/>
          <w:color w:val="1D2125"/>
          <w:sz w:val="22"/>
          <w:szCs w:val="22"/>
        </w:rPr>
        <w:t>I</w:t>
      </w:r>
      <w:r w:rsidR="00162181" w:rsidRPr="0005249D">
        <w:rPr>
          <w:rFonts w:ascii="Arial" w:hAnsi="Arial" w:cs="Arial"/>
          <w:color w:val="1D2125"/>
          <w:sz w:val="22"/>
          <w:szCs w:val="22"/>
        </w:rPr>
        <w:t xml:space="preserve"> acknowledge the use of </w:t>
      </w:r>
      <w:r w:rsidR="00541AA3" w:rsidRPr="0005249D">
        <w:rPr>
          <w:rFonts w:ascii="Arial" w:hAnsi="Arial" w:cs="Arial"/>
          <w:color w:val="1D2125"/>
          <w:sz w:val="22"/>
          <w:szCs w:val="22"/>
        </w:rPr>
        <w:t>Quillbot</w:t>
      </w:r>
      <w:r w:rsidR="00162181" w:rsidRPr="0005249D">
        <w:rPr>
          <w:rFonts w:ascii="Arial" w:hAnsi="Arial" w:cs="Arial"/>
          <w:color w:val="1D2125"/>
          <w:sz w:val="22"/>
          <w:szCs w:val="22"/>
        </w:rPr>
        <w:t xml:space="preserve"> on </w:t>
      </w:r>
      <w:r w:rsidR="00541AA3" w:rsidRPr="0005249D">
        <w:rPr>
          <w:rFonts w:ascii="Arial" w:hAnsi="Arial" w:cs="Arial"/>
          <w:color w:val="1D2125"/>
          <w:sz w:val="22"/>
          <w:szCs w:val="22"/>
        </w:rPr>
        <w:t>19/01/25</w:t>
      </w:r>
      <w:r w:rsidR="00162181" w:rsidRPr="0005249D">
        <w:rPr>
          <w:rFonts w:ascii="Arial" w:hAnsi="Arial" w:cs="Arial"/>
          <w:color w:val="1D2125"/>
          <w:sz w:val="22"/>
          <w:szCs w:val="22"/>
        </w:rPr>
        <w:t xml:space="preserve"> to </w:t>
      </w:r>
      <w:r w:rsidR="006730C1" w:rsidRPr="0005249D">
        <w:rPr>
          <w:rFonts w:ascii="Arial" w:hAnsi="Arial" w:cs="Arial"/>
          <w:color w:val="1D2125"/>
          <w:sz w:val="22"/>
          <w:szCs w:val="22"/>
        </w:rPr>
        <w:t>get assistance with a grammar and punctuation check</w:t>
      </w:r>
      <w:r w:rsidR="00162181" w:rsidRPr="0005249D">
        <w:rPr>
          <w:rFonts w:ascii="Arial" w:hAnsi="Arial" w:cs="Arial"/>
          <w:color w:val="1D2125"/>
          <w:sz w:val="22"/>
          <w:szCs w:val="22"/>
        </w:rPr>
        <w:t>. </w:t>
      </w:r>
    </w:p>
    <w:p w14:paraId="533F2909" w14:textId="77777777" w:rsidR="00162181" w:rsidRPr="0005249D" w:rsidRDefault="00162181" w:rsidP="00091A2A">
      <w:pPr>
        <w:pStyle w:val="NormalWeb"/>
        <w:shd w:val="clear" w:color="auto" w:fill="FFFFFF"/>
        <w:spacing w:before="0" w:beforeAutospacing="0" w:line="480" w:lineRule="auto"/>
        <w:jc w:val="both"/>
        <w:rPr>
          <w:rFonts w:ascii="Arial" w:hAnsi="Arial" w:cs="Arial"/>
          <w:color w:val="1D2125"/>
          <w:sz w:val="22"/>
          <w:szCs w:val="22"/>
        </w:rPr>
      </w:pPr>
      <w:r w:rsidRPr="0005249D">
        <w:rPr>
          <w:rFonts w:ascii="Arial" w:hAnsi="Arial" w:cs="Arial"/>
          <w:color w:val="1D2125"/>
          <w:sz w:val="22"/>
          <w:szCs w:val="22"/>
        </w:rPr>
        <w:br/>
        <w:t>I confirm that I have not presented any AI generated text as my own work</w:t>
      </w:r>
    </w:p>
    <w:p w14:paraId="39162ED0" w14:textId="77777777" w:rsidR="00162181" w:rsidRPr="0005249D" w:rsidRDefault="00162181" w:rsidP="00091A2A">
      <w:pPr>
        <w:pStyle w:val="NormalWeb"/>
        <w:shd w:val="clear" w:color="auto" w:fill="FFFFFF"/>
        <w:spacing w:before="0" w:beforeAutospacing="0" w:after="0" w:afterAutospacing="0" w:line="480" w:lineRule="auto"/>
        <w:jc w:val="both"/>
        <w:rPr>
          <w:rFonts w:ascii="Arial" w:hAnsi="Arial" w:cs="Arial"/>
          <w:color w:val="1D2125"/>
          <w:sz w:val="22"/>
          <w:szCs w:val="22"/>
        </w:rPr>
      </w:pPr>
      <w:r w:rsidRPr="0005249D">
        <w:rPr>
          <w:rFonts w:ascii="Arial" w:hAnsi="Arial" w:cs="Arial"/>
          <w:color w:val="1D2125"/>
          <w:sz w:val="22"/>
          <w:szCs w:val="22"/>
        </w:rPr>
        <w:br/>
        <w:t>I confirm I have copies of my drafts, notes, and other resources I used before, and after the use of AI tools which I may be asked to provide in evidence</w:t>
      </w:r>
    </w:p>
    <w:p w14:paraId="434C6B5F" w14:textId="595E2090" w:rsidR="006321EB" w:rsidRDefault="006321EB" w:rsidP="00DF47B7">
      <w:pPr>
        <w:pStyle w:val="NormalWeb"/>
      </w:pPr>
    </w:p>
    <w:p w14:paraId="2A22D77E" w14:textId="77777777" w:rsidR="00162181" w:rsidRDefault="00162181" w:rsidP="00DF47B7">
      <w:pPr>
        <w:pStyle w:val="NormalWeb"/>
      </w:pPr>
    </w:p>
    <w:p w14:paraId="5F165E26" w14:textId="77777777" w:rsidR="00162181" w:rsidRDefault="00162181" w:rsidP="00DF47B7">
      <w:pPr>
        <w:pStyle w:val="NormalWeb"/>
      </w:pPr>
    </w:p>
    <w:p w14:paraId="03CC86D4" w14:textId="77777777" w:rsidR="00162181" w:rsidRDefault="00162181" w:rsidP="00DF47B7">
      <w:pPr>
        <w:pStyle w:val="NormalWeb"/>
      </w:pPr>
    </w:p>
    <w:p w14:paraId="067E19C3" w14:textId="77777777" w:rsidR="00162181" w:rsidRDefault="00162181" w:rsidP="00DF47B7">
      <w:pPr>
        <w:pStyle w:val="NormalWeb"/>
      </w:pPr>
    </w:p>
    <w:p w14:paraId="0BE085F2" w14:textId="77777777" w:rsidR="00162181" w:rsidRDefault="00162181" w:rsidP="00DF47B7">
      <w:pPr>
        <w:pStyle w:val="NormalWeb"/>
      </w:pPr>
    </w:p>
    <w:p w14:paraId="1067FD3F" w14:textId="77777777" w:rsidR="00162181" w:rsidRDefault="00162181" w:rsidP="00DF47B7">
      <w:pPr>
        <w:pStyle w:val="NormalWeb"/>
      </w:pPr>
    </w:p>
    <w:p w14:paraId="25F23A33" w14:textId="77777777" w:rsidR="00162181" w:rsidRDefault="00162181" w:rsidP="00DF47B7">
      <w:pPr>
        <w:pStyle w:val="NormalWeb"/>
      </w:pPr>
    </w:p>
    <w:p w14:paraId="60F4D252" w14:textId="77777777" w:rsidR="00162181" w:rsidRDefault="00162181" w:rsidP="00DF47B7">
      <w:pPr>
        <w:pStyle w:val="NormalWeb"/>
      </w:pPr>
    </w:p>
    <w:p w14:paraId="40813432" w14:textId="77777777" w:rsidR="00162181" w:rsidRDefault="00162181" w:rsidP="00DF47B7">
      <w:pPr>
        <w:pStyle w:val="NormalWeb"/>
      </w:pPr>
    </w:p>
    <w:p w14:paraId="4D424DEB" w14:textId="77777777" w:rsidR="00162181" w:rsidRDefault="00162181" w:rsidP="00DF47B7">
      <w:pPr>
        <w:pStyle w:val="NormalWeb"/>
      </w:pPr>
    </w:p>
    <w:p w14:paraId="3087C24B" w14:textId="77777777" w:rsidR="00162181" w:rsidRDefault="00162181" w:rsidP="00DF47B7">
      <w:pPr>
        <w:pStyle w:val="NormalWeb"/>
      </w:pPr>
    </w:p>
    <w:p w14:paraId="18ACEEEF" w14:textId="77777777" w:rsidR="00162181" w:rsidRDefault="00162181" w:rsidP="00DF47B7">
      <w:pPr>
        <w:pStyle w:val="NormalWeb"/>
      </w:pPr>
    </w:p>
    <w:p w14:paraId="4FDDEA57" w14:textId="77777777" w:rsidR="00162181" w:rsidRDefault="00162181" w:rsidP="00DF47B7">
      <w:pPr>
        <w:pStyle w:val="NormalWeb"/>
      </w:pPr>
    </w:p>
    <w:p w14:paraId="6A44CE75" w14:textId="77777777" w:rsidR="00162181" w:rsidRDefault="00162181" w:rsidP="00DF47B7">
      <w:pPr>
        <w:pStyle w:val="NormalWeb"/>
      </w:pPr>
    </w:p>
    <w:p w14:paraId="691593BF" w14:textId="77777777" w:rsidR="00162181" w:rsidRDefault="00162181" w:rsidP="00DF47B7">
      <w:pPr>
        <w:pStyle w:val="NormalWeb"/>
      </w:pPr>
    </w:p>
    <w:p w14:paraId="408AC09A" w14:textId="77777777" w:rsidR="00162181" w:rsidRDefault="00162181" w:rsidP="00DF47B7">
      <w:pPr>
        <w:pStyle w:val="NormalWeb"/>
      </w:pPr>
    </w:p>
    <w:p w14:paraId="26FA6202" w14:textId="77777777" w:rsidR="00162181" w:rsidRDefault="00162181" w:rsidP="00DF47B7">
      <w:pPr>
        <w:pStyle w:val="NormalWeb"/>
      </w:pPr>
    </w:p>
    <w:p w14:paraId="70CCC267" w14:textId="77777777" w:rsidR="00162181" w:rsidRDefault="00162181" w:rsidP="00DF47B7">
      <w:pPr>
        <w:pStyle w:val="NormalWeb"/>
      </w:pPr>
    </w:p>
    <w:p w14:paraId="265051C1" w14:textId="77777777" w:rsidR="00162181" w:rsidRDefault="00162181" w:rsidP="00DF47B7">
      <w:pPr>
        <w:pStyle w:val="NormalWeb"/>
      </w:pPr>
    </w:p>
    <w:p w14:paraId="77CCC21C" w14:textId="77777777" w:rsidR="00162181" w:rsidRDefault="00162181" w:rsidP="00DF47B7">
      <w:pPr>
        <w:pStyle w:val="NormalWeb"/>
      </w:pPr>
    </w:p>
    <w:p w14:paraId="74ED45D4" w14:textId="77777777" w:rsidR="00162181" w:rsidRDefault="00162181" w:rsidP="00DF47B7">
      <w:pPr>
        <w:pStyle w:val="NormalWeb"/>
      </w:pPr>
    </w:p>
    <w:p w14:paraId="1399A244" w14:textId="77777777" w:rsidR="00162181" w:rsidRDefault="00162181" w:rsidP="00DF47B7">
      <w:pPr>
        <w:pStyle w:val="NormalWeb"/>
      </w:pPr>
    </w:p>
    <w:p w14:paraId="06CFD861" w14:textId="4F20548F" w:rsidR="00162181" w:rsidRPr="0005249D" w:rsidRDefault="0005249D" w:rsidP="0005249D">
      <w:pPr>
        <w:pStyle w:val="NormalWeb"/>
        <w:spacing w:line="480" w:lineRule="auto"/>
        <w:jc w:val="both"/>
        <w:rPr>
          <w:rFonts w:ascii="Arial" w:hAnsi="Arial" w:cs="Arial"/>
          <w:sz w:val="22"/>
          <w:szCs w:val="22"/>
        </w:rPr>
      </w:pPr>
      <w:r w:rsidRPr="0005249D">
        <w:rPr>
          <w:rFonts w:ascii="Arial" w:hAnsi="Arial" w:cs="Arial"/>
          <w:sz w:val="22"/>
          <w:szCs w:val="22"/>
        </w:rPr>
        <w:t>Critical Perspectives in Policy Planning and Delivery</w:t>
      </w:r>
    </w:p>
    <w:p w14:paraId="72A989BC" w14:textId="77777777" w:rsidR="00DF47B7" w:rsidRPr="0005249D" w:rsidRDefault="00DF47B7" w:rsidP="0005249D">
      <w:pPr>
        <w:pStyle w:val="NormalWeb"/>
        <w:spacing w:line="480" w:lineRule="auto"/>
        <w:jc w:val="both"/>
        <w:rPr>
          <w:rFonts w:ascii="Arial" w:hAnsi="Arial" w:cs="Arial"/>
          <w:sz w:val="22"/>
          <w:szCs w:val="22"/>
        </w:rPr>
      </w:pPr>
    </w:p>
    <w:p w14:paraId="13EDD31B" w14:textId="77777777" w:rsidR="00CA3D60" w:rsidRPr="0005249D" w:rsidRDefault="00CA3D60" w:rsidP="0005249D">
      <w:pPr>
        <w:pStyle w:val="NormalWeb"/>
        <w:spacing w:line="480" w:lineRule="auto"/>
        <w:jc w:val="both"/>
        <w:rPr>
          <w:rFonts w:ascii="Arial" w:hAnsi="Arial" w:cs="Arial"/>
          <w:sz w:val="22"/>
          <w:szCs w:val="22"/>
        </w:rPr>
      </w:pPr>
      <w:r w:rsidRPr="0005249D">
        <w:rPr>
          <w:rFonts w:ascii="Arial" w:hAnsi="Arial" w:cs="Arial"/>
          <w:sz w:val="22"/>
          <w:szCs w:val="22"/>
        </w:rPr>
        <w:t>Historically, policies have been introduced to address a range of social, economic, and political challenges. These policies often take the form of broad directives that outline priorities, alongside written rules, guidelines, procedures, or standards that must be adhered to (Fowler, 2021). According to Howlett (2019), the primary aim of these policies is to guide decision-making and behaviour within organisations or institutions, offering a framework for consistency and accountability across various operational sectors (Hill and Hupe, 2022). Public and organisational policies, while both designed to bring about change, differ in their objectives and the bodies responsible for overseeing them.</w:t>
      </w:r>
    </w:p>
    <w:p w14:paraId="25C86DB4" w14:textId="77777777" w:rsidR="00CA3D60" w:rsidRPr="0005249D" w:rsidRDefault="00CA3D60" w:rsidP="0005249D">
      <w:pPr>
        <w:pStyle w:val="NormalWeb"/>
        <w:spacing w:line="480" w:lineRule="auto"/>
        <w:jc w:val="both"/>
        <w:rPr>
          <w:rFonts w:ascii="Arial" w:hAnsi="Arial" w:cs="Arial"/>
          <w:sz w:val="22"/>
          <w:szCs w:val="22"/>
        </w:rPr>
      </w:pPr>
      <w:r w:rsidRPr="0005249D">
        <w:rPr>
          <w:rFonts w:ascii="Arial" w:hAnsi="Arial" w:cs="Arial"/>
          <w:sz w:val="22"/>
          <w:szCs w:val="22"/>
        </w:rPr>
        <w:t>Organisational policy refers to the set of rules and guidelines established by an organisation to govern its internal operations, aiming to regulate behaviour within the institution to meet its specific goals (Varone and Hill, 2021). In contrast, public policy pertains to the decisions and actions taken by governments, impacting the wider public and seeking to address societal issues (Kraft and Furlong, 2020). Knill and Tosun (2022) further describe public policy as a governmental or legislative response, or lack thereof, to a particular issue.</w:t>
      </w:r>
    </w:p>
    <w:p w14:paraId="15256364" w14:textId="77777777" w:rsidR="00CA3D60" w:rsidRPr="0005249D" w:rsidRDefault="00CA3D60"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This essay will examine the intersection of social policy, education, and child welfare in 19th and early 20th-century Britain, exploring the enduring effects of these reforms and the ideological shifts that influenced them. The discussion will also consider the role of </w:t>
      </w:r>
      <w:r w:rsidRPr="0005249D">
        <w:rPr>
          <w:rFonts w:ascii="Arial" w:hAnsi="Arial" w:cs="Arial"/>
          <w:sz w:val="22"/>
          <w:szCs w:val="22"/>
        </w:rPr>
        <w:lastRenderedPageBreak/>
        <w:t>policymakers, educators, and social theorists in shaping the welfare of children, and assess the broader implications of these policies on the development of modern educational and social systems. Key topics will include the enablers for successful policy implementation, the barriers that may hinder this process, and recommendations for effective policy creation and implementation moving forward. Additionally, historical and contemporary views on the construction of childhood will be explored, alongside an analysis of how current policies align with the United Nations Convention on the Rights of the Child, and what this means for practice in the future.</w:t>
      </w:r>
    </w:p>
    <w:p w14:paraId="7A329775" w14:textId="264CB952" w:rsidR="00DF47B7" w:rsidRPr="0005249D" w:rsidRDefault="00DF47B7" w:rsidP="0005249D">
      <w:pPr>
        <w:pStyle w:val="NormalWeb"/>
        <w:spacing w:line="480" w:lineRule="auto"/>
        <w:jc w:val="both"/>
        <w:rPr>
          <w:rFonts w:ascii="Arial" w:hAnsi="Arial" w:cs="Arial"/>
          <w:sz w:val="22"/>
          <w:szCs w:val="22"/>
        </w:rPr>
      </w:pPr>
    </w:p>
    <w:p w14:paraId="4E68BA87" w14:textId="7A8B6E73" w:rsidR="007A7221" w:rsidRPr="0005249D" w:rsidRDefault="00D0120A" w:rsidP="0005249D">
      <w:pPr>
        <w:pStyle w:val="NormalWeb"/>
        <w:spacing w:line="480" w:lineRule="auto"/>
        <w:jc w:val="both"/>
        <w:rPr>
          <w:rFonts w:ascii="Arial" w:hAnsi="Arial" w:cs="Arial"/>
          <w:sz w:val="22"/>
          <w:szCs w:val="22"/>
        </w:rPr>
      </w:pPr>
      <w:r w:rsidRPr="0005249D">
        <w:rPr>
          <w:rFonts w:ascii="Arial" w:hAnsi="Arial" w:cs="Arial"/>
          <w:sz w:val="22"/>
          <w:szCs w:val="22"/>
        </w:rPr>
        <w:t>Following the Industrial Revolution, social policy in the 19th century began to tackle issues like poverty, education, and healthcare through government intervention and regulation</w:t>
      </w:r>
      <w:r w:rsidR="00EF59FE" w:rsidRPr="0005249D">
        <w:rPr>
          <w:rFonts w:ascii="Arial" w:hAnsi="Arial" w:cs="Arial"/>
          <w:sz w:val="22"/>
          <w:szCs w:val="22"/>
        </w:rPr>
        <w:t xml:space="preserve"> (Frazer, 2024</w:t>
      </w:r>
      <w:r w:rsidR="008448CD" w:rsidRPr="0005249D">
        <w:rPr>
          <w:rFonts w:ascii="Arial" w:hAnsi="Arial" w:cs="Arial"/>
          <w:sz w:val="22"/>
          <w:szCs w:val="22"/>
        </w:rPr>
        <w:t>, p.9</w:t>
      </w:r>
      <w:r w:rsidR="003C46B6" w:rsidRPr="0005249D">
        <w:rPr>
          <w:rFonts w:ascii="Arial" w:hAnsi="Arial" w:cs="Arial"/>
          <w:sz w:val="22"/>
          <w:szCs w:val="22"/>
        </w:rPr>
        <w:t>)</w:t>
      </w:r>
      <w:r w:rsidRPr="0005249D">
        <w:rPr>
          <w:rFonts w:ascii="Arial" w:hAnsi="Arial" w:cs="Arial"/>
          <w:sz w:val="22"/>
          <w:szCs w:val="22"/>
        </w:rPr>
        <w:t xml:space="preserve"> This represented a move toward</w:t>
      </w:r>
      <w:r w:rsidR="00167DCF" w:rsidRPr="0005249D">
        <w:rPr>
          <w:rFonts w:ascii="Arial" w:hAnsi="Arial" w:cs="Arial"/>
          <w:sz w:val="22"/>
          <w:szCs w:val="22"/>
        </w:rPr>
        <w:t>s</w:t>
      </w:r>
      <w:r w:rsidRPr="0005249D">
        <w:rPr>
          <w:rFonts w:ascii="Arial" w:hAnsi="Arial" w:cs="Arial"/>
          <w:sz w:val="22"/>
          <w:szCs w:val="22"/>
        </w:rPr>
        <w:t xml:space="preserve"> a more structured and methodical approach to social welfare, aiming to enhance the general well-being of society</w:t>
      </w:r>
      <w:r w:rsidR="008448CD" w:rsidRPr="0005249D">
        <w:rPr>
          <w:rFonts w:ascii="Arial" w:hAnsi="Arial" w:cs="Arial"/>
          <w:sz w:val="22"/>
          <w:szCs w:val="22"/>
        </w:rPr>
        <w:t xml:space="preserve"> (Roulac, 209).</w:t>
      </w:r>
      <w:r w:rsidR="008952F5" w:rsidRPr="0005249D">
        <w:rPr>
          <w:rFonts w:ascii="Arial" w:hAnsi="Arial" w:cs="Arial"/>
          <w:sz w:val="22"/>
          <w:szCs w:val="22"/>
        </w:rPr>
        <w:t xml:space="preserve"> </w:t>
      </w:r>
      <w:r w:rsidR="007A7221" w:rsidRPr="0005249D">
        <w:rPr>
          <w:rFonts w:ascii="Arial" w:hAnsi="Arial" w:cs="Arial"/>
          <w:sz w:val="22"/>
          <w:szCs w:val="22"/>
        </w:rPr>
        <w:t>The initial social policies were developed to address the severe issues of industrial capitalism, aiming to improve working conditions, regulate child labour, and establish minimum wage laws</w:t>
      </w:r>
      <w:r w:rsidR="009E1722" w:rsidRPr="0005249D">
        <w:rPr>
          <w:rFonts w:ascii="Arial" w:hAnsi="Arial" w:cs="Arial"/>
          <w:sz w:val="22"/>
          <w:szCs w:val="22"/>
        </w:rPr>
        <w:t xml:space="preserve"> (White, 1994)</w:t>
      </w:r>
      <w:r w:rsidR="00716781" w:rsidRPr="0005249D">
        <w:rPr>
          <w:rFonts w:ascii="Arial" w:hAnsi="Arial" w:cs="Arial"/>
          <w:sz w:val="22"/>
          <w:szCs w:val="22"/>
        </w:rPr>
        <w:t xml:space="preserve">. </w:t>
      </w:r>
      <w:r w:rsidR="008952F5" w:rsidRPr="0005249D">
        <w:rPr>
          <w:rFonts w:ascii="Arial" w:hAnsi="Arial" w:cs="Arial"/>
          <w:sz w:val="22"/>
          <w:szCs w:val="22"/>
        </w:rPr>
        <w:t xml:space="preserve"> </w:t>
      </w:r>
      <w:r w:rsidR="007A7221" w:rsidRPr="0005249D">
        <w:rPr>
          <w:rFonts w:ascii="Arial" w:hAnsi="Arial" w:cs="Arial"/>
          <w:sz w:val="22"/>
          <w:szCs w:val="22"/>
        </w:rPr>
        <w:t>These policies served as a response to the growing inequalities and exploitation of workers during the Industrial Revolution. Justman and Gradstein (1999, p.111) argue that the Industrial Revolution began a process of democratisation in 19th-century Britain, shifting power from the elite to the wider population. Supporting this perspective, Frazer (2024) suggests that these social policies marked a significant shift towards greater government intervention in economic and social affairs, laying the foundation for future welfare states and leading to broader labour rights and protections. Similarly, Power (2020) notes that Britain's educational policies in the 1860s emerged from the interaction of social, economic, and political factors, along with evolving discourses on childhood and education.</w:t>
      </w:r>
    </w:p>
    <w:p w14:paraId="71FC018D" w14:textId="7CCF103D" w:rsidR="00D57337" w:rsidRPr="0005249D" w:rsidRDefault="00A132A3"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The </w:t>
      </w:r>
      <w:r w:rsidR="00825C4E" w:rsidRPr="0005249D">
        <w:rPr>
          <w:rFonts w:ascii="Arial" w:hAnsi="Arial" w:cs="Arial"/>
          <w:sz w:val="22"/>
          <w:szCs w:val="22"/>
        </w:rPr>
        <w:t xml:space="preserve"> Elementary</w:t>
      </w:r>
      <w:r w:rsidRPr="0005249D">
        <w:rPr>
          <w:rFonts w:ascii="Arial" w:hAnsi="Arial" w:cs="Arial"/>
          <w:sz w:val="22"/>
          <w:szCs w:val="22"/>
        </w:rPr>
        <w:t xml:space="preserve"> Educ</w:t>
      </w:r>
      <w:r w:rsidR="00825C4E" w:rsidRPr="0005249D">
        <w:rPr>
          <w:rFonts w:ascii="Arial" w:hAnsi="Arial" w:cs="Arial"/>
          <w:sz w:val="22"/>
          <w:szCs w:val="22"/>
        </w:rPr>
        <w:t>ation</w:t>
      </w:r>
      <w:r w:rsidRPr="0005249D">
        <w:rPr>
          <w:rFonts w:ascii="Arial" w:hAnsi="Arial" w:cs="Arial"/>
          <w:sz w:val="22"/>
          <w:szCs w:val="22"/>
        </w:rPr>
        <w:t xml:space="preserve"> Act</w:t>
      </w:r>
      <w:r w:rsidR="00C45559">
        <w:rPr>
          <w:rFonts w:ascii="Arial" w:hAnsi="Arial" w:cs="Arial"/>
          <w:sz w:val="22"/>
          <w:szCs w:val="22"/>
        </w:rPr>
        <w:t xml:space="preserve"> (1870)</w:t>
      </w:r>
      <w:r w:rsidRPr="0005249D">
        <w:rPr>
          <w:rFonts w:ascii="Arial" w:hAnsi="Arial" w:cs="Arial"/>
          <w:sz w:val="22"/>
          <w:szCs w:val="22"/>
        </w:rPr>
        <w:t xml:space="preserve"> signified a commitment to national education in England and Wales, representing the first comprehensive legislative attempt to organi</w:t>
      </w:r>
      <w:r w:rsidR="00507FE3">
        <w:rPr>
          <w:rFonts w:ascii="Arial" w:hAnsi="Arial" w:cs="Arial"/>
          <w:sz w:val="22"/>
          <w:szCs w:val="22"/>
        </w:rPr>
        <w:t>s</w:t>
      </w:r>
      <w:r w:rsidRPr="0005249D">
        <w:rPr>
          <w:rFonts w:ascii="Arial" w:hAnsi="Arial" w:cs="Arial"/>
          <w:sz w:val="22"/>
          <w:szCs w:val="22"/>
        </w:rPr>
        <w:t xml:space="preserve">e </w:t>
      </w:r>
      <w:r w:rsidRPr="0005249D">
        <w:rPr>
          <w:rFonts w:ascii="Arial" w:hAnsi="Arial" w:cs="Arial"/>
          <w:sz w:val="22"/>
          <w:szCs w:val="22"/>
        </w:rPr>
        <w:lastRenderedPageBreak/>
        <w:t>education (UK Parliament 2024). Notable individuals such as Lowe</w:t>
      </w:r>
      <w:r w:rsidR="006F1BC2" w:rsidRPr="0005249D">
        <w:rPr>
          <w:rFonts w:ascii="Arial" w:hAnsi="Arial" w:cs="Arial"/>
          <w:sz w:val="22"/>
          <w:szCs w:val="22"/>
        </w:rPr>
        <w:t xml:space="preserve"> (1811</w:t>
      </w:r>
      <w:r w:rsidR="0023713F" w:rsidRPr="0005249D">
        <w:rPr>
          <w:rFonts w:ascii="Arial" w:hAnsi="Arial" w:cs="Arial"/>
          <w:sz w:val="22"/>
          <w:szCs w:val="22"/>
        </w:rPr>
        <w:t>-1892)</w:t>
      </w:r>
      <w:r w:rsidRPr="0005249D">
        <w:rPr>
          <w:rFonts w:ascii="Arial" w:hAnsi="Arial" w:cs="Arial"/>
          <w:sz w:val="22"/>
          <w:szCs w:val="22"/>
        </w:rPr>
        <w:t xml:space="preserve"> and Forster</w:t>
      </w:r>
      <w:r w:rsidR="0023713F" w:rsidRPr="0005249D">
        <w:rPr>
          <w:rFonts w:ascii="Arial" w:hAnsi="Arial" w:cs="Arial"/>
          <w:sz w:val="22"/>
          <w:szCs w:val="22"/>
        </w:rPr>
        <w:t xml:space="preserve"> (</w:t>
      </w:r>
      <w:r w:rsidR="00946918" w:rsidRPr="0005249D">
        <w:rPr>
          <w:rFonts w:ascii="Arial" w:hAnsi="Arial" w:cs="Arial"/>
          <w:sz w:val="22"/>
          <w:szCs w:val="22"/>
        </w:rPr>
        <w:t xml:space="preserve">1879 </w:t>
      </w:r>
      <w:r w:rsidR="00B12572" w:rsidRPr="0005249D">
        <w:rPr>
          <w:rFonts w:ascii="Arial" w:hAnsi="Arial" w:cs="Arial"/>
          <w:sz w:val="22"/>
          <w:szCs w:val="22"/>
        </w:rPr>
        <w:t>-1870</w:t>
      </w:r>
      <w:r w:rsidR="0023713F" w:rsidRPr="0005249D">
        <w:rPr>
          <w:rFonts w:ascii="Arial" w:hAnsi="Arial" w:cs="Arial"/>
          <w:sz w:val="22"/>
          <w:szCs w:val="22"/>
        </w:rPr>
        <w:t>)</w:t>
      </w:r>
      <w:r w:rsidRPr="0005249D">
        <w:rPr>
          <w:rFonts w:ascii="Arial" w:hAnsi="Arial" w:cs="Arial"/>
          <w:sz w:val="22"/>
          <w:szCs w:val="22"/>
        </w:rPr>
        <w:t xml:space="preserve"> were pivotal in the creation and enactment of this significant law</w:t>
      </w:r>
      <w:r w:rsidR="00BE10B3" w:rsidRPr="0005249D">
        <w:rPr>
          <w:rFonts w:ascii="Arial" w:hAnsi="Arial" w:cs="Arial"/>
          <w:sz w:val="22"/>
          <w:szCs w:val="22"/>
        </w:rPr>
        <w:t xml:space="preserve"> </w:t>
      </w:r>
      <w:r w:rsidRPr="0005249D">
        <w:rPr>
          <w:rFonts w:ascii="Arial" w:hAnsi="Arial" w:cs="Arial"/>
          <w:sz w:val="22"/>
          <w:szCs w:val="22"/>
        </w:rPr>
        <w:t xml:space="preserve">(Bulaitis, 2020). </w:t>
      </w:r>
      <w:r w:rsidR="00A66952" w:rsidRPr="0005249D">
        <w:rPr>
          <w:rFonts w:ascii="Arial" w:hAnsi="Arial" w:cs="Arial"/>
          <w:sz w:val="22"/>
          <w:szCs w:val="22"/>
        </w:rPr>
        <w:t>Ingham (2006) highlights that Lowe's contributions to school reform are among his most lasting achievements. In his efforts to make education compulsory for children in England and Wales, Lowe introduced the Elementary Education Act of 1870 (Bulaitis, 2020). Hall et al. (2015) describe this as a significant step towards modernising the British educational system. However, Lowe’s views on education appear to have been complex. While he recognised the importance of schooling for all children, he also supported a hierarchical structure in educational opportunities (Collins, 2019). Pease (2021) notes that critics of educational elitism argued that Lowe's ideas undermined the concept of universal education, as they primarily advocated for advanced educational opportunities for privileged groups, such as the wealthy and socially advantaged. Bell (2016) further suggests that such critics would have contended that Lowe's hierarchical approach to education contradicted the principles of equality and social justice, thereby undermining the notion of education as a means of promoting equality.</w:t>
      </w:r>
    </w:p>
    <w:p w14:paraId="5821F848" w14:textId="77777777" w:rsidR="00A24F84" w:rsidRPr="0005249D" w:rsidRDefault="00BE5565"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Nevertheless, </w:t>
      </w:r>
      <w:r w:rsidR="00A24F84" w:rsidRPr="0005249D">
        <w:rPr>
          <w:rFonts w:ascii="Arial" w:hAnsi="Arial" w:cs="Arial"/>
          <w:sz w:val="22"/>
          <w:szCs w:val="22"/>
        </w:rPr>
        <w:t xml:space="preserve">Evans (2014) emphasises the perspectives of historians such as Harris (1870), who contend that the Act was a pivotal moment in nineteenth-century Britain, significantly broadening access to education. However, some critics argue that it increased state control over education, effectively becoming an instrument of social control (Finlay, p.97). Swartz and Swartz (2019) observe that Kay-Shuttleworth (1804-1877) saw the Act as a centralisation of power that curtailed individual freedom in education, raising concerns about government interference in the curriculum and teaching methods. Indeed, McCulloch (2020) suggests that the Act laid the groundwork for the future development of compulsory education, and the expansion of compulsory schooling over the past two centuries has cemented the role of modern schooling as a key social institution. Given the widespread prevalence of child labour at the time, compulsory education for poorer families faced significant opposition, as noted in The Newcastle Report on Popular Education (1861). The report argued that independence was of greater value than education; it suggested that if a child’s earnings were crucial to </w:t>
      </w:r>
      <w:r w:rsidR="00A24F84" w:rsidRPr="0005249D">
        <w:rPr>
          <w:rFonts w:ascii="Arial" w:hAnsi="Arial" w:cs="Arial"/>
          <w:sz w:val="22"/>
          <w:szCs w:val="22"/>
        </w:rPr>
        <w:lastRenderedPageBreak/>
        <w:t>preventing the family from sinking into poverty or alleviating dire poverty, it would be preferable for the child to work from the earliest age rather than remain in school (Power, 2020).</w:t>
      </w:r>
    </w:p>
    <w:p w14:paraId="1A64E0A2" w14:textId="0802E3FD" w:rsidR="00A90916" w:rsidRPr="0005249D" w:rsidRDefault="00A90916" w:rsidP="0005249D">
      <w:pPr>
        <w:pStyle w:val="NormalWeb"/>
        <w:spacing w:line="480" w:lineRule="auto"/>
        <w:jc w:val="both"/>
        <w:rPr>
          <w:rFonts w:ascii="Arial" w:hAnsi="Arial" w:cs="Arial"/>
          <w:sz w:val="22"/>
          <w:szCs w:val="22"/>
        </w:rPr>
      </w:pPr>
      <w:r w:rsidRPr="0005249D">
        <w:rPr>
          <w:rFonts w:ascii="Arial" w:hAnsi="Arial" w:cs="Arial"/>
          <w:sz w:val="22"/>
          <w:szCs w:val="22"/>
        </w:rPr>
        <w:t>Despite opposition, Middleton (2010) described the act as the beginning of the modern understanding of childhood. Griffin (2019) contends that, prior to this act, childhood was not seen as a distinct phase requiring special attention in the United Kingdom, with children viewed unequivocally as the property of their fathers. In support of this view, Mill (2020) argued that resistance to legal interference in paternal control suggested that children were regarded as literal extensions of their fathers. Indeed, Ariès' (1973, as cited by Newnes, 2020) seminal research reveals that childhood was non-existent during the medieval period, emerging among the upper classes in the 16th and 17th centuries, becoming fully established in the 18th century, and spreading to all social classes by the 20th century. However, Ariès' work has faced significant criticism over the years. Scholars such as Stone (1996), Barbero (1990), and Cunningham (1991) challenged his claims that childhood was not recognised as a distinct life stage (Miller and Yavneh, 2011). They argued that childhood has always been a separate phase, although its definition and perception have varied across cultures and historical periods (Norman, 2022). These critics took issue with Ariès' broad generalisations and his failure to account for the varied experiences across different regions and social strata (Barclay, 2019). Nonetheless, despite the criticism of Ariès' work, it is clear that children were once regarded as miniature adults, with societal perceptions of their inferiority reflected in their limited rights and autonomy compared to adults, as noted by Morris (2024).</w:t>
      </w:r>
    </w:p>
    <w:p w14:paraId="5C60B505" w14:textId="2FCABE01" w:rsidR="00734A74" w:rsidRPr="0005249D" w:rsidRDefault="00734A74"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These views were shaped by the labour practices of the time, which often subjected children to exploitation in harsh working conditions, thus further entrenching their marginalisation within society (Tuttle, 2021). The diminished value placed on children's rights and autonomy was reinforced by societal norms that emphasised obedience and respect for authority figures, particularly fathers (Fraser, 2024). This, combined with the lack of legal protections for children, enabled their continued exploitation and abuse across various sectors of society </w:t>
      </w:r>
      <w:r w:rsidRPr="0005249D">
        <w:rPr>
          <w:rFonts w:ascii="Arial" w:hAnsi="Arial" w:cs="Arial"/>
          <w:sz w:val="22"/>
          <w:szCs w:val="22"/>
        </w:rPr>
        <w:lastRenderedPageBreak/>
        <w:t>(McCoy and Keen, 2022). Garland (2018) suggests that this was especially evident in the education system during the early twentieth century, where corporal punishment was commonly used as a disciplinary tool, perpetuating power dynamics that disadvantaged children. In agreement, Jones (2022) asserts that "corporal punishment was seen as an effective way to maintain order and control in classrooms."</w:t>
      </w:r>
    </w:p>
    <w:p w14:paraId="1AF5169D" w14:textId="71931BCF" w:rsidR="00A317AB" w:rsidRPr="0005249D" w:rsidRDefault="00A317AB" w:rsidP="0005249D">
      <w:pPr>
        <w:pStyle w:val="NormalWeb"/>
        <w:spacing w:line="480" w:lineRule="auto"/>
        <w:jc w:val="both"/>
        <w:rPr>
          <w:rFonts w:ascii="Arial" w:hAnsi="Arial" w:cs="Arial"/>
          <w:sz w:val="22"/>
          <w:szCs w:val="22"/>
        </w:rPr>
      </w:pPr>
      <w:r w:rsidRPr="0005249D">
        <w:rPr>
          <w:rFonts w:ascii="Arial" w:hAnsi="Arial" w:cs="Arial"/>
          <w:sz w:val="22"/>
          <w:szCs w:val="22"/>
        </w:rPr>
        <w:t>However, it seems that political ideologies and societal perceptions began to shift towards the end of the nineteenth century and into the twentieth. Power (2020) examines how early nineteenth-century Romanticism shaped the view of children by emphasising the concept of 'the original innocence of childhood.' Bertrand de Jouvenel (1942</w:t>
      </w:r>
      <w:r w:rsidR="007765AA">
        <w:rPr>
          <w:rFonts w:ascii="Arial" w:hAnsi="Arial" w:cs="Arial"/>
          <w:sz w:val="22"/>
          <w:szCs w:val="22"/>
        </w:rPr>
        <w:t>, as cited by Einaudi, 1967, p.5</w:t>
      </w:r>
      <w:r w:rsidRPr="0005249D">
        <w:rPr>
          <w:rFonts w:ascii="Arial" w:hAnsi="Arial" w:cs="Arial"/>
          <w:sz w:val="22"/>
          <w:szCs w:val="22"/>
        </w:rPr>
        <w:t>) identifies Rousseau as the first major proponent of social evolution, marking the early systematic depiction of human society's historical development. Hendrick (2001, p.9) agrees, contending that the societal perceptions and changes in practices that continued into the early twentieth century were the result of social construction theories influenced by ideas from the Industrial Revolution, Rousseau’s theory of nature, and Romanticism.</w:t>
      </w:r>
    </w:p>
    <w:p w14:paraId="2A32AB66" w14:textId="0FB6E11D" w:rsidR="001C062A" w:rsidRPr="0005249D" w:rsidRDefault="003122C8" w:rsidP="0005249D">
      <w:pPr>
        <w:pStyle w:val="NormalWeb"/>
        <w:spacing w:line="480" w:lineRule="auto"/>
        <w:jc w:val="both"/>
        <w:rPr>
          <w:rFonts w:ascii="Arial" w:hAnsi="Arial" w:cs="Arial"/>
          <w:sz w:val="22"/>
          <w:szCs w:val="22"/>
        </w:rPr>
      </w:pPr>
      <w:r w:rsidRPr="0005249D">
        <w:rPr>
          <w:rFonts w:ascii="Arial" w:hAnsi="Arial" w:cs="Arial"/>
          <w:sz w:val="22"/>
          <w:szCs w:val="22"/>
        </w:rPr>
        <w:t>Although the foundations for social policies were already being influenced in the twentieth century, it seems that significant changes in societal attitudes and approaches to social welfare truly began to take shape only by the mid-twentieth century. One influential philosopher who played a key role in shaping policies during the Liberal era was John Stuart Mill (1806–1873</w:t>
      </w:r>
      <w:r w:rsidR="007E6E86">
        <w:rPr>
          <w:rFonts w:ascii="Arial" w:hAnsi="Arial" w:cs="Arial"/>
          <w:sz w:val="22"/>
          <w:szCs w:val="22"/>
        </w:rPr>
        <w:t>, as cited by Silva, 2021</w:t>
      </w:r>
      <w:r w:rsidRPr="0005249D">
        <w:rPr>
          <w:rFonts w:ascii="Arial" w:hAnsi="Arial" w:cs="Arial"/>
          <w:sz w:val="22"/>
          <w:szCs w:val="22"/>
        </w:rPr>
        <w:t>), an economist and political theorist whose ideas have had a lasting impact on modern social policies, particularly in areas related to individual liberty, democracy, and social justice</w:t>
      </w:r>
      <w:r w:rsidR="007E6E86">
        <w:rPr>
          <w:rFonts w:ascii="Arial" w:hAnsi="Arial" w:cs="Arial"/>
          <w:sz w:val="22"/>
          <w:szCs w:val="22"/>
        </w:rPr>
        <w:t>.</w:t>
      </w:r>
    </w:p>
    <w:p w14:paraId="759751EE" w14:textId="409969CF" w:rsidR="003122C8" w:rsidRPr="0005249D" w:rsidRDefault="003122C8" w:rsidP="0005249D">
      <w:pPr>
        <w:pStyle w:val="NormalWeb"/>
        <w:spacing w:line="480" w:lineRule="auto"/>
        <w:jc w:val="both"/>
        <w:rPr>
          <w:rFonts w:ascii="Arial" w:hAnsi="Arial" w:cs="Arial"/>
          <w:sz w:val="22"/>
          <w:szCs w:val="22"/>
        </w:rPr>
      </w:pPr>
      <w:r w:rsidRPr="0005249D">
        <w:rPr>
          <w:rFonts w:ascii="Arial" w:hAnsi="Arial" w:cs="Arial"/>
          <w:sz w:val="22"/>
          <w:szCs w:val="22"/>
        </w:rPr>
        <w:t>Furthermore, the way behaviour was managed in schools during the early to mid-</w:t>
      </w:r>
      <w:r w:rsidR="00F90F9F">
        <w:rPr>
          <w:rFonts w:ascii="Arial" w:hAnsi="Arial" w:cs="Arial"/>
          <w:sz w:val="22"/>
          <w:szCs w:val="22"/>
        </w:rPr>
        <w:t>twentieth</w:t>
      </w:r>
      <w:r w:rsidRPr="0005249D">
        <w:rPr>
          <w:rFonts w:ascii="Arial" w:hAnsi="Arial" w:cs="Arial"/>
          <w:sz w:val="22"/>
          <w:szCs w:val="22"/>
        </w:rPr>
        <w:t xml:space="preserve"> century was strongly influenced by advancements in psychological theories, especially behaviourism (Searight, 2016). Teachers began to adopt behaviourist principles, such as rewarding good behaviour and imposing penalties for misbehaviour, especially after psychologists like Skinner popularised these concepts (Can, 2019). Sanctions such as </w:t>
      </w:r>
      <w:r w:rsidRPr="0005249D">
        <w:rPr>
          <w:rFonts w:ascii="Arial" w:hAnsi="Arial" w:cs="Arial"/>
          <w:sz w:val="22"/>
          <w:szCs w:val="22"/>
        </w:rPr>
        <w:lastRenderedPageBreak/>
        <w:t>detention for misbehaviour and rewards like praise for positive conduct were introduced as a way to reinforce desired behaviour (Can, 2019).</w:t>
      </w:r>
    </w:p>
    <w:p w14:paraId="492F174A" w14:textId="6A0F6065" w:rsidR="003122C8" w:rsidRPr="0005249D" w:rsidRDefault="003122C8" w:rsidP="0005249D">
      <w:pPr>
        <w:pStyle w:val="NormalWeb"/>
        <w:spacing w:line="480" w:lineRule="auto"/>
        <w:jc w:val="both"/>
        <w:rPr>
          <w:rFonts w:ascii="Arial" w:hAnsi="Arial" w:cs="Arial"/>
          <w:sz w:val="22"/>
          <w:szCs w:val="22"/>
        </w:rPr>
      </w:pPr>
      <w:r w:rsidRPr="0005249D">
        <w:rPr>
          <w:rFonts w:ascii="Arial" w:hAnsi="Arial" w:cs="Arial"/>
          <w:sz w:val="22"/>
          <w:szCs w:val="22"/>
        </w:rPr>
        <w:t>As knowledge of psychology and child development expanded, it became increasingly clear that addressing the emotional or psychological causes of misbehaviour was crucial (Dadds and Tully, 2019). This growing understanding led to the integration of cognitive and social-emotional approaches to classroom management, which focused on tackling the root causes of misbehaviour rather than merely relying on behaviour modification techniques</w:t>
      </w:r>
      <w:r w:rsidR="00B5615E" w:rsidRPr="0005249D">
        <w:rPr>
          <w:rFonts w:ascii="Arial" w:hAnsi="Arial" w:cs="Arial"/>
          <w:sz w:val="22"/>
          <w:szCs w:val="22"/>
        </w:rPr>
        <w:t xml:space="preserve"> (Green, 2014). </w:t>
      </w:r>
      <w:r w:rsidRPr="0005249D">
        <w:rPr>
          <w:rFonts w:ascii="Arial" w:hAnsi="Arial" w:cs="Arial"/>
          <w:sz w:val="22"/>
          <w:szCs w:val="22"/>
        </w:rPr>
        <w:t>Consequently, teachers began to prioritise fostering positive relationships with students and creating a supportive learning environment to address behavioural issues more effectively (Dadds and Tully, 2019).</w:t>
      </w:r>
    </w:p>
    <w:p w14:paraId="0C8D41AE" w14:textId="77777777" w:rsidR="0023417E" w:rsidRPr="0005249D" w:rsidRDefault="00BF797A" w:rsidP="0005249D">
      <w:pPr>
        <w:pStyle w:val="NormalWeb"/>
        <w:spacing w:line="480" w:lineRule="auto"/>
        <w:jc w:val="both"/>
        <w:rPr>
          <w:rFonts w:ascii="Arial" w:hAnsi="Arial" w:cs="Arial"/>
          <w:sz w:val="22"/>
          <w:szCs w:val="22"/>
        </w:rPr>
      </w:pPr>
      <w:r w:rsidRPr="0005249D">
        <w:rPr>
          <w:rFonts w:ascii="Arial" w:hAnsi="Arial" w:cs="Arial"/>
          <w:sz w:val="22"/>
          <w:szCs w:val="22"/>
        </w:rPr>
        <w:t> </w:t>
      </w:r>
      <w:r w:rsidR="0023417E" w:rsidRPr="0005249D">
        <w:rPr>
          <w:rFonts w:ascii="Arial" w:hAnsi="Arial" w:cs="Arial"/>
          <w:sz w:val="22"/>
          <w:szCs w:val="22"/>
        </w:rPr>
        <w:t>It is clear that the development of policies affecting children and young people is heavily influenced by societal perceptions of children. In the context of public policy in the UK, there are several other factors that shape policy decisions. These include political ideology, public opinion, economic considerations, and international relations, all of which play a significant role in the policy-making process (Cairney, 2015). Aviram and Cohen (2024) discuss the rational comprehensive model, which assumes five key things: that decision-makers have access to relevant information, can process and analyse it accurately, possess clear preferences, can make choices that maximise their preferences, and act in self-interest. However, Cairney (2015) points out some issues with this model, such as the risk of neglecting important stakeholder perspectives and the limitations of relying solely on technical expertise in policy development. This suggests that while the rational comprehensive model may be effective in addressing complex issues, it has inherent limitations that should be considered.</w:t>
      </w:r>
    </w:p>
    <w:p w14:paraId="221D705A" w14:textId="77777777" w:rsidR="0023417E" w:rsidRPr="0005249D" w:rsidRDefault="0023417E"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Dodero (n.d.) describes the rational comprehensive model as a top-down approach to policy creation. Hill and Hupe (2015) critique the idealised top-down view of policy and its implementation, identifying three questionable assumptions: a chronological order where stated intentions precede actions, a linear causal logic in which goals determine instruments </w:t>
      </w:r>
      <w:r w:rsidRPr="0005249D">
        <w:rPr>
          <w:rFonts w:ascii="Arial" w:hAnsi="Arial" w:cs="Arial"/>
          <w:sz w:val="22"/>
          <w:szCs w:val="22"/>
        </w:rPr>
        <w:lastRenderedPageBreak/>
        <w:t>and instruments determine outcomes, and a hierarchy where policy formation takes precedence over implementation. However, Hudson, Hunter, and Peckham (2018) argue that the simple top-down approach is challenged by the reality that policy processes are often complex, nuanced, and non-linear, with various actors influencing both decision-making and implementation. This highlights some of the problems associated with top-down approaches to social policies.</w:t>
      </w:r>
    </w:p>
    <w:p w14:paraId="5E6BF2C0" w14:textId="0BA44C57" w:rsidR="0023417E" w:rsidRPr="0005249D" w:rsidRDefault="0023417E" w:rsidP="0005249D">
      <w:pPr>
        <w:pStyle w:val="NormalWeb"/>
        <w:spacing w:line="480" w:lineRule="auto"/>
        <w:jc w:val="both"/>
        <w:rPr>
          <w:rFonts w:ascii="Arial" w:hAnsi="Arial" w:cs="Arial"/>
          <w:sz w:val="22"/>
          <w:szCs w:val="22"/>
        </w:rPr>
      </w:pPr>
      <w:r w:rsidRPr="0005249D">
        <w:rPr>
          <w:rFonts w:ascii="Arial" w:hAnsi="Arial" w:cs="Arial"/>
          <w:sz w:val="22"/>
          <w:szCs w:val="22"/>
        </w:rPr>
        <w:t>One example of a government-level social policy decision is the choice to end the provision of free school milk to children over seven during the austerity period (</w:t>
      </w:r>
      <w:r w:rsidR="00E1580A" w:rsidRPr="0005249D">
        <w:rPr>
          <w:rFonts w:ascii="Arial" w:hAnsi="Arial" w:cs="Arial"/>
          <w:sz w:val="22"/>
          <w:szCs w:val="22"/>
        </w:rPr>
        <w:t>Jones, Brown and Bradshaw, 2023</w:t>
      </w:r>
      <w:r w:rsidRPr="0005249D">
        <w:rPr>
          <w:rFonts w:ascii="Arial" w:hAnsi="Arial" w:cs="Arial"/>
          <w:sz w:val="22"/>
          <w:szCs w:val="22"/>
        </w:rPr>
        <w:t>). This decision was made at the government level without consulting parents, teachers, or schools (Halperin, 2018)</w:t>
      </w:r>
      <w:r w:rsidR="003C5A1E" w:rsidRPr="0005249D">
        <w:rPr>
          <w:rFonts w:ascii="Arial" w:hAnsi="Arial" w:cs="Arial"/>
          <w:sz w:val="22"/>
          <w:szCs w:val="22"/>
        </w:rPr>
        <w:t>. This</w:t>
      </w:r>
      <w:r w:rsidRPr="0005249D">
        <w:rPr>
          <w:rFonts w:ascii="Arial" w:hAnsi="Arial" w:cs="Arial"/>
          <w:sz w:val="22"/>
          <w:szCs w:val="22"/>
        </w:rPr>
        <w:t xml:space="preserve"> led to</w:t>
      </w:r>
      <w:r w:rsidR="002217E3" w:rsidRPr="0005249D">
        <w:rPr>
          <w:rFonts w:ascii="Arial" w:hAnsi="Arial" w:cs="Arial"/>
          <w:sz w:val="22"/>
          <w:szCs w:val="22"/>
        </w:rPr>
        <w:t xml:space="preserve"> resistance and </w:t>
      </w:r>
      <w:r w:rsidRPr="0005249D">
        <w:rPr>
          <w:rFonts w:ascii="Arial" w:hAnsi="Arial" w:cs="Arial"/>
          <w:sz w:val="22"/>
          <w:szCs w:val="22"/>
        </w:rPr>
        <w:t>protests from various stakeholders</w:t>
      </w:r>
      <w:r w:rsidR="00470928" w:rsidRPr="0005249D">
        <w:rPr>
          <w:rFonts w:ascii="Arial" w:hAnsi="Arial" w:cs="Arial"/>
          <w:sz w:val="22"/>
          <w:szCs w:val="22"/>
        </w:rPr>
        <w:t xml:space="preserve"> (Jones, Brown and Bradshaw, 2023). </w:t>
      </w:r>
      <w:r w:rsidR="003C5A1E" w:rsidRPr="0005249D">
        <w:rPr>
          <w:rFonts w:ascii="Arial" w:hAnsi="Arial" w:cs="Arial"/>
          <w:sz w:val="22"/>
          <w:szCs w:val="22"/>
        </w:rPr>
        <w:t xml:space="preserve"> </w:t>
      </w:r>
      <w:r w:rsidR="00470928" w:rsidRPr="0005249D">
        <w:rPr>
          <w:rFonts w:ascii="Arial" w:hAnsi="Arial" w:cs="Arial"/>
          <w:sz w:val="22"/>
          <w:szCs w:val="22"/>
        </w:rPr>
        <w:t>U</w:t>
      </w:r>
      <w:r w:rsidRPr="0005249D">
        <w:rPr>
          <w:rFonts w:ascii="Arial" w:hAnsi="Arial" w:cs="Arial"/>
          <w:sz w:val="22"/>
          <w:szCs w:val="22"/>
        </w:rPr>
        <w:t>nderscoring the importance of involving those directly affected by policies in the decision-making process (Bartley, 2022). This illustrates the limitations of top-down approaches in addressing complex social issues. Nonetheless, Wessels (2015) argues that top-down approaches are crucial for establishing the necessary laws, policies, and structures to effectively address social issues. Supporting this view, Imperial (2021) asserts that such approaches can provide a framework for consistency and accountability in decision-making processes.</w:t>
      </w:r>
    </w:p>
    <w:p w14:paraId="636C6A21" w14:textId="6E4CA995" w:rsidR="00BF797A" w:rsidRPr="0005249D" w:rsidRDefault="00BF797A" w:rsidP="0005249D">
      <w:pPr>
        <w:pStyle w:val="NormalWeb"/>
        <w:spacing w:line="480" w:lineRule="auto"/>
        <w:jc w:val="both"/>
        <w:rPr>
          <w:rFonts w:ascii="Arial" w:hAnsi="Arial" w:cs="Arial"/>
          <w:sz w:val="22"/>
          <w:szCs w:val="22"/>
        </w:rPr>
      </w:pPr>
    </w:p>
    <w:p w14:paraId="625F1BE4" w14:textId="2FDC797B" w:rsidR="00866F89" w:rsidRPr="0005249D" w:rsidRDefault="00B213E8"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 </w:t>
      </w:r>
      <w:r w:rsidR="00866F89" w:rsidRPr="0005249D">
        <w:rPr>
          <w:rFonts w:ascii="Arial" w:hAnsi="Arial" w:cs="Arial"/>
          <w:sz w:val="22"/>
          <w:szCs w:val="22"/>
        </w:rPr>
        <w:t xml:space="preserve">However, Coyle and colleagues (2022) contend that the top-down approach, known for its imposing style, emphasises control, efficiency, and centralised decision-making. They argue that this approach may struggle with stakeholder engagement and adaptability, which could result in policies at the local level that are ineffective or unworkable. Furthermore, State-Led Bureaucracies (SLBs) are often depicted in the literature as agents who implement policies dictated from above (Dahlström and Lapuente, 2022). SLBs may find it difficult to fully support these policies due to various factors, including ethical and moral concerns, their professional identity, and rational decision-making processes (Hassan et al., 2023; Okuma, 2021). As a </w:t>
      </w:r>
      <w:r w:rsidR="00866F89" w:rsidRPr="0005249D">
        <w:rPr>
          <w:rFonts w:ascii="Arial" w:hAnsi="Arial" w:cs="Arial"/>
          <w:sz w:val="22"/>
          <w:szCs w:val="22"/>
        </w:rPr>
        <w:lastRenderedPageBreak/>
        <w:t>result, they may be forced to make difficult decisions that conflict with their personal values (Racco, 2016).</w:t>
      </w:r>
    </w:p>
    <w:p w14:paraId="0F322757" w14:textId="77777777" w:rsidR="00734576" w:rsidRPr="0005249D" w:rsidRDefault="00734576" w:rsidP="0005249D">
      <w:pPr>
        <w:pStyle w:val="NormalWeb"/>
        <w:spacing w:line="480" w:lineRule="auto"/>
        <w:jc w:val="both"/>
        <w:rPr>
          <w:rFonts w:ascii="Arial" w:hAnsi="Arial" w:cs="Arial"/>
          <w:sz w:val="22"/>
          <w:szCs w:val="22"/>
        </w:rPr>
      </w:pPr>
      <w:r w:rsidRPr="0005249D">
        <w:rPr>
          <w:rFonts w:ascii="Arial" w:hAnsi="Arial" w:cs="Arial"/>
          <w:sz w:val="22"/>
          <w:szCs w:val="22"/>
        </w:rPr>
        <w:t>In contrast, Aviram et al. (p. 637) offer an alternative viewpoint, proposing that encouraging bottom-up policymaking could foster open discussions about the morality of such initiatives. The authors contend that this approach might bridge the gap between policymaking and its actual implementation, shedding light on why certain policies fail to be effectively enacted. Furthermore, Bulut-Sahin (2023) argues that involving skilled, professional, and knowledgeable street-level workers in the policymaking process could enhance policy effectiveness and overall implementation. These street-level workers, who interact directly with citizens on a daily basis, are in a better position to advocate for policies that reflect the needs of the public (Cohen and Klenk, 2019).</w:t>
      </w:r>
    </w:p>
    <w:p w14:paraId="121BE5E9" w14:textId="32154B8F" w:rsidR="00734576" w:rsidRPr="0005249D" w:rsidRDefault="00734576" w:rsidP="0005249D">
      <w:pPr>
        <w:pStyle w:val="NormalWeb"/>
        <w:spacing w:line="480" w:lineRule="auto"/>
        <w:jc w:val="both"/>
        <w:rPr>
          <w:rFonts w:ascii="Arial" w:hAnsi="Arial" w:cs="Arial"/>
          <w:sz w:val="22"/>
          <w:szCs w:val="22"/>
        </w:rPr>
      </w:pPr>
      <w:r w:rsidRPr="0005249D">
        <w:rPr>
          <w:rFonts w:ascii="Arial" w:hAnsi="Arial" w:cs="Arial"/>
          <w:sz w:val="22"/>
          <w:szCs w:val="22"/>
        </w:rPr>
        <w:t>Moreover, a bottom-up approach begins at the grassroots level, drawing on community action, leveraging local strengths, and fostering collaboration between government and the community (Wessels, 2015). The Children (Abolition of Defence of Reasonable Punishment) (Wales) Act 2020 exemplifies a bottom-up policy, as it starts at the community level and integrates community input into its formulation and execution. Holland (2023) notes that six hundred and fifty online responses were received during the Committee's six-week public consultation (National Assembly for Wales, 2019). Additionally, the Welsh Youth Parliament, along with parents and carers holding differing views on the Bill, were invited to contribute to twelve oral evidence sessions (BBC News, 2022). In line with this, Herbert (2022) highlights that the decision to implement this policy was influenced by extensive consultation, robust research findings, and advocacy by children's rights organisations. Herbert further notes that the Welsh Government led the implementation of the ban, garnering support from various groups, including child protection organisations. UNICEF (2025) commended the Welsh Government for aligning the Act with the UN Convention on the Rights of the Child. Echoing this, Cifuentes (</w:t>
      </w:r>
      <w:r w:rsidR="007B06B7" w:rsidRPr="0005249D">
        <w:rPr>
          <w:rFonts w:ascii="Arial" w:hAnsi="Arial" w:cs="Arial"/>
          <w:sz w:val="22"/>
          <w:szCs w:val="22"/>
        </w:rPr>
        <w:t>2022</w:t>
      </w:r>
      <w:r w:rsidRPr="0005249D">
        <w:rPr>
          <w:rFonts w:ascii="Arial" w:hAnsi="Arial" w:cs="Arial"/>
          <w:sz w:val="22"/>
          <w:szCs w:val="22"/>
        </w:rPr>
        <w:t xml:space="preserve">), the Children’s Commissioner for Wales, described the law as a crucial </w:t>
      </w:r>
      <w:r w:rsidRPr="0005249D">
        <w:rPr>
          <w:rFonts w:ascii="Arial" w:hAnsi="Arial" w:cs="Arial"/>
          <w:sz w:val="22"/>
          <w:szCs w:val="22"/>
        </w:rPr>
        <w:lastRenderedPageBreak/>
        <w:t>step towards promoting a culture of respect for children and safeguarding their rights within society</w:t>
      </w:r>
      <w:r w:rsidR="005C20C2" w:rsidRPr="0005249D">
        <w:rPr>
          <w:rFonts w:ascii="Arial" w:hAnsi="Arial" w:cs="Arial"/>
          <w:sz w:val="22"/>
          <w:szCs w:val="22"/>
        </w:rPr>
        <w:t xml:space="preserve"> (Childcom Wales, 2025).</w:t>
      </w:r>
      <w:r w:rsidRPr="0005249D">
        <w:rPr>
          <w:rFonts w:ascii="Arial" w:hAnsi="Arial" w:cs="Arial"/>
          <w:sz w:val="22"/>
          <w:szCs w:val="22"/>
        </w:rPr>
        <w:t xml:space="preserve"> However, Finch-Saunders opposed the Act, arguing that it infringed on family privacy and raised concerns regarding its fairness and appropriateness (BBC News, 2022). Nonetheless, the majority of child welfare experts and stakeholders have strongly supported the Act, citing its potential to improve the well-being and protection of children in Wales (Holland, 2023). This illustrates how collaborative policymaking processes lead to more comprehensive and inclusive decisions. Indeed, Ansell, Sorensen, and Torfing (2017) suggest that collaboration in policymaking can result in more innovative and effective solutions to complex societal challenges and enhance implementation.</w:t>
      </w:r>
    </w:p>
    <w:p w14:paraId="3B903E3D" w14:textId="330A6423" w:rsidR="000964B6" w:rsidRPr="0005249D" w:rsidRDefault="00782743" w:rsidP="0005249D">
      <w:pPr>
        <w:pStyle w:val="NormalWeb"/>
        <w:spacing w:line="480" w:lineRule="auto"/>
        <w:jc w:val="both"/>
        <w:rPr>
          <w:rFonts w:ascii="Arial" w:hAnsi="Arial" w:cs="Arial"/>
          <w:sz w:val="22"/>
          <w:szCs w:val="22"/>
        </w:rPr>
      </w:pPr>
      <w:r w:rsidRPr="0005249D">
        <w:rPr>
          <w:rFonts w:ascii="Arial" w:hAnsi="Arial" w:cs="Arial"/>
          <w:sz w:val="22"/>
          <w:szCs w:val="22"/>
        </w:rPr>
        <w:t>Additionally, b</w:t>
      </w:r>
      <w:r w:rsidR="00D12EC8" w:rsidRPr="0005249D">
        <w:rPr>
          <w:rFonts w:ascii="Arial" w:hAnsi="Arial" w:cs="Arial"/>
          <w:sz w:val="22"/>
          <w:szCs w:val="22"/>
        </w:rPr>
        <w:t>ottom-up policies often reflect the values and beliefs of the society in which they are developed (Inglehart, 2020), making them subject to change as societal norms evolve (Young, 2015). Meurs (2018) links value systems to culture, noting they define what is considered right, fair, or valuable. Cairney and Oliver (2017) argue that policies aligning with dominant cultural values are more likely to gain public support, while misalignment can lead to resistance, protests, and failure (McConnell &amp; Hart, 2019). The policy to end free milk for children over 7, for example, was met with resistance as it conflicted with societal values around child well-being (Evans, 2018), leading to its eventual failure (Yigit, 2024). This underscores the importance of aligning policy values with societal beliefs. However, the financial implications of such policies should also be considered, as reallocating resources could have unintended consequences, including a decline in services for vulnerable groups (Jacobs &amp; Weaver, 2015; Gorddard et al., 2016).</w:t>
      </w:r>
    </w:p>
    <w:p w14:paraId="7B00DCC7" w14:textId="417C264D" w:rsidR="002109AA" w:rsidRPr="0005249D" w:rsidRDefault="002109AA"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Government funding is crucial for achieving policy objectives, and without it, policies may fail (Signe, 2014). Policymakers must carefully consider the consequences of reallocating resources to meet the needs of all populations (Gilbert et al., 2018; Girtler et al., 2016). De Foo et al. (2023) emphasise the importance of transparent processes to minimise negative impacts on vulnerable groups. A recent policy with potential financial barriers is the Additional </w:t>
      </w:r>
      <w:r w:rsidRPr="0005249D">
        <w:rPr>
          <w:rFonts w:ascii="Arial" w:hAnsi="Arial" w:cs="Arial"/>
          <w:sz w:val="22"/>
          <w:szCs w:val="22"/>
        </w:rPr>
        <w:lastRenderedPageBreak/>
        <w:t>Learning Needs</w:t>
      </w:r>
      <w:r w:rsidR="00A84BCD">
        <w:rPr>
          <w:rFonts w:ascii="Arial" w:hAnsi="Arial" w:cs="Arial"/>
          <w:sz w:val="22"/>
          <w:szCs w:val="22"/>
        </w:rPr>
        <w:t xml:space="preserve"> and Educatio</w:t>
      </w:r>
      <w:r w:rsidR="00945B0F">
        <w:rPr>
          <w:rFonts w:ascii="Arial" w:hAnsi="Arial" w:cs="Arial"/>
          <w:sz w:val="22"/>
          <w:szCs w:val="22"/>
        </w:rPr>
        <w:t xml:space="preserve">n Tribunal (Wales) </w:t>
      </w:r>
      <w:r w:rsidRPr="0005249D">
        <w:rPr>
          <w:rFonts w:ascii="Arial" w:hAnsi="Arial" w:cs="Arial"/>
          <w:sz w:val="22"/>
          <w:szCs w:val="22"/>
        </w:rPr>
        <w:t xml:space="preserve"> Act in </w:t>
      </w:r>
      <w:r w:rsidR="00945B0F">
        <w:rPr>
          <w:rFonts w:ascii="Arial" w:hAnsi="Arial" w:cs="Arial"/>
          <w:sz w:val="22"/>
          <w:szCs w:val="22"/>
        </w:rPr>
        <w:t>2018</w:t>
      </w:r>
      <w:r w:rsidR="00087D52" w:rsidRPr="0005249D">
        <w:rPr>
          <w:rFonts w:ascii="Arial" w:hAnsi="Arial" w:cs="Arial"/>
          <w:sz w:val="22"/>
          <w:szCs w:val="22"/>
        </w:rPr>
        <w:t>. A recent review by Marsh and Jeans (2018) found that although</w:t>
      </w:r>
      <w:r w:rsidRPr="0005249D">
        <w:rPr>
          <w:rFonts w:ascii="Arial" w:hAnsi="Arial" w:cs="Arial"/>
          <w:sz w:val="22"/>
          <w:szCs w:val="22"/>
        </w:rPr>
        <w:t xml:space="preserve"> government funding rose from £359 million to £549 million</w:t>
      </w:r>
      <w:r w:rsidR="00087D52" w:rsidRPr="0005249D">
        <w:rPr>
          <w:rFonts w:ascii="Arial" w:hAnsi="Arial" w:cs="Arial"/>
          <w:sz w:val="22"/>
          <w:szCs w:val="22"/>
        </w:rPr>
        <w:t xml:space="preserve">, </w:t>
      </w:r>
      <w:r w:rsidRPr="0005249D">
        <w:rPr>
          <w:rFonts w:ascii="Arial" w:hAnsi="Arial" w:cs="Arial"/>
          <w:sz w:val="22"/>
          <w:szCs w:val="22"/>
        </w:rPr>
        <w:t xml:space="preserve">disparities in funding allocation across local authorities could lead to unequal support for students with additional learning needs. </w:t>
      </w:r>
      <w:r w:rsidR="003F4ACC" w:rsidRPr="0005249D">
        <w:rPr>
          <w:rFonts w:ascii="Arial" w:hAnsi="Arial" w:cs="Arial"/>
          <w:sz w:val="22"/>
          <w:szCs w:val="22"/>
        </w:rPr>
        <w:t>The study</w:t>
      </w:r>
      <w:r w:rsidRPr="0005249D">
        <w:rPr>
          <w:rFonts w:ascii="Arial" w:hAnsi="Arial" w:cs="Arial"/>
          <w:sz w:val="22"/>
          <w:szCs w:val="22"/>
        </w:rPr>
        <w:t xml:space="preserve"> found that teachers often lack sufficient training to accommodate students with severe additional learning needs, with only a small percentage recognising the rights of these children. </w:t>
      </w:r>
      <w:r w:rsidR="003F4ACC" w:rsidRPr="0005249D">
        <w:rPr>
          <w:rFonts w:ascii="Arial" w:hAnsi="Arial" w:cs="Arial"/>
          <w:sz w:val="22"/>
          <w:szCs w:val="22"/>
        </w:rPr>
        <w:t>Additionally, m</w:t>
      </w:r>
      <w:r w:rsidRPr="0005249D">
        <w:rPr>
          <w:rFonts w:ascii="Arial" w:hAnsi="Arial" w:cs="Arial"/>
          <w:sz w:val="22"/>
          <w:szCs w:val="22"/>
        </w:rPr>
        <w:t>any teachers called for more resources and support</w:t>
      </w:r>
      <w:r w:rsidR="00542E4F" w:rsidRPr="0005249D">
        <w:rPr>
          <w:rFonts w:ascii="Arial" w:hAnsi="Arial" w:cs="Arial"/>
          <w:sz w:val="22"/>
          <w:szCs w:val="22"/>
        </w:rPr>
        <w:t xml:space="preserve"> when the study was being conducted</w:t>
      </w:r>
      <w:r w:rsidRPr="0005249D">
        <w:rPr>
          <w:rFonts w:ascii="Arial" w:hAnsi="Arial" w:cs="Arial"/>
          <w:sz w:val="22"/>
          <w:szCs w:val="22"/>
        </w:rPr>
        <w:t>. Despite this, a review</w:t>
      </w:r>
      <w:r w:rsidR="00542E4F" w:rsidRPr="0005249D">
        <w:rPr>
          <w:rFonts w:ascii="Arial" w:hAnsi="Arial" w:cs="Arial"/>
          <w:sz w:val="22"/>
          <w:szCs w:val="22"/>
        </w:rPr>
        <w:t xml:space="preserve"> conducted by the Welsh Government</w:t>
      </w:r>
      <w:r w:rsidR="000F6EDC" w:rsidRPr="0005249D">
        <w:rPr>
          <w:rFonts w:ascii="Arial" w:hAnsi="Arial" w:cs="Arial"/>
          <w:sz w:val="22"/>
          <w:szCs w:val="22"/>
        </w:rPr>
        <w:t xml:space="preserve"> </w:t>
      </w:r>
      <w:r w:rsidRPr="0005249D">
        <w:rPr>
          <w:rFonts w:ascii="Arial" w:hAnsi="Arial" w:cs="Arial"/>
          <w:sz w:val="22"/>
          <w:szCs w:val="22"/>
        </w:rPr>
        <w:t>of school spending shows a decline in per-student funding, larger class sizes, and insufficient allocation for professional development (Welsh Government, 2022). This raises concerns about whether current funding is adequate to address Wales’ educational challenges.</w:t>
      </w:r>
    </w:p>
    <w:p w14:paraId="0E8D7FE9" w14:textId="1924EC1C" w:rsidR="006676E7" w:rsidRPr="0005249D" w:rsidRDefault="006676E7"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Despite the challenges associated with the implementation of the Additional Learning Needs </w:t>
      </w:r>
      <w:r w:rsidR="00F1519A">
        <w:rPr>
          <w:rFonts w:ascii="Arial" w:hAnsi="Arial" w:cs="Arial"/>
          <w:sz w:val="22"/>
          <w:szCs w:val="22"/>
        </w:rPr>
        <w:t>and Education Tribunal (Wales) Act 2018</w:t>
      </w:r>
      <w:r w:rsidRPr="0005249D">
        <w:rPr>
          <w:rFonts w:ascii="Arial" w:hAnsi="Arial" w:cs="Arial"/>
          <w:sz w:val="22"/>
          <w:szCs w:val="22"/>
        </w:rPr>
        <w:t>, recent educational reforms in Wales have underscored a shift towards a more inclusive and supportive system for all students. A notable example of this shift is the introduction of the Curriculum for Wales, which was launched in 2022. The Curriculum for Wales (CfW) places a strong emphasis on fostering agentic learners, aiming to help students take ownership of their learning and development</w:t>
      </w:r>
      <w:r w:rsidR="009F6142">
        <w:rPr>
          <w:rFonts w:ascii="Arial" w:hAnsi="Arial" w:cs="Arial"/>
          <w:sz w:val="22"/>
          <w:szCs w:val="22"/>
        </w:rPr>
        <w:t xml:space="preserve"> (WG, 2025)</w:t>
      </w:r>
      <w:r w:rsidRPr="0005249D">
        <w:rPr>
          <w:rFonts w:ascii="Arial" w:hAnsi="Arial" w:cs="Arial"/>
          <w:sz w:val="22"/>
          <w:szCs w:val="22"/>
        </w:rPr>
        <w:t>. This is achieved by enabling them to make decisions about how they engage with the world and the learning process (MacBride, 2021).</w:t>
      </w:r>
    </w:p>
    <w:p w14:paraId="3484D337" w14:textId="4FD991B9" w:rsidR="006676E7" w:rsidRPr="0005249D" w:rsidRDefault="006676E7"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Agentic learners are defined as those who are actively engaged, autonomous, and empowered in their educational journey (Reeve and Shin, 2020; Gresham, 2019; Matusov, Duyke, and Kayumova, 2016). These learners are motivated to take responsibility for their education, set personal goals, monitor their progress, and decide on the course of action they wish to pursue (Winestone et al., 2017). The self-determination theory, developed by Deci and Ryan, suggests that people experience intrinsic motivation when their needs for autonomy, competence, and relatedness are fulfilled (Rigby and Ryan, 2018). In the educational context, </w:t>
      </w:r>
      <w:r w:rsidR="00CB7B09" w:rsidRPr="0005249D">
        <w:rPr>
          <w:rFonts w:ascii="Arial" w:hAnsi="Arial" w:cs="Arial"/>
          <w:sz w:val="22"/>
          <w:szCs w:val="22"/>
        </w:rPr>
        <w:lastRenderedPageBreak/>
        <w:t xml:space="preserve">it appears </w:t>
      </w:r>
      <w:r w:rsidRPr="0005249D">
        <w:rPr>
          <w:rFonts w:ascii="Arial" w:hAnsi="Arial" w:cs="Arial"/>
          <w:sz w:val="22"/>
          <w:szCs w:val="22"/>
        </w:rPr>
        <w:t>this theory aligns with the concept of agentic learners, who are driven when they have control over their learning choices and feel confident in their abilities.</w:t>
      </w:r>
      <w:r w:rsidR="00514F6F" w:rsidRPr="0005249D">
        <w:rPr>
          <w:rFonts w:ascii="Arial" w:hAnsi="Arial" w:cs="Arial"/>
          <w:sz w:val="22"/>
          <w:szCs w:val="22"/>
        </w:rPr>
        <w:t xml:space="preserve"> </w:t>
      </w:r>
      <w:r w:rsidRPr="0005249D">
        <w:rPr>
          <w:rFonts w:ascii="Arial" w:hAnsi="Arial" w:cs="Arial"/>
          <w:sz w:val="22"/>
          <w:szCs w:val="22"/>
        </w:rPr>
        <w:t>Fletcher (2018) asserts that students who engage in self-reflection, establish goals, and take responsibility for their learning outcomes are more likely to succeed. Furthermore, Bruner’s ideas on discovery learning, which highlight the teacher's role as a facilitator, also support the concept of agentic learning (Parker and Thompson, 2019).</w:t>
      </w:r>
    </w:p>
    <w:p w14:paraId="2291F033" w14:textId="651EAF49" w:rsidR="008A3C85" w:rsidRPr="0005249D" w:rsidRDefault="008A3C85" w:rsidP="0005249D">
      <w:pPr>
        <w:pStyle w:val="NormalWeb"/>
        <w:spacing w:line="480" w:lineRule="auto"/>
        <w:jc w:val="both"/>
        <w:rPr>
          <w:rFonts w:ascii="Arial" w:hAnsi="Arial" w:cs="Arial"/>
          <w:sz w:val="22"/>
          <w:szCs w:val="22"/>
        </w:rPr>
      </w:pPr>
      <w:r w:rsidRPr="0005249D">
        <w:rPr>
          <w:rFonts w:ascii="Arial" w:hAnsi="Arial" w:cs="Arial"/>
          <w:sz w:val="22"/>
          <w:szCs w:val="22"/>
        </w:rPr>
        <w:t>Moreover, the Curriculum for Wales further highlights the importance of children's rights, focusing strongly on the principles of equity, inclusion, and respect for the rights of all learners (Stewart, 2023). The United Nations Convention on the Rights of the Child is embedded within the curriculum's broader goals, particularly in fostering children's well-being, promoting an understanding of their rights, and encouraging active participation in society (Murphy et al., 2024). However, while the curriculum positions the child as capable and underscores the significance of children having a voice, this ideal is not always fully realised in practice. Stewart (2024) explored this in the study titled “Exploration of the Conceptualisation and Enactment of Children’s Rights in the Curriculum for Wales.” The research examined how teachers perceive and apply children’s rights within the curriculum. The findings revealed that, despite the influence of socio-constructivist theories on Welsh teaching and learning models, teachers frequently implement children's rights in ways that lack cohesion, often failing to align with a framework that challenges traditional adult-child power dynamics. Common barriers identified included insufficient time for rights planning and implementation, limited access to professional development opportunities, and the high cost of quality training.</w:t>
      </w:r>
    </w:p>
    <w:p w14:paraId="53B89A70" w14:textId="77777777" w:rsidR="008A3C85" w:rsidRPr="0005249D" w:rsidRDefault="008A3C85" w:rsidP="0005249D">
      <w:pPr>
        <w:pStyle w:val="NormalWeb"/>
        <w:spacing w:line="480" w:lineRule="auto"/>
        <w:jc w:val="both"/>
        <w:rPr>
          <w:rFonts w:ascii="Arial" w:hAnsi="Arial" w:cs="Arial"/>
          <w:sz w:val="22"/>
          <w:szCs w:val="22"/>
        </w:rPr>
      </w:pPr>
      <w:r w:rsidRPr="0005249D">
        <w:rPr>
          <w:rFonts w:ascii="Arial" w:hAnsi="Arial" w:cs="Arial"/>
          <w:sz w:val="22"/>
          <w:szCs w:val="22"/>
        </w:rPr>
        <w:t>Similar challenges are evident in other parts of the world. A study conducted in Turkey by Bolat, Sahin, and Erdal (2024) found that many teachers lacked sufficient knowledge of children's rights, which hindered the effective implementation of policy.</w:t>
      </w:r>
    </w:p>
    <w:p w14:paraId="6C098BB8" w14:textId="7DE11126" w:rsidR="008A3C85" w:rsidRPr="0005249D" w:rsidRDefault="00A04A9D" w:rsidP="0005249D">
      <w:pPr>
        <w:pStyle w:val="NormalWeb"/>
        <w:spacing w:line="480" w:lineRule="auto"/>
        <w:jc w:val="both"/>
        <w:rPr>
          <w:rFonts w:ascii="Arial" w:hAnsi="Arial" w:cs="Arial"/>
          <w:sz w:val="22"/>
          <w:szCs w:val="22"/>
        </w:rPr>
      </w:pPr>
      <w:r w:rsidRPr="0005249D">
        <w:rPr>
          <w:rFonts w:ascii="Arial" w:hAnsi="Arial" w:cs="Arial"/>
          <w:sz w:val="22"/>
          <w:szCs w:val="22"/>
        </w:rPr>
        <w:t xml:space="preserve">Additionally, </w:t>
      </w:r>
      <w:r w:rsidR="008A3C85" w:rsidRPr="0005249D">
        <w:rPr>
          <w:rFonts w:ascii="Arial" w:hAnsi="Arial" w:cs="Arial"/>
          <w:sz w:val="22"/>
          <w:szCs w:val="22"/>
        </w:rPr>
        <w:t xml:space="preserve">In a study by Alminde and Warming (2024), </w:t>
      </w:r>
      <w:r w:rsidR="00972CE1" w:rsidRPr="0005249D">
        <w:rPr>
          <w:rFonts w:ascii="Arial" w:hAnsi="Arial" w:cs="Arial"/>
          <w:sz w:val="22"/>
          <w:szCs w:val="22"/>
        </w:rPr>
        <w:t xml:space="preserve">identical findings are highlighted, </w:t>
      </w:r>
      <w:r w:rsidR="008A3C85" w:rsidRPr="0005249D">
        <w:rPr>
          <w:rFonts w:ascii="Arial" w:hAnsi="Arial" w:cs="Arial"/>
          <w:sz w:val="22"/>
          <w:szCs w:val="22"/>
        </w:rPr>
        <w:t xml:space="preserve">despite the Nordic countries’ long-standing commitment to child protection and welfare, and </w:t>
      </w:r>
      <w:r w:rsidR="008A3C85" w:rsidRPr="0005249D">
        <w:rPr>
          <w:rFonts w:ascii="Arial" w:hAnsi="Arial" w:cs="Arial"/>
          <w:sz w:val="22"/>
          <w:szCs w:val="22"/>
        </w:rPr>
        <w:lastRenderedPageBreak/>
        <w:t xml:space="preserve">their pioneering role in advancing children's rights – such as Sweden's ban on physical punishment and Norway’s establishment of a state-funded children's ombudsman – these nations have yet to achieve the goal of ensuring children enjoy equal rights with adults. The researchers noted that significant challenges remain regarding children’s well-being in these countries. They highlighted dilemmas in balancing the dual aims of protection and education while ensuring children’s participation rights are respected. Furthermore, </w:t>
      </w:r>
      <w:r w:rsidR="003D5A80">
        <w:rPr>
          <w:rFonts w:ascii="Arial" w:hAnsi="Arial" w:cs="Arial"/>
          <w:sz w:val="22"/>
          <w:szCs w:val="22"/>
        </w:rPr>
        <w:t xml:space="preserve">it was found that </w:t>
      </w:r>
      <w:r w:rsidR="008A3C85" w:rsidRPr="0005249D">
        <w:rPr>
          <w:rFonts w:ascii="Arial" w:hAnsi="Arial" w:cs="Arial"/>
          <w:sz w:val="22"/>
          <w:szCs w:val="22"/>
        </w:rPr>
        <w:t xml:space="preserve">internal issues persist, often rooted in </w:t>
      </w:r>
      <w:r w:rsidR="00224250">
        <w:rPr>
          <w:rFonts w:ascii="Arial" w:hAnsi="Arial" w:cs="Arial"/>
          <w:sz w:val="22"/>
          <w:szCs w:val="22"/>
        </w:rPr>
        <w:t>‘</w:t>
      </w:r>
      <w:r w:rsidR="008A3C85" w:rsidRPr="0005249D">
        <w:rPr>
          <w:rFonts w:ascii="Arial" w:hAnsi="Arial" w:cs="Arial"/>
          <w:sz w:val="22"/>
          <w:szCs w:val="22"/>
        </w:rPr>
        <w:t>adultist</w:t>
      </w:r>
      <w:r w:rsidR="00224250">
        <w:rPr>
          <w:rFonts w:ascii="Arial" w:hAnsi="Arial" w:cs="Arial"/>
          <w:sz w:val="22"/>
          <w:szCs w:val="22"/>
        </w:rPr>
        <w:t>’</w:t>
      </w:r>
      <w:r w:rsidR="008A3C85" w:rsidRPr="0005249D">
        <w:rPr>
          <w:rFonts w:ascii="Arial" w:hAnsi="Arial" w:cs="Arial"/>
          <w:sz w:val="22"/>
          <w:szCs w:val="22"/>
        </w:rPr>
        <w:t xml:space="preserve"> assumptions and social norms that prioritise the adult perspective, which can lead to the marginalisation or silencing of children’s voices.</w:t>
      </w:r>
    </w:p>
    <w:p w14:paraId="41DA3BC9" w14:textId="04247321" w:rsidR="001F43B5" w:rsidRPr="0005249D" w:rsidRDefault="00A41905" w:rsidP="0005249D">
      <w:pPr>
        <w:pStyle w:val="NormalWeb"/>
        <w:spacing w:line="480" w:lineRule="auto"/>
        <w:jc w:val="both"/>
        <w:rPr>
          <w:rFonts w:ascii="Arial" w:hAnsi="Arial" w:cs="Arial"/>
          <w:sz w:val="22"/>
          <w:szCs w:val="22"/>
        </w:rPr>
      </w:pPr>
      <w:r w:rsidRPr="0005249D">
        <w:rPr>
          <w:rFonts w:ascii="Arial" w:hAnsi="Arial" w:cs="Arial"/>
          <w:color w:val="222222"/>
          <w:sz w:val="22"/>
          <w:szCs w:val="22"/>
          <w:shd w:val="clear" w:color="auto" w:fill="FFFFFF"/>
        </w:rPr>
        <w:t> </w:t>
      </w:r>
      <w:r w:rsidR="004B5457" w:rsidRPr="0005249D">
        <w:rPr>
          <w:rFonts w:ascii="Arial" w:hAnsi="Arial" w:cs="Arial"/>
          <w:color w:val="222222"/>
          <w:sz w:val="22"/>
          <w:szCs w:val="22"/>
          <w:shd w:val="clear" w:color="auto" w:fill="FFFFFF"/>
        </w:rPr>
        <w:t xml:space="preserve">Indeed, </w:t>
      </w:r>
      <w:r w:rsidR="001F43B5" w:rsidRPr="0005249D">
        <w:rPr>
          <w:rFonts w:ascii="Arial" w:hAnsi="Arial" w:cs="Arial"/>
          <w:sz w:val="22"/>
          <w:szCs w:val="22"/>
        </w:rPr>
        <w:t xml:space="preserve">a study by Graham et al. (2022) explored the connections between student voice, participation, and wellbeing. The findings revealed a strong correlation between children collaborating with the school, having a choice, and having an influence in decisions that affect them, and their overall sense of wellbeing. Brown (2019) supports this idea, stating that a school culture which encourages student participation promotes a positive, inclusive, and dynamic atmosphere. Such an environment fosters a sense of belonging, which can help reduce bullying and other negative behaviours. However, Warming (2011) conducted research into participatory climates and how they can empower young children. The study found that, although participation is increasingly prioritised in social policies, it often leads to tokenism, which may stem from educational power dynamics. Rogers (2017) agrees with the risks involved, further explaining that children are frequently seen as </w:t>
      </w:r>
      <w:r w:rsidR="00723BFB" w:rsidRPr="0005249D">
        <w:rPr>
          <w:rFonts w:ascii="Arial" w:hAnsi="Arial" w:cs="Arial"/>
          <w:sz w:val="22"/>
          <w:szCs w:val="22"/>
        </w:rPr>
        <w:t>deficit</w:t>
      </w:r>
      <w:r w:rsidR="001F43B5" w:rsidRPr="0005249D">
        <w:rPr>
          <w:rFonts w:ascii="Arial" w:hAnsi="Arial" w:cs="Arial"/>
          <w:sz w:val="22"/>
          <w:szCs w:val="22"/>
        </w:rPr>
        <w:t xml:space="preserve"> during decision-making processes</w:t>
      </w:r>
      <w:r w:rsidR="00222AC3">
        <w:rPr>
          <w:rFonts w:ascii="Arial" w:hAnsi="Arial" w:cs="Arial"/>
          <w:sz w:val="22"/>
          <w:szCs w:val="22"/>
        </w:rPr>
        <w:t xml:space="preserve"> and</w:t>
      </w:r>
      <w:r w:rsidR="001F43B5" w:rsidRPr="0005249D">
        <w:rPr>
          <w:rFonts w:ascii="Arial" w:hAnsi="Arial" w:cs="Arial"/>
          <w:sz w:val="22"/>
          <w:szCs w:val="22"/>
        </w:rPr>
        <w:t xml:space="preserve"> </w:t>
      </w:r>
      <w:r w:rsidR="00222AC3">
        <w:rPr>
          <w:rFonts w:ascii="Arial" w:hAnsi="Arial" w:cs="Arial"/>
          <w:sz w:val="22"/>
          <w:szCs w:val="22"/>
        </w:rPr>
        <w:t>e</w:t>
      </w:r>
      <w:r w:rsidR="001F43B5" w:rsidRPr="0005249D">
        <w:rPr>
          <w:rFonts w:ascii="Arial" w:hAnsi="Arial" w:cs="Arial"/>
          <w:sz w:val="22"/>
          <w:szCs w:val="22"/>
        </w:rPr>
        <w:t xml:space="preserve">ducators often fail to consider their views, as they do not trust children to contribute meaningfully to discussions. Rogers </w:t>
      </w:r>
      <w:r w:rsidR="00222AC3">
        <w:rPr>
          <w:rFonts w:ascii="Arial" w:hAnsi="Arial" w:cs="Arial"/>
          <w:sz w:val="22"/>
          <w:szCs w:val="22"/>
        </w:rPr>
        <w:t xml:space="preserve">further </w:t>
      </w:r>
      <w:r w:rsidR="001F43B5" w:rsidRPr="0005249D">
        <w:rPr>
          <w:rFonts w:ascii="Arial" w:hAnsi="Arial" w:cs="Arial"/>
          <w:sz w:val="22"/>
          <w:szCs w:val="22"/>
        </w:rPr>
        <w:t>asserts that, too often, children are merely included to tick the box of participation.</w:t>
      </w:r>
      <w:r w:rsidR="00723BFB" w:rsidRPr="0005249D">
        <w:rPr>
          <w:rFonts w:ascii="Arial" w:hAnsi="Arial" w:cs="Arial"/>
          <w:sz w:val="22"/>
          <w:szCs w:val="22"/>
        </w:rPr>
        <w:t xml:space="preserve"> </w:t>
      </w:r>
    </w:p>
    <w:p w14:paraId="468C0718" w14:textId="02B29605" w:rsidR="00761BCB" w:rsidRPr="0005249D" w:rsidRDefault="00CB4CCE" w:rsidP="0005249D">
      <w:pPr>
        <w:pStyle w:val="NormalWeb"/>
        <w:spacing w:line="480" w:lineRule="auto"/>
        <w:jc w:val="both"/>
        <w:rPr>
          <w:rFonts w:ascii="Arial" w:hAnsi="Arial" w:cs="Arial"/>
          <w:sz w:val="22"/>
          <w:szCs w:val="22"/>
        </w:rPr>
      </w:pPr>
      <w:r w:rsidRPr="0005249D">
        <w:rPr>
          <w:rFonts w:ascii="Arial" w:hAnsi="Arial" w:cs="Arial"/>
          <w:sz w:val="22"/>
          <w:szCs w:val="22"/>
        </w:rPr>
        <w:t>I</w:t>
      </w:r>
      <w:r w:rsidR="00761BCB" w:rsidRPr="0005249D">
        <w:rPr>
          <w:rFonts w:ascii="Arial" w:hAnsi="Arial" w:cs="Arial"/>
          <w:sz w:val="22"/>
          <w:szCs w:val="22"/>
        </w:rPr>
        <w:t xml:space="preserve">t is clear that there has been a significant shift over the years towards viewing childhood as a social construct rather than simply a natural stage of development. This change has led to a greater focus on understanding how societal norms and values shape children's experiences and identities. It also underscores the importance of considering diverse perspectives and </w:t>
      </w:r>
      <w:r w:rsidR="00761BCB" w:rsidRPr="0005249D">
        <w:rPr>
          <w:rFonts w:ascii="Arial" w:hAnsi="Arial" w:cs="Arial"/>
          <w:sz w:val="22"/>
          <w:szCs w:val="22"/>
        </w:rPr>
        <w:lastRenderedPageBreak/>
        <w:t>contexts when studying childhood. Key figures, guided by seminal research in the field, have influenced policies, resulting in a shift in how children are perceived and treated in society. This ongoing evolution reflects a deeper recognition of the complexity and diversity of children's lives, emphasising the need for continued research and advocacy to support their well-being and development.</w:t>
      </w:r>
    </w:p>
    <w:p w14:paraId="04F8FCF6" w14:textId="77777777" w:rsidR="00761BCB" w:rsidRPr="0005249D" w:rsidRDefault="00761BCB" w:rsidP="0005249D">
      <w:pPr>
        <w:pStyle w:val="NormalWeb"/>
        <w:spacing w:line="480" w:lineRule="auto"/>
        <w:jc w:val="both"/>
        <w:rPr>
          <w:rFonts w:ascii="Arial" w:hAnsi="Arial" w:cs="Arial"/>
          <w:sz w:val="22"/>
          <w:szCs w:val="22"/>
        </w:rPr>
      </w:pPr>
      <w:r w:rsidRPr="0005249D">
        <w:rPr>
          <w:rFonts w:ascii="Arial" w:hAnsi="Arial" w:cs="Arial"/>
          <w:sz w:val="22"/>
          <w:szCs w:val="22"/>
        </w:rPr>
        <w:t>However, despite advancements in research and the influence of key policies in Wales, particularly in alignment with the United Nations Convention on the Rights of the Child, there remains work to be done to ensure these policies are effectively implemented in practice. Both within Wales and globally, greater collaboration between policymakers, researchers, and practitioners is essential to bridge the gap between theory and action, and to truly prioritise the rights and well-being of children. Furthermore, the complexities involved in policy implementation have been acknowledged, with both enablers of successful implementation and barriers to progress being identified. Recommendations for future policy development and execution have also been put forward.</w:t>
      </w:r>
    </w:p>
    <w:p w14:paraId="7815065C" w14:textId="0454FA37" w:rsidR="00387208" w:rsidRPr="0005249D" w:rsidRDefault="00387208" w:rsidP="0005249D">
      <w:pPr>
        <w:pStyle w:val="NormalWeb"/>
        <w:spacing w:line="480" w:lineRule="auto"/>
        <w:jc w:val="both"/>
        <w:rPr>
          <w:rFonts w:ascii="Arial" w:hAnsi="Arial" w:cs="Arial"/>
          <w:sz w:val="22"/>
          <w:szCs w:val="22"/>
        </w:rPr>
      </w:pPr>
    </w:p>
    <w:p w14:paraId="4AE588C5" w14:textId="59A1F872" w:rsidR="00DC5CC3" w:rsidRPr="0005249D" w:rsidRDefault="00DC5CC3" w:rsidP="0005249D">
      <w:pPr>
        <w:pStyle w:val="NormalWeb"/>
        <w:spacing w:line="480" w:lineRule="auto"/>
        <w:jc w:val="both"/>
        <w:rPr>
          <w:rFonts w:ascii="Arial" w:hAnsi="Arial" w:cs="Arial"/>
          <w:sz w:val="22"/>
          <w:szCs w:val="22"/>
        </w:rPr>
      </w:pPr>
    </w:p>
    <w:p w14:paraId="200EF506" w14:textId="62BCBD10" w:rsidR="004C496B" w:rsidRPr="0005249D" w:rsidRDefault="004C496B" w:rsidP="0005249D">
      <w:pPr>
        <w:pStyle w:val="NormalWeb"/>
        <w:spacing w:line="480" w:lineRule="auto"/>
        <w:jc w:val="both"/>
        <w:rPr>
          <w:rFonts w:ascii="Arial" w:hAnsi="Arial" w:cs="Arial"/>
          <w:sz w:val="22"/>
          <w:szCs w:val="22"/>
        </w:rPr>
      </w:pPr>
    </w:p>
    <w:p w14:paraId="13791D1B" w14:textId="78DAA61E" w:rsidR="00CA5903" w:rsidRPr="0005249D" w:rsidRDefault="00CA5903" w:rsidP="0005249D">
      <w:pPr>
        <w:pStyle w:val="NormalWeb"/>
        <w:spacing w:line="480" w:lineRule="auto"/>
        <w:jc w:val="both"/>
        <w:rPr>
          <w:rFonts w:ascii="Arial" w:hAnsi="Arial" w:cs="Arial"/>
          <w:sz w:val="22"/>
          <w:szCs w:val="22"/>
        </w:rPr>
      </w:pPr>
    </w:p>
    <w:p w14:paraId="5B97EC3B" w14:textId="285E4F8E" w:rsidR="005D28CE" w:rsidRPr="0005249D" w:rsidRDefault="005D28CE" w:rsidP="0005249D">
      <w:pPr>
        <w:pStyle w:val="NormalWeb"/>
        <w:spacing w:line="480" w:lineRule="auto"/>
        <w:jc w:val="both"/>
        <w:rPr>
          <w:rFonts w:ascii="Arial" w:hAnsi="Arial" w:cs="Arial"/>
          <w:sz w:val="22"/>
          <w:szCs w:val="22"/>
        </w:rPr>
      </w:pPr>
    </w:p>
    <w:p w14:paraId="1BBC871F" w14:textId="6E4E8014" w:rsidR="0067109F" w:rsidRPr="0005249D" w:rsidRDefault="0067109F" w:rsidP="0005249D">
      <w:pPr>
        <w:pStyle w:val="NormalWeb"/>
        <w:spacing w:line="480" w:lineRule="auto"/>
        <w:jc w:val="both"/>
        <w:rPr>
          <w:rFonts w:ascii="Arial" w:hAnsi="Arial" w:cs="Arial"/>
          <w:sz w:val="22"/>
          <w:szCs w:val="22"/>
        </w:rPr>
      </w:pPr>
    </w:p>
    <w:p w14:paraId="01AE5093" w14:textId="77777777" w:rsidR="00611A6F" w:rsidRPr="0005249D" w:rsidRDefault="00611A6F" w:rsidP="0005249D">
      <w:pPr>
        <w:pStyle w:val="NormalWeb"/>
        <w:spacing w:line="480" w:lineRule="auto"/>
        <w:jc w:val="both"/>
        <w:rPr>
          <w:rFonts w:ascii="Arial" w:hAnsi="Arial" w:cs="Arial"/>
          <w:sz w:val="22"/>
          <w:szCs w:val="22"/>
        </w:rPr>
      </w:pPr>
    </w:p>
    <w:p w14:paraId="624C5639" w14:textId="77777777" w:rsidR="007A0870" w:rsidRPr="0005249D" w:rsidRDefault="007A0870" w:rsidP="0005249D">
      <w:pPr>
        <w:pStyle w:val="NormalWeb"/>
        <w:spacing w:line="480" w:lineRule="auto"/>
        <w:jc w:val="both"/>
        <w:rPr>
          <w:rFonts w:ascii="Arial" w:hAnsi="Arial" w:cs="Arial"/>
          <w:sz w:val="22"/>
          <w:szCs w:val="22"/>
        </w:rPr>
      </w:pPr>
    </w:p>
    <w:p w14:paraId="007622F9" w14:textId="77777777" w:rsidR="009620E1" w:rsidRPr="009620E1" w:rsidRDefault="001A4A94" w:rsidP="009620E1">
      <w:pPr>
        <w:jc w:val="center"/>
        <w:rPr>
          <w:rFonts w:ascii="Arial" w:eastAsia="Arial" w:hAnsi="Arial" w:cs="Arial"/>
          <w:kern w:val="0"/>
          <w:sz w:val="32"/>
          <w:szCs w:val="32"/>
          <w:u w:val="single"/>
          <w:lang w:val="en" w:eastAsia="en-GB"/>
          <w14:ligatures w14:val="none"/>
        </w:rPr>
      </w:pPr>
      <w:r w:rsidRPr="0005249D">
        <w:rPr>
          <w:rFonts w:ascii="Arial" w:hAnsi="Arial" w:cs="Arial"/>
          <w:sz w:val="22"/>
          <w:szCs w:val="22"/>
        </w:rPr>
        <w:lastRenderedPageBreak/>
        <w:t> </w:t>
      </w:r>
      <w:r w:rsidR="009620E1" w:rsidRPr="009620E1">
        <w:rPr>
          <w:rFonts w:ascii="Arial" w:eastAsia="Arial" w:hAnsi="Arial" w:cs="Arial"/>
          <w:kern w:val="0"/>
          <w:sz w:val="32"/>
          <w:szCs w:val="32"/>
          <w:u w:val="single"/>
          <w:lang w:val="en" w:eastAsia="en-GB"/>
          <w14:ligatures w14:val="none"/>
        </w:rPr>
        <w:t>Reference List</w:t>
      </w:r>
    </w:p>
    <w:p w14:paraId="4F285ADC" w14:textId="77777777" w:rsidR="009620E1" w:rsidRPr="009620E1" w:rsidRDefault="009620E1" w:rsidP="009620E1">
      <w:pPr>
        <w:spacing w:line="276" w:lineRule="auto"/>
        <w:rPr>
          <w:rFonts w:ascii="Aptos" w:eastAsia="Aptos" w:hAnsi="Aptos" w:cs="Aptos"/>
          <w:kern w:val="0"/>
          <w:sz w:val="28"/>
          <w:szCs w:val="28"/>
          <w:lang w:val="en" w:eastAsia="en-GB"/>
          <w14:ligatures w14:val="none"/>
        </w:rPr>
      </w:pPr>
    </w:p>
    <w:p w14:paraId="5A3290CC"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Ansell, C., Sørensen, E. and Torfing, J. (2017). ‘Improving policy implementation through collaborative policymaking’, </w:t>
      </w:r>
      <w:r w:rsidRPr="009620E1">
        <w:rPr>
          <w:rFonts w:ascii="Arial" w:eastAsia="Arial" w:hAnsi="Arial" w:cs="Arial"/>
          <w:i/>
          <w:color w:val="000000" w:themeColor="text1"/>
          <w:kern w:val="0"/>
          <w:sz w:val="22"/>
          <w:szCs w:val="22"/>
          <w:highlight w:val="white"/>
          <w:lang w:val="en" w:eastAsia="en-GB"/>
          <w14:ligatures w14:val="none"/>
        </w:rPr>
        <w:t>Policy &amp; Politics</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45</w:t>
      </w:r>
      <w:r w:rsidRPr="009620E1">
        <w:rPr>
          <w:rFonts w:ascii="Arial" w:eastAsia="Arial" w:hAnsi="Arial" w:cs="Arial"/>
          <w:color w:val="000000" w:themeColor="text1"/>
          <w:kern w:val="0"/>
          <w:sz w:val="22"/>
          <w:szCs w:val="22"/>
          <w:highlight w:val="white"/>
          <w:lang w:val="en" w:eastAsia="en-GB"/>
          <w14:ligatures w14:val="none"/>
        </w:rPr>
        <w:t xml:space="preserve">(3), pp.467-486. Available at: </w:t>
      </w:r>
      <w:hyperlink r:id="rId7" w:history="1">
        <w:r w:rsidRPr="009620E1">
          <w:rPr>
            <w:rFonts w:ascii="Arial" w:eastAsia="Arial" w:hAnsi="Arial" w:cs="Arial"/>
            <w:color w:val="000000" w:themeColor="text1"/>
            <w:kern w:val="0"/>
            <w:sz w:val="22"/>
            <w:szCs w:val="22"/>
            <w:highlight w:val="white"/>
            <w:u w:val="single"/>
            <w:lang w:val="en" w:eastAsia="en-GB"/>
            <w14:ligatures w14:val="none"/>
          </w:rPr>
          <w:t>https://bristoluniversitypressdigital.com/view/journals/pp/45/3/article-p467.xml</w:t>
        </w:r>
      </w:hyperlink>
      <w:r w:rsidRPr="009620E1">
        <w:rPr>
          <w:rFonts w:ascii="Arial" w:eastAsia="Arial" w:hAnsi="Arial" w:cs="Arial"/>
          <w:color w:val="000000" w:themeColor="text1"/>
          <w:kern w:val="0"/>
          <w:sz w:val="22"/>
          <w:szCs w:val="22"/>
          <w:highlight w:val="white"/>
          <w:lang w:val="en" w:eastAsia="en-GB"/>
          <w14:ligatures w14:val="none"/>
        </w:rPr>
        <w:t xml:space="preserve"> (Accessed on: 16th January 2025)</w:t>
      </w:r>
    </w:p>
    <w:p w14:paraId="60E9D679" w14:textId="77777777" w:rsidR="009620E1" w:rsidRPr="009620E1" w:rsidRDefault="009620E1" w:rsidP="009620E1">
      <w:pPr>
        <w:spacing w:line="276" w:lineRule="auto"/>
        <w:rPr>
          <w:rFonts w:ascii="Arial" w:eastAsia="Merriweather Sans" w:hAnsi="Arial" w:cs="Arial"/>
          <w:color w:val="000000" w:themeColor="text1"/>
          <w:kern w:val="0"/>
          <w:sz w:val="22"/>
          <w:szCs w:val="22"/>
          <w:highlight w:val="white"/>
          <w:lang w:val="en" w:eastAsia="en-GB"/>
          <w14:ligatures w14:val="none"/>
        </w:rPr>
      </w:pPr>
    </w:p>
    <w:p w14:paraId="05D5BD2C"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Aviram, N.F., Cohen, N. (2024) ‘Rationality in Public Policy. In: van Gerven, M., Rothmayr Allison, C., Schubert, K. (eds) Encyclopedia of Public Policy. Springer, Cham. Available at:  </w:t>
      </w:r>
      <w:hyperlink r:id="rId8" w:history="1">
        <w:r w:rsidRPr="009620E1">
          <w:rPr>
            <w:rFonts w:ascii="Arial" w:eastAsia="Merriweather Sans" w:hAnsi="Arial" w:cs="Arial"/>
            <w:color w:val="000000" w:themeColor="text1"/>
            <w:kern w:val="0"/>
            <w:sz w:val="22"/>
            <w:szCs w:val="22"/>
            <w:highlight w:val="white"/>
            <w:u w:val="single"/>
            <w:lang w:val="en" w:eastAsia="en-GB"/>
            <w14:ligatures w14:val="none"/>
          </w:rPr>
          <w:t>https://doi.org/10.1007/978-3-030-90434-0_89-1</w:t>
        </w:r>
      </w:hyperlink>
      <w:r w:rsidRPr="009620E1">
        <w:rPr>
          <w:rFonts w:ascii="Arial" w:eastAsia="Merriweather Sans" w:hAnsi="Arial" w:cs="Arial"/>
          <w:color w:val="000000" w:themeColor="text1"/>
          <w:kern w:val="0"/>
          <w:sz w:val="22"/>
          <w:szCs w:val="22"/>
          <w:highlight w:val="white"/>
          <w:lang w:val="en" w:eastAsia="en-GB"/>
          <w14:ligatures w14:val="none"/>
        </w:rPr>
        <w:t xml:space="preserve"> </w:t>
      </w:r>
      <w:r w:rsidRPr="009620E1">
        <w:rPr>
          <w:rFonts w:ascii="Arial" w:eastAsia="Arial" w:hAnsi="Arial" w:cs="Arial"/>
          <w:color w:val="000000" w:themeColor="text1"/>
          <w:kern w:val="0"/>
          <w:sz w:val="22"/>
          <w:szCs w:val="22"/>
          <w:highlight w:val="white"/>
          <w:lang w:val="en" w:eastAsia="en-GB"/>
          <w14:ligatures w14:val="none"/>
        </w:rPr>
        <w:t xml:space="preserve">(Accessed on: 16th November 2024). </w:t>
      </w:r>
    </w:p>
    <w:p w14:paraId="73C6F2F5" w14:textId="77777777" w:rsidR="009620E1" w:rsidRPr="009620E1" w:rsidRDefault="009620E1" w:rsidP="009620E1">
      <w:pPr>
        <w:spacing w:line="276" w:lineRule="auto"/>
        <w:rPr>
          <w:rFonts w:ascii="Arial" w:eastAsia="Merriweather Sans" w:hAnsi="Arial" w:cs="Arial"/>
          <w:color w:val="000000" w:themeColor="text1"/>
          <w:kern w:val="0"/>
          <w:sz w:val="22"/>
          <w:szCs w:val="22"/>
          <w:highlight w:val="white"/>
          <w:lang w:val="en" w:eastAsia="en-GB"/>
          <w14:ligatures w14:val="none"/>
        </w:rPr>
      </w:pPr>
    </w:p>
    <w:p w14:paraId="3263A720"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Barclay, K. (2019). The early modern family. In </w:t>
      </w:r>
      <w:r w:rsidRPr="009620E1">
        <w:rPr>
          <w:rFonts w:ascii="Arial" w:eastAsia="Arial" w:hAnsi="Arial" w:cs="Arial"/>
          <w:i/>
          <w:color w:val="000000" w:themeColor="text1"/>
          <w:kern w:val="0"/>
          <w:sz w:val="22"/>
          <w:szCs w:val="22"/>
          <w:highlight w:val="white"/>
          <w:lang w:val="en" w:eastAsia="en-GB"/>
          <w14:ligatures w14:val="none"/>
        </w:rPr>
        <w:t>Early Modern Childhood</w:t>
      </w:r>
      <w:r w:rsidRPr="009620E1">
        <w:rPr>
          <w:rFonts w:ascii="Arial" w:eastAsia="Arial" w:hAnsi="Arial" w:cs="Arial"/>
          <w:color w:val="000000" w:themeColor="text1"/>
          <w:kern w:val="0"/>
          <w:sz w:val="22"/>
          <w:szCs w:val="22"/>
          <w:highlight w:val="white"/>
          <w:lang w:val="en" w:eastAsia="en-GB"/>
          <w14:ligatures w14:val="none"/>
        </w:rPr>
        <w:t> (pp. 16-32). Routledge: London</w:t>
      </w:r>
    </w:p>
    <w:p w14:paraId="340F55DC"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4B5DAD97"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Bartley, P. (2022) ‘Margaret Thatcher’s Age and After: 1979–2000. In: Women’s Activism in Twentieth-Century Britain’,</w:t>
      </w:r>
      <w:r w:rsidRPr="009620E1">
        <w:rPr>
          <w:rFonts w:ascii="Arial" w:eastAsia="Arial" w:hAnsi="Arial" w:cs="Arial"/>
          <w:i/>
          <w:color w:val="000000" w:themeColor="text1"/>
          <w:kern w:val="0"/>
          <w:sz w:val="22"/>
          <w:szCs w:val="22"/>
          <w:highlight w:val="white"/>
          <w:lang w:val="en" w:eastAsia="en-GB"/>
          <w14:ligatures w14:val="none"/>
        </w:rPr>
        <w:t xml:space="preserve"> Gender and History. Palgrave Macmillan, Cham. </w:t>
      </w:r>
      <w:r w:rsidRPr="009620E1">
        <w:rPr>
          <w:rFonts w:ascii="Arial" w:eastAsia="Arial" w:hAnsi="Arial" w:cs="Arial"/>
          <w:color w:val="000000" w:themeColor="text1"/>
          <w:kern w:val="0"/>
          <w:sz w:val="22"/>
          <w:szCs w:val="22"/>
          <w:highlight w:val="white"/>
          <w:lang w:val="en" w:eastAsia="en-GB"/>
          <w14:ligatures w14:val="none"/>
        </w:rPr>
        <w:t xml:space="preserve">Available at: </w:t>
      </w:r>
      <w:hyperlink r:id="rId9" w:anchor="citeas" w:history="1">
        <w:r w:rsidRPr="009620E1">
          <w:rPr>
            <w:rFonts w:ascii="Arial" w:eastAsia="Merriweather Sans" w:hAnsi="Arial" w:cs="Arial"/>
            <w:color w:val="000000" w:themeColor="text1"/>
            <w:kern w:val="0"/>
            <w:sz w:val="22"/>
            <w:szCs w:val="22"/>
            <w:highlight w:val="white"/>
            <w:u w:val="single"/>
            <w:lang w:val="en" w:eastAsia="en-GB"/>
            <w14:ligatures w14:val="none"/>
          </w:rPr>
          <w:t>https://link.springer.com/chapter/10.1007/978-3-030-92721-9_10#citeas</w:t>
        </w:r>
      </w:hyperlink>
      <w:r w:rsidRPr="009620E1">
        <w:rPr>
          <w:rFonts w:ascii="Arial" w:eastAsia="Merriweather Sans" w:hAnsi="Arial" w:cs="Arial"/>
          <w:color w:val="000000" w:themeColor="text1"/>
          <w:kern w:val="0"/>
          <w:sz w:val="22"/>
          <w:szCs w:val="22"/>
          <w:highlight w:val="white"/>
          <w:lang w:val="en" w:eastAsia="en-GB"/>
          <w14:ligatures w14:val="none"/>
        </w:rPr>
        <w:t xml:space="preserve"> </w:t>
      </w:r>
      <w:r w:rsidRPr="009620E1">
        <w:rPr>
          <w:rFonts w:ascii="Arial" w:eastAsia="Arial" w:hAnsi="Arial" w:cs="Arial"/>
          <w:color w:val="000000" w:themeColor="text1"/>
          <w:kern w:val="0"/>
          <w:sz w:val="22"/>
          <w:szCs w:val="22"/>
          <w:highlight w:val="white"/>
          <w:lang w:val="en" w:eastAsia="en-GB"/>
          <w14:ligatures w14:val="none"/>
        </w:rPr>
        <w:t xml:space="preserve">(Accessed on: 23rd December 2024). </w:t>
      </w:r>
    </w:p>
    <w:p w14:paraId="63D95D6F"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24E25487"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BBC News: (2020) “ Wales to bring in smacking ban after assembly vote”. Available at: </w:t>
      </w:r>
      <w:hyperlink r:id="rId10" w:history="1">
        <w:r w:rsidRPr="009620E1">
          <w:rPr>
            <w:rFonts w:ascii="Arial" w:eastAsia="Arial" w:hAnsi="Arial" w:cs="Arial"/>
            <w:color w:val="000000" w:themeColor="text1"/>
            <w:kern w:val="0"/>
            <w:sz w:val="22"/>
            <w:szCs w:val="22"/>
            <w:highlight w:val="white"/>
            <w:u w:val="single"/>
            <w:lang w:val="en" w:eastAsia="en-GB"/>
            <w14:ligatures w14:val="none"/>
          </w:rPr>
          <w:t>https://www.bbc.co.uk/news/uk-wales-51266509</w:t>
        </w:r>
      </w:hyperlink>
      <w:r w:rsidRPr="009620E1">
        <w:rPr>
          <w:rFonts w:ascii="Arial" w:eastAsia="Arial" w:hAnsi="Arial" w:cs="Arial"/>
          <w:color w:val="000000" w:themeColor="text1"/>
          <w:kern w:val="0"/>
          <w:sz w:val="22"/>
          <w:szCs w:val="22"/>
          <w:highlight w:val="white"/>
          <w:lang w:val="en" w:eastAsia="en-GB"/>
          <w14:ligatures w14:val="none"/>
        </w:rPr>
        <w:t xml:space="preserve"> (Accessed on: 6th January 2025). </w:t>
      </w:r>
    </w:p>
    <w:p w14:paraId="19D1736C"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1345A870"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725B9EFC"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BBC News: (2022). “Welsh Youth Parliament votes on issues to tackle”. Available at: </w:t>
      </w:r>
      <w:hyperlink r:id="rId11" w:history="1">
        <w:r w:rsidRPr="009620E1">
          <w:rPr>
            <w:rFonts w:ascii="Arial" w:eastAsia="Arial" w:hAnsi="Arial" w:cs="Arial"/>
            <w:color w:val="000000" w:themeColor="text1"/>
            <w:kern w:val="0"/>
            <w:sz w:val="22"/>
            <w:szCs w:val="22"/>
            <w:highlight w:val="white"/>
            <w:u w:val="single"/>
            <w:lang w:val="en" w:eastAsia="en-GB"/>
            <w14:ligatures w14:val="none"/>
          </w:rPr>
          <w:t>https://www.bbc.co.uk/news/uk-wales-60402204</w:t>
        </w:r>
      </w:hyperlink>
      <w:r w:rsidRPr="009620E1">
        <w:rPr>
          <w:rFonts w:ascii="Arial" w:eastAsia="Arial" w:hAnsi="Arial" w:cs="Arial"/>
          <w:color w:val="000000" w:themeColor="text1"/>
          <w:kern w:val="0"/>
          <w:sz w:val="22"/>
          <w:szCs w:val="22"/>
          <w:highlight w:val="white"/>
          <w:lang w:val="en" w:eastAsia="en-GB"/>
          <w14:ligatures w14:val="none"/>
        </w:rPr>
        <w:t xml:space="preserve"> (Accessed on: 3rd january 2025). </w:t>
      </w:r>
    </w:p>
    <w:p w14:paraId="3FEF22A2"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541068B5" w14:textId="77777777" w:rsidR="009620E1" w:rsidRPr="009620E1" w:rsidRDefault="009620E1" w:rsidP="009620E1">
      <w:pPr>
        <w:spacing w:line="276" w:lineRule="auto"/>
        <w:rPr>
          <w:rFonts w:ascii="Arial" w:eastAsia="Merriweather Sans" w:hAnsi="Arial" w:cs="Arial"/>
          <w:color w:val="000000" w:themeColor="text1"/>
          <w:kern w:val="0"/>
          <w:sz w:val="22"/>
          <w:szCs w:val="22"/>
          <w:highlight w:val="white"/>
          <w:lang w:val="en" w:eastAsia="en-GB"/>
          <w14:ligatures w14:val="none"/>
        </w:rPr>
      </w:pPr>
    </w:p>
    <w:p w14:paraId="148DC904" w14:textId="77777777" w:rsidR="009620E1" w:rsidRPr="009620E1" w:rsidRDefault="009620E1" w:rsidP="009620E1">
      <w:pPr>
        <w:spacing w:line="276" w:lineRule="auto"/>
        <w:rPr>
          <w:rFonts w:ascii="Arial" w:eastAsia="Merriweather Sans"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Bell, L.A., 2016. Theoretical foundations for social justice education. In </w:t>
      </w:r>
      <w:r w:rsidRPr="009620E1">
        <w:rPr>
          <w:rFonts w:ascii="Arial" w:eastAsia="Arial" w:hAnsi="Arial" w:cs="Arial"/>
          <w:i/>
          <w:color w:val="000000" w:themeColor="text1"/>
          <w:kern w:val="0"/>
          <w:sz w:val="22"/>
          <w:szCs w:val="22"/>
          <w:highlight w:val="white"/>
          <w:lang w:val="en" w:eastAsia="en-GB"/>
          <w14:ligatures w14:val="none"/>
        </w:rPr>
        <w:t>Teaching for diversity and social justice</w:t>
      </w:r>
      <w:r w:rsidRPr="009620E1">
        <w:rPr>
          <w:rFonts w:ascii="Arial" w:eastAsia="Arial" w:hAnsi="Arial" w:cs="Arial"/>
          <w:color w:val="000000" w:themeColor="text1"/>
          <w:kern w:val="0"/>
          <w:sz w:val="22"/>
          <w:szCs w:val="22"/>
          <w:highlight w:val="white"/>
          <w:lang w:val="en" w:eastAsia="en-GB"/>
          <w14:ligatures w14:val="none"/>
        </w:rPr>
        <w:t xml:space="preserve"> (pp. 3-26). Routledge: London. </w:t>
      </w:r>
    </w:p>
    <w:p w14:paraId="1E654917"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2EB1B865"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Bulaitis, H. (2020) A History of Payment by Results: Lowe’s Code (1862) and the Browne Report (2010) </w:t>
      </w:r>
      <w:r w:rsidRPr="009620E1">
        <w:rPr>
          <w:rFonts w:ascii="Arial" w:eastAsia="Aptos" w:hAnsi="Arial" w:cs="Arial"/>
          <w:i/>
          <w:color w:val="000000" w:themeColor="text1"/>
          <w:kern w:val="0"/>
          <w:sz w:val="22"/>
          <w:szCs w:val="22"/>
          <w:lang w:val="en" w:eastAsia="en-GB"/>
          <w14:ligatures w14:val="none"/>
        </w:rPr>
        <w:t xml:space="preserve">Value and the Humanities: Palgrave Studies in Literature, Culture and Economics. </w:t>
      </w:r>
      <w:r w:rsidRPr="009620E1">
        <w:rPr>
          <w:rFonts w:ascii="Arial" w:eastAsia="Aptos" w:hAnsi="Arial" w:cs="Arial"/>
          <w:color w:val="000000" w:themeColor="text1"/>
          <w:kern w:val="0"/>
          <w:sz w:val="22"/>
          <w:szCs w:val="22"/>
          <w:lang w:val="en" w:eastAsia="en-GB"/>
          <w14:ligatures w14:val="none"/>
        </w:rPr>
        <w:t xml:space="preserve">Palgrave Macmillan, 9(2). Available at: </w:t>
      </w:r>
      <w:hyperlink r:id="rId12" w:anchor="citeas" w:history="1">
        <w:r w:rsidRPr="009620E1">
          <w:rPr>
            <w:rFonts w:ascii="Arial" w:eastAsia="Aptos" w:hAnsi="Arial" w:cs="Arial"/>
            <w:color w:val="000000" w:themeColor="text1"/>
            <w:kern w:val="0"/>
            <w:sz w:val="22"/>
            <w:szCs w:val="22"/>
            <w:u w:val="single"/>
            <w:lang w:val="en" w:eastAsia="en-GB"/>
            <w14:ligatures w14:val="none"/>
          </w:rPr>
          <w:t>https://link.springer.com/chapter/10.1007/978-3-030-37892-9_2#citeas</w:t>
        </w:r>
      </w:hyperlink>
      <w:r w:rsidRPr="009620E1">
        <w:rPr>
          <w:rFonts w:ascii="Arial" w:eastAsia="Aptos" w:hAnsi="Arial" w:cs="Arial"/>
          <w:color w:val="000000" w:themeColor="text1"/>
          <w:kern w:val="0"/>
          <w:sz w:val="22"/>
          <w:szCs w:val="22"/>
          <w:lang w:val="en" w:eastAsia="en-GB"/>
          <w14:ligatures w14:val="none"/>
        </w:rPr>
        <w:t xml:space="preserve"> (Accessed on: 11th January 2025). </w:t>
      </w:r>
    </w:p>
    <w:p w14:paraId="72FBC7A4"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026CD53"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lastRenderedPageBreak/>
        <w:t>Cairney, P., 2019. </w:t>
      </w:r>
      <w:r w:rsidRPr="009620E1">
        <w:rPr>
          <w:rFonts w:ascii="Arial" w:eastAsia="Arial" w:hAnsi="Arial" w:cs="Arial"/>
          <w:i/>
          <w:color w:val="000000" w:themeColor="text1"/>
          <w:kern w:val="0"/>
          <w:sz w:val="22"/>
          <w:szCs w:val="22"/>
          <w:highlight w:val="white"/>
          <w:lang w:val="en" w:eastAsia="en-GB"/>
          <w14:ligatures w14:val="none"/>
        </w:rPr>
        <w:t>Understanding public policy: theories and issues</w:t>
      </w:r>
      <w:r w:rsidRPr="009620E1">
        <w:rPr>
          <w:rFonts w:ascii="Arial" w:eastAsia="Arial" w:hAnsi="Arial" w:cs="Arial"/>
          <w:color w:val="000000" w:themeColor="text1"/>
          <w:kern w:val="0"/>
          <w:sz w:val="22"/>
          <w:szCs w:val="22"/>
          <w:highlight w:val="white"/>
          <w:lang w:val="en" w:eastAsia="en-GB"/>
          <w14:ligatures w14:val="none"/>
        </w:rPr>
        <w:t> (Vol. 2). Bloomsbury Publishing.</w:t>
      </w:r>
    </w:p>
    <w:p w14:paraId="2B9FAE9D" w14:textId="77777777" w:rsidR="009620E1" w:rsidRPr="009620E1" w:rsidRDefault="009620E1" w:rsidP="009620E1">
      <w:pPr>
        <w:spacing w:line="276" w:lineRule="auto"/>
        <w:rPr>
          <w:rFonts w:ascii="Arial" w:eastAsia="Arial" w:hAnsi="Arial" w:cs="Arial"/>
          <w:color w:val="000000" w:themeColor="text1"/>
          <w:kern w:val="0"/>
          <w:sz w:val="22"/>
          <w:szCs w:val="22"/>
          <w:lang w:val="en" w:eastAsia="en-GB"/>
          <w14:ligatures w14:val="none"/>
        </w:rPr>
      </w:pPr>
    </w:p>
    <w:p w14:paraId="27FA7F20" w14:textId="77777777" w:rsidR="009620E1" w:rsidRPr="009620E1" w:rsidRDefault="009620E1" w:rsidP="009620E1">
      <w:pPr>
        <w:spacing w:line="276" w:lineRule="auto"/>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lang w:val="en" w:eastAsia="en-GB"/>
          <w14:ligatures w14:val="none"/>
        </w:rPr>
        <w:t xml:space="preserve">Coyle, D., and Muhtar, A. (2023) ‘Levelling up policies and the failure to learn’, </w:t>
      </w:r>
      <w:r w:rsidRPr="009620E1">
        <w:rPr>
          <w:rFonts w:ascii="Arial" w:eastAsia="Arial" w:hAnsi="Arial" w:cs="Arial"/>
          <w:i/>
          <w:color w:val="000000" w:themeColor="text1"/>
          <w:kern w:val="0"/>
          <w:sz w:val="22"/>
          <w:szCs w:val="22"/>
          <w:lang w:val="en" w:eastAsia="en-GB"/>
          <w14:ligatures w14:val="none"/>
        </w:rPr>
        <w:t>Contemporary Social Science</w:t>
      </w:r>
      <w:r w:rsidRPr="009620E1">
        <w:rPr>
          <w:rFonts w:ascii="Arial" w:eastAsia="Arial" w:hAnsi="Arial" w:cs="Arial"/>
          <w:color w:val="000000" w:themeColor="text1"/>
          <w:kern w:val="0"/>
          <w:sz w:val="22"/>
          <w:szCs w:val="22"/>
          <w:lang w:val="en" w:eastAsia="en-GB"/>
          <w14:ligatures w14:val="none"/>
        </w:rPr>
        <w:t xml:space="preserve">, </w:t>
      </w:r>
      <w:r w:rsidRPr="009620E1">
        <w:rPr>
          <w:rFonts w:ascii="Arial" w:eastAsia="Arial" w:hAnsi="Arial" w:cs="Arial"/>
          <w:i/>
          <w:color w:val="000000" w:themeColor="text1"/>
          <w:kern w:val="0"/>
          <w:sz w:val="22"/>
          <w:szCs w:val="22"/>
          <w:lang w:val="en" w:eastAsia="en-GB"/>
          <w14:ligatures w14:val="none"/>
        </w:rPr>
        <w:t>18</w:t>
      </w:r>
      <w:r w:rsidRPr="009620E1">
        <w:rPr>
          <w:rFonts w:ascii="Arial" w:eastAsia="Arial" w:hAnsi="Arial" w:cs="Arial"/>
          <w:color w:val="000000" w:themeColor="text1"/>
          <w:kern w:val="0"/>
          <w:sz w:val="22"/>
          <w:szCs w:val="22"/>
          <w:lang w:val="en" w:eastAsia="en-GB"/>
          <w14:ligatures w14:val="none"/>
        </w:rPr>
        <w:t xml:space="preserve">(3–4), pp. 406–427. Available at: </w:t>
      </w:r>
      <w:hyperlink r:id="rId13" w:anchor="abstract" w:history="1">
        <w:r w:rsidRPr="009620E1">
          <w:rPr>
            <w:rFonts w:ascii="Arial" w:eastAsia="Arial" w:hAnsi="Arial" w:cs="Arial"/>
            <w:color w:val="000000" w:themeColor="text1"/>
            <w:kern w:val="0"/>
            <w:sz w:val="22"/>
            <w:szCs w:val="22"/>
            <w:u w:val="single"/>
            <w:lang w:val="en" w:eastAsia="en-GB"/>
            <w14:ligatures w14:val="none"/>
          </w:rPr>
          <w:t>https://www.tandfonline.com/doi/full/10.1080/21582041.2023.2197877#abstract</w:t>
        </w:r>
      </w:hyperlink>
      <w:r w:rsidRPr="009620E1">
        <w:rPr>
          <w:rFonts w:ascii="Arial" w:eastAsia="Arial" w:hAnsi="Arial" w:cs="Arial"/>
          <w:color w:val="000000" w:themeColor="text1"/>
          <w:kern w:val="0"/>
          <w:sz w:val="22"/>
          <w:szCs w:val="22"/>
          <w:lang w:val="en" w:eastAsia="en-GB"/>
          <w14:ligatures w14:val="none"/>
        </w:rPr>
        <w:t xml:space="preserve"> (Accessed on: 11th January 2025). </w:t>
      </w:r>
    </w:p>
    <w:p w14:paraId="4FEBAA0B"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1EE74369"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Roboto" w:hAnsi="Arial" w:cs="Arial"/>
          <w:color w:val="000000" w:themeColor="text1"/>
          <w:kern w:val="0"/>
          <w:sz w:val="22"/>
          <w:szCs w:val="22"/>
          <w:highlight w:val="white"/>
          <w:lang w:val="en" w:eastAsia="en-GB"/>
          <w14:ligatures w14:val="none"/>
        </w:rPr>
        <w:t xml:space="preserve">Cullerton, K, Donnet, T., and Lee, A. (2016) ‘Playing the policy game: a review of the barriers to and enablers of nutrition policy change’, </w:t>
      </w:r>
      <w:r w:rsidRPr="009620E1">
        <w:rPr>
          <w:rFonts w:ascii="Arial" w:eastAsia="Roboto" w:hAnsi="Arial" w:cs="Arial"/>
          <w:i/>
          <w:color w:val="000000" w:themeColor="text1"/>
          <w:kern w:val="0"/>
          <w:sz w:val="22"/>
          <w:szCs w:val="22"/>
          <w:highlight w:val="white"/>
          <w:lang w:val="en" w:eastAsia="en-GB"/>
          <w14:ligatures w14:val="none"/>
        </w:rPr>
        <w:t>Public Health Nutrition</w:t>
      </w:r>
      <w:r w:rsidRPr="009620E1">
        <w:rPr>
          <w:rFonts w:ascii="Arial" w:eastAsia="Roboto" w:hAnsi="Arial" w:cs="Arial"/>
          <w:color w:val="000000" w:themeColor="text1"/>
          <w:kern w:val="0"/>
          <w:sz w:val="22"/>
          <w:szCs w:val="22"/>
          <w:highlight w:val="white"/>
          <w:lang w:val="en" w:eastAsia="en-GB"/>
          <w14:ligatures w14:val="none"/>
        </w:rPr>
        <w:t xml:space="preserve">, 19(14), pp. 2643-2653. Available at: </w:t>
      </w:r>
      <w:hyperlink r:id="rId14" w:history="1">
        <w:r w:rsidRPr="009620E1">
          <w:rPr>
            <w:rFonts w:ascii="Arial" w:eastAsia="Roboto" w:hAnsi="Arial" w:cs="Arial"/>
            <w:color w:val="000000" w:themeColor="text1"/>
            <w:kern w:val="0"/>
            <w:sz w:val="22"/>
            <w:szCs w:val="22"/>
            <w:highlight w:val="white"/>
            <w:u w:val="single"/>
            <w:lang w:val="en" w:eastAsia="en-GB"/>
            <w14:ligatures w14:val="none"/>
          </w:rPr>
          <w:t>https://pubmed.ncbi.nlm.nih.gov/27034196/</w:t>
        </w:r>
      </w:hyperlink>
      <w:r w:rsidRPr="009620E1">
        <w:rPr>
          <w:rFonts w:ascii="Arial" w:eastAsia="Roboto" w:hAnsi="Arial" w:cs="Arial"/>
          <w:color w:val="000000" w:themeColor="text1"/>
          <w:kern w:val="0"/>
          <w:sz w:val="22"/>
          <w:szCs w:val="22"/>
          <w:highlight w:val="white"/>
          <w:lang w:val="en" w:eastAsia="en-GB"/>
          <w14:ligatures w14:val="none"/>
        </w:rPr>
        <w:t xml:space="preserve"> (Accessed on: 23rd December 2024). </w:t>
      </w:r>
    </w:p>
    <w:p w14:paraId="2911DDB3"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2D72EB9A"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De Foo, C., Verma, M., Tan, S.Y., Hamer, J., van der Mark, N., Pholpark, A., Hanvoravongchai, P., Cheh, P.L.J., Marthias, T., Mahendradhata, Y. and Putri, L.P. (2023) ‘Health financing policies during the COVID-19 pandemic and implications for universal health care: a case study of 15 countries’, </w:t>
      </w:r>
      <w:r w:rsidRPr="009620E1">
        <w:rPr>
          <w:rFonts w:ascii="Arial" w:eastAsia="Arial" w:hAnsi="Arial" w:cs="Arial"/>
          <w:i/>
          <w:color w:val="000000" w:themeColor="text1"/>
          <w:kern w:val="0"/>
          <w:sz w:val="22"/>
          <w:szCs w:val="22"/>
          <w:highlight w:val="white"/>
          <w:lang w:val="en" w:eastAsia="en-GB"/>
          <w14:ligatures w14:val="none"/>
        </w:rPr>
        <w:t>The Lancet Global Health</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11</w:t>
      </w:r>
      <w:r w:rsidRPr="009620E1">
        <w:rPr>
          <w:rFonts w:ascii="Arial" w:eastAsia="Arial" w:hAnsi="Arial" w:cs="Arial"/>
          <w:color w:val="000000" w:themeColor="text1"/>
          <w:kern w:val="0"/>
          <w:sz w:val="22"/>
          <w:szCs w:val="22"/>
          <w:highlight w:val="white"/>
          <w:lang w:val="en" w:eastAsia="en-GB"/>
          <w14:ligatures w14:val="none"/>
        </w:rPr>
        <w:t xml:space="preserve">(12), pp. E1964-e1977. Available at: </w:t>
      </w:r>
      <w:hyperlink r:id="rId15" w:history="1">
        <w:r w:rsidRPr="009620E1">
          <w:rPr>
            <w:rFonts w:ascii="Arial" w:eastAsia="Arial" w:hAnsi="Arial" w:cs="Arial"/>
            <w:color w:val="000000" w:themeColor="text1"/>
            <w:kern w:val="0"/>
            <w:sz w:val="22"/>
            <w:szCs w:val="22"/>
            <w:highlight w:val="white"/>
            <w:u w:val="single"/>
            <w:lang w:val="en" w:eastAsia="en-GB"/>
            <w14:ligatures w14:val="none"/>
          </w:rPr>
          <w:t>https://pubmed.ncbi.nlm.nih.gov/37973344/</w:t>
        </w:r>
      </w:hyperlink>
      <w:r w:rsidRPr="009620E1">
        <w:rPr>
          <w:rFonts w:ascii="Arial" w:eastAsia="Arial" w:hAnsi="Arial" w:cs="Arial"/>
          <w:color w:val="000000" w:themeColor="text1"/>
          <w:kern w:val="0"/>
          <w:sz w:val="22"/>
          <w:szCs w:val="22"/>
          <w:highlight w:val="white"/>
          <w:lang w:val="en" w:eastAsia="en-GB"/>
          <w14:ligatures w14:val="none"/>
        </w:rPr>
        <w:t xml:space="preserve"> (Accessed on: 21st December 2024). </w:t>
      </w:r>
    </w:p>
    <w:p w14:paraId="2CC5490A"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278FD329"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Dadds, M.R. and Tully, L.A., (2019) ‘What is it to discipline a child: What should it be? A reanalysis of time-out from the perspective of child mental health, attachment, and trauma’, </w:t>
      </w:r>
      <w:r w:rsidRPr="009620E1">
        <w:rPr>
          <w:rFonts w:ascii="Arial" w:eastAsia="Arial" w:hAnsi="Arial" w:cs="Arial"/>
          <w:i/>
          <w:color w:val="000000" w:themeColor="text1"/>
          <w:kern w:val="0"/>
          <w:sz w:val="22"/>
          <w:szCs w:val="22"/>
          <w:highlight w:val="white"/>
          <w:lang w:val="en" w:eastAsia="en-GB"/>
          <w14:ligatures w14:val="none"/>
        </w:rPr>
        <w:t>American Psychologist</w:t>
      </w:r>
      <w:r w:rsidRPr="009620E1">
        <w:rPr>
          <w:rFonts w:ascii="Arial" w:eastAsia="Arial" w:hAnsi="Arial" w:cs="Arial"/>
          <w:color w:val="000000" w:themeColor="text1"/>
          <w:kern w:val="0"/>
          <w:sz w:val="22"/>
          <w:szCs w:val="22"/>
          <w:highlight w:val="white"/>
          <w:lang w:val="en" w:eastAsia="en-GB"/>
          <w14:ligatures w14:val="none"/>
        </w:rPr>
        <w:t xml:space="preserve">, 74(7), p.794. Available at: </w:t>
      </w:r>
      <w:hyperlink r:id="rId16" w:history="1">
        <w:r w:rsidRPr="009620E1">
          <w:rPr>
            <w:rFonts w:ascii="Arial" w:eastAsia="Arial" w:hAnsi="Arial" w:cs="Arial"/>
            <w:color w:val="000000" w:themeColor="text1"/>
            <w:kern w:val="0"/>
            <w:sz w:val="22"/>
            <w:szCs w:val="22"/>
            <w:highlight w:val="white"/>
            <w:u w:val="single"/>
            <w:lang w:val="en" w:eastAsia="en-GB"/>
            <w14:ligatures w14:val="none"/>
          </w:rPr>
          <w:t>https://pubmed.ncbi.nlm.nih.gov/30802080/</w:t>
        </w:r>
      </w:hyperlink>
      <w:r w:rsidRPr="009620E1">
        <w:rPr>
          <w:rFonts w:ascii="Arial" w:eastAsia="Arial" w:hAnsi="Arial" w:cs="Arial"/>
          <w:color w:val="000000" w:themeColor="text1"/>
          <w:kern w:val="0"/>
          <w:sz w:val="22"/>
          <w:szCs w:val="22"/>
          <w:highlight w:val="white"/>
          <w:lang w:val="en" w:eastAsia="en-GB"/>
          <w14:ligatures w14:val="none"/>
        </w:rPr>
        <w:t xml:space="preserve"> (Accessed on: 7th January 2025). </w:t>
      </w:r>
    </w:p>
    <w:p w14:paraId="53A48D28"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6AC81963"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ptos" w:hAnsi="Arial" w:cs="Arial"/>
          <w:color w:val="000000" w:themeColor="text1"/>
          <w:kern w:val="0"/>
          <w:sz w:val="22"/>
          <w:szCs w:val="22"/>
          <w:lang w:val="en" w:eastAsia="en-GB"/>
          <w14:ligatures w14:val="none"/>
        </w:rPr>
        <w:t>Einaudi M (1967) THE EARLY ROUSSEAU. Cornell University Press: New York.</w:t>
      </w:r>
    </w:p>
    <w:p w14:paraId="1982CD59"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A0C95D7"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Evans, E.J., 2018. </w:t>
      </w:r>
      <w:r w:rsidRPr="009620E1">
        <w:rPr>
          <w:rFonts w:ascii="Arial" w:eastAsia="Arial" w:hAnsi="Arial" w:cs="Arial"/>
          <w:i/>
          <w:color w:val="000000" w:themeColor="text1"/>
          <w:kern w:val="0"/>
          <w:sz w:val="22"/>
          <w:szCs w:val="22"/>
          <w:highlight w:val="white"/>
          <w:lang w:val="en" w:eastAsia="en-GB"/>
          <w14:ligatures w14:val="none"/>
        </w:rPr>
        <w:t>Thatcher and thatcherism</w:t>
      </w:r>
      <w:r w:rsidRPr="009620E1">
        <w:rPr>
          <w:rFonts w:ascii="Arial" w:eastAsia="Arial" w:hAnsi="Arial" w:cs="Arial"/>
          <w:color w:val="000000" w:themeColor="text1"/>
          <w:kern w:val="0"/>
          <w:sz w:val="22"/>
          <w:szCs w:val="22"/>
          <w:highlight w:val="white"/>
          <w:lang w:val="en" w:eastAsia="en-GB"/>
          <w14:ligatures w14:val="none"/>
        </w:rPr>
        <w:t xml:space="preserve">. Routledge: London. </w:t>
      </w:r>
    </w:p>
    <w:p w14:paraId="5FDD3005"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38824A1"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Finlay, M. (2024) ‘Children of Empire: How Discourses of Empire Permeated British Victorian Childhood Before and After the 1870 Education Act’, </w:t>
      </w:r>
      <w:r w:rsidRPr="009620E1">
        <w:rPr>
          <w:rFonts w:ascii="Arial" w:eastAsia="Aptos" w:hAnsi="Arial" w:cs="Arial"/>
          <w:i/>
          <w:color w:val="000000" w:themeColor="text1"/>
          <w:kern w:val="0"/>
          <w:sz w:val="22"/>
          <w:szCs w:val="22"/>
          <w:lang w:val="en" w:eastAsia="en-GB"/>
          <w14:ligatures w14:val="none"/>
        </w:rPr>
        <w:t xml:space="preserve">Groundings Undergraduate Academic Journal, </w:t>
      </w:r>
      <w:r w:rsidRPr="009620E1">
        <w:rPr>
          <w:rFonts w:ascii="Arial" w:eastAsia="Aptos" w:hAnsi="Arial" w:cs="Arial"/>
          <w:color w:val="000000" w:themeColor="text1"/>
          <w:kern w:val="0"/>
          <w:sz w:val="22"/>
          <w:szCs w:val="22"/>
          <w:lang w:val="en" w:eastAsia="en-GB"/>
          <w14:ligatures w14:val="none"/>
        </w:rPr>
        <w:t xml:space="preserve">13, pp.96-107 Available at: </w:t>
      </w:r>
      <w:hyperlink r:id="rId17" w:history="1">
        <w:r w:rsidRPr="009620E1">
          <w:rPr>
            <w:rFonts w:ascii="Arial" w:eastAsia="Aptos" w:hAnsi="Arial" w:cs="Arial"/>
            <w:color w:val="000000" w:themeColor="text1"/>
            <w:kern w:val="0"/>
            <w:sz w:val="22"/>
            <w:szCs w:val="22"/>
            <w:u w:val="single"/>
            <w:lang w:val="en" w:eastAsia="en-GB"/>
            <w14:ligatures w14:val="none"/>
          </w:rPr>
          <w:t>https://journals.gla.ac.uk/groundings/article/view/156</w:t>
        </w:r>
      </w:hyperlink>
      <w:r w:rsidRPr="009620E1">
        <w:rPr>
          <w:rFonts w:ascii="Arial" w:eastAsia="Aptos" w:hAnsi="Arial" w:cs="Arial"/>
          <w:color w:val="000000" w:themeColor="text1"/>
          <w:kern w:val="0"/>
          <w:sz w:val="22"/>
          <w:szCs w:val="22"/>
          <w:lang w:val="en" w:eastAsia="en-GB"/>
          <w14:ligatures w14:val="none"/>
        </w:rPr>
        <w:t xml:space="preserve"> (Accessed on: 19th December 2024). </w:t>
      </w:r>
    </w:p>
    <w:p w14:paraId="58F21525"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5A22126B" w14:textId="77777777" w:rsidR="009620E1" w:rsidRPr="009620E1" w:rsidRDefault="009620E1" w:rsidP="009620E1">
      <w:pPr>
        <w:spacing w:line="276" w:lineRule="auto"/>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lang w:val="en" w:eastAsia="en-GB"/>
          <w14:ligatures w14:val="none"/>
        </w:rPr>
        <w:t xml:space="preserve">Fletcher, A. K. (2017) ‘Help seeking: agentic learners initiating feedback’, </w:t>
      </w:r>
      <w:r w:rsidRPr="009620E1">
        <w:rPr>
          <w:rFonts w:ascii="Arial" w:eastAsia="Arial" w:hAnsi="Arial" w:cs="Arial"/>
          <w:i/>
          <w:color w:val="000000" w:themeColor="text1"/>
          <w:kern w:val="0"/>
          <w:sz w:val="22"/>
          <w:szCs w:val="22"/>
          <w:lang w:val="en" w:eastAsia="en-GB"/>
          <w14:ligatures w14:val="none"/>
        </w:rPr>
        <w:t>Educational Review</w:t>
      </w:r>
      <w:r w:rsidRPr="009620E1">
        <w:rPr>
          <w:rFonts w:ascii="Arial" w:eastAsia="Arial" w:hAnsi="Arial" w:cs="Arial"/>
          <w:color w:val="000000" w:themeColor="text1"/>
          <w:kern w:val="0"/>
          <w:sz w:val="22"/>
          <w:szCs w:val="22"/>
          <w:lang w:val="en" w:eastAsia="en-GB"/>
          <w14:ligatures w14:val="none"/>
        </w:rPr>
        <w:t xml:space="preserve">, 70(4), pp. 389–408. Available at: </w:t>
      </w:r>
      <w:hyperlink r:id="rId18" w:history="1">
        <w:r w:rsidRPr="009620E1">
          <w:rPr>
            <w:rFonts w:ascii="Arial" w:eastAsia="Arial" w:hAnsi="Arial" w:cs="Arial"/>
            <w:color w:val="000000" w:themeColor="text1"/>
            <w:kern w:val="0"/>
            <w:sz w:val="22"/>
            <w:szCs w:val="22"/>
            <w:u w:val="single"/>
            <w:lang w:val="en" w:eastAsia="en-GB"/>
            <w14:ligatures w14:val="none"/>
          </w:rPr>
          <w:t>https://www.tandfonline.com/doi/abs/10.1080/00131911.2017.1340871</w:t>
        </w:r>
      </w:hyperlink>
      <w:r w:rsidRPr="009620E1">
        <w:rPr>
          <w:rFonts w:ascii="Arial" w:eastAsia="Arial" w:hAnsi="Arial" w:cs="Arial"/>
          <w:color w:val="000000" w:themeColor="text1"/>
          <w:kern w:val="0"/>
          <w:sz w:val="22"/>
          <w:szCs w:val="22"/>
          <w:lang w:val="en" w:eastAsia="en-GB"/>
          <w14:ligatures w14:val="none"/>
        </w:rPr>
        <w:t xml:space="preserve"> (Accessed on: 14th December 2024). </w:t>
      </w:r>
    </w:p>
    <w:p w14:paraId="682974E0" w14:textId="77777777" w:rsidR="009620E1" w:rsidRPr="009620E1" w:rsidRDefault="009620E1" w:rsidP="009620E1">
      <w:pPr>
        <w:spacing w:line="276" w:lineRule="auto"/>
        <w:rPr>
          <w:rFonts w:ascii="Arial" w:eastAsia="Open Sans" w:hAnsi="Arial" w:cs="Arial"/>
          <w:color w:val="000000" w:themeColor="text1"/>
          <w:kern w:val="0"/>
          <w:sz w:val="22"/>
          <w:szCs w:val="22"/>
          <w:highlight w:val="white"/>
          <w:lang w:val="en" w:eastAsia="en-GB"/>
          <w14:ligatures w14:val="none"/>
        </w:rPr>
      </w:pPr>
    </w:p>
    <w:p w14:paraId="1975A5B2"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Fowler, L. (2021) ‘How to implement policy: Coping with ambiguity and uncertainty’, </w:t>
      </w:r>
      <w:r w:rsidRPr="009620E1">
        <w:rPr>
          <w:rFonts w:ascii="Arial" w:eastAsia="Arial" w:hAnsi="Arial" w:cs="Arial"/>
          <w:i/>
          <w:color w:val="000000" w:themeColor="text1"/>
          <w:kern w:val="0"/>
          <w:sz w:val="22"/>
          <w:szCs w:val="22"/>
          <w:highlight w:val="white"/>
          <w:lang w:val="en" w:eastAsia="en-GB"/>
          <w14:ligatures w14:val="none"/>
        </w:rPr>
        <w:t>Public Administration</w:t>
      </w:r>
      <w:r w:rsidRPr="009620E1">
        <w:rPr>
          <w:rFonts w:ascii="Arial" w:eastAsia="Arial" w:hAnsi="Arial" w:cs="Arial"/>
          <w:color w:val="000000" w:themeColor="text1"/>
          <w:kern w:val="0"/>
          <w:sz w:val="22"/>
          <w:szCs w:val="22"/>
          <w:highlight w:val="white"/>
          <w:lang w:val="en" w:eastAsia="en-GB"/>
          <w14:ligatures w14:val="none"/>
        </w:rPr>
        <w:t>, 99(3), pp.  581–597</w:t>
      </w:r>
      <w:r w:rsidRPr="009620E1">
        <w:rPr>
          <w:rFonts w:ascii="Arial" w:eastAsia="Open Sans" w:hAnsi="Arial" w:cs="Arial"/>
          <w:color w:val="000000" w:themeColor="text1"/>
          <w:kern w:val="0"/>
          <w:sz w:val="22"/>
          <w:szCs w:val="22"/>
          <w:highlight w:val="white"/>
          <w:lang w:val="en" w:eastAsia="en-GB"/>
          <w14:ligatures w14:val="none"/>
        </w:rPr>
        <w:t>. Available at: </w:t>
      </w:r>
      <w:hyperlink r:id="rId19" w:history="1">
        <w:r w:rsidRPr="009620E1">
          <w:rPr>
            <w:rFonts w:ascii="Arial" w:eastAsia="Open Sans" w:hAnsi="Arial" w:cs="Arial"/>
            <w:color w:val="000000" w:themeColor="text1"/>
            <w:kern w:val="0"/>
            <w:sz w:val="22"/>
            <w:szCs w:val="22"/>
            <w:highlight w:val="white"/>
            <w:u w:val="single"/>
            <w:lang w:val="en" w:eastAsia="en-GB"/>
            <w14:ligatures w14:val="none"/>
          </w:rPr>
          <w:t>https://doi.org/10.1111/padm.12702</w:t>
        </w:r>
      </w:hyperlink>
      <w:r w:rsidRPr="009620E1">
        <w:rPr>
          <w:rFonts w:ascii="Arial" w:eastAsia="Aptos" w:hAnsi="Arial" w:cs="Arial"/>
          <w:color w:val="000000" w:themeColor="text1"/>
          <w:kern w:val="0"/>
          <w:sz w:val="22"/>
          <w:szCs w:val="22"/>
          <w:lang w:val="en" w:eastAsia="en-GB"/>
          <w14:ligatures w14:val="none"/>
        </w:rPr>
        <w:t xml:space="preserve"> (Accessed on: 3rd January 2025). </w:t>
      </w:r>
    </w:p>
    <w:p w14:paraId="51625BDB"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56AB142"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Frazer, D (2024) </w:t>
      </w:r>
      <w:r w:rsidRPr="009620E1">
        <w:rPr>
          <w:rFonts w:ascii="Arial" w:eastAsia="Aptos" w:hAnsi="Arial" w:cs="Arial"/>
          <w:i/>
          <w:color w:val="000000" w:themeColor="text1"/>
          <w:kern w:val="0"/>
          <w:sz w:val="22"/>
          <w:szCs w:val="22"/>
          <w:lang w:val="en" w:eastAsia="en-GB"/>
          <w14:ligatures w14:val="none"/>
        </w:rPr>
        <w:t>The Evolution of the British Welfare State; A History of Social Policy Since the Industrial Revolution.</w:t>
      </w:r>
      <w:r w:rsidRPr="009620E1">
        <w:rPr>
          <w:rFonts w:ascii="Arial" w:eastAsia="Aptos" w:hAnsi="Arial" w:cs="Arial"/>
          <w:color w:val="000000" w:themeColor="text1"/>
          <w:kern w:val="0"/>
          <w:sz w:val="22"/>
          <w:szCs w:val="22"/>
          <w:lang w:val="en" w:eastAsia="en-GB"/>
          <w14:ligatures w14:val="none"/>
        </w:rPr>
        <w:t xml:space="preserve"> London: Bloomsbury. </w:t>
      </w:r>
    </w:p>
    <w:p w14:paraId="291EFC82"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24C9BE4D" w14:textId="77777777" w:rsidR="009620E1" w:rsidRDefault="009620E1" w:rsidP="009620E1">
      <w:pPr>
        <w:spacing w:line="276" w:lineRule="auto"/>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Frisch Aviram, N., Beeri, I. and Cohen, N. (2021) ‘From the bottom-up: Probing the gap between street-level bureaucrats’ intentions of engaging in policy entrepreneurship and their behavior’, </w:t>
      </w:r>
      <w:r w:rsidRPr="009620E1">
        <w:rPr>
          <w:rFonts w:ascii="Arial" w:eastAsia="Arial" w:hAnsi="Arial" w:cs="Arial"/>
          <w:i/>
          <w:color w:val="000000" w:themeColor="text1"/>
          <w:kern w:val="0"/>
          <w:sz w:val="22"/>
          <w:szCs w:val="22"/>
          <w:highlight w:val="white"/>
          <w:lang w:val="en" w:eastAsia="en-GB"/>
          <w14:ligatures w14:val="none"/>
        </w:rPr>
        <w:t>The American Review of Public Administration</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51</w:t>
      </w:r>
      <w:r w:rsidRPr="009620E1">
        <w:rPr>
          <w:rFonts w:ascii="Arial" w:eastAsia="Arial" w:hAnsi="Arial" w:cs="Arial"/>
          <w:color w:val="000000" w:themeColor="text1"/>
          <w:kern w:val="0"/>
          <w:sz w:val="22"/>
          <w:szCs w:val="22"/>
          <w:highlight w:val="white"/>
          <w:lang w:val="en" w:eastAsia="en-GB"/>
          <w14:ligatures w14:val="none"/>
        </w:rPr>
        <w:t xml:space="preserve">(8), pp.636-649. Available at: </w:t>
      </w:r>
      <w:hyperlink r:id="rId20" w:history="1">
        <w:r w:rsidRPr="009620E1">
          <w:rPr>
            <w:rFonts w:ascii="Arial" w:eastAsia="Arial" w:hAnsi="Arial" w:cs="Arial"/>
            <w:color w:val="000000" w:themeColor="text1"/>
            <w:kern w:val="0"/>
            <w:sz w:val="22"/>
            <w:szCs w:val="22"/>
            <w:highlight w:val="white"/>
            <w:u w:val="single"/>
            <w:lang w:val="en" w:eastAsia="en-GB"/>
            <w14:ligatures w14:val="none"/>
          </w:rPr>
          <w:t>https://journals.sagepub.com/doi/full/10.1177/02750740211023597</w:t>
        </w:r>
      </w:hyperlink>
      <w:r w:rsidRPr="009620E1">
        <w:rPr>
          <w:rFonts w:ascii="Arial" w:eastAsia="Arial" w:hAnsi="Arial" w:cs="Arial"/>
          <w:color w:val="000000" w:themeColor="text1"/>
          <w:kern w:val="0"/>
          <w:sz w:val="22"/>
          <w:szCs w:val="22"/>
          <w:highlight w:val="white"/>
          <w:lang w:val="en" w:eastAsia="en-GB"/>
          <w14:ligatures w14:val="none"/>
        </w:rPr>
        <w:t xml:space="preserve"> (Accessed on: 11th December 2024). </w:t>
      </w:r>
    </w:p>
    <w:p w14:paraId="16C7B3F8" w14:textId="77777777" w:rsidR="00516303" w:rsidRDefault="00516303" w:rsidP="009620E1">
      <w:pPr>
        <w:spacing w:line="276" w:lineRule="auto"/>
        <w:rPr>
          <w:rFonts w:ascii="Arial" w:eastAsia="Arial" w:hAnsi="Arial" w:cs="Arial"/>
          <w:color w:val="000000" w:themeColor="text1"/>
          <w:kern w:val="0"/>
          <w:sz w:val="22"/>
          <w:szCs w:val="22"/>
          <w:lang w:val="en" w:eastAsia="en-GB"/>
          <w14:ligatures w14:val="none"/>
        </w:rPr>
      </w:pPr>
    </w:p>
    <w:p w14:paraId="45FFD8AC" w14:textId="2DD1EE55" w:rsidR="00516303" w:rsidRPr="009620E1" w:rsidRDefault="00516303" w:rsidP="009620E1">
      <w:pPr>
        <w:spacing w:line="276" w:lineRule="auto"/>
        <w:rPr>
          <w:rFonts w:ascii="Arial" w:eastAsia="Aptos" w:hAnsi="Arial" w:cs="Arial"/>
          <w:color w:val="000000" w:themeColor="text1"/>
          <w:kern w:val="0"/>
          <w:sz w:val="22"/>
          <w:szCs w:val="22"/>
          <w:lang w:val="en" w:eastAsia="en-GB"/>
          <w14:ligatures w14:val="none"/>
        </w:rPr>
      </w:pPr>
      <w:r>
        <w:rPr>
          <w:rFonts w:ascii="Arial" w:hAnsi="Arial" w:cs="Arial"/>
          <w:color w:val="222222"/>
          <w:sz w:val="20"/>
          <w:szCs w:val="20"/>
          <w:shd w:val="clear" w:color="auto" w:fill="FFFFFF"/>
        </w:rPr>
        <w:t>Garland, D., 2018. </w:t>
      </w:r>
      <w:r>
        <w:rPr>
          <w:rFonts w:ascii="Arial" w:hAnsi="Arial" w:cs="Arial"/>
          <w:i/>
          <w:iCs/>
          <w:color w:val="222222"/>
          <w:sz w:val="20"/>
          <w:szCs w:val="20"/>
          <w:shd w:val="clear" w:color="auto" w:fill="FFFFFF"/>
        </w:rPr>
        <w:t>Punishment and welfare: A history of penal strategies</w:t>
      </w:r>
      <w:r>
        <w:rPr>
          <w:rFonts w:ascii="Arial" w:hAnsi="Arial" w:cs="Arial"/>
          <w:color w:val="222222"/>
          <w:sz w:val="20"/>
          <w:szCs w:val="20"/>
          <w:shd w:val="clear" w:color="auto" w:fill="FFFFFF"/>
        </w:rPr>
        <w:t xml:space="preserve"> (Vol. 29). </w:t>
      </w:r>
      <w:r>
        <w:rPr>
          <w:rFonts w:ascii="Arial" w:hAnsi="Arial" w:cs="Arial"/>
          <w:color w:val="222222"/>
          <w:sz w:val="20"/>
          <w:szCs w:val="20"/>
          <w:shd w:val="clear" w:color="auto" w:fill="FFFFFF"/>
        </w:rPr>
        <w:t xml:space="preserve">New York: </w:t>
      </w:r>
      <w:r>
        <w:rPr>
          <w:rFonts w:ascii="Arial" w:hAnsi="Arial" w:cs="Arial"/>
          <w:color w:val="222222"/>
          <w:sz w:val="20"/>
          <w:szCs w:val="20"/>
          <w:shd w:val="clear" w:color="auto" w:fill="FFFFFF"/>
        </w:rPr>
        <w:t>Quid Pro Books.</w:t>
      </w:r>
    </w:p>
    <w:p w14:paraId="6A9656DA" w14:textId="77777777" w:rsidR="009620E1" w:rsidRPr="009620E1" w:rsidRDefault="009620E1" w:rsidP="009620E1">
      <w:pPr>
        <w:spacing w:line="276" w:lineRule="auto"/>
        <w:rPr>
          <w:rFonts w:ascii="Arial" w:eastAsia="Open Sans" w:hAnsi="Arial" w:cs="Arial"/>
          <w:color w:val="000000" w:themeColor="text1"/>
          <w:kern w:val="0"/>
          <w:sz w:val="22"/>
          <w:szCs w:val="22"/>
          <w:highlight w:val="white"/>
          <w:lang w:val="en" w:eastAsia="en-GB"/>
          <w14:ligatures w14:val="none"/>
        </w:rPr>
      </w:pPr>
    </w:p>
    <w:p w14:paraId="248EE2F5"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Gilbert, N., Ahrweiler, P., Barbrook-Johnson, P., Narasimhan, K.P. and Wilkinson, H. (2018) ‘Computational modelling of public policy: Reflections on practice’, </w:t>
      </w:r>
      <w:r w:rsidRPr="009620E1">
        <w:rPr>
          <w:rFonts w:ascii="Arial" w:eastAsia="Arial" w:hAnsi="Arial" w:cs="Arial"/>
          <w:i/>
          <w:color w:val="000000" w:themeColor="text1"/>
          <w:kern w:val="0"/>
          <w:sz w:val="22"/>
          <w:szCs w:val="22"/>
          <w:highlight w:val="white"/>
          <w:lang w:val="en" w:eastAsia="en-GB"/>
          <w14:ligatures w14:val="none"/>
        </w:rPr>
        <w:t>Journal of Artificial Societies and Social Simulation</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21</w:t>
      </w:r>
      <w:r w:rsidRPr="009620E1">
        <w:rPr>
          <w:rFonts w:ascii="Arial" w:eastAsia="Arial" w:hAnsi="Arial" w:cs="Arial"/>
          <w:color w:val="000000" w:themeColor="text1"/>
          <w:kern w:val="0"/>
          <w:sz w:val="22"/>
          <w:szCs w:val="22"/>
          <w:highlight w:val="white"/>
          <w:lang w:val="en" w:eastAsia="en-GB"/>
          <w14:ligatures w14:val="none"/>
        </w:rPr>
        <w:t xml:space="preserve">(1). Available at: </w:t>
      </w:r>
      <w:hyperlink r:id="rId21" w:history="1">
        <w:r w:rsidRPr="009620E1">
          <w:rPr>
            <w:rFonts w:ascii="Arial" w:eastAsia="Arial" w:hAnsi="Arial" w:cs="Arial"/>
            <w:color w:val="000000" w:themeColor="text1"/>
            <w:kern w:val="0"/>
            <w:sz w:val="22"/>
            <w:szCs w:val="22"/>
            <w:highlight w:val="white"/>
            <w:u w:val="single"/>
            <w:lang w:val="en" w:eastAsia="en-GB"/>
            <w14:ligatures w14:val="none"/>
          </w:rPr>
          <w:t>https://www.jasss.org/21/1/14.html</w:t>
        </w:r>
      </w:hyperlink>
      <w:r w:rsidRPr="009620E1">
        <w:rPr>
          <w:rFonts w:ascii="Arial" w:eastAsia="Arial" w:hAnsi="Arial" w:cs="Arial"/>
          <w:color w:val="000000" w:themeColor="text1"/>
          <w:kern w:val="0"/>
          <w:sz w:val="22"/>
          <w:szCs w:val="22"/>
          <w:highlight w:val="white"/>
          <w:lang w:val="en" w:eastAsia="en-GB"/>
          <w14:ligatures w14:val="none"/>
        </w:rPr>
        <w:t xml:space="preserve"> (Accessed on: 14th December 2024). </w:t>
      </w:r>
    </w:p>
    <w:p w14:paraId="18A58ADA"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21CC895D" w14:textId="77777777" w:rsidR="009620E1" w:rsidRPr="009620E1" w:rsidRDefault="009620E1" w:rsidP="009620E1">
      <w:pPr>
        <w:spacing w:line="276" w:lineRule="auto"/>
        <w:rPr>
          <w:rFonts w:ascii="Arial" w:eastAsia="Arial" w:hAnsi="Arial" w:cs="Arial"/>
          <w:color w:val="000000" w:themeColor="text1"/>
          <w:kern w:val="0"/>
          <w:sz w:val="22"/>
          <w:szCs w:val="22"/>
          <w:highlight w:val="white"/>
          <w:vertAlign w:val="superscript"/>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Gresham, J.D. (2019) ’Self-directed learning: Empowering authentic learner autonomy through self-agency in the secondary school learning environment’, </w:t>
      </w:r>
      <w:r w:rsidRPr="009620E1">
        <w:rPr>
          <w:rFonts w:ascii="Arial" w:eastAsia="Arial" w:hAnsi="Arial" w:cs="Arial"/>
          <w:i/>
          <w:color w:val="000000" w:themeColor="text1"/>
          <w:kern w:val="0"/>
          <w:sz w:val="22"/>
          <w:szCs w:val="22"/>
          <w:highlight w:val="white"/>
          <w:lang w:val="en" w:eastAsia="en-GB"/>
          <w14:ligatures w14:val="none"/>
        </w:rPr>
        <w:t xml:space="preserve">California Institute of Integral Studies. </w:t>
      </w:r>
      <w:r w:rsidRPr="009620E1">
        <w:rPr>
          <w:rFonts w:ascii="Arial" w:eastAsia="Arial" w:hAnsi="Arial" w:cs="Arial"/>
          <w:color w:val="000000" w:themeColor="text1"/>
          <w:kern w:val="0"/>
          <w:sz w:val="22"/>
          <w:szCs w:val="22"/>
          <w:highlight w:val="white"/>
          <w:lang w:val="en" w:eastAsia="en-GB"/>
          <w14:ligatures w14:val="none"/>
        </w:rPr>
        <w:t xml:space="preserve">Available at: </w:t>
      </w:r>
      <w:hyperlink r:id="rId22" w:history="1">
        <w:r w:rsidRPr="009620E1">
          <w:rPr>
            <w:rFonts w:ascii="Arial" w:eastAsia="Arial" w:hAnsi="Arial" w:cs="Arial"/>
            <w:color w:val="000000" w:themeColor="text1"/>
            <w:kern w:val="0"/>
            <w:sz w:val="22"/>
            <w:szCs w:val="22"/>
            <w:highlight w:val="white"/>
            <w:u w:val="single"/>
            <w:lang w:val="en" w:eastAsia="en-GB"/>
            <w14:ligatures w14:val="none"/>
          </w:rPr>
          <w:t>https://www.proquest.com/openview/c80dc82b610cb5d24e3898ad02280eef/1?pq-origsite=gscholar&amp;cbl=18750&amp;diss=y</w:t>
        </w:r>
      </w:hyperlink>
      <w:r w:rsidRPr="009620E1">
        <w:rPr>
          <w:rFonts w:ascii="Arial" w:eastAsia="Arial" w:hAnsi="Arial" w:cs="Arial"/>
          <w:color w:val="000000" w:themeColor="text1"/>
          <w:kern w:val="0"/>
          <w:sz w:val="22"/>
          <w:szCs w:val="22"/>
          <w:highlight w:val="white"/>
          <w:lang w:val="en" w:eastAsia="en-GB"/>
          <w14:ligatures w14:val="none"/>
        </w:rPr>
        <w:t xml:space="preserve"> (Accessed on: 8th December 2024). </w:t>
      </w:r>
    </w:p>
    <w:p w14:paraId="3EBE8928"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2EA08B3D"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Griffen, B. (2020</w:t>
      </w:r>
      <w:r w:rsidRPr="009620E1">
        <w:rPr>
          <w:rFonts w:ascii="Arial" w:eastAsia="Times New Roman" w:hAnsi="Arial" w:cs="Arial"/>
          <w:color w:val="000000" w:themeColor="text1"/>
          <w:kern w:val="0"/>
          <w:sz w:val="22"/>
          <w:szCs w:val="22"/>
          <w:lang w:val="en" w:eastAsia="en-GB"/>
          <w14:ligatures w14:val="none"/>
        </w:rPr>
        <w:t>) ‘</w:t>
      </w:r>
      <w:r w:rsidRPr="009620E1">
        <w:rPr>
          <w:rFonts w:ascii="Arial" w:eastAsia="Arial" w:hAnsi="Arial" w:cs="Arial"/>
          <w:color w:val="000000" w:themeColor="text1"/>
          <w:kern w:val="0"/>
          <w:sz w:val="22"/>
          <w:szCs w:val="22"/>
          <w:highlight w:val="white"/>
          <w:lang w:val="en" w:eastAsia="en-GB"/>
          <w14:ligatures w14:val="none"/>
        </w:rPr>
        <w:t xml:space="preserve">Paternal Rights, Child Welfare and the Law in Nineteenth-Century Britain and Ireland’, </w:t>
      </w:r>
      <w:r w:rsidRPr="009620E1">
        <w:rPr>
          <w:rFonts w:ascii="Arial" w:eastAsia="Arial" w:hAnsi="Arial" w:cs="Arial"/>
          <w:i/>
          <w:color w:val="000000" w:themeColor="text1"/>
          <w:kern w:val="0"/>
          <w:sz w:val="22"/>
          <w:szCs w:val="22"/>
          <w:highlight w:val="white"/>
          <w:lang w:val="en" w:eastAsia="en-GB"/>
          <w14:ligatures w14:val="none"/>
        </w:rPr>
        <w:t>Past and Present</w:t>
      </w:r>
      <w:r w:rsidRPr="009620E1">
        <w:rPr>
          <w:rFonts w:ascii="Arial" w:eastAsia="Arial" w:hAnsi="Arial" w:cs="Arial"/>
          <w:color w:val="000000" w:themeColor="text1"/>
          <w:kern w:val="0"/>
          <w:sz w:val="22"/>
          <w:szCs w:val="22"/>
          <w:highlight w:val="white"/>
          <w:lang w:val="en" w:eastAsia="en-GB"/>
          <w14:ligatures w14:val="none"/>
        </w:rPr>
        <w:t>, 24(1), pp. 109-147. Available at</w:t>
      </w:r>
      <w:r w:rsidRPr="009620E1">
        <w:rPr>
          <w:rFonts w:ascii="Arial" w:eastAsia="Times New Roman" w:hAnsi="Arial" w:cs="Arial"/>
          <w:color w:val="000000" w:themeColor="text1"/>
          <w:kern w:val="0"/>
          <w:sz w:val="22"/>
          <w:szCs w:val="22"/>
          <w:highlight w:val="white"/>
          <w:lang w:val="en" w:eastAsia="en-GB"/>
          <w14:ligatures w14:val="none"/>
        </w:rPr>
        <w:t>:</w:t>
      </w:r>
      <w:r w:rsidRPr="009620E1">
        <w:rPr>
          <w:rFonts w:ascii="Arial" w:eastAsia="Source Sans Pro" w:hAnsi="Arial" w:cs="Arial"/>
          <w:color w:val="000000" w:themeColor="text1"/>
          <w:kern w:val="0"/>
          <w:sz w:val="22"/>
          <w:szCs w:val="22"/>
          <w:highlight w:val="white"/>
          <w:lang w:val="en" w:eastAsia="en-GB"/>
          <w14:ligatures w14:val="none"/>
        </w:rPr>
        <w:t> </w:t>
      </w:r>
      <w:hyperlink r:id="rId23" w:history="1">
        <w:r w:rsidRPr="009620E1">
          <w:rPr>
            <w:rFonts w:ascii="Arial" w:eastAsia="Source Sans Pro" w:hAnsi="Arial" w:cs="Arial"/>
            <w:color w:val="000000" w:themeColor="text1"/>
            <w:kern w:val="0"/>
            <w:sz w:val="22"/>
            <w:szCs w:val="22"/>
            <w:highlight w:val="white"/>
            <w:u w:val="single"/>
            <w:lang w:val="en" w:eastAsia="en-GB"/>
            <w14:ligatures w14:val="none"/>
          </w:rPr>
          <w:t>https://doi.org/10.1093/pastj/gtz026</w:t>
        </w:r>
      </w:hyperlink>
      <w:r w:rsidRPr="009620E1">
        <w:rPr>
          <w:rFonts w:ascii="Arial" w:eastAsia="Aptos" w:hAnsi="Arial" w:cs="Arial"/>
          <w:color w:val="000000" w:themeColor="text1"/>
          <w:kern w:val="0"/>
          <w:sz w:val="22"/>
          <w:szCs w:val="22"/>
          <w:lang w:val="en" w:eastAsia="en-GB"/>
          <w14:ligatures w14:val="none"/>
        </w:rPr>
        <w:t xml:space="preserve"> (Accessed on: 1st December 2024). </w:t>
      </w:r>
    </w:p>
    <w:p w14:paraId="600A767B"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0C7025ED"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456BB563"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501A6AF5"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Hall, D., Grimaldi, E., Gunter, H.M., Møller, J., Serpieri, R. and Skedsmo, G. (2015) ‘Educational reform and modernisation in Europe: The role of national contexts in mediating the new public management’, </w:t>
      </w:r>
      <w:r w:rsidRPr="009620E1">
        <w:rPr>
          <w:rFonts w:ascii="Arial" w:eastAsia="Arial" w:hAnsi="Arial" w:cs="Arial"/>
          <w:i/>
          <w:color w:val="000000" w:themeColor="text1"/>
          <w:kern w:val="0"/>
          <w:sz w:val="22"/>
          <w:szCs w:val="22"/>
          <w:highlight w:val="white"/>
          <w:lang w:val="en" w:eastAsia="en-GB"/>
          <w14:ligatures w14:val="none"/>
        </w:rPr>
        <w:t>European Educational Research Journal</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14</w:t>
      </w:r>
      <w:r w:rsidRPr="009620E1">
        <w:rPr>
          <w:rFonts w:ascii="Arial" w:eastAsia="Arial" w:hAnsi="Arial" w:cs="Arial"/>
          <w:color w:val="000000" w:themeColor="text1"/>
          <w:kern w:val="0"/>
          <w:sz w:val="22"/>
          <w:szCs w:val="22"/>
          <w:highlight w:val="white"/>
          <w:lang w:val="en" w:eastAsia="en-GB"/>
          <w14:ligatures w14:val="none"/>
        </w:rPr>
        <w:t xml:space="preserve">(6), pp.487-507. Available at: </w:t>
      </w:r>
      <w:hyperlink r:id="rId24" w:history="1">
        <w:r w:rsidRPr="009620E1">
          <w:rPr>
            <w:rFonts w:ascii="Arial" w:eastAsia="Arial" w:hAnsi="Arial" w:cs="Arial"/>
            <w:color w:val="000000" w:themeColor="text1"/>
            <w:kern w:val="0"/>
            <w:sz w:val="22"/>
            <w:szCs w:val="22"/>
            <w:highlight w:val="white"/>
            <w:u w:val="single"/>
            <w:lang w:val="en" w:eastAsia="en-GB"/>
            <w14:ligatures w14:val="none"/>
          </w:rPr>
          <w:t>https://www.proquest.com/openview/c80dc82b610cb5d24e3898ad02280eef/1?pq-origsite=gscholar&amp;cbl=18750&amp;diss=y</w:t>
        </w:r>
      </w:hyperlink>
      <w:r w:rsidRPr="009620E1">
        <w:rPr>
          <w:rFonts w:ascii="Arial" w:eastAsia="Arial" w:hAnsi="Arial" w:cs="Arial"/>
          <w:color w:val="000000" w:themeColor="text1"/>
          <w:kern w:val="0"/>
          <w:sz w:val="22"/>
          <w:szCs w:val="22"/>
          <w:highlight w:val="white"/>
          <w:lang w:val="en" w:eastAsia="en-GB"/>
          <w14:ligatures w14:val="none"/>
        </w:rPr>
        <w:t xml:space="preserve"> (Accessed on: 3rd January 2025). </w:t>
      </w:r>
    </w:p>
    <w:p w14:paraId="20862A99"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561CF125"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Halperin, A. (2018)  ‘Cinderella of the Education System’: Margaret Thatcher’s Plan for Nursery Expansion in 1970s Britain’, </w:t>
      </w:r>
      <w:r w:rsidRPr="009620E1">
        <w:rPr>
          <w:rFonts w:ascii="Arial" w:eastAsia="Arial" w:hAnsi="Arial" w:cs="Arial"/>
          <w:i/>
          <w:color w:val="000000" w:themeColor="text1"/>
          <w:kern w:val="0"/>
          <w:sz w:val="22"/>
          <w:szCs w:val="22"/>
          <w:highlight w:val="white"/>
          <w:lang w:val="en" w:eastAsia="en-GB"/>
          <w14:ligatures w14:val="none"/>
        </w:rPr>
        <w:t>Twentieth Century British History</w:t>
      </w:r>
      <w:r w:rsidRPr="009620E1">
        <w:rPr>
          <w:rFonts w:ascii="Arial" w:eastAsia="Arial" w:hAnsi="Arial" w:cs="Arial"/>
          <w:color w:val="000000" w:themeColor="text1"/>
          <w:kern w:val="0"/>
          <w:sz w:val="22"/>
          <w:szCs w:val="22"/>
          <w:highlight w:val="white"/>
          <w:lang w:val="en" w:eastAsia="en-GB"/>
          <w14:ligatures w14:val="none"/>
        </w:rPr>
        <w:t>, 29(2), pp. 284-308. Available at:  </w:t>
      </w:r>
      <w:hyperlink r:id="rId25" w:history="1">
        <w:r w:rsidRPr="009620E1">
          <w:rPr>
            <w:rFonts w:ascii="Arial" w:eastAsia="Arial" w:hAnsi="Arial" w:cs="Arial"/>
            <w:color w:val="000000" w:themeColor="text1"/>
            <w:kern w:val="0"/>
            <w:sz w:val="22"/>
            <w:szCs w:val="22"/>
            <w:highlight w:val="white"/>
            <w:u w:val="single"/>
            <w:lang w:val="en" w:eastAsia="en-GB"/>
            <w14:ligatures w14:val="none"/>
          </w:rPr>
          <w:t>https://doi.org/10.1093/tcbh/hwx034</w:t>
        </w:r>
      </w:hyperlink>
      <w:r w:rsidRPr="009620E1">
        <w:rPr>
          <w:rFonts w:ascii="Arial" w:eastAsia="Arial" w:hAnsi="Arial" w:cs="Arial"/>
          <w:color w:val="000000" w:themeColor="text1"/>
          <w:kern w:val="0"/>
          <w:sz w:val="22"/>
          <w:szCs w:val="22"/>
          <w:lang w:val="en" w:eastAsia="en-GB"/>
          <w14:ligatures w14:val="none"/>
        </w:rPr>
        <w:t xml:space="preserve"> (Accessed on 23rd December 2024).</w:t>
      </w:r>
    </w:p>
    <w:p w14:paraId="2F5BEFCF"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750BAA18"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Hassan, M.S., Al Halbusi, H., Ahmad, A.B., Abdelfattah, F., Thamir, Z. and Raja Ariffin, R.N. (2023) ‘Discretion and its effects: analyzing the role of street-level bureaucrats’ enforcement styles’, </w:t>
      </w:r>
      <w:r w:rsidRPr="009620E1">
        <w:rPr>
          <w:rFonts w:ascii="Arial" w:eastAsia="Arial" w:hAnsi="Arial" w:cs="Arial"/>
          <w:i/>
          <w:color w:val="000000" w:themeColor="text1"/>
          <w:kern w:val="0"/>
          <w:sz w:val="22"/>
          <w:szCs w:val="22"/>
          <w:highlight w:val="white"/>
          <w:lang w:val="en" w:eastAsia="en-GB"/>
          <w14:ligatures w14:val="none"/>
        </w:rPr>
        <w:t>International Review of Public Administration</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28</w:t>
      </w:r>
      <w:r w:rsidRPr="009620E1">
        <w:rPr>
          <w:rFonts w:ascii="Arial" w:eastAsia="Arial" w:hAnsi="Arial" w:cs="Arial"/>
          <w:color w:val="000000" w:themeColor="text1"/>
          <w:kern w:val="0"/>
          <w:sz w:val="22"/>
          <w:szCs w:val="22"/>
          <w:highlight w:val="white"/>
          <w:lang w:val="en" w:eastAsia="en-GB"/>
          <w14:ligatures w14:val="none"/>
        </w:rPr>
        <w:t xml:space="preserve">(4), pp.480-502. Available at: </w:t>
      </w:r>
      <w:hyperlink r:id="rId26" w:history="1">
        <w:r w:rsidRPr="009620E1">
          <w:rPr>
            <w:rFonts w:ascii="Arial" w:eastAsia="Arial" w:hAnsi="Arial" w:cs="Arial"/>
            <w:color w:val="000000" w:themeColor="text1"/>
            <w:kern w:val="0"/>
            <w:sz w:val="22"/>
            <w:szCs w:val="22"/>
            <w:highlight w:val="white"/>
            <w:u w:val="single"/>
            <w:lang w:val="en" w:eastAsia="en-GB"/>
            <w14:ligatures w14:val="none"/>
          </w:rPr>
          <w:t>https://www.tandfonline.com/doi/full/10.1080/12294659.2023.2286671</w:t>
        </w:r>
      </w:hyperlink>
      <w:r w:rsidRPr="009620E1">
        <w:rPr>
          <w:rFonts w:ascii="Arial" w:eastAsia="Arial" w:hAnsi="Arial" w:cs="Arial"/>
          <w:color w:val="000000" w:themeColor="text1"/>
          <w:kern w:val="0"/>
          <w:sz w:val="22"/>
          <w:szCs w:val="22"/>
          <w:highlight w:val="white"/>
          <w:lang w:val="en" w:eastAsia="en-GB"/>
          <w14:ligatures w14:val="none"/>
        </w:rPr>
        <w:t xml:space="preserve"> (Accessed on: 13th December 2024). </w:t>
      </w:r>
    </w:p>
    <w:p w14:paraId="5B894903"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3CC2E051"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lang w:val="en" w:eastAsia="en-GB"/>
          <w14:ligatures w14:val="none"/>
        </w:rPr>
        <w:t xml:space="preserve">Hendrick, H. (2001) </w:t>
      </w:r>
      <w:r w:rsidRPr="009620E1">
        <w:rPr>
          <w:rFonts w:ascii="Arial" w:eastAsia="Arial" w:hAnsi="Arial" w:cs="Arial"/>
          <w:i/>
          <w:color w:val="000000" w:themeColor="text1"/>
          <w:kern w:val="0"/>
          <w:sz w:val="22"/>
          <w:szCs w:val="22"/>
          <w:lang w:val="en" w:eastAsia="en-GB"/>
          <w14:ligatures w14:val="none"/>
        </w:rPr>
        <w:t xml:space="preserve">Children, Childhood and English Society, 1880-1990. </w:t>
      </w:r>
      <w:r w:rsidRPr="009620E1">
        <w:rPr>
          <w:rFonts w:ascii="Arial" w:eastAsia="Arial" w:hAnsi="Arial" w:cs="Arial"/>
          <w:color w:val="000000" w:themeColor="text1"/>
          <w:kern w:val="0"/>
          <w:sz w:val="22"/>
          <w:szCs w:val="22"/>
          <w:lang w:val="en" w:eastAsia="en-GB"/>
          <w14:ligatures w14:val="none"/>
        </w:rPr>
        <w:t>Edinburgh: Cambridge University Press.</w:t>
      </w:r>
    </w:p>
    <w:p w14:paraId="1B24504E"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5B2981BF"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Hill, M. and Hupe, P. (2021) </w:t>
      </w:r>
      <w:r w:rsidRPr="009620E1">
        <w:rPr>
          <w:rFonts w:ascii="Arial" w:eastAsia="Arial" w:hAnsi="Arial" w:cs="Arial"/>
          <w:i/>
          <w:color w:val="000000" w:themeColor="text1"/>
          <w:kern w:val="0"/>
          <w:sz w:val="22"/>
          <w:szCs w:val="22"/>
          <w:highlight w:val="white"/>
          <w:lang w:val="en" w:eastAsia="en-GB"/>
          <w14:ligatures w14:val="none"/>
        </w:rPr>
        <w:t>Implementing public policy: An introduction to the study of operational governance</w:t>
      </w:r>
      <w:r w:rsidRPr="009620E1">
        <w:rPr>
          <w:rFonts w:ascii="Arial" w:eastAsia="Arial" w:hAnsi="Arial" w:cs="Arial"/>
          <w:color w:val="000000" w:themeColor="text1"/>
          <w:kern w:val="0"/>
          <w:sz w:val="22"/>
          <w:szCs w:val="22"/>
          <w:highlight w:val="white"/>
          <w:lang w:val="en" w:eastAsia="en-GB"/>
          <w14:ligatures w14:val="none"/>
        </w:rPr>
        <w:t xml:space="preserve">. Sage: London. </w:t>
      </w:r>
    </w:p>
    <w:p w14:paraId="62636C2E"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1B39FADA"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Howett, M. (2109, p. 28)</w:t>
      </w:r>
      <w:r w:rsidRPr="009620E1">
        <w:rPr>
          <w:rFonts w:ascii="Arial" w:eastAsia="Aptos" w:hAnsi="Arial" w:cs="Arial"/>
          <w:i/>
          <w:color w:val="000000" w:themeColor="text1"/>
          <w:kern w:val="0"/>
          <w:sz w:val="22"/>
          <w:szCs w:val="22"/>
          <w:lang w:val="en" w:eastAsia="en-GB"/>
          <w14:ligatures w14:val="none"/>
        </w:rPr>
        <w:t xml:space="preserve"> Designing Public Policies; Principles and Instruments. </w:t>
      </w:r>
      <w:r w:rsidRPr="009620E1">
        <w:rPr>
          <w:rFonts w:ascii="Arial" w:eastAsia="Aptos" w:hAnsi="Arial" w:cs="Arial"/>
          <w:color w:val="000000" w:themeColor="text1"/>
          <w:kern w:val="0"/>
          <w:sz w:val="22"/>
          <w:szCs w:val="22"/>
          <w:lang w:val="en" w:eastAsia="en-GB"/>
          <w14:ligatures w14:val="none"/>
        </w:rPr>
        <w:t xml:space="preserve">London: Routledge. </w:t>
      </w:r>
    </w:p>
    <w:p w14:paraId="1A594461"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 </w:t>
      </w:r>
    </w:p>
    <w:p w14:paraId="6DA10624" w14:textId="77777777" w:rsidR="009620E1" w:rsidRPr="009620E1" w:rsidRDefault="009620E1" w:rsidP="009620E1">
      <w:pPr>
        <w:spacing w:line="276" w:lineRule="auto"/>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lang w:val="en" w:eastAsia="en-GB"/>
          <w14:ligatures w14:val="none"/>
        </w:rPr>
        <w:t>Hudson, B., Hunter, D., and Peckham, S. (2019) ‘Policy failure and the policy-implementation gap: can policy support programs help?’, </w:t>
      </w:r>
      <w:r w:rsidRPr="009620E1">
        <w:rPr>
          <w:rFonts w:ascii="Arial" w:eastAsia="Arial" w:hAnsi="Arial" w:cs="Arial"/>
          <w:i/>
          <w:color w:val="000000" w:themeColor="text1"/>
          <w:kern w:val="0"/>
          <w:sz w:val="22"/>
          <w:szCs w:val="22"/>
          <w:lang w:val="en" w:eastAsia="en-GB"/>
          <w14:ligatures w14:val="none"/>
        </w:rPr>
        <w:t>Policy Design and Practice</w:t>
      </w:r>
      <w:r w:rsidRPr="009620E1">
        <w:rPr>
          <w:rFonts w:ascii="Arial" w:eastAsia="Arial" w:hAnsi="Arial" w:cs="Arial"/>
          <w:color w:val="000000" w:themeColor="text1"/>
          <w:kern w:val="0"/>
          <w:sz w:val="22"/>
          <w:szCs w:val="22"/>
          <w:lang w:val="en" w:eastAsia="en-GB"/>
          <w14:ligatures w14:val="none"/>
        </w:rPr>
        <w:t>, </w:t>
      </w:r>
      <w:r w:rsidRPr="009620E1">
        <w:rPr>
          <w:rFonts w:ascii="Arial" w:eastAsia="Arial" w:hAnsi="Arial" w:cs="Arial"/>
          <w:i/>
          <w:color w:val="000000" w:themeColor="text1"/>
          <w:kern w:val="0"/>
          <w:sz w:val="22"/>
          <w:szCs w:val="22"/>
          <w:lang w:val="en" w:eastAsia="en-GB"/>
          <w14:ligatures w14:val="none"/>
        </w:rPr>
        <w:t>2</w:t>
      </w:r>
      <w:r w:rsidRPr="009620E1">
        <w:rPr>
          <w:rFonts w:ascii="Arial" w:eastAsia="Arial" w:hAnsi="Arial" w:cs="Arial"/>
          <w:color w:val="000000" w:themeColor="text1"/>
          <w:kern w:val="0"/>
          <w:sz w:val="22"/>
          <w:szCs w:val="22"/>
          <w:lang w:val="en" w:eastAsia="en-GB"/>
          <w14:ligatures w14:val="none"/>
        </w:rPr>
        <w:t xml:space="preserve">(1), pp. 1–14. Available at: </w:t>
      </w:r>
      <w:hyperlink r:id="rId27" w:history="1">
        <w:r w:rsidRPr="009620E1">
          <w:rPr>
            <w:rFonts w:ascii="Arial" w:eastAsia="Arial" w:hAnsi="Arial" w:cs="Arial"/>
            <w:color w:val="000000" w:themeColor="text1"/>
            <w:kern w:val="0"/>
            <w:sz w:val="22"/>
            <w:szCs w:val="22"/>
            <w:u w:val="single"/>
            <w:lang w:val="en" w:eastAsia="en-GB"/>
            <w14:ligatures w14:val="none"/>
          </w:rPr>
          <w:t>https://doi.org/10.1080/25741292.2018.1540378</w:t>
        </w:r>
      </w:hyperlink>
      <w:r w:rsidRPr="009620E1">
        <w:rPr>
          <w:rFonts w:ascii="Arial" w:eastAsia="Arial" w:hAnsi="Arial" w:cs="Arial"/>
          <w:color w:val="000000" w:themeColor="text1"/>
          <w:kern w:val="0"/>
          <w:sz w:val="22"/>
          <w:szCs w:val="22"/>
          <w:lang w:val="en" w:eastAsia="en-GB"/>
          <w14:ligatures w14:val="none"/>
        </w:rPr>
        <w:t xml:space="preserve">  (Accessed on: 11th December 2024). </w:t>
      </w:r>
    </w:p>
    <w:p w14:paraId="5575892A" w14:textId="77777777" w:rsidR="009620E1" w:rsidRPr="009620E1" w:rsidRDefault="009620E1" w:rsidP="009620E1">
      <w:pPr>
        <w:spacing w:line="276" w:lineRule="auto"/>
        <w:rPr>
          <w:rFonts w:ascii="Arial" w:eastAsia="Arial" w:hAnsi="Arial" w:cs="Arial"/>
          <w:color w:val="000000" w:themeColor="text1"/>
          <w:kern w:val="0"/>
          <w:sz w:val="22"/>
          <w:szCs w:val="22"/>
          <w:shd w:val="clear" w:color="auto" w:fill="EAEAEA"/>
          <w:lang w:val="en" w:eastAsia="en-GB"/>
          <w14:ligatures w14:val="none"/>
        </w:rPr>
      </w:pPr>
    </w:p>
    <w:p w14:paraId="191BF44A" w14:textId="77777777" w:rsidR="009620E1" w:rsidRPr="009620E1" w:rsidRDefault="009620E1" w:rsidP="009620E1">
      <w:pPr>
        <w:spacing w:line="276" w:lineRule="auto"/>
        <w:rPr>
          <w:rFonts w:ascii="Arial" w:eastAsia="Arial" w:hAnsi="Arial" w:cs="Arial"/>
          <w:color w:val="000000" w:themeColor="text1"/>
          <w:kern w:val="0"/>
          <w:sz w:val="22"/>
          <w:szCs w:val="22"/>
          <w:shd w:val="clear" w:color="auto" w:fill="EAEAEA"/>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Imperial, M.T. (2021) ‘Implementation structures: The use of top-down and bottom-up approaches to policy implementation’, </w:t>
      </w:r>
      <w:r w:rsidRPr="009620E1">
        <w:rPr>
          <w:rFonts w:ascii="Arial" w:eastAsia="Arial" w:hAnsi="Arial" w:cs="Arial"/>
          <w:i/>
          <w:color w:val="000000" w:themeColor="text1"/>
          <w:kern w:val="0"/>
          <w:sz w:val="22"/>
          <w:szCs w:val="22"/>
          <w:highlight w:val="white"/>
          <w:lang w:val="en" w:eastAsia="en-GB"/>
          <w14:ligatures w14:val="none"/>
        </w:rPr>
        <w:t>In</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Oxford research encyclopedia of politics</w:t>
      </w:r>
      <w:r w:rsidRPr="009620E1">
        <w:rPr>
          <w:rFonts w:ascii="Arial" w:eastAsia="Arial" w:hAnsi="Arial" w:cs="Arial"/>
          <w:color w:val="000000" w:themeColor="text1"/>
          <w:kern w:val="0"/>
          <w:sz w:val="22"/>
          <w:szCs w:val="22"/>
          <w:highlight w:val="white"/>
          <w:lang w:val="en" w:eastAsia="en-GB"/>
          <w14:ligatures w14:val="none"/>
        </w:rPr>
        <w:t xml:space="preserve">. Available at: </w:t>
      </w:r>
      <w:hyperlink r:id="rId28" w:history="1">
        <w:r w:rsidRPr="009620E1">
          <w:rPr>
            <w:rFonts w:ascii="Arial" w:eastAsia="Arial" w:hAnsi="Arial" w:cs="Arial"/>
            <w:color w:val="000000" w:themeColor="text1"/>
            <w:kern w:val="0"/>
            <w:sz w:val="22"/>
            <w:szCs w:val="22"/>
            <w:highlight w:val="white"/>
            <w:u w:val="single"/>
            <w:lang w:val="en" w:eastAsia="en-GB"/>
            <w14:ligatures w14:val="none"/>
          </w:rPr>
          <w:t>https://oxfordre.com/politics/display/10.1093/acrefore/9780190228637.001.0001/acrefore-9780190228637-e-1750</w:t>
        </w:r>
      </w:hyperlink>
      <w:r w:rsidRPr="009620E1">
        <w:rPr>
          <w:rFonts w:ascii="Arial" w:eastAsia="Arial" w:hAnsi="Arial" w:cs="Arial"/>
          <w:color w:val="000000" w:themeColor="text1"/>
          <w:kern w:val="0"/>
          <w:sz w:val="22"/>
          <w:szCs w:val="22"/>
          <w:highlight w:val="white"/>
          <w:lang w:val="en" w:eastAsia="en-GB"/>
          <w14:ligatures w14:val="none"/>
        </w:rPr>
        <w:t xml:space="preserve"> (Accessed on: 19th December 2024). </w:t>
      </w:r>
    </w:p>
    <w:p w14:paraId="6077812A" w14:textId="77777777" w:rsidR="009620E1" w:rsidRPr="009620E1" w:rsidRDefault="009620E1" w:rsidP="009620E1">
      <w:pPr>
        <w:spacing w:line="276" w:lineRule="auto"/>
        <w:rPr>
          <w:rFonts w:ascii="Arial" w:eastAsia="Open Sans" w:hAnsi="Arial" w:cs="Arial"/>
          <w:color w:val="000000" w:themeColor="text1"/>
          <w:kern w:val="0"/>
          <w:sz w:val="22"/>
          <w:szCs w:val="22"/>
          <w:shd w:val="clear" w:color="auto" w:fill="EAEAEA"/>
          <w:lang w:val="en" w:eastAsia="en-GB"/>
          <w14:ligatures w14:val="none"/>
        </w:rPr>
      </w:pPr>
    </w:p>
    <w:p w14:paraId="63A310A2" w14:textId="77777777" w:rsidR="009620E1" w:rsidRPr="009620E1" w:rsidRDefault="009620E1" w:rsidP="009620E1">
      <w:pPr>
        <w:spacing w:line="276" w:lineRule="auto"/>
        <w:rPr>
          <w:rFonts w:ascii="Arial" w:eastAsia="Open Sans" w:hAnsi="Arial" w:cs="Arial"/>
          <w:color w:val="000000" w:themeColor="text1"/>
          <w:kern w:val="0"/>
          <w:sz w:val="22"/>
          <w:szCs w:val="22"/>
          <w:shd w:val="clear" w:color="auto" w:fill="EAEAEA"/>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Inglehart, R. (2020). </w:t>
      </w:r>
      <w:r w:rsidRPr="009620E1">
        <w:rPr>
          <w:rFonts w:ascii="Arial" w:eastAsia="Arial" w:hAnsi="Arial" w:cs="Arial"/>
          <w:i/>
          <w:color w:val="000000" w:themeColor="text1"/>
          <w:kern w:val="0"/>
          <w:sz w:val="22"/>
          <w:szCs w:val="22"/>
          <w:highlight w:val="white"/>
          <w:lang w:val="en" w:eastAsia="en-GB"/>
          <w14:ligatures w14:val="none"/>
        </w:rPr>
        <w:t>Modernization and postmodernization: Cultural, economic, and political change in 43 societies</w:t>
      </w:r>
      <w:r w:rsidRPr="009620E1">
        <w:rPr>
          <w:rFonts w:ascii="Arial" w:eastAsia="Arial" w:hAnsi="Arial" w:cs="Arial"/>
          <w:color w:val="000000" w:themeColor="text1"/>
          <w:kern w:val="0"/>
          <w:sz w:val="22"/>
          <w:szCs w:val="22"/>
          <w:highlight w:val="white"/>
          <w:lang w:val="en" w:eastAsia="en-GB"/>
          <w14:ligatures w14:val="none"/>
        </w:rPr>
        <w:t xml:space="preserve">. Princeton university press: London. </w:t>
      </w:r>
    </w:p>
    <w:p w14:paraId="01C1F1AB"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0860E64C"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Jones, J. (2022) ‘</w:t>
      </w:r>
      <w:r w:rsidRPr="009620E1">
        <w:rPr>
          <w:rFonts w:ascii="Arial" w:eastAsia="Aptos" w:hAnsi="Arial" w:cs="Arial"/>
          <w:color w:val="000000" w:themeColor="text1"/>
          <w:kern w:val="0"/>
          <w:sz w:val="22"/>
          <w:szCs w:val="22"/>
          <w:lang w:val="en" w:eastAsia="en-GB"/>
          <w14:ligatures w14:val="none"/>
        </w:rPr>
        <w:t xml:space="preserve">Changes in society's perception of corporal punishment: The turn of the 20th century’’, </w:t>
      </w:r>
      <w:r w:rsidRPr="009620E1">
        <w:rPr>
          <w:rFonts w:ascii="Arial" w:eastAsia="Aptos" w:hAnsi="Arial" w:cs="Arial"/>
          <w:i/>
          <w:color w:val="000000" w:themeColor="text1"/>
          <w:kern w:val="0"/>
          <w:sz w:val="22"/>
          <w:szCs w:val="22"/>
          <w:lang w:val="en" w:eastAsia="en-GB"/>
          <w14:ligatures w14:val="none"/>
        </w:rPr>
        <w:t>Newpaltz.edu.</w:t>
      </w:r>
      <w:r w:rsidRPr="009620E1">
        <w:rPr>
          <w:rFonts w:ascii="Arial" w:eastAsia="Aptos" w:hAnsi="Arial" w:cs="Arial"/>
          <w:color w:val="000000" w:themeColor="text1"/>
          <w:kern w:val="0"/>
          <w:sz w:val="22"/>
          <w:szCs w:val="22"/>
          <w:lang w:val="en" w:eastAsia="en-GB"/>
          <w14:ligatures w14:val="none"/>
        </w:rPr>
        <w:t xml:space="preserve"> Available at: </w:t>
      </w:r>
      <w:hyperlink r:id="rId29" w:history="1">
        <w:r w:rsidRPr="009620E1">
          <w:rPr>
            <w:rFonts w:ascii="Arial" w:eastAsia="Aptos" w:hAnsi="Arial" w:cs="Arial"/>
            <w:color w:val="000000" w:themeColor="text1"/>
            <w:kern w:val="0"/>
            <w:sz w:val="22"/>
            <w:szCs w:val="22"/>
            <w:u w:val="single"/>
            <w:lang w:val="en" w:eastAsia="en-GB"/>
            <w14:ligatures w14:val="none"/>
          </w:rPr>
          <w:t>HIS492 - Jessica Jones</w:t>
        </w:r>
      </w:hyperlink>
      <w:r w:rsidRPr="009620E1">
        <w:rPr>
          <w:rFonts w:ascii="Arial" w:eastAsia="Aptos" w:hAnsi="Arial" w:cs="Arial"/>
          <w:color w:val="000000" w:themeColor="text1"/>
          <w:kern w:val="0"/>
          <w:sz w:val="22"/>
          <w:szCs w:val="22"/>
          <w:lang w:val="en" w:eastAsia="en-GB"/>
          <w14:ligatures w14:val="none"/>
        </w:rPr>
        <w:t xml:space="preserve"> (Accessed on 23</w:t>
      </w:r>
      <w:r w:rsidRPr="009620E1">
        <w:rPr>
          <w:rFonts w:ascii="Arial" w:eastAsia="Aptos" w:hAnsi="Arial" w:cs="Arial"/>
          <w:color w:val="000000" w:themeColor="text1"/>
          <w:kern w:val="0"/>
          <w:sz w:val="22"/>
          <w:szCs w:val="22"/>
          <w:vertAlign w:val="superscript"/>
          <w:lang w:val="en" w:eastAsia="en-GB"/>
          <w14:ligatures w14:val="none"/>
        </w:rPr>
        <w:t>rd</w:t>
      </w:r>
      <w:r w:rsidRPr="009620E1">
        <w:rPr>
          <w:rFonts w:ascii="Arial" w:eastAsia="Aptos" w:hAnsi="Arial" w:cs="Arial"/>
          <w:color w:val="000000" w:themeColor="text1"/>
          <w:kern w:val="0"/>
          <w:sz w:val="22"/>
          <w:szCs w:val="22"/>
          <w:lang w:val="en" w:eastAsia="en-GB"/>
          <w14:ligatures w14:val="none"/>
        </w:rPr>
        <w:t xml:space="preserve"> December 2024).</w:t>
      </w:r>
    </w:p>
    <w:p w14:paraId="086F956E" w14:textId="77777777" w:rsid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213D14EF" w14:textId="20496524" w:rsidR="00365C14" w:rsidRPr="009620E1" w:rsidRDefault="00365C14" w:rsidP="009620E1">
      <w:pPr>
        <w:spacing w:line="276" w:lineRule="auto"/>
        <w:rPr>
          <w:rFonts w:ascii="Arial" w:eastAsia="Aptos" w:hAnsi="Arial" w:cs="Arial"/>
          <w:color w:val="000000" w:themeColor="text1"/>
          <w:kern w:val="0"/>
          <w:sz w:val="22"/>
          <w:szCs w:val="22"/>
          <w:lang w:val="en" w:eastAsia="en-GB"/>
          <w14:ligatures w14:val="none"/>
        </w:rPr>
      </w:pPr>
      <w:r>
        <w:rPr>
          <w:rFonts w:ascii="Arial" w:hAnsi="Arial" w:cs="Arial"/>
          <w:color w:val="222222"/>
          <w:sz w:val="20"/>
          <w:szCs w:val="20"/>
          <w:shd w:val="clear" w:color="auto" w:fill="FFFFFF"/>
        </w:rPr>
        <w:t>Jones, K., Brown, J. and Bradshaw, J</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2023</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Issues in social policy</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London: </w:t>
      </w:r>
      <w:r>
        <w:rPr>
          <w:rFonts w:ascii="Arial" w:hAnsi="Arial" w:cs="Arial"/>
          <w:color w:val="222222"/>
          <w:sz w:val="20"/>
          <w:szCs w:val="20"/>
          <w:shd w:val="clear" w:color="auto" w:fill="FFFFFF"/>
        </w:rPr>
        <w:t>Taylor &amp; Francis.</w:t>
      </w:r>
    </w:p>
    <w:p w14:paraId="3BC460B0"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Justman, M., and Gradstein, M. (1999)  ‘The Industrial Revolution, Political Transition, and the Subsequent Decline in Inequality in 19th-Century Britain’, </w:t>
      </w:r>
      <w:r w:rsidRPr="009620E1">
        <w:rPr>
          <w:rFonts w:ascii="Arial" w:eastAsia="Aptos" w:hAnsi="Arial" w:cs="Arial"/>
          <w:i/>
          <w:color w:val="000000" w:themeColor="text1"/>
          <w:kern w:val="0"/>
          <w:sz w:val="22"/>
          <w:szCs w:val="22"/>
          <w:lang w:val="en" w:eastAsia="en-GB"/>
          <w14:ligatures w14:val="none"/>
        </w:rPr>
        <w:t xml:space="preserve">Explorations in Economic History, 36(2), </w:t>
      </w:r>
      <w:r w:rsidRPr="009620E1">
        <w:rPr>
          <w:rFonts w:ascii="Arial" w:eastAsia="Aptos" w:hAnsi="Arial" w:cs="Arial"/>
          <w:color w:val="000000" w:themeColor="text1"/>
          <w:kern w:val="0"/>
          <w:sz w:val="22"/>
          <w:szCs w:val="22"/>
          <w:lang w:val="en" w:eastAsia="en-GB"/>
          <w14:ligatures w14:val="none"/>
        </w:rPr>
        <w:t xml:space="preserve"> PP. 109-127. Available at:</w:t>
      </w:r>
      <w:hyperlink r:id="rId30" w:history="1">
        <w:r w:rsidRPr="009620E1">
          <w:rPr>
            <w:rFonts w:ascii="Arial" w:eastAsia="Aptos" w:hAnsi="Arial" w:cs="Arial"/>
            <w:color w:val="000000" w:themeColor="text1"/>
            <w:kern w:val="0"/>
            <w:sz w:val="22"/>
            <w:szCs w:val="22"/>
            <w:u w:val="single"/>
            <w:lang w:val="en" w:eastAsia="en-GB"/>
            <w14:ligatures w14:val="none"/>
          </w:rPr>
          <w:t>https://doi.org/10.1006/exeh.1999.0713</w:t>
        </w:r>
      </w:hyperlink>
      <w:r w:rsidRPr="009620E1">
        <w:rPr>
          <w:rFonts w:ascii="Arial" w:eastAsia="Aptos" w:hAnsi="Arial" w:cs="Arial"/>
          <w:color w:val="000000" w:themeColor="text1"/>
          <w:kern w:val="0"/>
          <w:sz w:val="22"/>
          <w:szCs w:val="22"/>
          <w:lang w:val="en" w:eastAsia="en-GB"/>
          <w14:ligatures w14:val="none"/>
        </w:rPr>
        <w:t xml:space="preserve"> (Accessed on: 24th November 2024). </w:t>
      </w:r>
    </w:p>
    <w:p w14:paraId="77BE124F"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51D159DC"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Knill, C., and Tosun, J. (2022,p.4) </w:t>
      </w:r>
      <w:r w:rsidRPr="009620E1">
        <w:rPr>
          <w:rFonts w:ascii="Arial" w:eastAsia="Aptos" w:hAnsi="Arial" w:cs="Arial"/>
          <w:i/>
          <w:color w:val="000000" w:themeColor="text1"/>
          <w:kern w:val="0"/>
          <w:sz w:val="22"/>
          <w:szCs w:val="22"/>
          <w:lang w:val="en" w:eastAsia="en-GB"/>
          <w14:ligatures w14:val="none"/>
        </w:rPr>
        <w:t xml:space="preserve">Public Policy: A New Introduction. </w:t>
      </w:r>
      <w:r w:rsidRPr="009620E1">
        <w:rPr>
          <w:rFonts w:ascii="Arial" w:eastAsia="Aptos" w:hAnsi="Arial" w:cs="Arial"/>
          <w:color w:val="000000" w:themeColor="text1"/>
          <w:kern w:val="0"/>
          <w:sz w:val="22"/>
          <w:szCs w:val="22"/>
          <w:lang w:val="en" w:eastAsia="en-GB"/>
          <w14:ligatures w14:val="none"/>
        </w:rPr>
        <w:t>Bloomsbury Academic: London.</w:t>
      </w:r>
    </w:p>
    <w:p w14:paraId="67711BD2"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79452B64"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Knight, C., Clegg, S., Conn, C., Hutt, M., and Crick, T. (2022) ‘ Inspiring to include versus implicit othering: teachers perceptions of inclusive education in Wales’, </w:t>
      </w:r>
      <w:r w:rsidRPr="009620E1">
        <w:rPr>
          <w:rFonts w:ascii="Arial" w:eastAsia="Aptos" w:hAnsi="Arial" w:cs="Arial"/>
          <w:i/>
          <w:color w:val="000000" w:themeColor="text1"/>
          <w:kern w:val="0"/>
          <w:sz w:val="22"/>
          <w:szCs w:val="22"/>
          <w:lang w:val="en" w:eastAsia="en-GB"/>
          <w14:ligatures w14:val="none"/>
        </w:rPr>
        <w:t xml:space="preserve">Helping everyone achieve, </w:t>
      </w:r>
      <w:r w:rsidRPr="009620E1">
        <w:rPr>
          <w:rFonts w:ascii="Arial" w:eastAsia="Aptos" w:hAnsi="Arial" w:cs="Arial"/>
          <w:color w:val="000000" w:themeColor="text1"/>
          <w:kern w:val="0"/>
          <w:sz w:val="22"/>
          <w:szCs w:val="22"/>
          <w:lang w:val="en" w:eastAsia="en-GB"/>
          <w14:ligatures w14:val="none"/>
        </w:rPr>
        <w:t xml:space="preserve">49(1), pp. 6-23. Available at: </w:t>
      </w:r>
      <w:hyperlink r:id="rId31" w:history="1">
        <w:r w:rsidRPr="009620E1">
          <w:rPr>
            <w:rFonts w:ascii="Arial" w:eastAsia="Aptos" w:hAnsi="Arial" w:cs="Arial"/>
            <w:color w:val="000000" w:themeColor="text1"/>
            <w:kern w:val="0"/>
            <w:sz w:val="22"/>
            <w:szCs w:val="22"/>
            <w:u w:val="single"/>
            <w:lang w:val="en" w:eastAsia="en-GB"/>
            <w14:ligatures w14:val="none"/>
          </w:rPr>
          <w:t>https://nasenjournals.onlinelibrary.wiley.com/doi/full/10.1111/1467-8578.12394</w:t>
        </w:r>
      </w:hyperlink>
      <w:r w:rsidRPr="009620E1">
        <w:rPr>
          <w:rFonts w:ascii="Arial" w:eastAsia="Aptos" w:hAnsi="Arial" w:cs="Arial"/>
          <w:color w:val="000000" w:themeColor="text1"/>
          <w:kern w:val="0"/>
          <w:sz w:val="22"/>
          <w:szCs w:val="22"/>
          <w:lang w:val="en" w:eastAsia="en-GB"/>
          <w14:ligatures w14:val="none"/>
        </w:rPr>
        <w:t xml:space="preserve"> (Accessed on: 9th December 2024). </w:t>
      </w:r>
    </w:p>
    <w:p w14:paraId="6D9E8EF1"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76DE97E0"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Marsh, A., and Jeans, H. (2018) ‘A review of Welsh Government statistics for benchmarking the Additional Learning Needs and Education Tribunal Act 2018’, </w:t>
      </w:r>
      <w:r w:rsidRPr="009620E1">
        <w:rPr>
          <w:rFonts w:ascii="Arial" w:eastAsia="Aptos" w:hAnsi="Arial" w:cs="Arial"/>
          <w:i/>
          <w:color w:val="000000" w:themeColor="text1"/>
          <w:kern w:val="0"/>
          <w:sz w:val="22"/>
          <w:szCs w:val="22"/>
          <w:lang w:val="en" w:eastAsia="en-GB"/>
          <w14:ligatures w14:val="none"/>
        </w:rPr>
        <w:t xml:space="preserve">Wales Journal of Education. </w:t>
      </w:r>
      <w:r w:rsidRPr="009620E1">
        <w:rPr>
          <w:rFonts w:ascii="Arial" w:eastAsia="Aptos" w:hAnsi="Arial" w:cs="Arial"/>
          <w:color w:val="000000" w:themeColor="text1"/>
          <w:kern w:val="0"/>
          <w:sz w:val="22"/>
          <w:szCs w:val="22"/>
          <w:lang w:val="en" w:eastAsia="en-GB"/>
          <w14:ligatures w14:val="none"/>
        </w:rPr>
        <w:t xml:space="preserve">Available at: </w:t>
      </w:r>
      <w:hyperlink r:id="rId32" w:history="1">
        <w:r w:rsidRPr="009620E1">
          <w:rPr>
            <w:rFonts w:ascii="Arial" w:eastAsia="Aptos" w:hAnsi="Arial" w:cs="Arial"/>
            <w:color w:val="000000" w:themeColor="text1"/>
            <w:kern w:val="0"/>
            <w:sz w:val="22"/>
            <w:szCs w:val="22"/>
            <w:u w:val="single"/>
            <w:lang w:val="en" w:eastAsia="en-GB"/>
            <w14:ligatures w14:val="none"/>
          </w:rPr>
          <w:t>https://journal.uwp.co.uk/wje/article/593/galley/578/view/</w:t>
        </w:r>
      </w:hyperlink>
      <w:r w:rsidRPr="009620E1">
        <w:rPr>
          <w:rFonts w:ascii="Arial" w:eastAsia="Aptos" w:hAnsi="Arial" w:cs="Arial"/>
          <w:color w:val="000000" w:themeColor="text1"/>
          <w:kern w:val="0"/>
          <w:sz w:val="22"/>
          <w:szCs w:val="22"/>
          <w:lang w:val="en" w:eastAsia="en-GB"/>
          <w14:ligatures w14:val="none"/>
        </w:rPr>
        <w:t xml:space="preserve"> (Accessed on: 26th November 2024). </w:t>
      </w:r>
    </w:p>
    <w:p w14:paraId="547574F8"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39152D07"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Matusov, E., Duyke, K., and Kayumova, S. (2016) ‘Mapping concepts of agency in educational contexts’, </w:t>
      </w:r>
      <w:r w:rsidRPr="009620E1">
        <w:rPr>
          <w:rFonts w:ascii="Arial" w:eastAsia="Arial" w:hAnsi="Arial" w:cs="Arial"/>
          <w:i/>
          <w:color w:val="000000" w:themeColor="text1"/>
          <w:kern w:val="0"/>
          <w:sz w:val="22"/>
          <w:szCs w:val="22"/>
          <w:highlight w:val="white"/>
          <w:lang w:val="en" w:eastAsia="en-GB"/>
          <w14:ligatures w14:val="none"/>
        </w:rPr>
        <w:t>Integrative Psychological and Behavioral Science</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50</w:t>
      </w:r>
      <w:r w:rsidRPr="009620E1">
        <w:rPr>
          <w:rFonts w:ascii="Arial" w:eastAsia="Arial" w:hAnsi="Arial" w:cs="Arial"/>
          <w:color w:val="000000" w:themeColor="text1"/>
          <w:kern w:val="0"/>
          <w:sz w:val="22"/>
          <w:szCs w:val="22"/>
          <w:highlight w:val="white"/>
          <w:lang w:val="en" w:eastAsia="en-GB"/>
          <w14:ligatures w14:val="none"/>
        </w:rPr>
        <w:t xml:space="preserve">, pp.420-446. Available at: </w:t>
      </w:r>
      <w:hyperlink r:id="rId33" w:history="1">
        <w:r w:rsidRPr="009620E1">
          <w:rPr>
            <w:rFonts w:ascii="Arial" w:eastAsia="Arial" w:hAnsi="Arial" w:cs="Arial"/>
            <w:color w:val="000000" w:themeColor="text1"/>
            <w:kern w:val="0"/>
            <w:sz w:val="22"/>
            <w:szCs w:val="22"/>
            <w:highlight w:val="white"/>
            <w:u w:val="single"/>
            <w:lang w:val="en" w:eastAsia="en-GB"/>
            <w14:ligatures w14:val="none"/>
          </w:rPr>
          <w:t>https://www.researchgate.net/publication/283575609_Mapping_Concepts_of_Agency_in_Educational_Contexts</w:t>
        </w:r>
      </w:hyperlink>
      <w:r w:rsidRPr="009620E1">
        <w:rPr>
          <w:rFonts w:ascii="Arial" w:eastAsia="Arial" w:hAnsi="Arial" w:cs="Arial"/>
          <w:color w:val="000000" w:themeColor="text1"/>
          <w:kern w:val="0"/>
          <w:sz w:val="22"/>
          <w:szCs w:val="22"/>
          <w:highlight w:val="white"/>
          <w:lang w:val="en" w:eastAsia="en-GB"/>
          <w14:ligatures w14:val="none"/>
        </w:rPr>
        <w:t xml:space="preserve"> (Accessed on: 14th November 2024). </w:t>
      </w:r>
    </w:p>
    <w:p w14:paraId="7C6D44B3"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06F17B18"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McCoy, M.L., and Keen, S.M. (2022) </w:t>
      </w:r>
      <w:r w:rsidRPr="009620E1">
        <w:rPr>
          <w:rFonts w:ascii="Arial" w:eastAsia="Arial" w:hAnsi="Arial" w:cs="Arial"/>
          <w:i/>
          <w:color w:val="000000" w:themeColor="text1"/>
          <w:kern w:val="0"/>
          <w:sz w:val="22"/>
          <w:szCs w:val="22"/>
          <w:highlight w:val="white"/>
          <w:lang w:val="en" w:eastAsia="en-GB"/>
          <w14:ligatures w14:val="none"/>
        </w:rPr>
        <w:t>Child abuse and neglect</w:t>
      </w:r>
      <w:r w:rsidRPr="009620E1">
        <w:rPr>
          <w:rFonts w:ascii="Arial" w:eastAsia="Arial" w:hAnsi="Arial" w:cs="Arial"/>
          <w:color w:val="000000" w:themeColor="text1"/>
          <w:kern w:val="0"/>
          <w:sz w:val="22"/>
          <w:szCs w:val="22"/>
          <w:highlight w:val="white"/>
          <w:lang w:val="en" w:eastAsia="en-GB"/>
          <w14:ligatures w14:val="none"/>
        </w:rPr>
        <w:t>. Routledge: London</w:t>
      </w:r>
    </w:p>
    <w:p w14:paraId="790C0921"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5DC726C8"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Mcculloch, G. (2020)’ COMPULSORY SCHOOL ATTENDANCE AND THE ELEMENTARY EDUCATION ACT OF 1870:150 YEARS ON’, </w:t>
      </w:r>
      <w:r w:rsidRPr="009620E1">
        <w:rPr>
          <w:rFonts w:ascii="Arial" w:eastAsia="Aptos" w:hAnsi="Arial" w:cs="Arial"/>
          <w:i/>
          <w:color w:val="000000" w:themeColor="text1"/>
          <w:kern w:val="0"/>
          <w:sz w:val="22"/>
          <w:szCs w:val="22"/>
          <w:lang w:val="en" w:eastAsia="en-GB"/>
          <w14:ligatures w14:val="none"/>
        </w:rPr>
        <w:t xml:space="preserve">British Journal of Educational Studies, </w:t>
      </w:r>
      <w:r w:rsidRPr="009620E1">
        <w:rPr>
          <w:rFonts w:ascii="Arial" w:eastAsia="Aptos" w:hAnsi="Arial" w:cs="Arial"/>
          <w:color w:val="000000" w:themeColor="text1"/>
          <w:kern w:val="0"/>
          <w:sz w:val="22"/>
          <w:szCs w:val="22"/>
          <w:lang w:val="en" w:eastAsia="en-GB"/>
          <w14:ligatures w14:val="none"/>
        </w:rPr>
        <w:t xml:space="preserve">65(8), pp. 523-540. Available at: </w:t>
      </w:r>
      <w:hyperlink r:id="rId34" w:history="1">
        <w:r w:rsidRPr="009620E1">
          <w:rPr>
            <w:rFonts w:ascii="Arial" w:eastAsia="Aptos" w:hAnsi="Arial" w:cs="Arial"/>
            <w:color w:val="000000" w:themeColor="text1"/>
            <w:kern w:val="0"/>
            <w:sz w:val="22"/>
            <w:szCs w:val="22"/>
            <w:u w:val="single"/>
            <w:lang w:val="en" w:eastAsia="en-GB"/>
            <w14:ligatures w14:val="none"/>
          </w:rPr>
          <w:t>https://doi.org/10.1080/00071005.2020.1831434</w:t>
        </w:r>
      </w:hyperlink>
      <w:r w:rsidRPr="009620E1">
        <w:rPr>
          <w:rFonts w:ascii="Arial" w:eastAsia="Aptos" w:hAnsi="Arial" w:cs="Arial"/>
          <w:color w:val="000000" w:themeColor="text1"/>
          <w:kern w:val="0"/>
          <w:sz w:val="22"/>
          <w:szCs w:val="22"/>
          <w:lang w:val="en" w:eastAsia="en-GB"/>
          <w14:ligatures w14:val="none"/>
        </w:rPr>
        <w:t xml:space="preserve"> (Accessed on 15th December 2024).</w:t>
      </w:r>
    </w:p>
    <w:p w14:paraId="3C27A0CC"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5750794A"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Middleton, N. (2010) ‘The education act of 1870 as the start of the modern concept of the child’, </w:t>
      </w:r>
      <w:r w:rsidRPr="009620E1">
        <w:rPr>
          <w:rFonts w:ascii="Arial" w:eastAsia="Aptos" w:hAnsi="Arial" w:cs="Arial"/>
          <w:i/>
          <w:color w:val="000000" w:themeColor="text1"/>
          <w:kern w:val="0"/>
          <w:sz w:val="22"/>
          <w:szCs w:val="22"/>
          <w:lang w:val="en" w:eastAsia="en-GB"/>
          <w14:ligatures w14:val="none"/>
        </w:rPr>
        <w:t>British Journal of Educational Studies</w:t>
      </w:r>
      <w:r w:rsidRPr="009620E1">
        <w:rPr>
          <w:rFonts w:ascii="Arial" w:eastAsia="Aptos" w:hAnsi="Arial" w:cs="Arial"/>
          <w:color w:val="000000" w:themeColor="text1"/>
          <w:kern w:val="0"/>
          <w:sz w:val="22"/>
          <w:szCs w:val="22"/>
          <w:lang w:val="en" w:eastAsia="en-GB"/>
          <w14:ligatures w14:val="none"/>
        </w:rPr>
        <w:t xml:space="preserve">. Available at: </w:t>
      </w:r>
      <w:hyperlink r:id="rId35" w:history="1">
        <w:r w:rsidRPr="009620E1">
          <w:rPr>
            <w:rFonts w:ascii="Arial" w:eastAsia="Aptos" w:hAnsi="Arial" w:cs="Arial"/>
            <w:color w:val="000000" w:themeColor="text1"/>
            <w:kern w:val="0"/>
            <w:sz w:val="22"/>
            <w:szCs w:val="22"/>
            <w:u w:val="single"/>
            <w:lang w:val="en" w:eastAsia="en-GB"/>
            <w14:ligatures w14:val="none"/>
          </w:rPr>
          <w:t>The education act of 1870 as the start of the modern concept of the child</w:t>
        </w:r>
      </w:hyperlink>
      <w:r w:rsidRPr="009620E1">
        <w:rPr>
          <w:rFonts w:ascii="Arial" w:eastAsia="Aptos" w:hAnsi="Arial" w:cs="Arial"/>
          <w:color w:val="000000" w:themeColor="text1"/>
          <w:kern w:val="0"/>
          <w:sz w:val="22"/>
          <w:szCs w:val="22"/>
          <w:lang w:val="en" w:eastAsia="en-GB"/>
          <w14:ligatures w14:val="none"/>
        </w:rPr>
        <w:t xml:space="preserve"> (Accessed on: 1</w:t>
      </w:r>
      <w:r w:rsidRPr="009620E1">
        <w:rPr>
          <w:rFonts w:ascii="Arial" w:eastAsia="Aptos" w:hAnsi="Arial" w:cs="Arial"/>
          <w:color w:val="000000" w:themeColor="text1"/>
          <w:kern w:val="0"/>
          <w:sz w:val="22"/>
          <w:szCs w:val="22"/>
          <w:vertAlign w:val="superscript"/>
          <w:lang w:val="en" w:eastAsia="en-GB"/>
          <w14:ligatures w14:val="none"/>
        </w:rPr>
        <w:t>st</w:t>
      </w:r>
      <w:r w:rsidRPr="009620E1">
        <w:rPr>
          <w:rFonts w:ascii="Arial" w:eastAsia="Aptos" w:hAnsi="Arial" w:cs="Arial"/>
          <w:color w:val="000000" w:themeColor="text1"/>
          <w:kern w:val="0"/>
          <w:sz w:val="22"/>
          <w:szCs w:val="22"/>
          <w:lang w:val="en" w:eastAsia="en-GB"/>
          <w14:ligatures w14:val="none"/>
        </w:rPr>
        <w:t xml:space="preserve"> December 2024).</w:t>
      </w:r>
    </w:p>
    <w:p w14:paraId="4549FB27"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234D6E4"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lastRenderedPageBreak/>
        <w:t>Miller, N.J. and Yavneh, N. (2011) </w:t>
      </w:r>
      <w:r w:rsidRPr="009620E1">
        <w:rPr>
          <w:rFonts w:ascii="Arial" w:eastAsia="Arial" w:hAnsi="Arial" w:cs="Arial"/>
          <w:i/>
          <w:color w:val="000000" w:themeColor="text1"/>
          <w:kern w:val="0"/>
          <w:sz w:val="22"/>
          <w:szCs w:val="22"/>
          <w:highlight w:val="white"/>
          <w:lang w:val="en" w:eastAsia="en-GB"/>
          <w14:ligatures w14:val="none"/>
        </w:rPr>
        <w:t>Gender and early modern constructions of childhood</w:t>
      </w:r>
      <w:r w:rsidRPr="009620E1">
        <w:rPr>
          <w:rFonts w:ascii="Arial" w:eastAsia="Arial" w:hAnsi="Arial" w:cs="Arial"/>
          <w:color w:val="000000" w:themeColor="text1"/>
          <w:kern w:val="0"/>
          <w:sz w:val="22"/>
          <w:szCs w:val="22"/>
          <w:highlight w:val="white"/>
          <w:lang w:val="en" w:eastAsia="en-GB"/>
          <w14:ligatures w14:val="none"/>
        </w:rPr>
        <w:t>. Ashgate Publishing, Ltd.</w:t>
      </w:r>
    </w:p>
    <w:p w14:paraId="0024CCDD"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1ED3DA35" w14:textId="77777777" w:rsid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Morris, R. (2020) </w:t>
      </w:r>
      <w:r w:rsidRPr="009620E1">
        <w:rPr>
          <w:rFonts w:ascii="Arial" w:eastAsia="Aptos" w:hAnsi="Arial" w:cs="Arial"/>
          <w:i/>
          <w:color w:val="000000" w:themeColor="text1"/>
          <w:kern w:val="0"/>
          <w:sz w:val="22"/>
          <w:szCs w:val="22"/>
          <w:lang w:val="en" w:eastAsia="en-GB"/>
          <w14:ligatures w14:val="none"/>
        </w:rPr>
        <w:t xml:space="preserve">The Black Fountain: Childhood and Class in Eighteenth-Century England. </w:t>
      </w:r>
      <w:r w:rsidRPr="009620E1">
        <w:rPr>
          <w:rFonts w:ascii="Arial" w:eastAsia="Aptos" w:hAnsi="Arial" w:cs="Arial"/>
          <w:color w:val="000000" w:themeColor="text1"/>
          <w:kern w:val="0"/>
          <w:sz w:val="22"/>
          <w:szCs w:val="22"/>
          <w:lang w:val="en" w:eastAsia="en-GB"/>
          <w14:ligatures w14:val="none"/>
        </w:rPr>
        <w:t xml:space="preserve">Available at: </w:t>
      </w:r>
      <w:hyperlink r:id="rId36" w:history="1">
        <w:r w:rsidRPr="009620E1">
          <w:rPr>
            <w:rFonts w:ascii="Arial" w:eastAsia="Aptos" w:hAnsi="Arial" w:cs="Arial"/>
            <w:color w:val="000000" w:themeColor="text1"/>
            <w:kern w:val="0"/>
            <w:sz w:val="22"/>
            <w:szCs w:val="22"/>
            <w:u w:val="single"/>
            <w:lang w:val="en" w:eastAsia="en-GB"/>
            <w14:ligatures w14:val="none"/>
          </w:rPr>
          <w:t>content</w:t>
        </w:r>
      </w:hyperlink>
      <w:r w:rsidRPr="009620E1">
        <w:rPr>
          <w:rFonts w:ascii="Arial" w:eastAsia="Aptos" w:hAnsi="Arial" w:cs="Arial"/>
          <w:color w:val="000000" w:themeColor="text1"/>
          <w:kern w:val="0"/>
          <w:sz w:val="22"/>
          <w:szCs w:val="22"/>
          <w:lang w:val="en" w:eastAsia="en-GB"/>
          <w14:ligatures w14:val="none"/>
        </w:rPr>
        <w:t xml:space="preserve"> accessed on 1</w:t>
      </w:r>
      <w:r w:rsidRPr="009620E1">
        <w:rPr>
          <w:rFonts w:ascii="Arial" w:eastAsia="Aptos" w:hAnsi="Arial" w:cs="Arial"/>
          <w:color w:val="000000" w:themeColor="text1"/>
          <w:kern w:val="0"/>
          <w:sz w:val="22"/>
          <w:szCs w:val="22"/>
          <w:vertAlign w:val="superscript"/>
          <w:lang w:val="en" w:eastAsia="en-GB"/>
          <w14:ligatures w14:val="none"/>
        </w:rPr>
        <w:t>st</w:t>
      </w:r>
      <w:r w:rsidRPr="009620E1">
        <w:rPr>
          <w:rFonts w:ascii="Arial" w:eastAsia="Aptos" w:hAnsi="Arial" w:cs="Arial"/>
          <w:color w:val="000000" w:themeColor="text1"/>
          <w:kern w:val="0"/>
          <w:sz w:val="22"/>
          <w:szCs w:val="22"/>
          <w:lang w:val="en" w:eastAsia="en-GB"/>
          <w14:ligatures w14:val="none"/>
        </w:rPr>
        <w:t xml:space="preserve"> December 2024 (Accessed on 18th November 2024). </w:t>
      </w:r>
    </w:p>
    <w:p w14:paraId="5A934D89" w14:textId="77777777" w:rsidR="00272FC2" w:rsidRDefault="00272FC2" w:rsidP="009620E1">
      <w:pPr>
        <w:spacing w:line="276" w:lineRule="auto"/>
        <w:rPr>
          <w:rFonts w:ascii="Arial" w:eastAsia="Aptos" w:hAnsi="Arial" w:cs="Arial"/>
          <w:color w:val="000000" w:themeColor="text1"/>
          <w:kern w:val="0"/>
          <w:sz w:val="22"/>
          <w:szCs w:val="22"/>
          <w:lang w:val="en" w:eastAsia="en-GB"/>
          <w14:ligatures w14:val="none"/>
        </w:rPr>
      </w:pPr>
    </w:p>
    <w:p w14:paraId="3E0AC33D" w14:textId="080B476B" w:rsidR="00272FC2" w:rsidRPr="009620E1" w:rsidRDefault="00272FC2" w:rsidP="009620E1">
      <w:pPr>
        <w:spacing w:line="276" w:lineRule="auto"/>
        <w:rPr>
          <w:rFonts w:ascii="Arial" w:eastAsia="Aptos" w:hAnsi="Arial" w:cs="Arial"/>
          <w:color w:val="000000" w:themeColor="text1"/>
          <w:kern w:val="0"/>
          <w:sz w:val="22"/>
          <w:szCs w:val="22"/>
          <w:lang w:val="en" w:eastAsia="en-GB"/>
          <w14:ligatures w14:val="none"/>
        </w:rPr>
      </w:pPr>
      <w:r>
        <w:rPr>
          <w:rFonts w:ascii="Arial" w:hAnsi="Arial" w:cs="Arial"/>
          <w:color w:val="222222"/>
          <w:sz w:val="20"/>
          <w:szCs w:val="20"/>
          <w:shd w:val="clear" w:color="auto" w:fill="FFFFFF"/>
        </w:rPr>
        <w:t>McCoy, M.L. and Keen, S.M</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2022</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Child abuse and neglect</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London: </w:t>
      </w:r>
      <w:r>
        <w:rPr>
          <w:rFonts w:ascii="Arial" w:hAnsi="Arial" w:cs="Arial"/>
          <w:color w:val="222222"/>
          <w:sz w:val="20"/>
          <w:szCs w:val="20"/>
          <w:shd w:val="clear" w:color="auto" w:fill="FFFFFF"/>
        </w:rPr>
        <w:t xml:space="preserve"> Routledge.</w:t>
      </w:r>
    </w:p>
    <w:p w14:paraId="4066E544"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6764AE7" w14:textId="77777777" w:rsid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Newnes, N. (2020) ‘The Journal of Critical Psychology’, </w:t>
      </w:r>
      <w:r w:rsidRPr="009620E1">
        <w:rPr>
          <w:rFonts w:ascii="Arial" w:eastAsia="Aptos" w:hAnsi="Arial" w:cs="Arial"/>
          <w:i/>
          <w:color w:val="000000" w:themeColor="text1"/>
          <w:kern w:val="0"/>
          <w:sz w:val="22"/>
          <w:szCs w:val="22"/>
          <w:lang w:val="en" w:eastAsia="en-GB"/>
          <w14:ligatures w14:val="none"/>
        </w:rPr>
        <w:t xml:space="preserve">Counselling and Psychotherapy, </w:t>
      </w:r>
      <w:r w:rsidRPr="009620E1">
        <w:rPr>
          <w:rFonts w:ascii="Arial" w:eastAsia="Aptos" w:hAnsi="Arial" w:cs="Arial"/>
          <w:color w:val="000000" w:themeColor="text1"/>
          <w:kern w:val="0"/>
          <w:sz w:val="22"/>
          <w:szCs w:val="22"/>
          <w:lang w:val="en" w:eastAsia="en-GB"/>
          <w14:ligatures w14:val="none"/>
        </w:rPr>
        <w:t xml:space="preserve">20(1). Available at:  </w:t>
      </w:r>
      <w:hyperlink r:id="rId37" w:anchor="page=48" w:history="1">
        <w:r w:rsidRPr="009620E1">
          <w:rPr>
            <w:rFonts w:ascii="Arial" w:eastAsia="Aptos" w:hAnsi="Arial" w:cs="Arial"/>
            <w:color w:val="000000" w:themeColor="text1"/>
            <w:kern w:val="0"/>
            <w:sz w:val="22"/>
            <w:szCs w:val="22"/>
            <w:u w:val="single"/>
            <w:lang w:val="en" w:eastAsia="en-GB"/>
            <w14:ligatures w14:val="none"/>
          </w:rPr>
          <w:t>JCPCP_v20_i01_COMPLETE.pdf</w:t>
        </w:r>
      </w:hyperlink>
      <w:r w:rsidRPr="009620E1">
        <w:rPr>
          <w:rFonts w:ascii="Arial" w:eastAsia="Aptos" w:hAnsi="Arial" w:cs="Arial"/>
          <w:color w:val="000000" w:themeColor="text1"/>
          <w:kern w:val="0"/>
          <w:sz w:val="22"/>
          <w:szCs w:val="22"/>
          <w:lang w:val="en" w:eastAsia="en-GB"/>
          <w14:ligatures w14:val="none"/>
        </w:rPr>
        <w:t xml:space="preserve"> (Accessed on: 1</w:t>
      </w:r>
      <w:r w:rsidRPr="009620E1">
        <w:rPr>
          <w:rFonts w:ascii="Arial" w:eastAsia="Aptos" w:hAnsi="Arial" w:cs="Arial"/>
          <w:color w:val="000000" w:themeColor="text1"/>
          <w:kern w:val="0"/>
          <w:sz w:val="22"/>
          <w:szCs w:val="22"/>
          <w:vertAlign w:val="superscript"/>
          <w:lang w:val="en" w:eastAsia="en-GB"/>
          <w14:ligatures w14:val="none"/>
        </w:rPr>
        <w:t>st</w:t>
      </w:r>
      <w:r w:rsidRPr="009620E1">
        <w:rPr>
          <w:rFonts w:ascii="Arial" w:eastAsia="Aptos" w:hAnsi="Arial" w:cs="Arial"/>
          <w:color w:val="000000" w:themeColor="text1"/>
          <w:kern w:val="0"/>
          <w:sz w:val="22"/>
          <w:szCs w:val="22"/>
          <w:lang w:val="en" w:eastAsia="en-GB"/>
          <w14:ligatures w14:val="none"/>
        </w:rPr>
        <w:t xml:space="preserve"> December 2024).</w:t>
      </w:r>
    </w:p>
    <w:p w14:paraId="3F218B99" w14:textId="77777777" w:rsidR="00DF57F1" w:rsidRDefault="00DF57F1" w:rsidP="009620E1">
      <w:pPr>
        <w:spacing w:line="276" w:lineRule="auto"/>
        <w:rPr>
          <w:rFonts w:ascii="Arial" w:eastAsia="Aptos" w:hAnsi="Arial" w:cs="Arial"/>
          <w:color w:val="000000" w:themeColor="text1"/>
          <w:kern w:val="0"/>
          <w:sz w:val="22"/>
          <w:szCs w:val="22"/>
          <w:lang w:val="en" w:eastAsia="en-GB"/>
          <w14:ligatures w14:val="none"/>
        </w:rPr>
      </w:pPr>
    </w:p>
    <w:p w14:paraId="522DDCCD" w14:textId="11B3D414" w:rsidR="00DF57F1" w:rsidRPr="009620E1" w:rsidRDefault="00DF57F1" w:rsidP="009620E1">
      <w:pPr>
        <w:spacing w:line="276" w:lineRule="auto"/>
        <w:rPr>
          <w:rFonts w:ascii="Arial" w:eastAsia="Aptos" w:hAnsi="Arial" w:cs="Arial"/>
          <w:color w:val="000000" w:themeColor="text1"/>
          <w:kern w:val="0"/>
          <w:sz w:val="22"/>
          <w:szCs w:val="22"/>
          <w:lang w:val="en" w:eastAsia="en-GB"/>
          <w14:ligatures w14:val="none"/>
        </w:rPr>
      </w:pPr>
      <w:r>
        <w:rPr>
          <w:rFonts w:ascii="Arial" w:hAnsi="Arial" w:cs="Arial"/>
          <w:color w:val="222222"/>
          <w:sz w:val="20"/>
          <w:szCs w:val="20"/>
          <w:shd w:val="clear" w:color="auto" w:fill="FFFFFF"/>
        </w:rPr>
        <w:t>Norman, A</w:t>
      </w:r>
      <w:r w:rsidR="00355198">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 2022</w:t>
      </w:r>
      <w:r w:rsidR="00355198">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Historical perspectives on infant care and development</w:t>
      </w:r>
      <w:r>
        <w:rPr>
          <w:rFonts w:ascii="Arial" w:hAnsi="Arial" w:cs="Arial"/>
          <w:color w:val="222222"/>
          <w:sz w:val="20"/>
          <w:szCs w:val="20"/>
          <w:shd w:val="clear" w:color="auto" w:fill="FFFFFF"/>
        </w:rPr>
        <w:t xml:space="preserve">. </w:t>
      </w:r>
      <w:r w:rsidR="00355198">
        <w:rPr>
          <w:rFonts w:ascii="Arial" w:hAnsi="Arial" w:cs="Arial"/>
          <w:color w:val="222222"/>
          <w:sz w:val="20"/>
          <w:szCs w:val="20"/>
          <w:shd w:val="clear" w:color="auto" w:fill="FFFFFF"/>
        </w:rPr>
        <w:t xml:space="preserve">London: </w:t>
      </w:r>
      <w:r>
        <w:rPr>
          <w:rFonts w:ascii="Arial" w:hAnsi="Arial" w:cs="Arial"/>
          <w:color w:val="222222"/>
          <w:sz w:val="20"/>
          <w:szCs w:val="20"/>
          <w:shd w:val="clear" w:color="auto" w:fill="FFFFFF"/>
        </w:rPr>
        <w:t>Bloomsbury Publishing.</w:t>
      </w:r>
      <w:r>
        <w:rPr>
          <w:rFonts w:ascii="Arial" w:hAnsi="Arial" w:cs="Arial"/>
          <w:color w:val="222222"/>
          <w:sz w:val="20"/>
          <w:szCs w:val="20"/>
          <w:shd w:val="clear" w:color="auto" w:fill="FFFFFF"/>
        </w:rPr>
        <w:t xml:space="preserve"> </w:t>
      </w:r>
    </w:p>
    <w:p w14:paraId="43245AA8"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64B6B798"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50AE36E2"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Parker, R. and Thomsen, B.S. (2019) ‘</w:t>
      </w:r>
      <w:r w:rsidRPr="009620E1">
        <w:rPr>
          <w:rFonts w:ascii="Arial" w:eastAsia="Arial" w:hAnsi="Arial" w:cs="Arial"/>
          <w:i/>
          <w:color w:val="000000" w:themeColor="text1"/>
          <w:kern w:val="0"/>
          <w:sz w:val="22"/>
          <w:szCs w:val="22"/>
          <w:highlight w:val="white"/>
          <w:lang w:val="en" w:eastAsia="en-GB"/>
          <w14:ligatures w14:val="none"/>
        </w:rPr>
        <w:t xml:space="preserve">Learning through play at school: A study of playful integrated pedagogies that foster children’s holistic skills development in the primary school classroom. </w:t>
      </w:r>
      <w:r w:rsidRPr="009620E1">
        <w:rPr>
          <w:rFonts w:ascii="Arial" w:eastAsia="Arial" w:hAnsi="Arial" w:cs="Arial"/>
          <w:color w:val="000000" w:themeColor="text1"/>
          <w:kern w:val="0"/>
          <w:sz w:val="22"/>
          <w:szCs w:val="22"/>
          <w:highlight w:val="white"/>
          <w:lang w:val="en" w:eastAsia="en-GB"/>
          <w14:ligatures w14:val="none"/>
        </w:rPr>
        <w:t xml:space="preserve">Available at: </w:t>
      </w:r>
      <w:hyperlink r:id="rId38" w:history="1">
        <w:r w:rsidRPr="009620E1">
          <w:rPr>
            <w:rFonts w:ascii="Arial" w:eastAsia="Arial" w:hAnsi="Arial" w:cs="Arial"/>
            <w:color w:val="000000" w:themeColor="text1"/>
            <w:kern w:val="0"/>
            <w:sz w:val="22"/>
            <w:szCs w:val="22"/>
            <w:highlight w:val="white"/>
            <w:u w:val="single"/>
            <w:lang w:val="en" w:eastAsia="en-GB"/>
            <w14:ligatures w14:val="none"/>
          </w:rPr>
          <w:t>https://cms.learningthroughplay.com/media/nihnouvc/learning-through-play-school.pdf</w:t>
        </w:r>
      </w:hyperlink>
      <w:r w:rsidRPr="009620E1">
        <w:rPr>
          <w:rFonts w:ascii="Arial" w:eastAsia="Arial" w:hAnsi="Arial" w:cs="Arial"/>
          <w:color w:val="000000" w:themeColor="text1"/>
          <w:kern w:val="0"/>
          <w:sz w:val="22"/>
          <w:szCs w:val="22"/>
          <w:highlight w:val="white"/>
          <w:lang w:val="en" w:eastAsia="en-GB"/>
          <w14:ligatures w14:val="none"/>
        </w:rPr>
        <w:t xml:space="preserve"> (Accessed on: 24th November 2024). </w:t>
      </w:r>
    </w:p>
    <w:p w14:paraId="467C4ED3"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29E8BC83"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Pease, B. (2021) </w:t>
      </w:r>
      <w:r w:rsidRPr="009620E1">
        <w:rPr>
          <w:rFonts w:ascii="Arial" w:eastAsia="Arial" w:hAnsi="Arial" w:cs="Arial"/>
          <w:i/>
          <w:color w:val="000000" w:themeColor="text1"/>
          <w:kern w:val="0"/>
          <w:sz w:val="22"/>
          <w:szCs w:val="22"/>
          <w:highlight w:val="white"/>
          <w:lang w:val="en" w:eastAsia="en-GB"/>
          <w14:ligatures w14:val="none"/>
        </w:rPr>
        <w:t>Undoing privilege: Unearned advantage and systemic injustice in an unequal world</w:t>
      </w:r>
      <w:r w:rsidRPr="009620E1">
        <w:rPr>
          <w:rFonts w:ascii="Arial" w:eastAsia="Arial" w:hAnsi="Arial" w:cs="Arial"/>
          <w:color w:val="000000" w:themeColor="text1"/>
          <w:kern w:val="0"/>
          <w:sz w:val="22"/>
          <w:szCs w:val="22"/>
          <w:highlight w:val="white"/>
          <w:lang w:val="en" w:eastAsia="en-GB"/>
          <w14:ligatures w14:val="none"/>
        </w:rPr>
        <w:t>. Bloomsbury Publishing: London</w:t>
      </w:r>
    </w:p>
    <w:p w14:paraId="6094A87B"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2106E0B"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Power, K. (2021) ‘The Influence of Changing Discourses of Childhood on 1860s Educational Policy’, </w:t>
      </w:r>
      <w:r w:rsidRPr="009620E1">
        <w:rPr>
          <w:rFonts w:ascii="Arial" w:eastAsia="Aptos" w:hAnsi="Arial" w:cs="Arial"/>
          <w:i/>
          <w:color w:val="000000" w:themeColor="text1"/>
          <w:kern w:val="0"/>
          <w:sz w:val="22"/>
          <w:szCs w:val="22"/>
          <w:lang w:val="en" w:eastAsia="en-GB"/>
          <w14:ligatures w14:val="none"/>
        </w:rPr>
        <w:t>History of Education</w:t>
      </w:r>
      <w:r w:rsidRPr="009620E1">
        <w:rPr>
          <w:rFonts w:ascii="Arial" w:eastAsia="Aptos" w:hAnsi="Arial" w:cs="Arial"/>
          <w:color w:val="000000" w:themeColor="text1"/>
          <w:kern w:val="0"/>
          <w:sz w:val="22"/>
          <w:szCs w:val="22"/>
          <w:lang w:val="en" w:eastAsia="en-GB"/>
          <w14:ligatures w14:val="none"/>
        </w:rPr>
        <w:t xml:space="preserve">, 51(1), pp.1-21. Available at: </w:t>
      </w:r>
      <w:hyperlink r:id="rId39" w:history="1">
        <w:r w:rsidRPr="009620E1">
          <w:rPr>
            <w:rFonts w:ascii="Arial" w:eastAsia="Aptos" w:hAnsi="Arial" w:cs="Arial"/>
            <w:color w:val="000000" w:themeColor="text1"/>
            <w:kern w:val="0"/>
            <w:sz w:val="22"/>
            <w:szCs w:val="22"/>
            <w:u w:val="single"/>
            <w:lang w:val="en" w:eastAsia="en-GB"/>
            <w14:ligatures w14:val="none"/>
          </w:rPr>
          <w:t>https://doi.org/10.1080/0046760x.2021.1953158</w:t>
        </w:r>
      </w:hyperlink>
      <w:r w:rsidRPr="009620E1">
        <w:rPr>
          <w:rFonts w:ascii="Arial" w:eastAsia="Aptos" w:hAnsi="Arial" w:cs="Arial"/>
          <w:color w:val="000000" w:themeColor="text1"/>
          <w:kern w:val="0"/>
          <w:sz w:val="22"/>
          <w:szCs w:val="22"/>
          <w:lang w:val="en" w:eastAsia="en-GB"/>
          <w14:ligatures w14:val="none"/>
        </w:rPr>
        <w:t xml:space="preserve"> (Accessed on: 2nd December 2024). </w:t>
      </w:r>
    </w:p>
    <w:p w14:paraId="0B5A8367"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2A6FAD02"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Reeve, J., and Shin, H. (2020) How teachers can support students’ agentic engagement. </w:t>
      </w:r>
      <w:r w:rsidRPr="009620E1">
        <w:rPr>
          <w:rFonts w:ascii="Arial" w:eastAsia="Arial" w:hAnsi="Arial" w:cs="Arial"/>
          <w:i/>
          <w:color w:val="000000" w:themeColor="text1"/>
          <w:kern w:val="0"/>
          <w:sz w:val="22"/>
          <w:szCs w:val="22"/>
          <w:highlight w:val="white"/>
          <w:lang w:val="en" w:eastAsia="en-GB"/>
          <w14:ligatures w14:val="none"/>
        </w:rPr>
        <w:t>Theory Into Practice</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59</w:t>
      </w:r>
      <w:r w:rsidRPr="009620E1">
        <w:rPr>
          <w:rFonts w:ascii="Arial" w:eastAsia="Arial" w:hAnsi="Arial" w:cs="Arial"/>
          <w:color w:val="000000" w:themeColor="text1"/>
          <w:kern w:val="0"/>
          <w:sz w:val="22"/>
          <w:szCs w:val="22"/>
          <w:highlight w:val="white"/>
          <w:lang w:val="en" w:eastAsia="en-GB"/>
          <w14:ligatures w14:val="none"/>
        </w:rPr>
        <w:t xml:space="preserve">(2), pp.150-161. Available at: </w:t>
      </w:r>
      <w:hyperlink r:id="rId40" w:history="1">
        <w:r w:rsidRPr="009620E1">
          <w:rPr>
            <w:rFonts w:ascii="Arial" w:eastAsia="Arial" w:hAnsi="Arial" w:cs="Arial"/>
            <w:color w:val="000000" w:themeColor="text1"/>
            <w:kern w:val="0"/>
            <w:sz w:val="22"/>
            <w:szCs w:val="22"/>
            <w:highlight w:val="white"/>
            <w:u w:val="single"/>
            <w:lang w:val="en" w:eastAsia="en-GB"/>
            <w14:ligatures w14:val="none"/>
          </w:rPr>
          <w:t>https://www.tandfonline.com/doi/abs/10.1080/00405841.2019.1702451</w:t>
        </w:r>
      </w:hyperlink>
      <w:r w:rsidRPr="009620E1">
        <w:rPr>
          <w:rFonts w:ascii="Arial" w:eastAsia="Arial" w:hAnsi="Arial" w:cs="Arial"/>
          <w:color w:val="000000" w:themeColor="text1"/>
          <w:kern w:val="0"/>
          <w:sz w:val="22"/>
          <w:szCs w:val="22"/>
          <w:highlight w:val="white"/>
          <w:lang w:val="en" w:eastAsia="en-GB"/>
          <w14:ligatures w14:val="none"/>
        </w:rPr>
        <w:t xml:space="preserve"> (Accessed on: 4th January 2025). </w:t>
      </w:r>
    </w:p>
    <w:p w14:paraId="194CEE1C"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37576D7B"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Rigby, S., and Ryan, M. (2018) ‘Self-determination theory in human resource development: New directions and practical considerations’, </w:t>
      </w:r>
      <w:r w:rsidRPr="009620E1">
        <w:rPr>
          <w:rFonts w:ascii="Arial" w:eastAsia="Arial" w:hAnsi="Arial" w:cs="Arial"/>
          <w:i/>
          <w:color w:val="000000" w:themeColor="text1"/>
          <w:kern w:val="0"/>
          <w:sz w:val="22"/>
          <w:szCs w:val="22"/>
          <w:highlight w:val="white"/>
          <w:lang w:val="en" w:eastAsia="en-GB"/>
          <w14:ligatures w14:val="none"/>
        </w:rPr>
        <w:t>Advances in developing human resources</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20</w:t>
      </w:r>
      <w:r w:rsidRPr="009620E1">
        <w:rPr>
          <w:rFonts w:ascii="Arial" w:eastAsia="Arial" w:hAnsi="Arial" w:cs="Arial"/>
          <w:color w:val="000000" w:themeColor="text1"/>
          <w:kern w:val="0"/>
          <w:sz w:val="22"/>
          <w:szCs w:val="22"/>
          <w:highlight w:val="white"/>
          <w:lang w:val="en" w:eastAsia="en-GB"/>
          <w14:ligatures w14:val="none"/>
        </w:rPr>
        <w:t xml:space="preserve">(2), pp.133-147. Available at: </w:t>
      </w:r>
      <w:hyperlink r:id="rId41" w:history="1">
        <w:r w:rsidRPr="009620E1">
          <w:rPr>
            <w:rFonts w:ascii="Arial" w:eastAsia="Arial" w:hAnsi="Arial" w:cs="Arial"/>
            <w:color w:val="000000" w:themeColor="text1"/>
            <w:kern w:val="0"/>
            <w:sz w:val="22"/>
            <w:szCs w:val="22"/>
            <w:highlight w:val="white"/>
            <w:u w:val="single"/>
            <w:lang w:val="en" w:eastAsia="en-GB"/>
            <w14:ligatures w14:val="none"/>
          </w:rPr>
          <w:t>https://journals.sagepub.com/doi/10.1177/1523422318756954</w:t>
        </w:r>
      </w:hyperlink>
      <w:r w:rsidRPr="009620E1">
        <w:rPr>
          <w:rFonts w:ascii="Arial" w:eastAsia="Arial" w:hAnsi="Arial" w:cs="Arial"/>
          <w:color w:val="000000" w:themeColor="text1"/>
          <w:kern w:val="0"/>
          <w:sz w:val="22"/>
          <w:szCs w:val="22"/>
          <w:highlight w:val="white"/>
          <w:lang w:val="en" w:eastAsia="en-GB"/>
          <w14:ligatures w14:val="none"/>
        </w:rPr>
        <w:t xml:space="preserve"> (Accessed on: 8th January 2025). </w:t>
      </w:r>
    </w:p>
    <w:p w14:paraId="300FE233"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6C65822F"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Roulac, S. (2019) ‘The industrial revolution remembers’, </w:t>
      </w:r>
      <w:r w:rsidRPr="009620E1">
        <w:rPr>
          <w:rFonts w:ascii="Arial" w:eastAsia="Arial" w:hAnsi="Arial" w:cs="Arial"/>
          <w:i/>
          <w:color w:val="000000" w:themeColor="text1"/>
          <w:kern w:val="0"/>
          <w:sz w:val="22"/>
          <w:szCs w:val="22"/>
          <w:highlight w:val="white"/>
          <w:lang w:val="en" w:eastAsia="en-GB"/>
          <w14:ligatures w14:val="none"/>
        </w:rPr>
        <w:t>Journal of Property Investment &amp; Finance</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37</w:t>
      </w:r>
      <w:r w:rsidRPr="009620E1">
        <w:rPr>
          <w:rFonts w:ascii="Arial" w:eastAsia="Arial" w:hAnsi="Arial" w:cs="Arial"/>
          <w:color w:val="000000" w:themeColor="text1"/>
          <w:kern w:val="0"/>
          <w:sz w:val="22"/>
          <w:szCs w:val="22"/>
          <w:highlight w:val="white"/>
          <w:lang w:val="en" w:eastAsia="en-GB"/>
          <w14:ligatures w14:val="none"/>
        </w:rPr>
        <w:t xml:space="preserve">(4), pp.380-397. Available at: </w:t>
      </w:r>
      <w:hyperlink r:id="rId42" w:history="1">
        <w:r w:rsidRPr="009620E1">
          <w:rPr>
            <w:rFonts w:ascii="Arial" w:eastAsia="Arial" w:hAnsi="Arial" w:cs="Arial"/>
            <w:color w:val="000000" w:themeColor="text1"/>
            <w:kern w:val="0"/>
            <w:sz w:val="22"/>
            <w:szCs w:val="22"/>
            <w:highlight w:val="white"/>
            <w:u w:val="single"/>
            <w:lang w:val="en" w:eastAsia="en-GB"/>
            <w14:ligatures w14:val="none"/>
          </w:rPr>
          <w:t>https://ideas.repec.org/a/eme/jpifpp/jpif-02-2019-0023.html</w:t>
        </w:r>
      </w:hyperlink>
      <w:r w:rsidRPr="009620E1">
        <w:rPr>
          <w:rFonts w:ascii="Arial" w:eastAsia="Arial" w:hAnsi="Arial" w:cs="Arial"/>
          <w:color w:val="000000" w:themeColor="text1"/>
          <w:kern w:val="0"/>
          <w:sz w:val="22"/>
          <w:szCs w:val="22"/>
          <w:highlight w:val="white"/>
          <w:lang w:val="en" w:eastAsia="en-GB"/>
          <w14:ligatures w14:val="none"/>
        </w:rPr>
        <w:t xml:space="preserve"> (Accessed on: 18th November 2024). </w:t>
      </w:r>
    </w:p>
    <w:p w14:paraId="0D40461B"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75CE2530" w14:textId="77777777" w:rsidR="009620E1" w:rsidRDefault="009620E1" w:rsidP="009620E1">
      <w:pPr>
        <w:spacing w:line="276" w:lineRule="auto"/>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Searight, H.R. (2016) ‘The rise of Rogers’ humanistic psychology and skinnerian behaviorism in Mid-20th century America: The historical context of personality theory’, </w:t>
      </w:r>
      <w:r w:rsidRPr="009620E1">
        <w:rPr>
          <w:rFonts w:ascii="Arial" w:eastAsia="Arial" w:hAnsi="Arial" w:cs="Arial"/>
          <w:i/>
          <w:color w:val="000000" w:themeColor="text1"/>
          <w:kern w:val="0"/>
          <w:sz w:val="22"/>
          <w:szCs w:val="22"/>
          <w:highlight w:val="white"/>
          <w:lang w:val="en" w:eastAsia="en-GB"/>
          <w14:ligatures w14:val="none"/>
        </w:rPr>
        <w:t>Psychological Specialties in Historical Context</w:t>
      </w:r>
      <w:r w:rsidRPr="009620E1">
        <w:rPr>
          <w:rFonts w:ascii="Arial" w:eastAsia="Arial" w:hAnsi="Arial" w:cs="Arial"/>
          <w:color w:val="000000" w:themeColor="text1"/>
          <w:kern w:val="0"/>
          <w:sz w:val="22"/>
          <w:szCs w:val="22"/>
          <w:highlight w:val="white"/>
          <w:lang w:val="en" w:eastAsia="en-GB"/>
          <w14:ligatures w14:val="none"/>
        </w:rPr>
        <w:t xml:space="preserve">, pp.99. Available at: </w:t>
      </w:r>
      <w:hyperlink r:id="rId43" w:history="1">
        <w:r w:rsidRPr="009620E1">
          <w:rPr>
            <w:rFonts w:ascii="Arial" w:eastAsia="Arial" w:hAnsi="Arial" w:cs="Arial"/>
            <w:color w:val="000000" w:themeColor="text1"/>
            <w:kern w:val="0"/>
            <w:sz w:val="22"/>
            <w:szCs w:val="22"/>
            <w:highlight w:val="white"/>
            <w:u w:val="single"/>
            <w:lang w:val="en" w:eastAsia="en-GB"/>
            <w14:ligatures w14:val="none"/>
          </w:rPr>
          <w:t>https://psycnet.apa.org/record/2018-41336-007</w:t>
        </w:r>
      </w:hyperlink>
      <w:r w:rsidRPr="009620E1">
        <w:rPr>
          <w:rFonts w:ascii="Arial" w:eastAsia="Arial" w:hAnsi="Arial" w:cs="Arial"/>
          <w:color w:val="000000" w:themeColor="text1"/>
          <w:kern w:val="0"/>
          <w:sz w:val="22"/>
          <w:szCs w:val="22"/>
          <w:highlight w:val="white"/>
          <w:lang w:val="en" w:eastAsia="en-GB"/>
          <w14:ligatures w14:val="none"/>
        </w:rPr>
        <w:t xml:space="preserve"> (Accessed on: 23rd November 2024). </w:t>
      </w:r>
    </w:p>
    <w:p w14:paraId="6CEC9E9C" w14:textId="77777777" w:rsidR="009F7E7C" w:rsidRDefault="009F7E7C" w:rsidP="009620E1">
      <w:pPr>
        <w:spacing w:line="276" w:lineRule="auto"/>
        <w:rPr>
          <w:rFonts w:ascii="Arial" w:eastAsia="Arial" w:hAnsi="Arial" w:cs="Arial"/>
          <w:color w:val="000000" w:themeColor="text1"/>
          <w:kern w:val="0"/>
          <w:sz w:val="22"/>
          <w:szCs w:val="22"/>
          <w:lang w:val="en" w:eastAsia="en-GB"/>
          <w14:ligatures w14:val="none"/>
        </w:rPr>
      </w:pPr>
    </w:p>
    <w:p w14:paraId="4EE4D21C" w14:textId="6DC9B66C" w:rsidR="009F7E7C" w:rsidRPr="009620E1" w:rsidRDefault="009F7E7C" w:rsidP="009F7E7C">
      <w:pPr>
        <w:keepNext/>
        <w:keepLines/>
        <w:shd w:val="clear" w:color="auto" w:fill="FFFFFF"/>
        <w:spacing w:after="390" w:line="276" w:lineRule="auto"/>
        <w:outlineLvl w:val="0"/>
        <w:rPr>
          <w:rFonts w:ascii="Arial" w:eastAsia="Arial" w:hAnsi="Arial" w:cs="Arial"/>
          <w:color w:val="000000" w:themeColor="text1"/>
          <w:kern w:val="0"/>
          <w:sz w:val="22"/>
          <w:szCs w:val="22"/>
          <w:lang w:val="en" w:eastAsia="en-GB"/>
          <w14:ligatures w14:val="none"/>
        </w:rPr>
      </w:pPr>
      <w:r>
        <w:rPr>
          <w:rFonts w:ascii="Arial" w:hAnsi="Arial" w:cs="Arial"/>
          <w:color w:val="222222"/>
          <w:sz w:val="20"/>
          <w:szCs w:val="20"/>
          <w:shd w:val="clear" w:color="auto" w:fill="FFFFFF"/>
        </w:rPr>
        <w:t>Stewart, S., 2023. </w:t>
      </w:r>
      <w:r>
        <w:rPr>
          <w:rFonts w:ascii="Arial" w:hAnsi="Arial" w:cs="Arial"/>
          <w:i/>
          <w:iCs/>
          <w:color w:val="222222"/>
          <w:sz w:val="20"/>
          <w:szCs w:val="20"/>
          <w:shd w:val="clear" w:color="auto" w:fill="FFFFFF"/>
        </w:rPr>
        <w:t>An Exploration of the Conceptualisation and Enactment of Children’s Rights in the Curriculum for Wales</w:t>
      </w:r>
      <w:r>
        <w:rPr>
          <w:rFonts w:ascii="Arial" w:hAnsi="Arial" w:cs="Arial"/>
          <w:color w:val="222222"/>
          <w:sz w:val="20"/>
          <w:szCs w:val="20"/>
          <w:shd w:val="clear" w:color="auto" w:fill="FFFFFF"/>
        </w:rPr>
        <w:t> (Doctoral dissertation, University of Wales Trinity Saint David (United Kingdom)</w:t>
      </w:r>
      <w:r>
        <w:rPr>
          <w:rFonts w:ascii="Arial" w:hAnsi="Arial" w:cs="Arial"/>
          <w:color w:val="222222"/>
          <w:sz w:val="20"/>
          <w:szCs w:val="20"/>
          <w:shd w:val="clear" w:color="auto" w:fill="FFFFFF"/>
        </w:rPr>
        <w:t xml:space="preserve">. Available at: </w:t>
      </w:r>
      <w:hyperlink r:id="rId44" w:history="1">
        <w:r w:rsidR="008E6BC1" w:rsidRPr="008E6BC1">
          <w:rPr>
            <w:color w:val="000000" w:themeColor="text1"/>
            <w:u w:val="single"/>
          </w:rPr>
          <w:t>An Exploration of the Conceptualisation and Enactment of Children’s Rights in the Curriculum for Wales - ProQuest</w:t>
        </w:r>
      </w:hyperlink>
      <w:r w:rsidR="008E6BC1">
        <w:rPr>
          <w:color w:val="000000" w:themeColor="text1"/>
        </w:rPr>
        <w:t xml:space="preserve"> (Accessed on 19</w:t>
      </w:r>
      <w:r w:rsidR="008E6BC1" w:rsidRPr="008E6BC1">
        <w:rPr>
          <w:color w:val="000000" w:themeColor="text1"/>
          <w:vertAlign w:val="superscript"/>
        </w:rPr>
        <w:t>th</w:t>
      </w:r>
      <w:r w:rsidR="008E6BC1">
        <w:rPr>
          <w:color w:val="000000" w:themeColor="text1"/>
        </w:rPr>
        <w:t xml:space="preserve"> January 2025).</w:t>
      </w:r>
    </w:p>
    <w:p w14:paraId="72D7765D" w14:textId="77777777" w:rsidR="009F7E7C" w:rsidRPr="009620E1" w:rsidRDefault="009F7E7C" w:rsidP="009620E1">
      <w:pPr>
        <w:spacing w:line="276" w:lineRule="auto"/>
        <w:rPr>
          <w:rFonts w:ascii="Arial" w:eastAsia="Aptos" w:hAnsi="Arial" w:cs="Arial"/>
          <w:color w:val="000000" w:themeColor="text1"/>
          <w:kern w:val="0"/>
          <w:sz w:val="22"/>
          <w:szCs w:val="22"/>
          <w:lang w:val="en" w:eastAsia="en-GB"/>
          <w14:ligatures w14:val="none"/>
        </w:rPr>
      </w:pPr>
    </w:p>
    <w:p w14:paraId="0075A92A"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3CE75426"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Mendes, S., and Mill, J. (2019) ‘John Stuart Mill on Education and Progress’, </w:t>
      </w:r>
      <w:r w:rsidRPr="009620E1">
        <w:rPr>
          <w:rFonts w:ascii="Arial" w:eastAsia="Aptos" w:hAnsi="Arial" w:cs="Arial"/>
          <w:i/>
          <w:color w:val="000000" w:themeColor="text1"/>
          <w:kern w:val="0"/>
          <w:sz w:val="22"/>
          <w:szCs w:val="22"/>
          <w:lang w:val="en" w:eastAsia="en-GB"/>
          <w14:ligatures w14:val="none"/>
        </w:rPr>
        <w:t>Anglo Saxonica</w:t>
      </w:r>
      <w:r w:rsidRPr="009620E1">
        <w:rPr>
          <w:rFonts w:ascii="Arial" w:eastAsia="Aptos" w:hAnsi="Arial" w:cs="Arial"/>
          <w:color w:val="000000" w:themeColor="text1"/>
          <w:kern w:val="0"/>
          <w:sz w:val="22"/>
          <w:szCs w:val="22"/>
          <w:lang w:val="en" w:eastAsia="en-GB"/>
          <w14:ligatures w14:val="none"/>
        </w:rPr>
        <w:t xml:space="preserve">, 19(1), pp. 1-17. Available at: </w:t>
      </w:r>
      <w:hyperlink r:id="rId45" w:history="1">
        <w:r w:rsidRPr="009620E1">
          <w:rPr>
            <w:rFonts w:ascii="Arial" w:eastAsia="Aptos" w:hAnsi="Arial" w:cs="Arial"/>
            <w:color w:val="000000" w:themeColor="text1"/>
            <w:kern w:val="0"/>
            <w:sz w:val="22"/>
            <w:szCs w:val="22"/>
            <w:u w:val="single"/>
            <w:lang w:val="en" w:eastAsia="en-GB"/>
            <w14:ligatures w14:val="none"/>
          </w:rPr>
          <w:t>https://revista-anglo-saxonica.org/articles/10.5334/as.44</w:t>
        </w:r>
      </w:hyperlink>
      <w:r w:rsidRPr="009620E1">
        <w:rPr>
          <w:rFonts w:ascii="Arial" w:eastAsia="Aptos" w:hAnsi="Arial" w:cs="Arial"/>
          <w:color w:val="000000" w:themeColor="text1"/>
          <w:kern w:val="0"/>
          <w:sz w:val="22"/>
          <w:szCs w:val="22"/>
          <w:lang w:val="en" w:eastAsia="en-GB"/>
          <w14:ligatures w14:val="none"/>
        </w:rPr>
        <w:t xml:space="preserve"> (Accessed on: 23rd November 2024). </w:t>
      </w:r>
    </w:p>
    <w:p w14:paraId="11940FDF"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7831A9B0"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r w:rsidRPr="009620E1">
        <w:rPr>
          <w:rFonts w:ascii="Arial" w:eastAsia="Aptos" w:hAnsi="Arial" w:cs="Arial"/>
          <w:color w:val="000000" w:themeColor="text1"/>
          <w:kern w:val="0"/>
          <w:sz w:val="22"/>
          <w:szCs w:val="22"/>
          <w:lang w:val="en" w:eastAsia="en-GB"/>
          <w14:ligatures w14:val="none"/>
        </w:rPr>
        <w:t xml:space="preserve">Tuttle, C. (2000). Hard At Work In Factories And Mines: The Economics Of Child Labor During The British Industrial Revolution (1st ed.). Routledge. Available at: </w:t>
      </w:r>
      <w:hyperlink r:id="rId46" w:history="1">
        <w:r w:rsidRPr="009620E1">
          <w:rPr>
            <w:rFonts w:ascii="Arial" w:eastAsia="Aptos" w:hAnsi="Arial" w:cs="Arial"/>
            <w:color w:val="000000" w:themeColor="text1"/>
            <w:kern w:val="0"/>
            <w:sz w:val="22"/>
            <w:szCs w:val="22"/>
            <w:u w:val="single"/>
            <w:lang w:val="en" w:eastAsia="en-GB"/>
            <w14:ligatures w14:val="none"/>
          </w:rPr>
          <w:t>https://doi.org/10.4324/9780429036989</w:t>
        </w:r>
      </w:hyperlink>
      <w:r w:rsidRPr="009620E1">
        <w:rPr>
          <w:rFonts w:ascii="Arial" w:eastAsia="Aptos" w:hAnsi="Arial" w:cs="Arial"/>
          <w:color w:val="000000" w:themeColor="text1"/>
          <w:kern w:val="0"/>
          <w:sz w:val="22"/>
          <w:szCs w:val="22"/>
          <w:lang w:val="en" w:eastAsia="en-GB"/>
          <w14:ligatures w14:val="none"/>
        </w:rPr>
        <w:t xml:space="preserve"> (Accessed on 1st December 2024).</w:t>
      </w:r>
    </w:p>
    <w:p w14:paraId="2447B050"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6D43ABC6" w14:textId="77777777" w:rsidR="009620E1" w:rsidRDefault="009620E1" w:rsidP="009620E1">
      <w:pPr>
        <w:keepNext/>
        <w:keepLines/>
        <w:shd w:val="clear" w:color="auto" w:fill="FFFFFF"/>
        <w:spacing w:after="390" w:line="276" w:lineRule="auto"/>
        <w:outlineLvl w:val="0"/>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lang w:val="en" w:eastAsia="en-GB"/>
          <w14:ligatures w14:val="none"/>
        </w:rPr>
        <w:t xml:space="preserve">UK Parliament (2024) </w:t>
      </w:r>
      <w:r w:rsidRPr="009620E1">
        <w:rPr>
          <w:rFonts w:ascii="Arial" w:eastAsia="Arial" w:hAnsi="Arial" w:cs="Arial"/>
          <w:i/>
          <w:color w:val="000000" w:themeColor="text1"/>
          <w:kern w:val="0"/>
          <w:sz w:val="22"/>
          <w:szCs w:val="22"/>
          <w:lang w:val="en" w:eastAsia="en-GB"/>
          <w14:ligatures w14:val="none"/>
        </w:rPr>
        <w:t xml:space="preserve">The 1870 Education Act. </w:t>
      </w:r>
      <w:r w:rsidRPr="009620E1">
        <w:rPr>
          <w:rFonts w:ascii="Arial" w:eastAsia="Arial" w:hAnsi="Arial" w:cs="Arial"/>
          <w:color w:val="000000" w:themeColor="text1"/>
          <w:kern w:val="0"/>
          <w:sz w:val="22"/>
          <w:szCs w:val="22"/>
          <w:lang w:val="en" w:eastAsia="en-GB"/>
          <w14:ligatures w14:val="none"/>
        </w:rPr>
        <w:t xml:space="preserve">Available at: </w:t>
      </w:r>
      <w:hyperlink r:id="rId47" w:anchor=":~:text=More%20Education%20Acts,Epileptic%20Children)%20Act%20of%201899." w:history="1">
        <w:r w:rsidRPr="009620E1">
          <w:rPr>
            <w:rFonts w:ascii="Arial" w:eastAsia="Arial" w:hAnsi="Arial" w:cs="Arial"/>
            <w:color w:val="000000" w:themeColor="text1"/>
            <w:kern w:val="0"/>
            <w:sz w:val="22"/>
            <w:szCs w:val="22"/>
            <w:u w:val="single"/>
            <w:lang w:val="en" w:eastAsia="en-GB"/>
            <w14:ligatures w14:val="none"/>
          </w:rPr>
          <w:t>The 1870 Education Act - UK Parliament</w:t>
        </w:r>
      </w:hyperlink>
      <w:r w:rsidRPr="009620E1">
        <w:rPr>
          <w:rFonts w:ascii="Arial" w:eastAsia="Arial" w:hAnsi="Arial" w:cs="Arial"/>
          <w:color w:val="000000" w:themeColor="text1"/>
          <w:kern w:val="0"/>
          <w:sz w:val="22"/>
          <w:szCs w:val="22"/>
          <w:lang w:val="en" w:eastAsia="en-GB"/>
          <w14:ligatures w14:val="none"/>
        </w:rPr>
        <w:t xml:space="preserve">. Available at: </w:t>
      </w:r>
      <w:hyperlink r:id="rId48" w:anchor=":~:text=More%20Education%20Acts,Epileptic%20Children" w:history="1">
        <w:r w:rsidRPr="009620E1">
          <w:rPr>
            <w:rFonts w:ascii="Arial" w:eastAsia="Arial" w:hAnsi="Arial" w:cs="Arial"/>
            <w:color w:val="000000" w:themeColor="text1"/>
            <w:kern w:val="0"/>
            <w:sz w:val="22"/>
            <w:szCs w:val="22"/>
            <w:u w:val="single"/>
            <w:lang w:val="en" w:eastAsia="en-GB"/>
            <w14:ligatures w14:val="none"/>
          </w:rPr>
          <w:t>https://www.parliament.uk/about/living-heritage/transformingsociety/livinglearning/school/overview/1870educationact/#:~:text=More%20Education%20Acts,Epileptic%20Children</w:t>
        </w:r>
      </w:hyperlink>
      <w:r w:rsidRPr="009620E1">
        <w:rPr>
          <w:rFonts w:ascii="Arial" w:eastAsia="Arial" w:hAnsi="Arial" w:cs="Arial"/>
          <w:color w:val="000000" w:themeColor="text1"/>
          <w:kern w:val="0"/>
          <w:sz w:val="22"/>
          <w:szCs w:val="22"/>
          <w:lang w:val="en" w:eastAsia="en-GB"/>
          <w14:ligatures w14:val="none"/>
        </w:rPr>
        <w:t>)%20Act%20of%201899. (Accessed on 1</w:t>
      </w:r>
      <w:r w:rsidRPr="009620E1">
        <w:rPr>
          <w:rFonts w:ascii="Arial" w:eastAsia="Arial" w:hAnsi="Arial" w:cs="Arial"/>
          <w:color w:val="000000" w:themeColor="text1"/>
          <w:kern w:val="0"/>
          <w:sz w:val="22"/>
          <w:szCs w:val="22"/>
          <w:vertAlign w:val="superscript"/>
          <w:lang w:val="en" w:eastAsia="en-GB"/>
          <w14:ligatures w14:val="none"/>
        </w:rPr>
        <w:t>st</w:t>
      </w:r>
      <w:r w:rsidRPr="009620E1">
        <w:rPr>
          <w:rFonts w:ascii="Arial" w:eastAsia="Arial" w:hAnsi="Arial" w:cs="Arial"/>
          <w:color w:val="000000" w:themeColor="text1"/>
          <w:kern w:val="0"/>
          <w:sz w:val="22"/>
          <w:szCs w:val="22"/>
          <w:lang w:val="en" w:eastAsia="en-GB"/>
          <w14:ligatures w14:val="none"/>
        </w:rPr>
        <w:t xml:space="preserve"> December 2024). </w:t>
      </w:r>
    </w:p>
    <w:p w14:paraId="38525F6E" w14:textId="77777777" w:rsidR="00B21E8D" w:rsidRDefault="00B21E8D" w:rsidP="009620E1">
      <w:pPr>
        <w:keepNext/>
        <w:keepLines/>
        <w:shd w:val="clear" w:color="auto" w:fill="FFFFFF"/>
        <w:spacing w:after="390" w:line="276" w:lineRule="auto"/>
        <w:outlineLvl w:val="0"/>
        <w:rPr>
          <w:rFonts w:ascii="Arial" w:eastAsia="Arial" w:hAnsi="Arial" w:cs="Arial"/>
          <w:color w:val="000000" w:themeColor="text1"/>
          <w:kern w:val="0"/>
          <w:sz w:val="22"/>
          <w:szCs w:val="22"/>
          <w:lang w:val="en" w:eastAsia="en-GB"/>
          <w14:ligatures w14:val="none"/>
        </w:rPr>
      </w:pPr>
    </w:p>
    <w:p w14:paraId="368C4150" w14:textId="62F7B68E" w:rsidR="00B21E8D" w:rsidRDefault="00B21E8D" w:rsidP="009620E1">
      <w:pPr>
        <w:keepNext/>
        <w:keepLines/>
        <w:shd w:val="clear" w:color="auto" w:fill="FFFFFF"/>
        <w:spacing w:after="390" w:line="276" w:lineRule="auto"/>
        <w:outlineLvl w:val="0"/>
        <w:rPr>
          <w:rFonts w:ascii="Arial" w:hAnsi="Arial" w:cs="Arial"/>
          <w:color w:val="222222"/>
          <w:sz w:val="20"/>
          <w:szCs w:val="20"/>
          <w:shd w:val="clear" w:color="auto" w:fill="FFFFFF"/>
        </w:rPr>
      </w:pPr>
      <w:r>
        <w:rPr>
          <w:rFonts w:ascii="Arial" w:hAnsi="Arial" w:cs="Arial"/>
          <w:color w:val="222222"/>
          <w:sz w:val="20"/>
          <w:szCs w:val="20"/>
          <w:shd w:val="clear" w:color="auto" w:fill="FFFFFF"/>
        </w:rPr>
        <w:t>Waters, J., Lewis, A., Sarwar, S. and Tyrie, J., 2017. Exploring the extent of enactment of young children's rights in the education system in Wales. </w:t>
      </w:r>
      <w:r>
        <w:rPr>
          <w:rFonts w:ascii="Arial" w:hAnsi="Arial" w:cs="Arial"/>
          <w:i/>
          <w:iCs/>
          <w:color w:val="222222"/>
          <w:sz w:val="20"/>
          <w:szCs w:val="20"/>
          <w:shd w:val="clear" w:color="auto" w:fill="FFFFFF"/>
        </w:rPr>
        <w:t>Wales Journal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(2).</w:t>
      </w:r>
      <w:r>
        <w:rPr>
          <w:rFonts w:ascii="Arial" w:hAnsi="Arial" w:cs="Arial"/>
          <w:color w:val="222222"/>
          <w:sz w:val="20"/>
          <w:szCs w:val="20"/>
          <w:shd w:val="clear" w:color="auto" w:fill="FFFFFF"/>
        </w:rPr>
        <w:t xml:space="preserve"> Available at: </w:t>
      </w:r>
      <w:hyperlink r:id="rId49" w:history="1">
        <w:r w:rsidR="004B5DBB" w:rsidRPr="00FA6760">
          <w:rPr>
            <w:rStyle w:val="Hyperlink"/>
            <w:rFonts w:ascii="Arial" w:hAnsi="Arial" w:cs="Arial"/>
            <w:sz w:val="20"/>
            <w:szCs w:val="20"/>
            <w:shd w:val="clear" w:color="auto" w:fill="FFFFFF"/>
          </w:rPr>
          <w:t>https://journal.uwp.co.uk/wje/article/id/371/</w:t>
        </w:r>
      </w:hyperlink>
      <w:r w:rsidR="004B5DBB">
        <w:rPr>
          <w:rFonts w:ascii="Arial" w:hAnsi="Arial" w:cs="Arial"/>
          <w:color w:val="222222"/>
          <w:sz w:val="20"/>
          <w:szCs w:val="20"/>
          <w:shd w:val="clear" w:color="auto" w:fill="FFFFFF"/>
        </w:rPr>
        <w:t xml:space="preserve"> (Accessed on 19</w:t>
      </w:r>
      <w:r w:rsidR="004B5DBB" w:rsidRPr="004B5DBB">
        <w:rPr>
          <w:rFonts w:ascii="Arial" w:hAnsi="Arial" w:cs="Arial"/>
          <w:color w:val="222222"/>
          <w:sz w:val="20"/>
          <w:szCs w:val="20"/>
          <w:shd w:val="clear" w:color="auto" w:fill="FFFFFF"/>
          <w:vertAlign w:val="superscript"/>
        </w:rPr>
        <w:t>th</w:t>
      </w:r>
      <w:r w:rsidR="004B5DBB">
        <w:rPr>
          <w:rFonts w:ascii="Arial" w:hAnsi="Arial" w:cs="Arial"/>
          <w:color w:val="222222"/>
          <w:sz w:val="20"/>
          <w:szCs w:val="20"/>
          <w:shd w:val="clear" w:color="auto" w:fill="FFFFFF"/>
        </w:rPr>
        <w:t xml:space="preserve"> January 2025).</w:t>
      </w:r>
    </w:p>
    <w:p w14:paraId="5821CC68" w14:textId="77777777" w:rsidR="009620E1" w:rsidRPr="009620E1" w:rsidRDefault="009620E1" w:rsidP="009620E1">
      <w:pPr>
        <w:spacing w:after="0" w:line="276" w:lineRule="auto"/>
        <w:rPr>
          <w:rFonts w:ascii="Arial" w:eastAsia="Arial" w:hAnsi="Arial" w:cs="Arial"/>
          <w:color w:val="000000" w:themeColor="text1"/>
          <w:kern w:val="0"/>
          <w:sz w:val="22"/>
          <w:szCs w:val="22"/>
          <w:lang w:val="en" w:eastAsia="en-GB"/>
          <w14:ligatures w14:val="none"/>
        </w:rPr>
      </w:pPr>
    </w:p>
    <w:p w14:paraId="23AB86D4" w14:textId="77777777" w:rsidR="009620E1" w:rsidRPr="009620E1" w:rsidRDefault="009620E1" w:rsidP="009620E1">
      <w:pPr>
        <w:spacing w:after="0" w:line="276" w:lineRule="auto"/>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lang w:val="en" w:eastAsia="en-GB"/>
          <w14:ligatures w14:val="none"/>
        </w:rPr>
        <w:t xml:space="preserve">Wessels, M. (2015) ‘Bottom-up approaches to strengthening child protection systems: Placing children, families, and communities at the center’, </w:t>
      </w:r>
      <w:r w:rsidRPr="009620E1">
        <w:rPr>
          <w:rFonts w:ascii="Arial" w:eastAsia="Arial" w:hAnsi="Arial" w:cs="Arial"/>
          <w:i/>
          <w:color w:val="000000" w:themeColor="text1"/>
          <w:kern w:val="0"/>
          <w:sz w:val="22"/>
          <w:szCs w:val="22"/>
          <w:lang w:val="en" w:eastAsia="en-GB"/>
          <w14:ligatures w14:val="none"/>
        </w:rPr>
        <w:t xml:space="preserve">Child abuse and neglect, </w:t>
      </w:r>
      <w:r w:rsidRPr="009620E1">
        <w:rPr>
          <w:rFonts w:ascii="Arial" w:eastAsia="Arial" w:hAnsi="Arial" w:cs="Arial"/>
          <w:color w:val="000000" w:themeColor="text1"/>
          <w:kern w:val="0"/>
          <w:sz w:val="22"/>
          <w:szCs w:val="22"/>
          <w:lang w:val="en" w:eastAsia="en-GB"/>
          <w14:ligatures w14:val="none"/>
        </w:rPr>
        <w:t xml:space="preserve">43, pp. </w:t>
      </w:r>
      <w:r w:rsidRPr="009620E1">
        <w:rPr>
          <w:rFonts w:ascii="Arial" w:eastAsia="Arial" w:hAnsi="Arial" w:cs="Arial"/>
          <w:color w:val="000000" w:themeColor="text1"/>
          <w:kern w:val="0"/>
          <w:sz w:val="22"/>
          <w:szCs w:val="22"/>
          <w:lang w:val="en" w:eastAsia="en-GB"/>
          <w14:ligatures w14:val="none"/>
        </w:rPr>
        <w:lastRenderedPageBreak/>
        <w:t xml:space="preserve">8-21. Available at: </w:t>
      </w:r>
      <w:hyperlink r:id="rId50" w:history="1">
        <w:r w:rsidRPr="009620E1">
          <w:rPr>
            <w:rFonts w:ascii="Arial" w:eastAsia="Arial" w:hAnsi="Arial" w:cs="Arial"/>
            <w:color w:val="000000" w:themeColor="text1"/>
            <w:kern w:val="0"/>
            <w:sz w:val="22"/>
            <w:szCs w:val="22"/>
            <w:u w:val="single"/>
            <w:lang w:val="en" w:eastAsia="en-GB"/>
            <w14:ligatures w14:val="none"/>
          </w:rPr>
          <w:t>https://www.sciencedirect.com/science/article/pii/S0145213415001246?via%3Dihub</w:t>
        </w:r>
      </w:hyperlink>
      <w:r w:rsidRPr="009620E1">
        <w:rPr>
          <w:rFonts w:ascii="Arial" w:eastAsia="Arial" w:hAnsi="Arial" w:cs="Arial"/>
          <w:color w:val="000000" w:themeColor="text1"/>
          <w:kern w:val="0"/>
          <w:sz w:val="22"/>
          <w:szCs w:val="22"/>
          <w:lang w:val="en" w:eastAsia="en-GB"/>
          <w14:ligatures w14:val="none"/>
        </w:rPr>
        <w:t xml:space="preserve"> (Accessed on: 19th November 2024). </w:t>
      </w:r>
    </w:p>
    <w:p w14:paraId="06602CB7" w14:textId="77777777" w:rsidR="009620E1" w:rsidRPr="009620E1" w:rsidRDefault="009620E1" w:rsidP="009620E1">
      <w:pPr>
        <w:spacing w:after="0" w:line="276" w:lineRule="auto"/>
        <w:rPr>
          <w:rFonts w:ascii="Arial" w:eastAsia="Arial" w:hAnsi="Arial" w:cs="Arial"/>
          <w:color w:val="000000" w:themeColor="text1"/>
          <w:kern w:val="0"/>
          <w:sz w:val="22"/>
          <w:szCs w:val="22"/>
          <w:lang w:val="en" w:eastAsia="en-GB"/>
          <w14:ligatures w14:val="none"/>
        </w:rPr>
      </w:pPr>
    </w:p>
    <w:p w14:paraId="32A016B6" w14:textId="77777777" w:rsidR="009620E1" w:rsidRPr="009620E1" w:rsidRDefault="009620E1" w:rsidP="009620E1">
      <w:pPr>
        <w:spacing w:after="0" w:line="276" w:lineRule="auto"/>
        <w:rPr>
          <w:rFonts w:ascii="Arial" w:eastAsia="Arial" w:hAnsi="Arial" w:cs="Arial"/>
          <w:color w:val="000000" w:themeColor="text1"/>
          <w:kern w:val="0"/>
          <w:sz w:val="22"/>
          <w:szCs w:val="22"/>
          <w:lang w:val="en" w:eastAsia="en-GB"/>
          <w14:ligatures w14:val="none"/>
        </w:rPr>
      </w:pPr>
    </w:p>
    <w:p w14:paraId="429420BB" w14:textId="77777777" w:rsidR="009620E1" w:rsidRPr="009620E1" w:rsidRDefault="009620E1" w:rsidP="009620E1">
      <w:pPr>
        <w:spacing w:line="276" w:lineRule="auto"/>
        <w:rPr>
          <w:rFonts w:ascii="Arial" w:eastAsia="Arial" w:hAnsi="Arial" w:cs="Arial"/>
          <w:color w:val="000000" w:themeColor="text1"/>
          <w:kern w:val="0"/>
          <w:sz w:val="22"/>
          <w:szCs w:val="22"/>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Winstone, N.E., Nash, R.A., Parker, M. and Rowntree, J. (2017) ‘Supporting learners' agentic engagement with feedback: A systematic review and a taxonomy of recipience processes’, </w:t>
      </w:r>
      <w:r w:rsidRPr="009620E1">
        <w:rPr>
          <w:rFonts w:ascii="Arial" w:eastAsia="Arial" w:hAnsi="Arial" w:cs="Arial"/>
          <w:i/>
          <w:color w:val="000000" w:themeColor="text1"/>
          <w:kern w:val="0"/>
          <w:sz w:val="22"/>
          <w:szCs w:val="22"/>
          <w:highlight w:val="white"/>
          <w:lang w:val="en" w:eastAsia="en-GB"/>
          <w14:ligatures w14:val="none"/>
        </w:rPr>
        <w:t>Educational psychologist</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52</w:t>
      </w:r>
      <w:r w:rsidRPr="009620E1">
        <w:rPr>
          <w:rFonts w:ascii="Arial" w:eastAsia="Arial" w:hAnsi="Arial" w:cs="Arial"/>
          <w:color w:val="000000" w:themeColor="text1"/>
          <w:kern w:val="0"/>
          <w:sz w:val="22"/>
          <w:szCs w:val="22"/>
          <w:highlight w:val="white"/>
          <w:lang w:val="en" w:eastAsia="en-GB"/>
          <w14:ligatures w14:val="none"/>
        </w:rPr>
        <w:t xml:space="preserve">(1), pp.17-37. Available at: </w:t>
      </w:r>
      <w:hyperlink r:id="rId51" w:history="1">
        <w:r w:rsidRPr="009620E1">
          <w:rPr>
            <w:rFonts w:ascii="Arial" w:eastAsia="Arial" w:hAnsi="Arial" w:cs="Arial"/>
            <w:color w:val="000000" w:themeColor="text1"/>
            <w:kern w:val="0"/>
            <w:sz w:val="22"/>
            <w:szCs w:val="22"/>
            <w:highlight w:val="white"/>
            <w:u w:val="single"/>
            <w:lang w:val="en" w:eastAsia="en-GB"/>
            <w14:ligatures w14:val="none"/>
          </w:rPr>
          <w:t>https://www.tandfonline.com/doi/full/10.1080/00461520.2016.1207538</w:t>
        </w:r>
      </w:hyperlink>
      <w:r w:rsidRPr="009620E1">
        <w:rPr>
          <w:rFonts w:ascii="Arial" w:eastAsia="Arial" w:hAnsi="Arial" w:cs="Arial"/>
          <w:color w:val="000000" w:themeColor="text1"/>
          <w:kern w:val="0"/>
          <w:sz w:val="22"/>
          <w:szCs w:val="22"/>
          <w:highlight w:val="white"/>
          <w:lang w:val="en" w:eastAsia="en-GB"/>
          <w14:ligatures w14:val="none"/>
        </w:rPr>
        <w:t xml:space="preserve"> (Accessed on: 21st November 2024). </w:t>
      </w:r>
    </w:p>
    <w:p w14:paraId="47B86CE4" w14:textId="77777777" w:rsidR="009620E1" w:rsidRPr="009620E1" w:rsidRDefault="009620E1" w:rsidP="009620E1">
      <w:pPr>
        <w:spacing w:after="0" w:line="276" w:lineRule="auto"/>
        <w:rPr>
          <w:rFonts w:ascii="Arial" w:eastAsia="Arial" w:hAnsi="Arial" w:cs="Arial"/>
          <w:color w:val="000000" w:themeColor="text1"/>
          <w:kern w:val="0"/>
          <w:sz w:val="22"/>
          <w:szCs w:val="22"/>
          <w:lang w:val="en" w:eastAsia="en-GB"/>
          <w14:ligatures w14:val="none"/>
        </w:rPr>
      </w:pPr>
    </w:p>
    <w:p w14:paraId="09364132" w14:textId="77777777" w:rsidR="009620E1" w:rsidRPr="009620E1" w:rsidRDefault="009620E1" w:rsidP="009620E1">
      <w:pPr>
        <w:spacing w:after="0" w:line="276" w:lineRule="auto"/>
        <w:rPr>
          <w:rFonts w:ascii="Arial" w:eastAsia="Arial" w:hAnsi="Arial" w:cs="Arial"/>
          <w:color w:val="000000" w:themeColor="text1"/>
          <w:kern w:val="0"/>
          <w:sz w:val="22"/>
          <w:szCs w:val="22"/>
          <w:lang w:val="en" w:eastAsia="en-GB"/>
          <w14:ligatures w14:val="none"/>
        </w:rPr>
      </w:pPr>
    </w:p>
    <w:p w14:paraId="016FD0E4"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r w:rsidRPr="009620E1">
        <w:rPr>
          <w:rFonts w:ascii="Arial" w:eastAsia="Arial" w:hAnsi="Arial" w:cs="Arial"/>
          <w:color w:val="000000" w:themeColor="text1"/>
          <w:kern w:val="0"/>
          <w:sz w:val="22"/>
          <w:szCs w:val="22"/>
          <w:highlight w:val="white"/>
          <w:lang w:val="en" w:eastAsia="en-GB"/>
          <w14:ligatures w14:val="none"/>
        </w:rPr>
        <w:t xml:space="preserve">Yigit, S. (2024) ‘Margaret Thatcher and Domestic Politics: Thatcher, the Milk Snatcher’, </w:t>
      </w:r>
      <w:r w:rsidRPr="009620E1">
        <w:rPr>
          <w:rFonts w:ascii="Arial" w:eastAsia="Arial" w:hAnsi="Arial" w:cs="Arial"/>
          <w:i/>
          <w:color w:val="000000" w:themeColor="text1"/>
          <w:kern w:val="0"/>
          <w:sz w:val="22"/>
          <w:szCs w:val="22"/>
          <w:highlight w:val="white"/>
          <w:lang w:val="en" w:eastAsia="en-GB"/>
          <w14:ligatures w14:val="none"/>
        </w:rPr>
        <w:t>In</w:t>
      </w:r>
      <w:r w:rsidRPr="009620E1">
        <w:rPr>
          <w:rFonts w:ascii="Arial" w:eastAsia="Arial" w:hAnsi="Arial" w:cs="Arial"/>
          <w:color w:val="000000" w:themeColor="text1"/>
          <w:kern w:val="0"/>
          <w:sz w:val="22"/>
          <w:szCs w:val="22"/>
          <w:highlight w:val="white"/>
          <w:lang w:val="en" w:eastAsia="en-GB"/>
          <w14:ligatures w14:val="none"/>
        </w:rPr>
        <w:t> </w:t>
      </w:r>
      <w:r w:rsidRPr="009620E1">
        <w:rPr>
          <w:rFonts w:ascii="Arial" w:eastAsia="Arial" w:hAnsi="Arial" w:cs="Arial"/>
          <w:i/>
          <w:color w:val="000000" w:themeColor="text1"/>
          <w:kern w:val="0"/>
          <w:sz w:val="22"/>
          <w:szCs w:val="22"/>
          <w:highlight w:val="white"/>
          <w:lang w:val="en" w:eastAsia="en-GB"/>
          <w14:ligatures w14:val="none"/>
        </w:rPr>
        <w:t>Gender Issues in Government and Management</w:t>
      </w:r>
      <w:r w:rsidRPr="009620E1">
        <w:rPr>
          <w:rFonts w:ascii="Arial" w:eastAsia="Arial" w:hAnsi="Arial" w:cs="Arial"/>
          <w:color w:val="000000" w:themeColor="text1"/>
          <w:kern w:val="0"/>
          <w:sz w:val="22"/>
          <w:szCs w:val="22"/>
          <w:highlight w:val="white"/>
          <w:lang w:val="en" w:eastAsia="en-GB"/>
          <w14:ligatures w14:val="none"/>
        </w:rPr>
        <w:t xml:space="preserve">, pp. 335-360. Available at: </w:t>
      </w:r>
      <w:hyperlink r:id="rId52" w:history="1">
        <w:r w:rsidRPr="009620E1">
          <w:rPr>
            <w:rFonts w:ascii="Arial" w:eastAsia="Arial" w:hAnsi="Arial" w:cs="Arial"/>
            <w:color w:val="000000" w:themeColor="text1"/>
            <w:kern w:val="0"/>
            <w:sz w:val="22"/>
            <w:szCs w:val="22"/>
            <w:highlight w:val="white"/>
            <w:u w:val="single"/>
            <w:lang w:val="en" w:eastAsia="en-GB"/>
            <w14:ligatures w14:val="none"/>
          </w:rPr>
          <w:t>https://www.igi-global.com/chapter/margaret-thatcher-and-domestic-politics/356113</w:t>
        </w:r>
      </w:hyperlink>
      <w:r w:rsidRPr="009620E1">
        <w:rPr>
          <w:rFonts w:ascii="Arial" w:eastAsia="Arial" w:hAnsi="Arial" w:cs="Arial"/>
          <w:color w:val="000000" w:themeColor="text1"/>
          <w:kern w:val="0"/>
          <w:sz w:val="22"/>
          <w:szCs w:val="22"/>
          <w:highlight w:val="white"/>
          <w:lang w:val="en" w:eastAsia="en-GB"/>
          <w14:ligatures w14:val="none"/>
        </w:rPr>
        <w:t xml:space="preserve"> (Accessed on: 12th December 2024). </w:t>
      </w:r>
    </w:p>
    <w:p w14:paraId="39AD775F"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EC9485C"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1AE9D65A"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17D107E0"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4927D34C"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17E1E9EC" w14:textId="77777777" w:rsidR="009620E1" w:rsidRPr="009620E1" w:rsidRDefault="009620E1" w:rsidP="009620E1">
      <w:pPr>
        <w:spacing w:line="276" w:lineRule="auto"/>
        <w:rPr>
          <w:rFonts w:ascii="Arial" w:eastAsia="Aptos" w:hAnsi="Arial" w:cs="Arial"/>
          <w:color w:val="000000" w:themeColor="text1"/>
          <w:kern w:val="0"/>
          <w:sz w:val="22"/>
          <w:szCs w:val="22"/>
          <w:lang w:val="en" w:eastAsia="en-GB"/>
          <w14:ligatures w14:val="none"/>
        </w:rPr>
      </w:pPr>
    </w:p>
    <w:p w14:paraId="50D7B802"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7EBB042F" w14:textId="77777777" w:rsidR="009620E1" w:rsidRPr="009620E1" w:rsidRDefault="009620E1" w:rsidP="009620E1">
      <w:pPr>
        <w:spacing w:line="276" w:lineRule="auto"/>
        <w:rPr>
          <w:rFonts w:ascii="Arial" w:eastAsia="Arial" w:hAnsi="Arial" w:cs="Arial"/>
          <w:color w:val="000000" w:themeColor="text1"/>
          <w:kern w:val="0"/>
          <w:sz w:val="22"/>
          <w:szCs w:val="22"/>
          <w:highlight w:val="white"/>
          <w:lang w:val="en" w:eastAsia="en-GB"/>
          <w14:ligatures w14:val="none"/>
        </w:rPr>
      </w:pPr>
    </w:p>
    <w:p w14:paraId="679C68A5"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76677F98"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7B96DB82"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656FFCA4"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143C0782" w14:textId="77777777" w:rsidR="009620E1" w:rsidRPr="009620E1" w:rsidRDefault="009620E1" w:rsidP="009620E1">
      <w:pPr>
        <w:spacing w:line="276" w:lineRule="auto"/>
        <w:rPr>
          <w:rFonts w:ascii="Noto Sans" w:eastAsia="Noto Sans" w:hAnsi="Noto Sans" w:cs="Noto Sans"/>
          <w:color w:val="181817"/>
          <w:kern w:val="0"/>
          <w:shd w:val="clear" w:color="auto" w:fill="CAE7FF"/>
          <w:lang w:val="en" w:eastAsia="en-GB"/>
          <w14:ligatures w14:val="none"/>
        </w:rPr>
      </w:pPr>
    </w:p>
    <w:p w14:paraId="5DF8B73A" w14:textId="77777777" w:rsidR="009620E1" w:rsidRPr="009620E1" w:rsidRDefault="009620E1" w:rsidP="009620E1">
      <w:pPr>
        <w:spacing w:line="276" w:lineRule="auto"/>
        <w:rPr>
          <w:rFonts w:ascii="Noto Sans" w:eastAsia="Noto Sans" w:hAnsi="Noto Sans" w:cs="Noto Sans"/>
          <w:color w:val="181817"/>
          <w:kern w:val="0"/>
          <w:shd w:val="clear" w:color="auto" w:fill="CAE7FF"/>
          <w:lang w:val="en" w:eastAsia="en-GB"/>
          <w14:ligatures w14:val="none"/>
        </w:rPr>
      </w:pPr>
    </w:p>
    <w:p w14:paraId="299A2455"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197098D0"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0FA3256E"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00DF937A"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1C2970BC" w14:textId="77777777" w:rsidR="009620E1" w:rsidRPr="009620E1" w:rsidRDefault="009620E1" w:rsidP="009620E1">
      <w:pPr>
        <w:spacing w:line="276" w:lineRule="auto"/>
        <w:rPr>
          <w:rFonts w:ascii="Arial" w:eastAsia="Arial" w:hAnsi="Arial" w:cs="Arial"/>
          <w:color w:val="222222"/>
          <w:kern w:val="0"/>
          <w:sz w:val="20"/>
          <w:szCs w:val="20"/>
          <w:highlight w:val="white"/>
          <w:lang w:val="en" w:eastAsia="en-GB"/>
          <w14:ligatures w14:val="none"/>
        </w:rPr>
      </w:pPr>
    </w:p>
    <w:p w14:paraId="128C25FB" w14:textId="7CD6A5B9" w:rsidR="001A4A94" w:rsidRPr="0005249D" w:rsidRDefault="001A4A94" w:rsidP="0005249D">
      <w:pPr>
        <w:pStyle w:val="NormalWeb"/>
        <w:spacing w:line="480" w:lineRule="auto"/>
        <w:jc w:val="both"/>
        <w:rPr>
          <w:rFonts w:ascii="Arial" w:hAnsi="Arial" w:cs="Arial"/>
          <w:sz w:val="22"/>
          <w:szCs w:val="22"/>
        </w:rPr>
      </w:pPr>
    </w:p>
    <w:p w14:paraId="003716B4" w14:textId="77777777" w:rsidR="00E318A9" w:rsidRDefault="00E318A9" w:rsidP="00016BF4">
      <w:pPr>
        <w:pStyle w:val="NormalWeb"/>
      </w:pPr>
    </w:p>
    <w:p w14:paraId="05CD1685" w14:textId="73879B88" w:rsidR="00432FF5" w:rsidRDefault="00432FF5" w:rsidP="00432FF5"/>
    <w:p w14:paraId="0166A6E1" w14:textId="77777777" w:rsidR="00432FF5" w:rsidRDefault="00432FF5" w:rsidP="00AA15B9">
      <w:pPr>
        <w:pStyle w:val="NormalWeb"/>
      </w:pPr>
    </w:p>
    <w:p w14:paraId="65F958C4" w14:textId="016BE4FF" w:rsidR="0068150D" w:rsidRDefault="0068150D" w:rsidP="0068150D">
      <w:pPr>
        <w:pStyle w:val="NormalWeb"/>
      </w:pPr>
    </w:p>
    <w:p w14:paraId="675C253D" w14:textId="29CF437A" w:rsidR="00C71F43" w:rsidRDefault="00C71F43" w:rsidP="005027F8">
      <w:pPr>
        <w:pStyle w:val="NormalWeb"/>
      </w:pPr>
    </w:p>
    <w:p w14:paraId="7C2CF8A8" w14:textId="7698B213" w:rsidR="004F5F8D" w:rsidRDefault="004F5F8D" w:rsidP="004F5F8D">
      <w:pPr>
        <w:pStyle w:val="NormalWeb"/>
      </w:pPr>
    </w:p>
    <w:p w14:paraId="3DF07991" w14:textId="644C5258" w:rsidR="00797493" w:rsidRPr="00797493" w:rsidRDefault="00797493" w:rsidP="003C1C81">
      <w:pPr>
        <w:pStyle w:val="NormalWeb"/>
      </w:pPr>
    </w:p>
    <w:p w14:paraId="2003E20B" w14:textId="388666A2" w:rsidR="00AD5596" w:rsidRDefault="00B47EBB" w:rsidP="00B47EBB">
      <w:pPr>
        <w:pStyle w:val="NormalWeb"/>
      </w:pPr>
      <w:r>
        <w:t xml:space="preserve"> </w:t>
      </w:r>
    </w:p>
    <w:p w14:paraId="088CE303" w14:textId="4856671C" w:rsidR="00425F92" w:rsidRPr="00425F92" w:rsidRDefault="00425F92" w:rsidP="008D6282">
      <w:pPr>
        <w:pStyle w:val="NormalWeb"/>
      </w:pPr>
    </w:p>
    <w:p w14:paraId="1D17710B" w14:textId="72F02F99" w:rsidR="00D64F2E" w:rsidRDefault="00040042" w:rsidP="000A22EB">
      <w:pPr>
        <w:pStyle w:val="NormalWeb"/>
      </w:pPr>
      <w:r>
        <w:t>.</w:t>
      </w:r>
    </w:p>
    <w:p w14:paraId="722D9B8C" w14:textId="77777777" w:rsidR="00DF47B7" w:rsidRDefault="00DF47B7" w:rsidP="00DF47B7">
      <w:pPr>
        <w:pStyle w:val="NormalWeb"/>
      </w:pPr>
    </w:p>
    <w:p w14:paraId="4C1B43DC" w14:textId="305FCC18" w:rsidR="002B3DC2" w:rsidRDefault="002B3DC2" w:rsidP="00CD0E44">
      <w:pPr>
        <w:pStyle w:val="NormalWeb"/>
      </w:pPr>
    </w:p>
    <w:sectPr w:rsidR="002B3DC2">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19805" w14:textId="77777777" w:rsidR="0034608E" w:rsidRDefault="0034608E" w:rsidP="00685293">
      <w:pPr>
        <w:spacing w:after="0" w:line="240" w:lineRule="auto"/>
      </w:pPr>
      <w:r>
        <w:separator/>
      </w:r>
    </w:p>
  </w:endnote>
  <w:endnote w:type="continuationSeparator" w:id="0">
    <w:p w14:paraId="340D4F41" w14:textId="77777777" w:rsidR="0034608E" w:rsidRDefault="0034608E" w:rsidP="00685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erriweather Sans">
    <w:charset w:val="00"/>
    <w:family w:val="auto"/>
    <w:pitch w:val="variable"/>
    <w:sig w:usb0="A00004FF" w:usb1="4000207B" w:usb2="00000000" w:usb3="00000000" w:csb0="00000193"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972586"/>
      <w:docPartObj>
        <w:docPartGallery w:val="Page Numbers (Bottom of Page)"/>
        <w:docPartUnique/>
      </w:docPartObj>
    </w:sdtPr>
    <w:sdtEndPr>
      <w:rPr>
        <w:noProof/>
      </w:rPr>
    </w:sdtEndPr>
    <w:sdtContent>
      <w:p w14:paraId="43743D0B" w14:textId="6304CF7A" w:rsidR="006A418B" w:rsidRDefault="006A41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F49146" w14:textId="77777777" w:rsidR="006A418B" w:rsidRDefault="006A4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11A6C" w14:textId="77777777" w:rsidR="0034608E" w:rsidRDefault="0034608E" w:rsidP="00685293">
      <w:pPr>
        <w:spacing w:after="0" w:line="240" w:lineRule="auto"/>
      </w:pPr>
      <w:r>
        <w:separator/>
      </w:r>
    </w:p>
  </w:footnote>
  <w:footnote w:type="continuationSeparator" w:id="0">
    <w:p w14:paraId="6A7698AF" w14:textId="77777777" w:rsidR="0034608E" w:rsidRDefault="0034608E" w:rsidP="00685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029A" w14:textId="4A13AD3C" w:rsidR="00685293" w:rsidRDefault="00994CF9" w:rsidP="00994CF9">
    <w:pPr>
      <w:pStyle w:val="Header"/>
      <w:jc w:val="right"/>
    </w:pPr>
    <w:r>
      <w:t>2316803</w:t>
    </w:r>
  </w:p>
  <w:p w14:paraId="665F3152" w14:textId="335D1102" w:rsidR="00091A2A" w:rsidRDefault="00B518DF" w:rsidP="00994CF9">
    <w:pPr>
      <w:pStyle w:val="Header"/>
      <w:jc w:val="right"/>
    </w:pPr>
    <w:r>
      <w:t>4039</w:t>
    </w:r>
    <w:r w:rsidR="006D4AF6">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58B5"/>
    <w:multiLevelType w:val="hybridMultilevel"/>
    <w:tmpl w:val="E6A8757E"/>
    <w:lvl w:ilvl="0" w:tplc="CA54935C">
      <w:start w:val="1"/>
      <w:numFmt w:val="bullet"/>
      <w:lvlText w:val="•"/>
      <w:lvlJc w:val="left"/>
      <w:pPr>
        <w:tabs>
          <w:tab w:val="num" w:pos="720"/>
        </w:tabs>
        <w:ind w:left="720" w:hanging="360"/>
      </w:pPr>
      <w:rPr>
        <w:rFonts w:ascii="Arial" w:hAnsi="Arial" w:hint="default"/>
      </w:rPr>
    </w:lvl>
    <w:lvl w:ilvl="1" w:tplc="C9F6552C" w:tentative="1">
      <w:start w:val="1"/>
      <w:numFmt w:val="bullet"/>
      <w:lvlText w:val="•"/>
      <w:lvlJc w:val="left"/>
      <w:pPr>
        <w:tabs>
          <w:tab w:val="num" w:pos="1440"/>
        </w:tabs>
        <w:ind w:left="1440" w:hanging="360"/>
      </w:pPr>
      <w:rPr>
        <w:rFonts w:ascii="Arial" w:hAnsi="Arial" w:hint="default"/>
      </w:rPr>
    </w:lvl>
    <w:lvl w:ilvl="2" w:tplc="FE024D74" w:tentative="1">
      <w:start w:val="1"/>
      <w:numFmt w:val="bullet"/>
      <w:lvlText w:val="•"/>
      <w:lvlJc w:val="left"/>
      <w:pPr>
        <w:tabs>
          <w:tab w:val="num" w:pos="2160"/>
        </w:tabs>
        <w:ind w:left="2160" w:hanging="360"/>
      </w:pPr>
      <w:rPr>
        <w:rFonts w:ascii="Arial" w:hAnsi="Arial" w:hint="default"/>
      </w:rPr>
    </w:lvl>
    <w:lvl w:ilvl="3" w:tplc="C128D148" w:tentative="1">
      <w:start w:val="1"/>
      <w:numFmt w:val="bullet"/>
      <w:lvlText w:val="•"/>
      <w:lvlJc w:val="left"/>
      <w:pPr>
        <w:tabs>
          <w:tab w:val="num" w:pos="2880"/>
        </w:tabs>
        <w:ind w:left="2880" w:hanging="360"/>
      </w:pPr>
      <w:rPr>
        <w:rFonts w:ascii="Arial" w:hAnsi="Arial" w:hint="default"/>
      </w:rPr>
    </w:lvl>
    <w:lvl w:ilvl="4" w:tplc="7098E688" w:tentative="1">
      <w:start w:val="1"/>
      <w:numFmt w:val="bullet"/>
      <w:lvlText w:val="•"/>
      <w:lvlJc w:val="left"/>
      <w:pPr>
        <w:tabs>
          <w:tab w:val="num" w:pos="3600"/>
        </w:tabs>
        <w:ind w:left="3600" w:hanging="360"/>
      </w:pPr>
      <w:rPr>
        <w:rFonts w:ascii="Arial" w:hAnsi="Arial" w:hint="default"/>
      </w:rPr>
    </w:lvl>
    <w:lvl w:ilvl="5" w:tplc="B4DA82A2" w:tentative="1">
      <w:start w:val="1"/>
      <w:numFmt w:val="bullet"/>
      <w:lvlText w:val="•"/>
      <w:lvlJc w:val="left"/>
      <w:pPr>
        <w:tabs>
          <w:tab w:val="num" w:pos="4320"/>
        </w:tabs>
        <w:ind w:left="4320" w:hanging="360"/>
      </w:pPr>
      <w:rPr>
        <w:rFonts w:ascii="Arial" w:hAnsi="Arial" w:hint="default"/>
      </w:rPr>
    </w:lvl>
    <w:lvl w:ilvl="6" w:tplc="EA72A6E8" w:tentative="1">
      <w:start w:val="1"/>
      <w:numFmt w:val="bullet"/>
      <w:lvlText w:val="•"/>
      <w:lvlJc w:val="left"/>
      <w:pPr>
        <w:tabs>
          <w:tab w:val="num" w:pos="5040"/>
        </w:tabs>
        <w:ind w:left="5040" w:hanging="360"/>
      </w:pPr>
      <w:rPr>
        <w:rFonts w:ascii="Arial" w:hAnsi="Arial" w:hint="default"/>
      </w:rPr>
    </w:lvl>
    <w:lvl w:ilvl="7" w:tplc="7D7440FA" w:tentative="1">
      <w:start w:val="1"/>
      <w:numFmt w:val="bullet"/>
      <w:lvlText w:val="•"/>
      <w:lvlJc w:val="left"/>
      <w:pPr>
        <w:tabs>
          <w:tab w:val="num" w:pos="5760"/>
        </w:tabs>
        <w:ind w:left="5760" w:hanging="360"/>
      </w:pPr>
      <w:rPr>
        <w:rFonts w:ascii="Arial" w:hAnsi="Arial" w:hint="default"/>
      </w:rPr>
    </w:lvl>
    <w:lvl w:ilvl="8" w:tplc="4C445C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7D47ED"/>
    <w:multiLevelType w:val="hybridMultilevel"/>
    <w:tmpl w:val="1E62D512"/>
    <w:lvl w:ilvl="0" w:tplc="AC7C9762">
      <w:start w:val="1"/>
      <w:numFmt w:val="bullet"/>
      <w:lvlText w:val="•"/>
      <w:lvlJc w:val="left"/>
      <w:pPr>
        <w:tabs>
          <w:tab w:val="num" w:pos="7447"/>
        </w:tabs>
        <w:ind w:left="7447" w:hanging="360"/>
      </w:pPr>
      <w:rPr>
        <w:rFonts w:ascii="Arial" w:hAnsi="Arial" w:hint="default"/>
      </w:rPr>
    </w:lvl>
    <w:lvl w:ilvl="1" w:tplc="FB6609E0" w:tentative="1">
      <w:start w:val="1"/>
      <w:numFmt w:val="bullet"/>
      <w:lvlText w:val="•"/>
      <w:lvlJc w:val="left"/>
      <w:pPr>
        <w:tabs>
          <w:tab w:val="num" w:pos="8167"/>
        </w:tabs>
        <w:ind w:left="8167" w:hanging="360"/>
      </w:pPr>
      <w:rPr>
        <w:rFonts w:ascii="Arial" w:hAnsi="Arial" w:hint="default"/>
      </w:rPr>
    </w:lvl>
    <w:lvl w:ilvl="2" w:tplc="17BCFAC6" w:tentative="1">
      <w:start w:val="1"/>
      <w:numFmt w:val="bullet"/>
      <w:lvlText w:val="•"/>
      <w:lvlJc w:val="left"/>
      <w:pPr>
        <w:tabs>
          <w:tab w:val="num" w:pos="8887"/>
        </w:tabs>
        <w:ind w:left="8887" w:hanging="360"/>
      </w:pPr>
      <w:rPr>
        <w:rFonts w:ascii="Arial" w:hAnsi="Arial" w:hint="default"/>
      </w:rPr>
    </w:lvl>
    <w:lvl w:ilvl="3" w:tplc="2CB20D1E" w:tentative="1">
      <w:start w:val="1"/>
      <w:numFmt w:val="bullet"/>
      <w:lvlText w:val="•"/>
      <w:lvlJc w:val="left"/>
      <w:pPr>
        <w:tabs>
          <w:tab w:val="num" w:pos="9607"/>
        </w:tabs>
        <w:ind w:left="9607" w:hanging="360"/>
      </w:pPr>
      <w:rPr>
        <w:rFonts w:ascii="Arial" w:hAnsi="Arial" w:hint="default"/>
      </w:rPr>
    </w:lvl>
    <w:lvl w:ilvl="4" w:tplc="AD1CBD00" w:tentative="1">
      <w:start w:val="1"/>
      <w:numFmt w:val="bullet"/>
      <w:lvlText w:val="•"/>
      <w:lvlJc w:val="left"/>
      <w:pPr>
        <w:tabs>
          <w:tab w:val="num" w:pos="10327"/>
        </w:tabs>
        <w:ind w:left="10327" w:hanging="360"/>
      </w:pPr>
      <w:rPr>
        <w:rFonts w:ascii="Arial" w:hAnsi="Arial" w:hint="default"/>
      </w:rPr>
    </w:lvl>
    <w:lvl w:ilvl="5" w:tplc="5AF264B6" w:tentative="1">
      <w:start w:val="1"/>
      <w:numFmt w:val="bullet"/>
      <w:lvlText w:val="•"/>
      <w:lvlJc w:val="left"/>
      <w:pPr>
        <w:tabs>
          <w:tab w:val="num" w:pos="11047"/>
        </w:tabs>
        <w:ind w:left="11047" w:hanging="360"/>
      </w:pPr>
      <w:rPr>
        <w:rFonts w:ascii="Arial" w:hAnsi="Arial" w:hint="default"/>
      </w:rPr>
    </w:lvl>
    <w:lvl w:ilvl="6" w:tplc="1BC246CC" w:tentative="1">
      <w:start w:val="1"/>
      <w:numFmt w:val="bullet"/>
      <w:lvlText w:val="•"/>
      <w:lvlJc w:val="left"/>
      <w:pPr>
        <w:tabs>
          <w:tab w:val="num" w:pos="11767"/>
        </w:tabs>
        <w:ind w:left="11767" w:hanging="360"/>
      </w:pPr>
      <w:rPr>
        <w:rFonts w:ascii="Arial" w:hAnsi="Arial" w:hint="default"/>
      </w:rPr>
    </w:lvl>
    <w:lvl w:ilvl="7" w:tplc="71CE8A00" w:tentative="1">
      <w:start w:val="1"/>
      <w:numFmt w:val="bullet"/>
      <w:lvlText w:val="•"/>
      <w:lvlJc w:val="left"/>
      <w:pPr>
        <w:tabs>
          <w:tab w:val="num" w:pos="12487"/>
        </w:tabs>
        <w:ind w:left="12487" w:hanging="360"/>
      </w:pPr>
      <w:rPr>
        <w:rFonts w:ascii="Arial" w:hAnsi="Arial" w:hint="default"/>
      </w:rPr>
    </w:lvl>
    <w:lvl w:ilvl="8" w:tplc="A52ADB94" w:tentative="1">
      <w:start w:val="1"/>
      <w:numFmt w:val="bullet"/>
      <w:lvlText w:val="•"/>
      <w:lvlJc w:val="left"/>
      <w:pPr>
        <w:tabs>
          <w:tab w:val="num" w:pos="13207"/>
        </w:tabs>
        <w:ind w:left="13207" w:hanging="360"/>
      </w:pPr>
      <w:rPr>
        <w:rFonts w:ascii="Arial" w:hAnsi="Arial" w:hint="default"/>
      </w:rPr>
    </w:lvl>
  </w:abstractNum>
  <w:abstractNum w:abstractNumId="2" w15:restartNumberingAfterBreak="0">
    <w:nsid w:val="460F62E0"/>
    <w:multiLevelType w:val="hybridMultilevel"/>
    <w:tmpl w:val="CB90121A"/>
    <w:lvl w:ilvl="0" w:tplc="AD1C7556">
      <w:start w:val="1"/>
      <w:numFmt w:val="bullet"/>
      <w:lvlText w:val="•"/>
      <w:lvlJc w:val="left"/>
      <w:pPr>
        <w:tabs>
          <w:tab w:val="num" w:pos="720"/>
        </w:tabs>
        <w:ind w:left="720" w:hanging="360"/>
      </w:pPr>
      <w:rPr>
        <w:rFonts w:ascii="Arial" w:hAnsi="Arial" w:hint="default"/>
      </w:rPr>
    </w:lvl>
    <w:lvl w:ilvl="1" w:tplc="C4C692BA" w:tentative="1">
      <w:start w:val="1"/>
      <w:numFmt w:val="bullet"/>
      <w:lvlText w:val="•"/>
      <w:lvlJc w:val="left"/>
      <w:pPr>
        <w:tabs>
          <w:tab w:val="num" w:pos="1440"/>
        </w:tabs>
        <w:ind w:left="1440" w:hanging="360"/>
      </w:pPr>
      <w:rPr>
        <w:rFonts w:ascii="Arial" w:hAnsi="Arial" w:hint="default"/>
      </w:rPr>
    </w:lvl>
    <w:lvl w:ilvl="2" w:tplc="96BE7F70" w:tentative="1">
      <w:start w:val="1"/>
      <w:numFmt w:val="bullet"/>
      <w:lvlText w:val="•"/>
      <w:lvlJc w:val="left"/>
      <w:pPr>
        <w:tabs>
          <w:tab w:val="num" w:pos="2160"/>
        </w:tabs>
        <w:ind w:left="2160" w:hanging="360"/>
      </w:pPr>
      <w:rPr>
        <w:rFonts w:ascii="Arial" w:hAnsi="Arial" w:hint="default"/>
      </w:rPr>
    </w:lvl>
    <w:lvl w:ilvl="3" w:tplc="810889CC" w:tentative="1">
      <w:start w:val="1"/>
      <w:numFmt w:val="bullet"/>
      <w:lvlText w:val="•"/>
      <w:lvlJc w:val="left"/>
      <w:pPr>
        <w:tabs>
          <w:tab w:val="num" w:pos="2880"/>
        </w:tabs>
        <w:ind w:left="2880" w:hanging="360"/>
      </w:pPr>
      <w:rPr>
        <w:rFonts w:ascii="Arial" w:hAnsi="Arial" w:hint="default"/>
      </w:rPr>
    </w:lvl>
    <w:lvl w:ilvl="4" w:tplc="BB8A3B82" w:tentative="1">
      <w:start w:val="1"/>
      <w:numFmt w:val="bullet"/>
      <w:lvlText w:val="•"/>
      <w:lvlJc w:val="left"/>
      <w:pPr>
        <w:tabs>
          <w:tab w:val="num" w:pos="3600"/>
        </w:tabs>
        <w:ind w:left="3600" w:hanging="360"/>
      </w:pPr>
      <w:rPr>
        <w:rFonts w:ascii="Arial" w:hAnsi="Arial" w:hint="default"/>
      </w:rPr>
    </w:lvl>
    <w:lvl w:ilvl="5" w:tplc="6C44F2F8" w:tentative="1">
      <w:start w:val="1"/>
      <w:numFmt w:val="bullet"/>
      <w:lvlText w:val="•"/>
      <w:lvlJc w:val="left"/>
      <w:pPr>
        <w:tabs>
          <w:tab w:val="num" w:pos="4320"/>
        </w:tabs>
        <w:ind w:left="4320" w:hanging="360"/>
      </w:pPr>
      <w:rPr>
        <w:rFonts w:ascii="Arial" w:hAnsi="Arial" w:hint="default"/>
      </w:rPr>
    </w:lvl>
    <w:lvl w:ilvl="6" w:tplc="D1367ED0" w:tentative="1">
      <w:start w:val="1"/>
      <w:numFmt w:val="bullet"/>
      <w:lvlText w:val="•"/>
      <w:lvlJc w:val="left"/>
      <w:pPr>
        <w:tabs>
          <w:tab w:val="num" w:pos="5040"/>
        </w:tabs>
        <w:ind w:left="5040" w:hanging="360"/>
      </w:pPr>
      <w:rPr>
        <w:rFonts w:ascii="Arial" w:hAnsi="Arial" w:hint="default"/>
      </w:rPr>
    </w:lvl>
    <w:lvl w:ilvl="7" w:tplc="656A1260" w:tentative="1">
      <w:start w:val="1"/>
      <w:numFmt w:val="bullet"/>
      <w:lvlText w:val="•"/>
      <w:lvlJc w:val="left"/>
      <w:pPr>
        <w:tabs>
          <w:tab w:val="num" w:pos="5760"/>
        </w:tabs>
        <w:ind w:left="5760" w:hanging="360"/>
      </w:pPr>
      <w:rPr>
        <w:rFonts w:ascii="Arial" w:hAnsi="Arial" w:hint="default"/>
      </w:rPr>
    </w:lvl>
    <w:lvl w:ilvl="8" w:tplc="62F487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99E268A"/>
    <w:multiLevelType w:val="multilevel"/>
    <w:tmpl w:val="6B70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4A55F0"/>
    <w:multiLevelType w:val="hybridMultilevel"/>
    <w:tmpl w:val="5F5816E4"/>
    <w:lvl w:ilvl="0" w:tplc="A8762FCC">
      <w:start w:val="1"/>
      <w:numFmt w:val="bullet"/>
      <w:lvlText w:val="•"/>
      <w:lvlJc w:val="left"/>
      <w:pPr>
        <w:tabs>
          <w:tab w:val="num" w:pos="2628"/>
        </w:tabs>
        <w:ind w:left="2628" w:hanging="360"/>
      </w:pPr>
      <w:rPr>
        <w:rFonts w:ascii="Arial" w:hAnsi="Arial" w:hint="default"/>
      </w:rPr>
    </w:lvl>
    <w:lvl w:ilvl="1" w:tplc="2B1E6932" w:tentative="1">
      <w:start w:val="1"/>
      <w:numFmt w:val="bullet"/>
      <w:lvlText w:val="•"/>
      <w:lvlJc w:val="left"/>
      <w:pPr>
        <w:tabs>
          <w:tab w:val="num" w:pos="3348"/>
        </w:tabs>
        <w:ind w:left="3348" w:hanging="360"/>
      </w:pPr>
      <w:rPr>
        <w:rFonts w:ascii="Arial" w:hAnsi="Arial" w:hint="default"/>
      </w:rPr>
    </w:lvl>
    <w:lvl w:ilvl="2" w:tplc="451E0DD6" w:tentative="1">
      <w:start w:val="1"/>
      <w:numFmt w:val="bullet"/>
      <w:lvlText w:val="•"/>
      <w:lvlJc w:val="left"/>
      <w:pPr>
        <w:tabs>
          <w:tab w:val="num" w:pos="4068"/>
        </w:tabs>
        <w:ind w:left="4068" w:hanging="360"/>
      </w:pPr>
      <w:rPr>
        <w:rFonts w:ascii="Arial" w:hAnsi="Arial" w:hint="default"/>
      </w:rPr>
    </w:lvl>
    <w:lvl w:ilvl="3" w:tplc="0AEECE0C" w:tentative="1">
      <w:start w:val="1"/>
      <w:numFmt w:val="bullet"/>
      <w:lvlText w:val="•"/>
      <w:lvlJc w:val="left"/>
      <w:pPr>
        <w:tabs>
          <w:tab w:val="num" w:pos="4788"/>
        </w:tabs>
        <w:ind w:left="4788" w:hanging="360"/>
      </w:pPr>
      <w:rPr>
        <w:rFonts w:ascii="Arial" w:hAnsi="Arial" w:hint="default"/>
      </w:rPr>
    </w:lvl>
    <w:lvl w:ilvl="4" w:tplc="1DE06C10" w:tentative="1">
      <w:start w:val="1"/>
      <w:numFmt w:val="bullet"/>
      <w:lvlText w:val="•"/>
      <w:lvlJc w:val="left"/>
      <w:pPr>
        <w:tabs>
          <w:tab w:val="num" w:pos="5508"/>
        </w:tabs>
        <w:ind w:left="5508" w:hanging="360"/>
      </w:pPr>
      <w:rPr>
        <w:rFonts w:ascii="Arial" w:hAnsi="Arial" w:hint="default"/>
      </w:rPr>
    </w:lvl>
    <w:lvl w:ilvl="5" w:tplc="001A5C52" w:tentative="1">
      <w:start w:val="1"/>
      <w:numFmt w:val="bullet"/>
      <w:lvlText w:val="•"/>
      <w:lvlJc w:val="left"/>
      <w:pPr>
        <w:tabs>
          <w:tab w:val="num" w:pos="6228"/>
        </w:tabs>
        <w:ind w:left="6228" w:hanging="360"/>
      </w:pPr>
      <w:rPr>
        <w:rFonts w:ascii="Arial" w:hAnsi="Arial" w:hint="default"/>
      </w:rPr>
    </w:lvl>
    <w:lvl w:ilvl="6" w:tplc="097E6424" w:tentative="1">
      <w:start w:val="1"/>
      <w:numFmt w:val="bullet"/>
      <w:lvlText w:val="•"/>
      <w:lvlJc w:val="left"/>
      <w:pPr>
        <w:tabs>
          <w:tab w:val="num" w:pos="6948"/>
        </w:tabs>
        <w:ind w:left="6948" w:hanging="360"/>
      </w:pPr>
      <w:rPr>
        <w:rFonts w:ascii="Arial" w:hAnsi="Arial" w:hint="default"/>
      </w:rPr>
    </w:lvl>
    <w:lvl w:ilvl="7" w:tplc="4BBA8CB2" w:tentative="1">
      <w:start w:val="1"/>
      <w:numFmt w:val="bullet"/>
      <w:lvlText w:val="•"/>
      <w:lvlJc w:val="left"/>
      <w:pPr>
        <w:tabs>
          <w:tab w:val="num" w:pos="7668"/>
        </w:tabs>
        <w:ind w:left="7668" w:hanging="360"/>
      </w:pPr>
      <w:rPr>
        <w:rFonts w:ascii="Arial" w:hAnsi="Arial" w:hint="default"/>
      </w:rPr>
    </w:lvl>
    <w:lvl w:ilvl="8" w:tplc="F56251DA" w:tentative="1">
      <w:start w:val="1"/>
      <w:numFmt w:val="bullet"/>
      <w:lvlText w:val="•"/>
      <w:lvlJc w:val="left"/>
      <w:pPr>
        <w:tabs>
          <w:tab w:val="num" w:pos="8388"/>
        </w:tabs>
        <w:ind w:left="8388" w:hanging="360"/>
      </w:pPr>
      <w:rPr>
        <w:rFonts w:ascii="Arial" w:hAnsi="Arial" w:hint="default"/>
      </w:rPr>
    </w:lvl>
  </w:abstractNum>
  <w:num w:numId="1" w16cid:durableId="363096560">
    <w:abstractNumId w:val="3"/>
  </w:num>
  <w:num w:numId="2" w16cid:durableId="1312708235">
    <w:abstractNumId w:val="4"/>
  </w:num>
  <w:num w:numId="3" w16cid:durableId="792750885">
    <w:abstractNumId w:val="1"/>
  </w:num>
  <w:num w:numId="4" w16cid:durableId="1751734211">
    <w:abstractNumId w:val="0"/>
  </w:num>
  <w:num w:numId="5" w16cid:durableId="1877615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43"/>
    <w:rsid w:val="000119C7"/>
    <w:rsid w:val="00014523"/>
    <w:rsid w:val="00014EB0"/>
    <w:rsid w:val="00015C72"/>
    <w:rsid w:val="00016BF4"/>
    <w:rsid w:val="0001724C"/>
    <w:rsid w:val="00026EF9"/>
    <w:rsid w:val="00034BD7"/>
    <w:rsid w:val="00037169"/>
    <w:rsid w:val="00040042"/>
    <w:rsid w:val="0004522B"/>
    <w:rsid w:val="000462DC"/>
    <w:rsid w:val="000500B3"/>
    <w:rsid w:val="0005249D"/>
    <w:rsid w:val="0006703E"/>
    <w:rsid w:val="00067E07"/>
    <w:rsid w:val="00081617"/>
    <w:rsid w:val="00087CB9"/>
    <w:rsid w:val="00087D52"/>
    <w:rsid w:val="00091A2A"/>
    <w:rsid w:val="00092032"/>
    <w:rsid w:val="000936C0"/>
    <w:rsid w:val="000949F6"/>
    <w:rsid w:val="00094AFB"/>
    <w:rsid w:val="00095230"/>
    <w:rsid w:val="000964B6"/>
    <w:rsid w:val="00097FFE"/>
    <w:rsid w:val="000A01DD"/>
    <w:rsid w:val="000A22EB"/>
    <w:rsid w:val="000A3A12"/>
    <w:rsid w:val="000B2381"/>
    <w:rsid w:val="000B3B65"/>
    <w:rsid w:val="000B3C8E"/>
    <w:rsid w:val="000B44E9"/>
    <w:rsid w:val="000B71EA"/>
    <w:rsid w:val="000C0AAC"/>
    <w:rsid w:val="000C2DA6"/>
    <w:rsid w:val="000D11D7"/>
    <w:rsid w:val="000D31F6"/>
    <w:rsid w:val="000E151A"/>
    <w:rsid w:val="000E171E"/>
    <w:rsid w:val="000E6782"/>
    <w:rsid w:val="000F2A13"/>
    <w:rsid w:val="000F6EDC"/>
    <w:rsid w:val="001033F0"/>
    <w:rsid w:val="00107D5D"/>
    <w:rsid w:val="00115B8D"/>
    <w:rsid w:val="00117864"/>
    <w:rsid w:val="00117E36"/>
    <w:rsid w:val="00136AE2"/>
    <w:rsid w:val="00156C21"/>
    <w:rsid w:val="00162181"/>
    <w:rsid w:val="00166518"/>
    <w:rsid w:val="00167DCF"/>
    <w:rsid w:val="00181BFF"/>
    <w:rsid w:val="00192D3A"/>
    <w:rsid w:val="001A003A"/>
    <w:rsid w:val="001A1101"/>
    <w:rsid w:val="001A2804"/>
    <w:rsid w:val="001A4A94"/>
    <w:rsid w:val="001B0C2A"/>
    <w:rsid w:val="001B136B"/>
    <w:rsid w:val="001B3520"/>
    <w:rsid w:val="001B780A"/>
    <w:rsid w:val="001C062A"/>
    <w:rsid w:val="001D3027"/>
    <w:rsid w:val="001D3642"/>
    <w:rsid w:val="001D5601"/>
    <w:rsid w:val="001D5CF9"/>
    <w:rsid w:val="001D5D31"/>
    <w:rsid w:val="001D678A"/>
    <w:rsid w:val="001E38F5"/>
    <w:rsid w:val="001E5BA1"/>
    <w:rsid w:val="001E739F"/>
    <w:rsid w:val="001F43B5"/>
    <w:rsid w:val="001F5B06"/>
    <w:rsid w:val="0020032C"/>
    <w:rsid w:val="002040DB"/>
    <w:rsid w:val="00206CEF"/>
    <w:rsid w:val="002109AA"/>
    <w:rsid w:val="00216068"/>
    <w:rsid w:val="0021675F"/>
    <w:rsid w:val="002217E3"/>
    <w:rsid w:val="002225EE"/>
    <w:rsid w:val="00222AC3"/>
    <w:rsid w:val="00224250"/>
    <w:rsid w:val="00226457"/>
    <w:rsid w:val="00227582"/>
    <w:rsid w:val="00230228"/>
    <w:rsid w:val="0023417E"/>
    <w:rsid w:val="00235579"/>
    <w:rsid w:val="002356E9"/>
    <w:rsid w:val="0023713F"/>
    <w:rsid w:val="00242D13"/>
    <w:rsid w:val="002450D3"/>
    <w:rsid w:val="00265D27"/>
    <w:rsid w:val="00266E3B"/>
    <w:rsid w:val="0026798F"/>
    <w:rsid w:val="00272FC2"/>
    <w:rsid w:val="00276B64"/>
    <w:rsid w:val="002773EE"/>
    <w:rsid w:val="00281119"/>
    <w:rsid w:val="0028598F"/>
    <w:rsid w:val="002928C7"/>
    <w:rsid w:val="0029528D"/>
    <w:rsid w:val="002969AA"/>
    <w:rsid w:val="002A3398"/>
    <w:rsid w:val="002A5484"/>
    <w:rsid w:val="002B3737"/>
    <w:rsid w:val="002B3C80"/>
    <w:rsid w:val="002B3DC2"/>
    <w:rsid w:val="002C0937"/>
    <w:rsid w:val="002C1278"/>
    <w:rsid w:val="002C78E8"/>
    <w:rsid w:val="002C7B3A"/>
    <w:rsid w:val="002D02C6"/>
    <w:rsid w:val="002D19BC"/>
    <w:rsid w:val="002E101A"/>
    <w:rsid w:val="002E2212"/>
    <w:rsid w:val="002E2E70"/>
    <w:rsid w:val="002F2986"/>
    <w:rsid w:val="00306DC7"/>
    <w:rsid w:val="0031218D"/>
    <w:rsid w:val="003122C8"/>
    <w:rsid w:val="00314C03"/>
    <w:rsid w:val="00314DE6"/>
    <w:rsid w:val="003160AD"/>
    <w:rsid w:val="003221CF"/>
    <w:rsid w:val="00323C3D"/>
    <w:rsid w:val="00323FA8"/>
    <w:rsid w:val="00331C9A"/>
    <w:rsid w:val="00336D4A"/>
    <w:rsid w:val="00337703"/>
    <w:rsid w:val="00341753"/>
    <w:rsid w:val="00341D1B"/>
    <w:rsid w:val="0034608E"/>
    <w:rsid w:val="00351774"/>
    <w:rsid w:val="00354FC7"/>
    <w:rsid w:val="00355198"/>
    <w:rsid w:val="003555D2"/>
    <w:rsid w:val="00361AFB"/>
    <w:rsid w:val="00362833"/>
    <w:rsid w:val="00362F46"/>
    <w:rsid w:val="00363593"/>
    <w:rsid w:val="003652AE"/>
    <w:rsid w:val="00365C14"/>
    <w:rsid w:val="0037182F"/>
    <w:rsid w:val="003737F7"/>
    <w:rsid w:val="0037443B"/>
    <w:rsid w:val="00375298"/>
    <w:rsid w:val="00375931"/>
    <w:rsid w:val="00375D09"/>
    <w:rsid w:val="00380D2E"/>
    <w:rsid w:val="00384D05"/>
    <w:rsid w:val="00385659"/>
    <w:rsid w:val="0038714C"/>
    <w:rsid w:val="00387208"/>
    <w:rsid w:val="003A1FFB"/>
    <w:rsid w:val="003A7420"/>
    <w:rsid w:val="003A74EC"/>
    <w:rsid w:val="003A7DF1"/>
    <w:rsid w:val="003B1676"/>
    <w:rsid w:val="003B2CB8"/>
    <w:rsid w:val="003B42DB"/>
    <w:rsid w:val="003C1C81"/>
    <w:rsid w:val="003C2D38"/>
    <w:rsid w:val="003C46B6"/>
    <w:rsid w:val="003C5A1E"/>
    <w:rsid w:val="003C7F71"/>
    <w:rsid w:val="003D08AD"/>
    <w:rsid w:val="003D0DA8"/>
    <w:rsid w:val="003D5A80"/>
    <w:rsid w:val="003D5BBC"/>
    <w:rsid w:val="003E4259"/>
    <w:rsid w:val="003E6657"/>
    <w:rsid w:val="003E6E75"/>
    <w:rsid w:val="003E760D"/>
    <w:rsid w:val="003E7987"/>
    <w:rsid w:val="003F3129"/>
    <w:rsid w:val="003F4ACC"/>
    <w:rsid w:val="00400CC2"/>
    <w:rsid w:val="00406D14"/>
    <w:rsid w:val="00412C6D"/>
    <w:rsid w:val="00420375"/>
    <w:rsid w:val="00423A4B"/>
    <w:rsid w:val="00424D2B"/>
    <w:rsid w:val="00425F92"/>
    <w:rsid w:val="00432FF5"/>
    <w:rsid w:val="004416A3"/>
    <w:rsid w:val="00441C50"/>
    <w:rsid w:val="00442849"/>
    <w:rsid w:val="00443001"/>
    <w:rsid w:val="0045356D"/>
    <w:rsid w:val="00456BEC"/>
    <w:rsid w:val="004621B6"/>
    <w:rsid w:val="004625D0"/>
    <w:rsid w:val="0047011A"/>
    <w:rsid w:val="00470928"/>
    <w:rsid w:val="0047543B"/>
    <w:rsid w:val="00485201"/>
    <w:rsid w:val="00485972"/>
    <w:rsid w:val="004864C0"/>
    <w:rsid w:val="0049191E"/>
    <w:rsid w:val="004935C2"/>
    <w:rsid w:val="00494303"/>
    <w:rsid w:val="0049430B"/>
    <w:rsid w:val="00495804"/>
    <w:rsid w:val="00497206"/>
    <w:rsid w:val="004A12C6"/>
    <w:rsid w:val="004A52BA"/>
    <w:rsid w:val="004A6517"/>
    <w:rsid w:val="004B0A16"/>
    <w:rsid w:val="004B1314"/>
    <w:rsid w:val="004B159C"/>
    <w:rsid w:val="004B5457"/>
    <w:rsid w:val="004B5789"/>
    <w:rsid w:val="004B5DBB"/>
    <w:rsid w:val="004B76DC"/>
    <w:rsid w:val="004C496B"/>
    <w:rsid w:val="004D2A0D"/>
    <w:rsid w:val="004E03C7"/>
    <w:rsid w:val="004E3986"/>
    <w:rsid w:val="004E4667"/>
    <w:rsid w:val="004F2403"/>
    <w:rsid w:val="004F5F8D"/>
    <w:rsid w:val="005001F9"/>
    <w:rsid w:val="005004AC"/>
    <w:rsid w:val="005027F8"/>
    <w:rsid w:val="00503489"/>
    <w:rsid w:val="00507FE3"/>
    <w:rsid w:val="00511BC2"/>
    <w:rsid w:val="00513F51"/>
    <w:rsid w:val="0051442D"/>
    <w:rsid w:val="00514F6F"/>
    <w:rsid w:val="00515C9F"/>
    <w:rsid w:val="00516303"/>
    <w:rsid w:val="005217D1"/>
    <w:rsid w:val="00523D72"/>
    <w:rsid w:val="00532D33"/>
    <w:rsid w:val="005415EA"/>
    <w:rsid w:val="00541AA3"/>
    <w:rsid w:val="00542DBE"/>
    <w:rsid w:val="00542E4F"/>
    <w:rsid w:val="00544FA1"/>
    <w:rsid w:val="0054594B"/>
    <w:rsid w:val="0055345E"/>
    <w:rsid w:val="00555A8D"/>
    <w:rsid w:val="00562A54"/>
    <w:rsid w:val="005672AA"/>
    <w:rsid w:val="00567491"/>
    <w:rsid w:val="00567B4B"/>
    <w:rsid w:val="00570801"/>
    <w:rsid w:val="005718ED"/>
    <w:rsid w:val="005752FB"/>
    <w:rsid w:val="005831F5"/>
    <w:rsid w:val="005836E7"/>
    <w:rsid w:val="00583B74"/>
    <w:rsid w:val="005867AD"/>
    <w:rsid w:val="00586B2F"/>
    <w:rsid w:val="00587E91"/>
    <w:rsid w:val="00590E7A"/>
    <w:rsid w:val="00591230"/>
    <w:rsid w:val="00591E80"/>
    <w:rsid w:val="0059720B"/>
    <w:rsid w:val="005A0EAD"/>
    <w:rsid w:val="005A4E5A"/>
    <w:rsid w:val="005A7B71"/>
    <w:rsid w:val="005B15EB"/>
    <w:rsid w:val="005B27EE"/>
    <w:rsid w:val="005B33A1"/>
    <w:rsid w:val="005B3535"/>
    <w:rsid w:val="005B599F"/>
    <w:rsid w:val="005B5D38"/>
    <w:rsid w:val="005C20C2"/>
    <w:rsid w:val="005C4373"/>
    <w:rsid w:val="005D28CE"/>
    <w:rsid w:val="005E1350"/>
    <w:rsid w:val="005E6937"/>
    <w:rsid w:val="005E7394"/>
    <w:rsid w:val="005F46DF"/>
    <w:rsid w:val="005F46FE"/>
    <w:rsid w:val="005F7E4D"/>
    <w:rsid w:val="00603A83"/>
    <w:rsid w:val="00611A6F"/>
    <w:rsid w:val="00616870"/>
    <w:rsid w:val="006177BB"/>
    <w:rsid w:val="00623D0D"/>
    <w:rsid w:val="00626B30"/>
    <w:rsid w:val="00626CCF"/>
    <w:rsid w:val="0063115C"/>
    <w:rsid w:val="00631576"/>
    <w:rsid w:val="006321EB"/>
    <w:rsid w:val="00633E66"/>
    <w:rsid w:val="00634D62"/>
    <w:rsid w:val="00635EB6"/>
    <w:rsid w:val="00643703"/>
    <w:rsid w:val="00645C76"/>
    <w:rsid w:val="00646A67"/>
    <w:rsid w:val="006506D9"/>
    <w:rsid w:val="00657241"/>
    <w:rsid w:val="006577A6"/>
    <w:rsid w:val="00663AC2"/>
    <w:rsid w:val="006676E7"/>
    <w:rsid w:val="00667ABE"/>
    <w:rsid w:val="0067109F"/>
    <w:rsid w:val="006730C1"/>
    <w:rsid w:val="00675789"/>
    <w:rsid w:val="0068150D"/>
    <w:rsid w:val="00685293"/>
    <w:rsid w:val="00685900"/>
    <w:rsid w:val="00686A65"/>
    <w:rsid w:val="006879CB"/>
    <w:rsid w:val="00690074"/>
    <w:rsid w:val="00690DFE"/>
    <w:rsid w:val="00693B54"/>
    <w:rsid w:val="00695120"/>
    <w:rsid w:val="00697630"/>
    <w:rsid w:val="006A418B"/>
    <w:rsid w:val="006A68A2"/>
    <w:rsid w:val="006B04F4"/>
    <w:rsid w:val="006C02FC"/>
    <w:rsid w:val="006D04D6"/>
    <w:rsid w:val="006D2A80"/>
    <w:rsid w:val="006D4129"/>
    <w:rsid w:val="006D4AF6"/>
    <w:rsid w:val="006D51E8"/>
    <w:rsid w:val="006D785D"/>
    <w:rsid w:val="006E0B38"/>
    <w:rsid w:val="006E2E13"/>
    <w:rsid w:val="006E528F"/>
    <w:rsid w:val="006F1BC2"/>
    <w:rsid w:val="006F3366"/>
    <w:rsid w:val="006F7ECB"/>
    <w:rsid w:val="00702459"/>
    <w:rsid w:val="007148BE"/>
    <w:rsid w:val="00716781"/>
    <w:rsid w:val="00717323"/>
    <w:rsid w:val="007224EC"/>
    <w:rsid w:val="00723BFB"/>
    <w:rsid w:val="00724BF9"/>
    <w:rsid w:val="00734576"/>
    <w:rsid w:val="00734A74"/>
    <w:rsid w:val="0074472F"/>
    <w:rsid w:val="007514D6"/>
    <w:rsid w:val="007525D7"/>
    <w:rsid w:val="00757071"/>
    <w:rsid w:val="00761BCB"/>
    <w:rsid w:val="00766723"/>
    <w:rsid w:val="007679B3"/>
    <w:rsid w:val="00772151"/>
    <w:rsid w:val="007765AA"/>
    <w:rsid w:val="00780DBB"/>
    <w:rsid w:val="00782743"/>
    <w:rsid w:val="00791632"/>
    <w:rsid w:val="00797493"/>
    <w:rsid w:val="007A0870"/>
    <w:rsid w:val="007A193E"/>
    <w:rsid w:val="007A381C"/>
    <w:rsid w:val="007A7221"/>
    <w:rsid w:val="007B06B7"/>
    <w:rsid w:val="007B5075"/>
    <w:rsid w:val="007C4BF3"/>
    <w:rsid w:val="007D67A6"/>
    <w:rsid w:val="007E6E86"/>
    <w:rsid w:val="007E7EBF"/>
    <w:rsid w:val="007E7FA9"/>
    <w:rsid w:val="007F0D87"/>
    <w:rsid w:val="007F599B"/>
    <w:rsid w:val="00801AD0"/>
    <w:rsid w:val="00801EAD"/>
    <w:rsid w:val="008036E0"/>
    <w:rsid w:val="008154CC"/>
    <w:rsid w:val="00825C4E"/>
    <w:rsid w:val="00825D87"/>
    <w:rsid w:val="00826727"/>
    <w:rsid w:val="00830130"/>
    <w:rsid w:val="00831CC6"/>
    <w:rsid w:val="00834D39"/>
    <w:rsid w:val="00841B60"/>
    <w:rsid w:val="008448CD"/>
    <w:rsid w:val="0085632E"/>
    <w:rsid w:val="008574F8"/>
    <w:rsid w:val="00861B9C"/>
    <w:rsid w:val="008651E8"/>
    <w:rsid w:val="00866F89"/>
    <w:rsid w:val="0087127B"/>
    <w:rsid w:val="00871A59"/>
    <w:rsid w:val="0087328B"/>
    <w:rsid w:val="008810DF"/>
    <w:rsid w:val="0088592F"/>
    <w:rsid w:val="00892275"/>
    <w:rsid w:val="008952F5"/>
    <w:rsid w:val="008962BF"/>
    <w:rsid w:val="0089720D"/>
    <w:rsid w:val="008A0063"/>
    <w:rsid w:val="008A0828"/>
    <w:rsid w:val="008A3C85"/>
    <w:rsid w:val="008B2046"/>
    <w:rsid w:val="008B2448"/>
    <w:rsid w:val="008C5180"/>
    <w:rsid w:val="008D2680"/>
    <w:rsid w:val="008D36CC"/>
    <w:rsid w:val="008D6282"/>
    <w:rsid w:val="008E2D87"/>
    <w:rsid w:val="008E39AE"/>
    <w:rsid w:val="008E6BC1"/>
    <w:rsid w:val="008F3D18"/>
    <w:rsid w:val="008F6D58"/>
    <w:rsid w:val="00901A15"/>
    <w:rsid w:val="00902127"/>
    <w:rsid w:val="00902F41"/>
    <w:rsid w:val="009062BD"/>
    <w:rsid w:val="00906B3A"/>
    <w:rsid w:val="00906F2D"/>
    <w:rsid w:val="00907609"/>
    <w:rsid w:val="0091325D"/>
    <w:rsid w:val="00913899"/>
    <w:rsid w:val="0092034F"/>
    <w:rsid w:val="009203B4"/>
    <w:rsid w:val="00921D41"/>
    <w:rsid w:val="00924A3E"/>
    <w:rsid w:val="00927F63"/>
    <w:rsid w:val="00932212"/>
    <w:rsid w:val="009363F4"/>
    <w:rsid w:val="00945B0F"/>
    <w:rsid w:val="00946918"/>
    <w:rsid w:val="00950B66"/>
    <w:rsid w:val="009537A2"/>
    <w:rsid w:val="009557E7"/>
    <w:rsid w:val="009606F4"/>
    <w:rsid w:val="009613A9"/>
    <w:rsid w:val="009620E1"/>
    <w:rsid w:val="0096278B"/>
    <w:rsid w:val="00963887"/>
    <w:rsid w:val="0096523F"/>
    <w:rsid w:val="00965B17"/>
    <w:rsid w:val="00972CE1"/>
    <w:rsid w:val="00973182"/>
    <w:rsid w:val="00981983"/>
    <w:rsid w:val="00994CF9"/>
    <w:rsid w:val="009B150C"/>
    <w:rsid w:val="009B2F4B"/>
    <w:rsid w:val="009B397C"/>
    <w:rsid w:val="009C0052"/>
    <w:rsid w:val="009D1978"/>
    <w:rsid w:val="009D1B27"/>
    <w:rsid w:val="009D1F82"/>
    <w:rsid w:val="009D71CC"/>
    <w:rsid w:val="009E1722"/>
    <w:rsid w:val="009E2729"/>
    <w:rsid w:val="009F009E"/>
    <w:rsid w:val="009F018E"/>
    <w:rsid w:val="009F1D48"/>
    <w:rsid w:val="009F5713"/>
    <w:rsid w:val="009F6142"/>
    <w:rsid w:val="009F7E7C"/>
    <w:rsid w:val="00A04A9D"/>
    <w:rsid w:val="00A07E9F"/>
    <w:rsid w:val="00A132A3"/>
    <w:rsid w:val="00A13DBF"/>
    <w:rsid w:val="00A155D3"/>
    <w:rsid w:val="00A21A02"/>
    <w:rsid w:val="00A21AE5"/>
    <w:rsid w:val="00A230E3"/>
    <w:rsid w:val="00A24F84"/>
    <w:rsid w:val="00A317AB"/>
    <w:rsid w:val="00A351D0"/>
    <w:rsid w:val="00A41905"/>
    <w:rsid w:val="00A46837"/>
    <w:rsid w:val="00A566B8"/>
    <w:rsid w:val="00A60A0B"/>
    <w:rsid w:val="00A613C0"/>
    <w:rsid w:val="00A63999"/>
    <w:rsid w:val="00A66952"/>
    <w:rsid w:val="00A66983"/>
    <w:rsid w:val="00A67166"/>
    <w:rsid w:val="00A710F6"/>
    <w:rsid w:val="00A76F63"/>
    <w:rsid w:val="00A84BCD"/>
    <w:rsid w:val="00A90916"/>
    <w:rsid w:val="00A92BC3"/>
    <w:rsid w:val="00A946DE"/>
    <w:rsid w:val="00A965A4"/>
    <w:rsid w:val="00AA0DD8"/>
    <w:rsid w:val="00AA15B9"/>
    <w:rsid w:val="00AA1CAB"/>
    <w:rsid w:val="00AA6A64"/>
    <w:rsid w:val="00AB0093"/>
    <w:rsid w:val="00AB30D5"/>
    <w:rsid w:val="00AB52F1"/>
    <w:rsid w:val="00AC4432"/>
    <w:rsid w:val="00AC74AF"/>
    <w:rsid w:val="00AD07C2"/>
    <w:rsid w:val="00AD5596"/>
    <w:rsid w:val="00AE78C8"/>
    <w:rsid w:val="00AF3B97"/>
    <w:rsid w:val="00AF6CC4"/>
    <w:rsid w:val="00B00236"/>
    <w:rsid w:val="00B052F5"/>
    <w:rsid w:val="00B059CB"/>
    <w:rsid w:val="00B12572"/>
    <w:rsid w:val="00B17FA7"/>
    <w:rsid w:val="00B21389"/>
    <w:rsid w:val="00B213E8"/>
    <w:rsid w:val="00B21E8D"/>
    <w:rsid w:val="00B249E8"/>
    <w:rsid w:val="00B24D2E"/>
    <w:rsid w:val="00B261BD"/>
    <w:rsid w:val="00B35E3C"/>
    <w:rsid w:val="00B37346"/>
    <w:rsid w:val="00B373C1"/>
    <w:rsid w:val="00B404F1"/>
    <w:rsid w:val="00B41DAB"/>
    <w:rsid w:val="00B43A58"/>
    <w:rsid w:val="00B44B4E"/>
    <w:rsid w:val="00B460FD"/>
    <w:rsid w:val="00B47EBB"/>
    <w:rsid w:val="00B518DF"/>
    <w:rsid w:val="00B53574"/>
    <w:rsid w:val="00B54079"/>
    <w:rsid w:val="00B546FB"/>
    <w:rsid w:val="00B55D7F"/>
    <w:rsid w:val="00B55DBC"/>
    <w:rsid w:val="00B5615E"/>
    <w:rsid w:val="00B605E0"/>
    <w:rsid w:val="00B61762"/>
    <w:rsid w:val="00B61AEC"/>
    <w:rsid w:val="00B67644"/>
    <w:rsid w:val="00B72950"/>
    <w:rsid w:val="00B72F9B"/>
    <w:rsid w:val="00B73FCD"/>
    <w:rsid w:val="00B762C9"/>
    <w:rsid w:val="00B80807"/>
    <w:rsid w:val="00B8195A"/>
    <w:rsid w:val="00B86E06"/>
    <w:rsid w:val="00B87F26"/>
    <w:rsid w:val="00B930F6"/>
    <w:rsid w:val="00B975C6"/>
    <w:rsid w:val="00BA4F84"/>
    <w:rsid w:val="00BA61AC"/>
    <w:rsid w:val="00BA627B"/>
    <w:rsid w:val="00BB1136"/>
    <w:rsid w:val="00BB38B9"/>
    <w:rsid w:val="00BC2A3E"/>
    <w:rsid w:val="00BC4C8D"/>
    <w:rsid w:val="00BC56C0"/>
    <w:rsid w:val="00BD150A"/>
    <w:rsid w:val="00BD3D00"/>
    <w:rsid w:val="00BD6D86"/>
    <w:rsid w:val="00BE04B1"/>
    <w:rsid w:val="00BE10B3"/>
    <w:rsid w:val="00BE5565"/>
    <w:rsid w:val="00BE5C89"/>
    <w:rsid w:val="00BF5F9F"/>
    <w:rsid w:val="00BF797A"/>
    <w:rsid w:val="00C0090C"/>
    <w:rsid w:val="00C02254"/>
    <w:rsid w:val="00C04F86"/>
    <w:rsid w:val="00C05214"/>
    <w:rsid w:val="00C15260"/>
    <w:rsid w:val="00C16C51"/>
    <w:rsid w:val="00C173D5"/>
    <w:rsid w:val="00C213D0"/>
    <w:rsid w:val="00C228C8"/>
    <w:rsid w:val="00C231B2"/>
    <w:rsid w:val="00C24B2B"/>
    <w:rsid w:val="00C32B2A"/>
    <w:rsid w:val="00C33056"/>
    <w:rsid w:val="00C36905"/>
    <w:rsid w:val="00C42B2C"/>
    <w:rsid w:val="00C42DC0"/>
    <w:rsid w:val="00C437CE"/>
    <w:rsid w:val="00C43F7C"/>
    <w:rsid w:val="00C45559"/>
    <w:rsid w:val="00C4739A"/>
    <w:rsid w:val="00C62AFF"/>
    <w:rsid w:val="00C63864"/>
    <w:rsid w:val="00C642BF"/>
    <w:rsid w:val="00C67A4B"/>
    <w:rsid w:val="00C71F43"/>
    <w:rsid w:val="00C72F7C"/>
    <w:rsid w:val="00C77A29"/>
    <w:rsid w:val="00C82D53"/>
    <w:rsid w:val="00C918EC"/>
    <w:rsid w:val="00C92821"/>
    <w:rsid w:val="00CA0A7A"/>
    <w:rsid w:val="00CA3D60"/>
    <w:rsid w:val="00CA58D3"/>
    <w:rsid w:val="00CA5903"/>
    <w:rsid w:val="00CA6380"/>
    <w:rsid w:val="00CB3F6F"/>
    <w:rsid w:val="00CB4CCE"/>
    <w:rsid w:val="00CB4FED"/>
    <w:rsid w:val="00CB6DCF"/>
    <w:rsid w:val="00CB7B09"/>
    <w:rsid w:val="00CC48E2"/>
    <w:rsid w:val="00CD01AE"/>
    <w:rsid w:val="00CD0E44"/>
    <w:rsid w:val="00CE3D8B"/>
    <w:rsid w:val="00CF5E9E"/>
    <w:rsid w:val="00D0120A"/>
    <w:rsid w:val="00D01C30"/>
    <w:rsid w:val="00D0668A"/>
    <w:rsid w:val="00D06909"/>
    <w:rsid w:val="00D102F0"/>
    <w:rsid w:val="00D10F16"/>
    <w:rsid w:val="00D12EC8"/>
    <w:rsid w:val="00D1412B"/>
    <w:rsid w:val="00D14238"/>
    <w:rsid w:val="00D14ED4"/>
    <w:rsid w:val="00D15FB6"/>
    <w:rsid w:val="00D212B1"/>
    <w:rsid w:val="00D21FBE"/>
    <w:rsid w:val="00D24BB4"/>
    <w:rsid w:val="00D278F3"/>
    <w:rsid w:val="00D301A0"/>
    <w:rsid w:val="00D4635C"/>
    <w:rsid w:val="00D46B19"/>
    <w:rsid w:val="00D546C3"/>
    <w:rsid w:val="00D57337"/>
    <w:rsid w:val="00D57C04"/>
    <w:rsid w:val="00D64F2E"/>
    <w:rsid w:val="00D655DC"/>
    <w:rsid w:val="00D70061"/>
    <w:rsid w:val="00D7455F"/>
    <w:rsid w:val="00D74D83"/>
    <w:rsid w:val="00D7572A"/>
    <w:rsid w:val="00D763AD"/>
    <w:rsid w:val="00D819FD"/>
    <w:rsid w:val="00D86C8C"/>
    <w:rsid w:val="00D91CC1"/>
    <w:rsid w:val="00D95269"/>
    <w:rsid w:val="00D95D32"/>
    <w:rsid w:val="00DA2D4F"/>
    <w:rsid w:val="00DA6110"/>
    <w:rsid w:val="00DB1518"/>
    <w:rsid w:val="00DB6D2F"/>
    <w:rsid w:val="00DC390F"/>
    <w:rsid w:val="00DC5CC3"/>
    <w:rsid w:val="00DD281F"/>
    <w:rsid w:val="00DD4DB2"/>
    <w:rsid w:val="00DD55A4"/>
    <w:rsid w:val="00DE0004"/>
    <w:rsid w:val="00DE1179"/>
    <w:rsid w:val="00DF0C08"/>
    <w:rsid w:val="00DF156A"/>
    <w:rsid w:val="00DF47B7"/>
    <w:rsid w:val="00DF57F1"/>
    <w:rsid w:val="00DF6ABA"/>
    <w:rsid w:val="00E00B44"/>
    <w:rsid w:val="00E13C30"/>
    <w:rsid w:val="00E14880"/>
    <w:rsid w:val="00E14A37"/>
    <w:rsid w:val="00E1580A"/>
    <w:rsid w:val="00E24DEB"/>
    <w:rsid w:val="00E27BBC"/>
    <w:rsid w:val="00E318A9"/>
    <w:rsid w:val="00E342A5"/>
    <w:rsid w:val="00E43B41"/>
    <w:rsid w:val="00E45B29"/>
    <w:rsid w:val="00E50205"/>
    <w:rsid w:val="00E50E72"/>
    <w:rsid w:val="00E51572"/>
    <w:rsid w:val="00E52370"/>
    <w:rsid w:val="00E55273"/>
    <w:rsid w:val="00E6081A"/>
    <w:rsid w:val="00E60D6E"/>
    <w:rsid w:val="00E65764"/>
    <w:rsid w:val="00E65E4B"/>
    <w:rsid w:val="00E72CC4"/>
    <w:rsid w:val="00E72E70"/>
    <w:rsid w:val="00E73D09"/>
    <w:rsid w:val="00E74B3A"/>
    <w:rsid w:val="00E75213"/>
    <w:rsid w:val="00E75334"/>
    <w:rsid w:val="00E8208E"/>
    <w:rsid w:val="00E86675"/>
    <w:rsid w:val="00E872E4"/>
    <w:rsid w:val="00E92ECC"/>
    <w:rsid w:val="00E92FA3"/>
    <w:rsid w:val="00EA0460"/>
    <w:rsid w:val="00EA2040"/>
    <w:rsid w:val="00EA49F5"/>
    <w:rsid w:val="00EB29BE"/>
    <w:rsid w:val="00EB46A5"/>
    <w:rsid w:val="00EB4F30"/>
    <w:rsid w:val="00EB6DAA"/>
    <w:rsid w:val="00EC46BB"/>
    <w:rsid w:val="00ED07FA"/>
    <w:rsid w:val="00ED21FD"/>
    <w:rsid w:val="00ED33D4"/>
    <w:rsid w:val="00ED3DF4"/>
    <w:rsid w:val="00ED3F43"/>
    <w:rsid w:val="00ED6C87"/>
    <w:rsid w:val="00ED7FDC"/>
    <w:rsid w:val="00EE19C4"/>
    <w:rsid w:val="00EE40CC"/>
    <w:rsid w:val="00EE5C3F"/>
    <w:rsid w:val="00EE7177"/>
    <w:rsid w:val="00EF18C4"/>
    <w:rsid w:val="00EF4C42"/>
    <w:rsid w:val="00EF59FE"/>
    <w:rsid w:val="00EF74EC"/>
    <w:rsid w:val="00F02D78"/>
    <w:rsid w:val="00F033C1"/>
    <w:rsid w:val="00F0408B"/>
    <w:rsid w:val="00F05D6D"/>
    <w:rsid w:val="00F1519A"/>
    <w:rsid w:val="00F1529A"/>
    <w:rsid w:val="00F245A4"/>
    <w:rsid w:val="00F265D3"/>
    <w:rsid w:val="00F2722E"/>
    <w:rsid w:val="00F32891"/>
    <w:rsid w:val="00F34228"/>
    <w:rsid w:val="00F3534F"/>
    <w:rsid w:val="00F402B0"/>
    <w:rsid w:val="00F40F2E"/>
    <w:rsid w:val="00F43D85"/>
    <w:rsid w:val="00F50FA3"/>
    <w:rsid w:val="00F53495"/>
    <w:rsid w:val="00F542FE"/>
    <w:rsid w:val="00F54A23"/>
    <w:rsid w:val="00F55498"/>
    <w:rsid w:val="00F562B6"/>
    <w:rsid w:val="00F56E9B"/>
    <w:rsid w:val="00F653A9"/>
    <w:rsid w:val="00F65B4C"/>
    <w:rsid w:val="00F671E5"/>
    <w:rsid w:val="00F72AA2"/>
    <w:rsid w:val="00F7430A"/>
    <w:rsid w:val="00F7528D"/>
    <w:rsid w:val="00F75531"/>
    <w:rsid w:val="00F77008"/>
    <w:rsid w:val="00F77CC1"/>
    <w:rsid w:val="00F847E8"/>
    <w:rsid w:val="00F90F9F"/>
    <w:rsid w:val="00F96B90"/>
    <w:rsid w:val="00FA1F6F"/>
    <w:rsid w:val="00FA3EAE"/>
    <w:rsid w:val="00FB310A"/>
    <w:rsid w:val="00FB34D5"/>
    <w:rsid w:val="00FB6FF8"/>
    <w:rsid w:val="00FC09FC"/>
    <w:rsid w:val="00FC1941"/>
    <w:rsid w:val="00FC3F76"/>
    <w:rsid w:val="00FC5799"/>
    <w:rsid w:val="00FC5E15"/>
    <w:rsid w:val="00FD7AD7"/>
    <w:rsid w:val="00FE5193"/>
    <w:rsid w:val="00FE6792"/>
    <w:rsid w:val="00FF29AB"/>
    <w:rsid w:val="00FF7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3F52"/>
  <w15:chartTrackingRefBased/>
  <w15:docId w15:val="{F61249BB-B6DB-4F8B-9634-6DF88D4B9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3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3F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F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F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F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3F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3F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3F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F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F43"/>
    <w:rPr>
      <w:rFonts w:eastAsiaTheme="majorEastAsia" w:cstheme="majorBidi"/>
      <w:color w:val="272727" w:themeColor="text1" w:themeTint="D8"/>
    </w:rPr>
  </w:style>
  <w:style w:type="paragraph" w:styleId="Title">
    <w:name w:val="Title"/>
    <w:basedOn w:val="Normal"/>
    <w:next w:val="Normal"/>
    <w:link w:val="TitleChar"/>
    <w:uiPriority w:val="10"/>
    <w:qFormat/>
    <w:rsid w:val="00ED3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F43"/>
    <w:pPr>
      <w:spacing w:before="160"/>
      <w:jc w:val="center"/>
    </w:pPr>
    <w:rPr>
      <w:i/>
      <w:iCs/>
      <w:color w:val="404040" w:themeColor="text1" w:themeTint="BF"/>
    </w:rPr>
  </w:style>
  <w:style w:type="character" w:customStyle="1" w:styleId="QuoteChar">
    <w:name w:val="Quote Char"/>
    <w:basedOn w:val="DefaultParagraphFont"/>
    <w:link w:val="Quote"/>
    <w:uiPriority w:val="29"/>
    <w:rsid w:val="00ED3F43"/>
    <w:rPr>
      <w:i/>
      <w:iCs/>
      <w:color w:val="404040" w:themeColor="text1" w:themeTint="BF"/>
    </w:rPr>
  </w:style>
  <w:style w:type="paragraph" w:styleId="ListParagraph">
    <w:name w:val="List Paragraph"/>
    <w:basedOn w:val="Normal"/>
    <w:uiPriority w:val="34"/>
    <w:qFormat/>
    <w:rsid w:val="00ED3F43"/>
    <w:pPr>
      <w:ind w:left="720"/>
      <w:contextualSpacing/>
    </w:pPr>
  </w:style>
  <w:style w:type="character" w:styleId="IntenseEmphasis">
    <w:name w:val="Intense Emphasis"/>
    <w:basedOn w:val="DefaultParagraphFont"/>
    <w:uiPriority w:val="21"/>
    <w:qFormat/>
    <w:rsid w:val="00ED3F43"/>
    <w:rPr>
      <w:i/>
      <w:iCs/>
      <w:color w:val="0F4761" w:themeColor="accent1" w:themeShade="BF"/>
    </w:rPr>
  </w:style>
  <w:style w:type="paragraph" w:styleId="IntenseQuote">
    <w:name w:val="Intense Quote"/>
    <w:basedOn w:val="Normal"/>
    <w:next w:val="Normal"/>
    <w:link w:val="IntenseQuoteChar"/>
    <w:uiPriority w:val="30"/>
    <w:qFormat/>
    <w:rsid w:val="00ED3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F43"/>
    <w:rPr>
      <w:i/>
      <w:iCs/>
      <w:color w:val="0F4761" w:themeColor="accent1" w:themeShade="BF"/>
    </w:rPr>
  </w:style>
  <w:style w:type="character" w:styleId="IntenseReference">
    <w:name w:val="Intense Reference"/>
    <w:basedOn w:val="DefaultParagraphFont"/>
    <w:uiPriority w:val="32"/>
    <w:qFormat/>
    <w:rsid w:val="00ED3F43"/>
    <w:rPr>
      <w:b/>
      <w:bCs/>
      <w:smallCaps/>
      <w:color w:val="0F4761" w:themeColor="accent1" w:themeShade="BF"/>
      <w:spacing w:val="5"/>
    </w:rPr>
  </w:style>
  <w:style w:type="paragraph" w:styleId="NormalWeb">
    <w:name w:val="Normal (Web)"/>
    <w:basedOn w:val="Normal"/>
    <w:uiPriority w:val="99"/>
    <w:unhideWhenUsed/>
    <w:rsid w:val="00CD0E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itationmarkerstyle--allstyles">
    <w:name w:val="citationmarkerstyle--allstyles"/>
    <w:basedOn w:val="DefaultParagraphFont"/>
    <w:rsid w:val="00CD0E44"/>
  </w:style>
  <w:style w:type="character" w:styleId="Strong">
    <w:name w:val="Strong"/>
    <w:basedOn w:val="DefaultParagraphFont"/>
    <w:uiPriority w:val="22"/>
    <w:qFormat/>
    <w:rsid w:val="003160AD"/>
    <w:rPr>
      <w:b/>
      <w:bCs/>
    </w:rPr>
  </w:style>
  <w:style w:type="character" w:styleId="Hyperlink">
    <w:name w:val="Hyperlink"/>
    <w:basedOn w:val="DefaultParagraphFont"/>
    <w:uiPriority w:val="99"/>
    <w:unhideWhenUsed/>
    <w:rsid w:val="00CD01AE"/>
    <w:rPr>
      <w:color w:val="0000FF"/>
      <w:u w:val="single"/>
    </w:rPr>
  </w:style>
  <w:style w:type="character" w:customStyle="1" w:styleId="show-for-sr">
    <w:name w:val="show-for-sr"/>
    <w:basedOn w:val="DefaultParagraphFont"/>
    <w:rsid w:val="00CD01AE"/>
  </w:style>
  <w:style w:type="character" w:styleId="Emphasis">
    <w:name w:val="Emphasis"/>
    <w:basedOn w:val="DefaultParagraphFont"/>
    <w:uiPriority w:val="20"/>
    <w:qFormat/>
    <w:rsid w:val="006F3366"/>
    <w:rPr>
      <w:i/>
      <w:iCs/>
    </w:rPr>
  </w:style>
  <w:style w:type="paragraph" w:styleId="Header">
    <w:name w:val="header"/>
    <w:basedOn w:val="Normal"/>
    <w:link w:val="HeaderChar"/>
    <w:uiPriority w:val="99"/>
    <w:unhideWhenUsed/>
    <w:rsid w:val="00685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293"/>
  </w:style>
  <w:style w:type="paragraph" w:styleId="Footer">
    <w:name w:val="footer"/>
    <w:basedOn w:val="Normal"/>
    <w:link w:val="FooterChar"/>
    <w:uiPriority w:val="99"/>
    <w:unhideWhenUsed/>
    <w:rsid w:val="00685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293"/>
  </w:style>
  <w:style w:type="character" w:styleId="UnresolvedMention">
    <w:name w:val="Unresolved Mention"/>
    <w:basedOn w:val="DefaultParagraphFont"/>
    <w:uiPriority w:val="99"/>
    <w:semiHidden/>
    <w:unhideWhenUsed/>
    <w:rsid w:val="004B5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0522">
      <w:bodyDiv w:val="1"/>
      <w:marLeft w:val="0"/>
      <w:marRight w:val="0"/>
      <w:marTop w:val="0"/>
      <w:marBottom w:val="0"/>
      <w:divBdr>
        <w:top w:val="none" w:sz="0" w:space="0" w:color="auto"/>
        <w:left w:val="none" w:sz="0" w:space="0" w:color="auto"/>
        <w:bottom w:val="none" w:sz="0" w:space="0" w:color="auto"/>
        <w:right w:val="none" w:sz="0" w:space="0" w:color="auto"/>
      </w:divBdr>
    </w:div>
    <w:div w:id="42800778">
      <w:bodyDiv w:val="1"/>
      <w:marLeft w:val="0"/>
      <w:marRight w:val="0"/>
      <w:marTop w:val="0"/>
      <w:marBottom w:val="0"/>
      <w:divBdr>
        <w:top w:val="none" w:sz="0" w:space="0" w:color="auto"/>
        <w:left w:val="none" w:sz="0" w:space="0" w:color="auto"/>
        <w:bottom w:val="none" w:sz="0" w:space="0" w:color="auto"/>
        <w:right w:val="none" w:sz="0" w:space="0" w:color="auto"/>
      </w:divBdr>
    </w:div>
    <w:div w:id="84545059">
      <w:bodyDiv w:val="1"/>
      <w:marLeft w:val="0"/>
      <w:marRight w:val="0"/>
      <w:marTop w:val="0"/>
      <w:marBottom w:val="0"/>
      <w:divBdr>
        <w:top w:val="none" w:sz="0" w:space="0" w:color="auto"/>
        <w:left w:val="none" w:sz="0" w:space="0" w:color="auto"/>
        <w:bottom w:val="none" w:sz="0" w:space="0" w:color="auto"/>
        <w:right w:val="none" w:sz="0" w:space="0" w:color="auto"/>
      </w:divBdr>
    </w:div>
    <w:div w:id="91753307">
      <w:bodyDiv w:val="1"/>
      <w:marLeft w:val="0"/>
      <w:marRight w:val="0"/>
      <w:marTop w:val="0"/>
      <w:marBottom w:val="0"/>
      <w:divBdr>
        <w:top w:val="none" w:sz="0" w:space="0" w:color="auto"/>
        <w:left w:val="none" w:sz="0" w:space="0" w:color="auto"/>
        <w:bottom w:val="none" w:sz="0" w:space="0" w:color="auto"/>
        <w:right w:val="none" w:sz="0" w:space="0" w:color="auto"/>
      </w:divBdr>
    </w:div>
    <w:div w:id="127209137">
      <w:bodyDiv w:val="1"/>
      <w:marLeft w:val="0"/>
      <w:marRight w:val="0"/>
      <w:marTop w:val="0"/>
      <w:marBottom w:val="0"/>
      <w:divBdr>
        <w:top w:val="none" w:sz="0" w:space="0" w:color="auto"/>
        <w:left w:val="none" w:sz="0" w:space="0" w:color="auto"/>
        <w:bottom w:val="none" w:sz="0" w:space="0" w:color="auto"/>
        <w:right w:val="none" w:sz="0" w:space="0" w:color="auto"/>
      </w:divBdr>
    </w:div>
    <w:div w:id="134952388">
      <w:bodyDiv w:val="1"/>
      <w:marLeft w:val="0"/>
      <w:marRight w:val="0"/>
      <w:marTop w:val="0"/>
      <w:marBottom w:val="0"/>
      <w:divBdr>
        <w:top w:val="none" w:sz="0" w:space="0" w:color="auto"/>
        <w:left w:val="none" w:sz="0" w:space="0" w:color="auto"/>
        <w:bottom w:val="none" w:sz="0" w:space="0" w:color="auto"/>
        <w:right w:val="none" w:sz="0" w:space="0" w:color="auto"/>
      </w:divBdr>
    </w:div>
    <w:div w:id="161510007">
      <w:bodyDiv w:val="1"/>
      <w:marLeft w:val="0"/>
      <w:marRight w:val="0"/>
      <w:marTop w:val="0"/>
      <w:marBottom w:val="0"/>
      <w:divBdr>
        <w:top w:val="none" w:sz="0" w:space="0" w:color="auto"/>
        <w:left w:val="none" w:sz="0" w:space="0" w:color="auto"/>
        <w:bottom w:val="none" w:sz="0" w:space="0" w:color="auto"/>
        <w:right w:val="none" w:sz="0" w:space="0" w:color="auto"/>
      </w:divBdr>
    </w:div>
    <w:div w:id="170294280">
      <w:bodyDiv w:val="1"/>
      <w:marLeft w:val="0"/>
      <w:marRight w:val="0"/>
      <w:marTop w:val="0"/>
      <w:marBottom w:val="0"/>
      <w:divBdr>
        <w:top w:val="none" w:sz="0" w:space="0" w:color="auto"/>
        <w:left w:val="none" w:sz="0" w:space="0" w:color="auto"/>
        <w:bottom w:val="none" w:sz="0" w:space="0" w:color="auto"/>
        <w:right w:val="none" w:sz="0" w:space="0" w:color="auto"/>
      </w:divBdr>
    </w:div>
    <w:div w:id="177240338">
      <w:bodyDiv w:val="1"/>
      <w:marLeft w:val="0"/>
      <w:marRight w:val="0"/>
      <w:marTop w:val="0"/>
      <w:marBottom w:val="0"/>
      <w:divBdr>
        <w:top w:val="none" w:sz="0" w:space="0" w:color="auto"/>
        <w:left w:val="none" w:sz="0" w:space="0" w:color="auto"/>
        <w:bottom w:val="none" w:sz="0" w:space="0" w:color="auto"/>
        <w:right w:val="none" w:sz="0" w:space="0" w:color="auto"/>
      </w:divBdr>
    </w:div>
    <w:div w:id="191188655">
      <w:bodyDiv w:val="1"/>
      <w:marLeft w:val="0"/>
      <w:marRight w:val="0"/>
      <w:marTop w:val="0"/>
      <w:marBottom w:val="0"/>
      <w:divBdr>
        <w:top w:val="none" w:sz="0" w:space="0" w:color="auto"/>
        <w:left w:val="none" w:sz="0" w:space="0" w:color="auto"/>
        <w:bottom w:val="none" w:sz="0" w:space="0" w:color="auto"/>
        <w:right w:val="none" w:sz="0" w:space="0" w:color="auto"/>
      </w:divBdr>
    </w:div>
    <w:div w:id="212540624">
      <w:bodyDiv w:val="1"/>
      <w:marLeft w:val="0"/>
      <w:marRight w:val="0"/>
      <w:marTop w:val="0"/>
      <w:marBottom w:val="0"/>
      <w:divBdr>
        <w:top w:val="none" w:sz="0" w:space="0" w:color="auto"/>
        <w:left w:val="none" w:sz="0" w:space="0" w:color="auto"/>
        <w:bottom w:val="none" w:sz="0" w:space="0" w:color="auto"/>
        <w:right w:val="none" w:sz="0" w:space="0" w:color="auto"/>
      </w:divBdr>
    </w:div>
    <w:div w:id="221674851">
      <w:bodyDiv w:val="1"/>
      <w:marLeft w:val="0"/>
      <w:marRight w:val="0"/>
      <w:marTop w:val="0"/>
      <w:marBottom w:val="0"/>
      <w:divBdr>
        <w:top w:val="none" w:sz="0" w:space="0" w:color="auto"/>
        <w:left w:val="none" w:sz="0" w:space="0" w:color="auto"/>
        <w:bottom w:val="none" w:sz="0" w:space="0" w:color="auto"/>
        <w:right w:val="none" w:sz="0" w:space="0" w:color="auto"/>
      </w:divBdr>
    </w:div>
    <w:div w:id="275717801">
      <w:bodyDiv w:val="1"/>
      <w:marLeft w:val="0"/>
      <w:marRight w:val="0"/>
      <w:marTop w:val="0"/>
      <w:marBottom w:val="0"/>
      <w:divBdr>
        <w:top w:val="none" w:sz="0" w:space="0" w:color="auto"/>
        <w:left w:val="none" w:sz="0" w:space="0" w:color="auto"/>
        <w:bottom w:val="none" w:sz="0" w:space="0" w:color="auto"/>
        <w:right w:val="none" w:sz="0" w:space="0" w:color="auto"/>
      </w:divBdr>
    </w:div>
    <w:div w:id="281574020">
      <w:bodyDiv w:val="1"/>
      <w:marLeft w:val="0"/>
      <w:marRight w:val="0"/>
      <w:marTop w:val="0"/>
      <w:marBottom w:val="0"/>
      <w:divBdr>
        <w:top w:val="none" w:sz="0" w:space="0" w:color="auto"/>
        <w:left w:val="none" w:sz="0" w:space="0" w:color="auto"/>
        <w:bottom w:val="none" w:sz="0" w:space="0" w:color="auto"/>
        <w:right w:val="none" w:sz="0" w:space="0" w:color="auto"/>
      </w:divBdr>
    </w:div>
    <w:div w:id="285545798">
      <w:bodyDiv w:val="1"/>
      <w:marLeft w:val="0"/>
      <w:marRight w:val="0"/>
      <w:marTop w:val="0"/>
      <w:marBottom w:val="0"/>
      <w:divBdr>
        <w:top w:val="none" w:sz="0" w:space="0" w:color="auto"/>
        <w:left w:val="none" w:sz="0" w:space="0" w:color="auto"/>
        <w:bottom w:val="none" w:sz="0" w:space="0" w:color="auto"/>
        <w:right w:val="none" w:sz="0" w:space="0" w:color="auto"/>
      </w:divBdr>
    </w:div>
    <w:div w:id="293171896">
      <w:bodyDiv w:val="1"/>
      <w:marLeft w:val="0"/>
      <w:marRight w:val="0"/>
      <w:marTop w:val="0"/>
      <w:marBottom w:val="0"/>
      <w:divBdr>
        <w:top w:val="none" w:sz="0" w:space="0" w:color="auto"/>
        <w:left w:val="none" w:sz="0" w:space="0" w:color="auto"/>
        <w:bottom w:val="none" w:sz="0" w:space="0" w:color="auto"/>
        <w:right w:val="none" w:sz="0" w:space="0" w:color="auto"/>
      </w:divBdr>
    </w:div>
    <w:div w:id="315499013">
      <w:bodyDiv w:val="1"/>
      <w:marLeft w:val="0"/>
      <w:marRight w:val="0"/>
      <w:marTop w:val="0"/>
      <w:marBottom w:val="0"/>
      <w:divBdr>
        <w:top w:val="none" w:sz="0" w:space="0" w:color="auto"/>
        <w:left w:val="none" w:sz="0" w:space="0" w:color="auto"/>
        <w:bottom w:val="none" w:sz="0" w:space="0" w:color="auto"/>
        <w:right w:val="none" w:sz="0" w:space="0" w:color="auto"/>
      </w:divBdr>
    </w:div>
    <w:div w:id="368848004">
      <w:bodyDiv w:val="1"/>
      <w:marLeft w:val="0"/>
      <w:marRight w:val="0"/>
      <w:marTop w:val="0"/>
      <w:marBottom w:val="0"/>
      <w:divBdr>
        <w:top w:val="none" w:sz="0" w:space="0" w:color="auto"/>
        <w:left w:val="none" w:sz="0" w:space="0" w:color="auto"/>
        <w:bottom w:val="none" w:sz="0" w:space="0" w:color="auto"/>
        <w:right w:val="none" w:sz="0" w:space="0" w:color="auto"/>
      </w:divBdr>
    </w:div>
    <w:div w:id="419640750">
      <w:bodyDiv w:val="1"/>
      <w:marLeft w:val="0"/>
      <w:marRight w:val="0"/>
      <w:marTop w:val="0"/>
      <w:marBottom w:val="0"/>
      <w:divBdr>
        <w:top w:val="none" w:sz="0" w:space="0" w:color="auto"/>
        <w:left w:val="none" w:sz="0" w:space="0" w:color="auto"/>
        <w:bottom w:val="none" w:sz="0" w:space="0" w:color="auto"/>
        <w:right w:val="none" w:sz="0" w:space="0" w:color="auto"/>
      </w:divBdr>
    </w:div>
    <w:div w:id="486365696">
      <w:bodyDiv w:val="1"/>
      <w:marLeft w:val="0"/>
      <w:marRight w:val="0"/>
      <w:marTop w:val="0"/>
      <w:marBottom w:val="0"/>
      <w:divBdr>
        <w:top w:val="none" w:sz="0" w:space="0" w:color="auto"/>
        <w:left w:val="none" w:sz="0" w:space="0" w:color="auto"/>
        <w:bottom w:val="none" w:sz="0" w:space="0" w:color="auto"/>
        <w:right w:val="none" w:sz="0" w:space="0" w:color="auto"/>
      </w:divBdr>
    </w:div>
    <w:div w:id="562058114">
      <w:bodyDiv w:val="1"/>
      <w:marLeft w:val="0"/>
      <w:marRight w:val="0"/>
      <w:marTop w:val="0"/>
      <w:marBottom w:val="0"/>
      <w:divBdr>
        <w:top w:val="none" w:sz="0" w:space="0" w:color="auto"/>
        <w:left w:val="none" w:sz="0" w:space="0" w:color="auto"/>
        <w:bottom w:val="none" w:sz="0" w:space="0" w:color="auto"/>
        <w:right w:val="none" w:sz="0" w:space="0" w:color="auto"/>
      </w:divBdr>
    </w:div>
    <w:div w:id="626739423">
      <w:bodyDiv w:val="1"/>
      <w:marLeft w:val="0"/>
      <w:marRight w:val="0"/>
      <w:marTop w:val="0"/>
      <w:marBottom w:val="0"/>
      <w:divBdr>
        <w:top w:val="none" w:sz="0" w:space="0" w:color="auto"/>
        <w:left w:val="none" w:sz="0" w:space="0" w:color="auto"/>
        <w:bottom w:val="none" w:sz="0" w:space="0" w:color="auto"/>
        <w:right w:val="none" w:sz="0" w:space="0" w:color="auto"/>
      </w:divBdr>
    </w:div>
    <w:div w:id="627785684">
      <w:bodyDiv w:val="1"/>
      <w:marLeft w:val="0"/>
      <w:marRight w:val="0"/>
      <w:marTop w:val="0"/>
      <w:marBottom w:val="0"/>
      <w:divBdr>
        <w:top w:val="none" w:sz="0" w:space="0" w:color="auto"/>
        <w:left w:val="none" w:sz="0" w:space="0" w:color="auto"/>
        <w:bottom w:val="none" w:sz="0" w:space="0" w:color="auto"/>
        <w:right w:val="none" w:sz="0" w:space="0" w:color="auto"/>
      </w:divBdr>
    </w:div>
    <w:div w:id="672224732">
      <w:bodyDiv w:val="1"/>
      <w:marLeft w:val="0"/>
      <w:marRight w:val="0"/>
      <w:marTop w:val="0"/>
      <w:marBottom w:val="0"/>
      <w:divBdr>
        <w:top w:val="none" w:sz="0" w:space="0" w:color="auto"/>
        <w:left w:val="none" w:sz="0" w:space="0" w:color="auto"/>
        <w:bottom w:val="none" w:sz="0" w:space="0" w:color="auto"/>
        <w:right w:val="none" w:sz="0" w:space="0" w:color="auto"/>
      </w:divBdr>
    </w:div>
    <w:div w:id="673338495">
      <w:bodyDiv w:val="1"/>
      <w:marLeft w:val="0"/>
      <w:marRight w:val="0"/>
      <w:marTop w:val="0"/>
      <w:marBottom w:val="0"/>
      <w:divBdr>
        <w:top w:val="none" w:sz="0" w:space="0" w:color="auto"/>
        <w:left w:val="none" w:sz="0" w:space="0" w:color="auto"/>
        <w:bottom w:val="none" w:sz="0" w:space="0" w:color="auto"/>
        <w:right w:val="none" w:sz="0" w:space="0" w:color="auto"/>
      </w:divBdr>
    </w:div>
    <w:div w:id="688289252">
      <w:bodyDiv w:val="1"/>
      <w:marLeft w:val="0"/>
      <w:marRight w:val="0"/>
      <w:marTop w:val="0"/>
      <w:marBottom w:val="0"/>
      <w:divBdr>
        <w:top w:val="none" w:sz="0" w:space="0" w:color="auto"/>
        <w:left w:val="none" w:sz="0" w:space="0" w:color="auto"/>
        <w:bottom w:val="none" w:sz="0" w:space="0" w:color="auto"/>
        <w:right w:val="none" w:sz="0" w:space="0" w:color="auto"/>
      </w:divBdr>
    </w:div>
    <w:div w:id="699431163">
      <w:bodyDiv w:val="1"/>
      <w:marLeft w:val="0"/>
      <w:marRight w:val="0"/>
      <w:marTop w:val="0"/>
      <w:marBottom w:val="0"/>
      <w:divBdr>
        <w:top w:val="none" w:sz="0" w:space="0" w:color="auto"/>
        <w:left w:val="none" w:sz="0" w:space="0" w:color="auto"/>
        <w:bottom w:val="none" w:sz="0" w:space="0" w:color="auto"/>
        <w:right w:val="none" w:sz="0" w:space="0" w:color="auto"/>
      </w:divBdr>
    </w:div>
    <w:div w:id="708526469">
      <w:bodyDiv w:val="1"/>
      <w:marLeft w:val="0"/>
      <w:marRight w:val="0"/>
      <w:marTop w:val="0"/>
      <w:marBottom w:val="0"/>
      <w:divBdr>
        <w:top w:val="none" w:sz="0" w:space="0" w:color="auto"/>
        <w:left w:val="none" w:sz="0" w:space="0" w:color="auto"/>
        <w:bottom w:val="none" w:sz="0" w:space="0" w:color="auto"/>
        <w:right w:val="none" w:sz="0" w:space="0" w:color="auto"/>
      </w:divBdr>
    </w:div>
    <w:div w:id="717170899">
      <w:bodyDiv w:val="1"/>
      <w:marLeft w:val="0"/>
      <w:marRight w:val="0"/>
      <w:marTop w:val="0"/>
      <w:marBottom w:val="0"/>
      <w:divBdr>
        <w:top w:val="none" w:sz="0" w:space="0" w:color="auto"/>
        <w:left w:val="none" w:sz="0" w:space="0" w:color="auto"/>
        <w:bottom w:val="none" w:sz="0" w:space="0" w:color="auto"/>
        <w:right w:val="none" w:sz="0" w:space="0" w:color="auto"/>
      </w:divBdr>
    </w:div>
    <w:div w:id="727147620">
      <w:bodyDiv w:val="1"/>
      <w:marLeft w:val="0"/>
      <w:marRight w:val="0"/>
      <w:marTop w:val="0"/>
      <w:marBottom w:val="0"/>
      <w:divBdr>
        <w:top w:val="none" w:sz="0" w:space="0" w:color="auto"/>
        <w:left w:val="none" w:sz="0" w:space="0" w:color="auto"/>
        <w:bottom w:val="none" w:sz="0" w:space="0" w:color="auto"/>
        <w:right w:val="none" w:sz="0" w:space="0" w:color="auto"/>
      </w:divBdr>
    </w:div>
    <w:div w:id="737167054">
      <w:bodyDiv w:val="1"/>
      <w:marLeft w:val="0"/>
      <w:marRight w:val="0"/>
      <w:marTop w:val="0"/>
      <w:marBottom w:val="0"/>
      <w:divBdr>
        <w:top w:val="none" w:sz="0" w:space="0" w:color="auto"/>
        <w:left w:val="none" w:sz="0" w:space="0" w:color="auto"/>
        <w:bottom w:val="none" w:sz="0" w:space="0" w:color="auto"/>
        <w:right w:val="none" w:sz="0" w:space="0" w:color="auto"/>
      </w:divBdr>
    </w:div>
    <w:div w:id="770010976">
      <w:bodyDiv w:val="1"/>
      <w:marLeft w:val="0"/>
      <w:marRight w:val="0"/>
      <w:marTop w:val="0"/>
      <w:marBottom w:val="0"/>
      <w:divBdr>
        <w:top w:val="none" w:sz="0" w:space="0" w:color="auto"/>
        <w:left w:val="none" w:sz="0" w:space="0" w:color="auto"/>
        <w:bottom w:val="none" w:sz="0" w:space="0" w:color="auto"/>
        <w:right w:val="none" w:sz="0" w:space="0" w:color="auto"/>
      </w:divBdr>
    </w:div>
    <w:div w:id="774207113">
      <w:bodyDiv w:val="1"/>
      <w:marLeft w:val="0"/>
      <w:marRight w:val="0"/>
      <w:marTop w:val="0"/>
      <w:marBottom w:val="0"/>
      <w:divBdr>
        <w:top w:val="none" w:sz="0" w:space="0" w:color="auto"/>
        <w:left w:val="none" w:sz="0" w:space="0" w:color="auto"/>
        <w:bottom w:val="none" w:sz="0" w:space="0" w:color="auto"/>
        <w:right w:val="none" w:sz="0" w:space="0" w:color="auto"/>
      </w:divBdr>
    </w:div>
    <w:div w:id="805389543">
      <w:bodyDiv w:val="1"/>
      <w:marLeft w:val="0"/>
      <w:marRight w:val="0"/>
      <w:marTop w:val="0"/>
      <w:marBottom w:val="0"/>
      <w:divBdr>
        <w:top w:val="none" w:sz="0" w:space="0" w:color="auto"/>
        <w:left w:val="none" w:sz="0" w:space="0" w:color="auto"/>
        <w:bottom w:val="none" w:sz="0" w:space="0" w:color="auto"/>
        <w:right w:val="none" w:sz="0" w:space="0" w:color="auto"/>
      </w:divBdr>
    </w:div>
    <w:div w:id="817961004">
      <w:bodyDiv w:val="1"/>
      <w:marLeft w:val="0"/>
      <w:marRight w:val="0"/>
      <w:marTop w:val="0"/>
      <w:marBottom w:val="0"/>
      <w:divBdr>
        <w:top w:val="none" w:sz="0" w:space="0" w:color="auto"/>
        <w:left w:val="none" w:sz="0" w:space="0" w:color="auto"/>
        <w:bottom w:val="none" w:sz="0" w:space="0" w:color="auto"/>
        <w:right w:val="none" w:sz="0" w:space="0" w:color="auto"/>
      </w:divBdr>
    </w:div>
    <w:div w:id="842936286">
      <w:bodyDiv w:val="1"/>
      <w:marLeft w:val="0"/>
      <w:marRight w:val="0"/>
      <w:marTop w:val="0"/>
      <w:marBottom w:val="0"/>
      <w:divBdr>
        <w:top w:val="none" w:sz="0" w:space="0" w:color="auto"/>
        <w:left w:val="none" w:sz="0" w:space="0" w:color="auto"/>
        <w:bottom w:val="none" w:sz="0" w:space="0" w:color="auto"/>
        <w:right w:val="none" w:sz="0" w:space="0" w:color="auto"/>
      </w:divBdr>
    </w:div>
    <w:div w:id="855847309">
      <w:bodyDiv w:val="1"/>
      <w:marLeft w:val="0"/>
      <w:marRight w:val="0"/>
      <w:marTop w:val="0"/>
      <w:marBottom w:val="0"/>
      <w:divBdr>
        <w:top w:val="none" w:sz="0" w:space="0" w:color="auto"/>
        <w:left w:val="none" w:sz="0" w:space="0" w:color="auto"/>
        <w:bottom w:val="none" w:sz="0" w:space="0" w:color="auto"/>
        <w:right w:val="none" w:sz="0" w:space="0" w:color="auto"/>
      </w:divBdr>
    </w:div>
    <w:div w:id="877425983">
      <w:bodyDiv w:val="1"/>
      <w:marLeft w:val="0"/>
      <w:marRight w:val="0"/>
      <w:marTop w:val="0"/>
      <w:marBottom w:val="0"/>
      <w:divBdr>
        <w:top w:val="none" w:sz="0" w:space="0" w:color="auto"/>
        <w:left w:val="none" w:sz="0" w:space="0" w:color="auto"/>
        <w:bottom w:val="none" w:sz="0" w:space="0" w:color="auto"/>
        <w:right w:val="none" w:sz="0" w:space="0" w:color="auto"/>
      </w:divBdr>
    </w:div>
    <w:div w:id="882137439">
      <w:bodyDiv w:val="1"/>
      <w:marLeft w:val="0"/>
      <w:marRight w:val="0"/>
      <w:marTop w:val="0"/>
      <w:marBottom w:val="0"/>
      <w:divBdr>
        <w:top w:val="none" w:sz="0" w:space="0" w:color="auto"/>
        <w:left w:val="none" w:sz="0" w:space="0" w:color="auto"/>
        <w:bottom w:val="none" w:sz="0" w:space="0" w:color="auto"/>
        <w:right w:val="none" w:sz="0" w:space="0" w:color="auto"/>
      </w:divBdr>
    </w:div>
    <w:div w:id="892931856">
      <w:bodyDiv w:val="1"/>
      <w:marLeft w:val="0"/>
      <w:marRight w:val="0"/>
      <w:marTop w:val="0"/>
      <w:marBottom w:val="0"/>
      <w:divBdr>
        <w:top w:val="none" w:sz="0" w:space="0" w:color="auto"/>
        <w:left w:val="none" w:sz="0" w:space="0" w:color="auto"/>
        <w:bottom w:val="none" w:sz="0" w:space="0" w:color="auto"/>
        <w:right w:val="none" w:sz="0" w:space="0" w:color="auto"/>
      </w:divBdr>
    </w:div>
    <w:div w:id="913441457">
      <w:bodyDiv w:val="1"/>
      <w:marLeft w:val="0"/>
      <w:marRight w:val="0"/>
      <w:marTop w:val="0"/>
      <w:marBottom w:val="0"/>
      <w:divBdr>
        <w:top w:val="none" w:sz="0" w:space="0" w:color="auto"/>
        <w:left w:val="none" w:sz="0" w:space="0" w:color="auto"/>
        <w:bottom w:val="none" w:sz="0" w:space="0" w:color="auto"/>
        <w:right w:val="none" w:sz="0" w:space="0" w:color="auto"/>
      </w:divBdr>
    </w:div>
    <w:div w:id="924267549">
      <w:bodyDiv w:val="1"/>
      <w:marLeft w:val="0"/>
      <w:marRight w:val="0"/>
      <w:marTop w:val="0"/>
      <w:marBottom w:val="0"/>
      <w:divBdr>
        <w:top w:val="none" w:sz="0" w:space="0" w:color="auto"/>
        <w:left w:val="none" w:sz="0" w:space="0" w:color="auto"/>
        <w:bottom w:val="none" w:sz="0" w:space="0" w:color="auto"/>
        <w:right w:val="none" w:sz="0" w:space="0" w:color="auto"/>
      </w:divBdr>
    </w:div>
    <w:div w:id="935484080">
      <w:bodyDiv w:val="1"/>
      <w:marLeft w:val="0"/>
      <w:marRight w:val="0"/>
      <w:marTop w:val="0"/>
      <w:marBottom w:val="0"/>
      <w:divBdr>
        <w:top w:val="none" w:sz="0" w:space="0" w:color="auto"/>
        <w:left w:val="none" w:sz="0" w:space="0" w:color="auto"/>
        <w:bottom w:val="none" w:sz="0" w:space="0" w:color="auto"/>
        <w:right w:val="none" w:sz="0" w:space="0" w:color="auto"/>
      </w:divBdr>
    </w:div>
    <w:div w:id="936594179">
      <w:bodyDiv w:val="1"/>
      <w:marLeft w:val="0"/>
      <w:marRight w:val="0"/>
      <w:marTop w:val="0"/>
      <w:marBottom w:val="0"/>
      <w:divBdr>
        <w:top w:val="none" w:sz="0" w:space="0" w:color="auto"/>
        <w:left w:val="none" w:sz="0" w:space="0" w:color="auto"/>
        <w:bottom w:val="none" w:sz="0" w:space="0" w:color="auto"/>
        <w:right w:val="none" w:sz="0" w:space="0" w:color="auto"/>
      </w:divBdr>
      <w:divsChild>
        <w:div w:id="2139760254">
          <w:marLeft w:val="360"/>
          <w:marRight w:val="0"/>
          <w:marTop w:val="200"/>
          <w:marBottom w:val="0"/>
          <w:divBdr>
            <w:top w:val="none" w:sz="0" w:space="0" w:color="auto"/>
            <w:left w:val="none" w:sz="0" w:space="0" w:color="auto"/>
            <w:bottom w:val="none" w:sz="0" w:space="0" w:color="auto"/>
            <w:right w:val="none" w:sz="0" w:space="0" w:color="auto"/>
          </w:divBdr>
        </w:div>
        <w:div w:id="1710957235">
          <w:marLeft w:val="360"/>
          <w:marRight w:val="0"/>
          <w:marTop w:val="200"/>
          <w:marBottom w:val="0"/>
          <w:divBdr>
            <w:top w:val="none" w:sz="0" w:space="0" w:color="auto"/>
            <w:left w:val="none" w:sz="0" w:space="0" w:color="auto"/>
            <w:bottom w:val="none" w:sz="0" w:space="0" w:color="auto"/>
            <w:right w:val="none" w:sz="0" w:space="0" w:color="auto"/>
          </w:divBdr>
        </w:div>
        <w:div w:id="1130590679">
          <w:marLeft w:val="360"/>
          <w:marRight w:val="0"/>
          <w:marTop w:val="200"/>
          <w:marBottom w:val="0"/>
          <w:divBdr>
            <w:top w:val="none" w:sz="0" w:space="0" w:color="auto"/>
            <w:left w:val="none" w:sz="0" w:space="0" w:color="auto"/>
            <w:bottom w:val="none" w:sz="0" w:space="0" w:color="auto"/>
            <w:right w:val="none" w:sz="0" w:space="0" w:color="auto"/>
          </w:divBdr>
        </w:div>
        <w:div w:id="36126022">
          <w:marLeft w:val="360"/>
          <w:marRight w:val="0"/>
          <w:marTop w:val="200"/>
          <w:marBottom w:val="0"/>
          <w:divBdr>
            <w:top w:val="none" w:sz="0" w:space="0" w:color="auto"/>
            <w:left w:val="none" w:sz="0" w:space="0" w:color="auto"/>
            <w:bottom w:val="none" w:sz="0" w:space="0" w:color="auto"/>
            <w:right w:val="none" w:sz="0" w:space="0" w:color="auto"/>
          </w:divBdr>
        </w:div>
      </w:divsChild>
    </w:div>
    <w:div w:id="954138681">
      <w:bodyDiv w:val="1"/>
      <w:marLeft w:val="0"/>
      <w:marRight w:val="0"/>
      <w:marTop w:val="0"/>
      <w:marBottom w:val="0"/>
      <w:divBdr>
        <w:top w:val="none" w:sz="0" w:space="0" w:color="auto"/>
        <w:left w:val="none" w:sz="0" w:space="0" w:color="auto"/>
        <w:bottom w:val="none" w:sz="0" w:space="0" w:color="auto"/>
        <w:right w:val="none" w:sz="0" w:space="0" w:color="auto"/>
      </w:divBdr>
    </w:div>
    <w:div w:id="989746267">
      <w:bodyDiv w:val="1"/>
      <w:marLeft w:val="0"/>
      <w:marRight w:val="0"/>
      <w:marTop w:val="0"/>
      <w:marBottom w:val="0"/>
      <w:divBdr>
        <w:top w:val="none" w:sz="0" w:space="0" w:color="auto"/>
        <w:left w:val="none" w:sz="0" w:space="0" w:color="auto"/>
        <w:bottom w:val="none" w:sz="0" w:space="0" w:color="auto"/>
        <w:right w:val="none" w:sz="0" w:space="0" w:color="auto"/>
      </w:divBdr>
    </w:div>
    <w:div w:id="1009335087">
      <w:bodyDiv w:val="1"/>
      <w:marLeft w:val="0"/>
      <w:marRight w:val="0"/>
      <w:marTop w:val="0"/>
      <w:marBottom w:val="0"/>
      <w:divBdr>
        <w:top w:val="none" w:sz="0" w:space="0" w:color="auto"/>
        <w:left w:val="none" w:sz="0" w:space="0" w:color="auto"/>
        <w:bottom w:val="none" w:sz="0" w:space="0" w:color="auto"/>
        <w:right w:val="none" w:sz="0" w:space="0" w:color="auto"/>
      </w:divBdr>
    </w:div>
    <w:div w:id="1050570540">
      <w:bodyDiv w:val="1"/>
      <w:marLeft w:val="0"/>
      <w:marRight w:val="0"/>
      <w:marTop w:val="0"/>
      <w:marBottom w:val="0"/>
      <w:divBdr>
        <w:top w:val="none" w:sz="0" w:space="0" w:color="auto"/>
        <w:left w:val="none" w:sz="0" w:space="0" w:color="auto"/>
        <w:bottom w:val="none" w:sz="0" w:space="0" w:color="auto"/>
        <w:right w:val="none" w:sz="0" w:space="0" w:color="auto"/>
      </w:divBdr>
    </w:div>
    <w:div w:id="1052928166">
      <w:bodyDiv w:val="1"/>
      <w:marLeft w:val="0"/>
      <w:marRight w:val="0"/>
      <w:marTop w:val="0"/>
      <w:marBottom w:val="0"/>
      <w:divBdr>
        <w:top w:val="none" w:sz="0" w:space="0" w:color="auto"/>
        <w:left w:val="none" w:sz="0" w:space="0" w:color="auto"/>
        <w:bottom w:val="none" w:sz="0" w:space="0" w:color="auto"/>
        <w:right w:val="none" w:sz="0" w:space="0" w:color="auto"/>
      </w:divBdr>
    </w:div>
    <w:div w:id="1061176627">
      <w:bodyDiv w:val="1"/>
      <w:marLeft w:val="0"/>
      <w:marRight w:val="0"/>
      <w:marTop w:val="0"/>
      <w:marBottom w:val="0"/>
      <w:divBdr>
        <w:top w:val="none" w:sz="0" w:space="0" w:color="auto"/>
        <w:left w:val="none" w:sz="0" w:space="0" w:color="auto"/>
        <w:bottom w:val="none" w:sz="0" w:space="0" w:color="auto"/>
        <w:right w:val="none" w:sz="0" w:space="0" w:color="auto"/>
      </w:divBdr>
    </w:div>
    <w:div w:id="1065371474">
      <w:bodyDiv w:val="1"/>
      <w:marLeft w:val="0"/>
      <w:marRight w:val="0"/>
      <w:marTop w:val="0"/>
      <w:marBottom w:val="0"/>
      <w:divBdr>
        <w:top w:val="none" w:sz="0" w:space="0" w:color="auto"/>
        <w:left w:val="none" w:sz="0" w:space="0" w:color="auto"/>
        <w:bottom w:val="none" w:sz="0" w:space="0" w:color="auto"/>
        <w:right w:val="none" w:sz="0" w:space="0" w:color="auto"/>
      </w:divBdr>
    </w:div>
    <w:div w:id="1066999575">
      <w:bodyDiv w:val="1"/>
      <w:marLeft w:val="0"/>
      <w:marRight w:val="0"/>
      <w:marTop w:val="0"/>
      <w:marBottom w:val="0"/>
      <w:divBdr>
        <w:top w:val="none" w:sz="0" w:space="0" w:color="auto"/>
        <w:left w:val="none" w:sz="0" w:space="0" w:color="auto"/>
        <w:bottom w:val="none" w:sz="0" w:space="0" w:color="auto"/>
        <w:right w:val="none" w:sz="0" w:space="0" w:color="auto"/>
      </w:divBdr>
    </w:div>
    <w:div w:id="1070033458">
      <w:bodyDiv w:val="1"/>
      <w:marLeft w:val="0"/>
      <w:marRight w:val="0"/>
      <w:marTop w:val="0"/>
      <w:marBottom w:val="0"/>
      <w:divBdr>
        <w:top w:val="none" w:sz="0" w:space="0" w:color="auto"/>
        <w:left w:val="none" w:sz="0" w:space="0" w:color="auto"/>
        <w:bottom w:val="none" w:sz="0" w:space="0" w:color="auto"/>
        <w:right w:val="none" w:sz="0" w:space="0" w:color="auto"/>
      </w:divBdr>
    </w:div>
    <w:div w:id="1098524031">
      <w:bodyDiv w:val="1"/>
      <w:marLeft w:val="0"/>
      <w:marRight w:val="0"/>
      <w:marTop w:val="0"/>
      <w:marBottom w:val="0"/>
      <w:divBdr>
        <w:top w:val="none" w:sz="0" w:space="0" w:color="auto"/>
        <w:left w:val="none" w:sz="0" w:space="0" w:color="auto"/>
        <w:bottom w:val="none" w:sz="0" w:space="0" w:color="auto"/>
        <w:right w:val="none" w:sz="0" w:space="0" w:color="auto"/>
      </w:divBdr>
    </w:div>
    <w:div w:id="1111437929">
      <w:bodyDiv w:val="1"/>
      <w:marLeft w:val="0"/>
      <w:marRight w:val="0"/>
      <w:marTop w:val="0"/>
      <w:marBottom w:val="0"/>
      <w:divBdr>
        <w:top w:val="none" w:sz="0" w:space="0" w:color="auto"/>
        <w:left w:val="none" w:sz="0" w:space="0" w:color="auto"/>
        <w:bottom w:val="none" w:sz="0" w:space="0" w:color="auto"/>
        <w:right w:val="none" w:sz="0" w:space="0" w:color="auto"/>
      </w:divBdr>
    </w:div>
    <w:div w:id="1130513014">
      <w:bodyDiv w:val="1"/>
      <w:marLeft w:val="0"/>
      <w:marRight w:val="0"/>
      <w:marTop w:val="0"/>
      <w:marBottom w:val="0"/>
      <w:divBdr>
        <w:top w:val="none" w:sz="0" w:space="0" w:color="auto"/>
        <w:left w:val="none" w:sz="0" w:space="0" w:color="auto"/>
        <w:bottom w:val="none" w:sz="0" w:space="0" w:color="auto"/>
        <w:right w:val="none" w:sz="0" w:space="0" w:color="auto"/>
      </w:divBdr>
    </w:div>
    <w:div w:id="1146245066">
      <w:bodyDiv w:val="1"/>
      <w:marLeft w:val="0"/>
      <w:marRight w:val="0"/>
      <w:marTop w:val="0"/>
      <w:marBottom w:val="0"/>
      <w:divBdr>
        <w:top w:val="none" w:sz="0" w:space="0" w:color="auto"/>
        <w:left w:val="none" w:sz="0" w:space="0" w:color="auto"/>
        <w:bottom w:val="none" w:sz="0" w:space="0" w:color="auto"/>
        <w:right w:val="none" w:sz="0" w:space="0" w:color="auto"/>
      </w:divBdr>
    </w:div>
    <w:div w:id="1205555969">
      <w:bodyDiv w:val="1"/>
      <w:marLeft w:val="0"/>
      <w:marRight w:val="0"/>
      <w:marTop w:val="0"/>
      <w:marBottom w:val="0"/>
      <w:divBdr>
        <w:top w:val="none" w:sz="0" w:space="0" w:color="auto"/>
        <w:left w:val="none" w:sz="0" w:space="0" w:color="auto"/>
        <w:bottom w:val="none" w:sz="0" w:space="0" w:color="auto"/>
        <w:right w:val="none" w:sz="0" w:space="0" w:color="auto"/>
      </w:divBdr>
    </w:div>
    <w:div w:id="1205681758">
      <w:bodyDiv w:val="1"/>
      <w:marLeft w:val="0"/>
      <w:marRight w:val="0"/>
      <w:marTop w:val="0"/>
      <w:marBottom w:val="0"/>
      <w:divBdr>
        <w:top w:val="none" w:sz="0" w:space="0" w:color="auto"/>
        <w:left w:val="none" w:sz="0" w:space="0" w:color="auto"/>
        <w:bottom w:val="none" w:sz="0" w:space="0" w:color="auto"/>
        <w:right w:val="none" w:sz="0" w:space="0" w:color="auto"/>
      </w:divBdr>
    </w:div>
    <w:div w:id="1217087541">
      <w:bodyDiv w:val="1"/>
      <w:marLeft w:val="0"/>
      <w:marRight w:val="0"/>
      <w:marTop w:val="0"/>
      <w:marBottom w:val="0"/>
      <w:divBdr>
        <w:top w:val="none" w:sz="0" w:space="0" w:color="auto"/>
        <w:left w:val="none" w:sz="0" w:space="0" w:color="auto"/>
        <w:bottom w:val="none" w:sz="0" w:space="0" w:color="auto"/>
        <w:right w:val="none" w:sz="0" w:space="0" w:color="auto"/>
      </w:divBdr>
    </w:div>
    <w:div w:id="1249852640">
      <w:bodyDiv w:val="1"/>
      <w:marLeft w:val="0"/>
      <w:marRight w:val="0"/>
      <w:marTop w:val="0"/>
      <w:marBottom w:val="0"/>
      <w:divBdr>
        <w:top w:val="none" w:sz="0" w:space="0" w:color="auto"/>
        <w:left w:val="none" w:sz="0" w:space="0" w:color="auto"/>
        <w:bottom w:val="none" w:sz="0" w:space="0" w:color="auto"/>
        <w:right w:val="none" w:sz="0" w:space="0" w:color="auto"/>
      </w:divBdr>
    </w:div>
    <w:div w:id="1253584312">
      <w:bodyDiv w:val="1"/>
      <w:marLeft w:val="0"/>
      <w:marRight w:val="0"/>
      <w:marTop w:val="0"/>
      <w:marBottom w:val="0"/>
      <w:divBdr>
        <w:top w:val="none" w:sz="0" w:space="0" w:color="auto"/>
        <w:left w:val="none" w:sz="0" w:space="0" w:color="auto"/>
        <w:bottom w:val="none" w:sz="0" w:space="0" w:color="auto"/>
        <w:right w:val="none" w:sz="0" w:space="0" w:color="auto"/>
      </w:divBdr>
    </w:div>
    <w:div w:id="1281109433">
      <w:bodyDiv w:val="1"/>
      <w:marLeft w:val="0"/>
      <w:marRight w:val="0"/>
      <w:marTop w:val="0"/>
      <w:marBottom w:val="0"/>
      <w:divBdr>
        <w:top w:val="none" w:sz="0" w:space="0" w:color="auto"/>
        <w:left w:val="none" w:sz="0" w:space="0" w:color="auto"/>
        <w:bottom w:val="none" w:sz="0" w:space="0" w:color="auto"/>
        <w:right w:val="none" w:sz="0" w:space="0" w:color="auto"/>
      </w:divBdr>
    </w:div>
    <w:div w:id="1283927480">
      <w:bodyDiv w:val="1"/>
      <w:marLeft w:val="0"/>
      <w:marRight w:val="0"/>
      <w:marTop w:val="0"/>
      <w:marBottom w:val="0"/>
      <w:divBdr>
        <w:top w:val="none" w:sz="0" w:space="0" w:color="auto"/>
        <w:left w:val="none" w:sz="0" w:space="0" w:color="auto"/>
        <w:bottom w:val="none" w:sz="0" w:space="0" w:color="auto"/>
        <w:right w:val="none" w:sz="0" w:space="0" w:color="auto"/>
      </w:divBdr>
    </w:div>
    <w:div w:id="1333682895">
      <w:bodyDiv w:val="1"/>
      <w:marLeft w:val="0"/>
      <w:marRight w:val="0"/>
      <w:marTop w:val="0"/>
      <w:marBottom w:val="0"/>
      <w:divBdr>
        <w:top w:val="none" w:sz="0" w:space="0" w:color="auto"/>
        <w:left w:val="none" w:sz="0" w:space="0" w:color="auto"/>
        <w:bottom w:val="none" w:sz="0" w:space="0" w:color="auto"/>
        <w:right w:val="none" w:sz="0" w:space="0" w:color="auto"/>
      </w:divBdr>
    </w:div>
    <w:div w:id="1348865669">
      <w:bodyDiv w:val="1"/>
      <w:marLeft w:val="0"/>
      <w:marRight w:val="0"/>
      <w:marTop w:val="0"/>
      <w:marBottom w:val="0"/>
      <w:divBdr>
        <w:top w:val="none" w:sz="0" w:space="0" w:color="auto"/>
        <w:left w:val="none" w:sz="0" w:space="0" w:color="auto"/>
        <w:bottom w:val="none" w:sz="0" w:space="0" w:color="auto"/>
        <w:right w:val="none" w:sz="0" w:space="0" w:color="auto"/>
      </w:divBdr>
    </w:div>
    <w:div w:id="1351835410">
      <w:bodyDiv w:val="1"/>
      <w:marLeft w:val="0"/>
      <w:marRight w:val="0"/>
      <w:marTop w:val="0"/>
      <w:marBottom w:val="0"/>
      <w:divBdr>
        <w:top w:val="none" w:sz="0" w:space="0" w:color="auto"/>
        <w:left w:val="none" w:sz="0" w:space="0" w:color="auto"/>
        <w:bottom w:val="none" w:sz="0" w:space="0" w:color="auto"/>
        <w:right w:val="none" w:sz="0" w:space="0" w:color="auto"/>
      </w:divBdr>
    </w:div>
    <w:div w:id="1354501058">
      <w:bodyDiv w:val="1"/>
      <w:marLeft w:val="0"/>
      <w:marRight w:val="0"/>
      <w:marTop w:val="0"/>
      <w:marBottom w:val="0"/>
      <w:divBdr>
        <w:top w:val="none" w:sz="0" w:space="0" w:color="auto"/>
        <w:left w:val="none" w:sz="0" w:space="0" w:color="auto"/>
        <w:bottom w:val="none" w:sz="0" w:space="0" w:color="auto"/>
        <w:right w:val="none" w:sz="0" w:space="0" w:color="auto"/>
      </w:divBdr>
    </w:div>
    <w:div w:id="1401833132">
      <w:bodyDiv w:val="1"/>
      <w:marLeft w:val="0"/>
      <w:marRight w:val="0"/>
      <w:marTop w:val="0"/>
      <w:marBottom w:val="0"/>
      <w:divBdr>
        <w:top w:val="none" w:sz="0" w:space="0" w:color="auto"/>
        <w:left w:val="none" w:sz="0" w:space="0" w:color="auto"/>
        <w:bottom w:val="none" w:sz="0" w:space="0" w:color="auto"/>
        <w:right w:val="none" w:sz="0" w:space="0" w:color="auto"/>
      </w:divBdr>
    </w:div>
    <w:div w:id="1432970705">
      <w:bodyDiv w:val="1"/>
      <w:marLeft w:val="0"/>
      <w:marRight w:val="0"/>
      <w:marTop w:val="0"/>
      <w:marBottom w:val="0"/>
      <w:divBdr>
        <w:top w:val="none" w:sz="0" w:space="0" w:color="auto"/>
        <w:left w:val="none" w:sz="0" w:space="0" w:color="auto"/>
        <w:bottom w:val="none" w:sz="0" w:space="0" w:color="auto"/>
        <w:right w:val="none" w:sz="0" w:space="0" w:color="auto"/>
      </w:divBdr>
    </w:div>
    <w:div w:id="1486504365">
      <w:bodyDiv w:val="1"/>
      <w:marLeft w:val="0"/>
      <w:marRight w:val="0"/>
      <w:marTop w:val="0"/>
      <w:marBottom w:val="0"/>
      <w:divBdr>
        <w:top w:val="none" w:sz="0" w:space="0" w:color="auto"/>
        <w:left w:val="none" w:sz="0" w:space="0" w:color="auto"/>
        <w:bottom w:val="none" w:sz="0" w:space="0" w:color="auto"/>
        <w:right w:val="none" w:sz="0" w:space="0" w:color="auto"/>
      </w:divBdr>
      <w:divsChild>
        <w:div w:id="1714883193">
          <w:marLeft w:val="0"/>
          <w:marRight w:val="0"/>
          <w:marTop w:val="0"/>
          <w:marBottom w:val="0"/>
          <w:divBdr>
            <w:top w:val="none" w:sz="0" w:space="0" w:color="auto"/>
            <w:left w:val="none" w:sz="0" w:space="0" w:color="auto"/>
            <w:bottom w:val="none" w:sz="0" w:space="0" w:color="auto"/>
            <w:right w:val="none" w:sz="0" w:space="0" w:color="auto"/>
          </w:divBdr>
          <w:divsChild>
            <w:div w:id="1032344768">
              <w:marLeft w:val="0"/>
              <w:marRight w:val="0"/>
              <w:marTop w:val="0"/>
              <w:marBottom w:val="0"/>
              <w:divBdr>
                <w:top w:val="none" w:sz="0" w:space="0" w:color="auto"/>
                <w:left w:val="none" w:sz="0" w:space="0" w:color="auto"/>
                <w:bottom w:val="none" w:sz="0" w:space="0" w:color="auto"/>
                <w:right w:val="none" w:sz="0" w:space="0" w:color="auto"/>
              </w:divBdr>
              <w:divsChild>
                <w:div w:id="225409835">
                  <w:marLeft w:val="0"/>
                  <w:marRight w:val="0"/>
                  <w:marTop w:val="0"/>
                  <w:marBottom w:val="0"/>
                  <w:divBdr>
                    <w:top w:val="none" w:sz="0" w:space="0" w:color="auto"/>
                    <w:left w:val="none" w:sz="0" w:space="0" w:color="auto"/>
                    <w:bottom w:val="none" w:sz="0" w:space="0" w:color="auto"/>
                    <w:right w:val="none" w:sz="0" w:space="0" w:color="auto"/>
                  </w:divBdr>
                  <w:divsChild>
                    <w:div w:id="1165242705">
                      <w:marLeft w:val="0"/>
                      <w:marRight w:val="0"/>
                      <w:marTop w:val="0"/>
                      <w:marBottom w:val="0"/>
                      <w:divBdr>
                        <w:top w:val="none" w:sz="0" w:space="0" w:color="auto"/>
                        <w:left w:val="none" w:sz="0" w:space="0" w:color="auto"/>
                        <w:bottom w:val="none" w:sz="0" w:space="0" w:color="auto"/>
                        <w:right w:val="none" w:sz="0" w:space="0" w:color="auto"/>
                      </w:divBdr>
                      <w:divsChild>
                        <w:div w:id="584613418">
                          <w:marLeft w:val="0"/>
                          <w:marRight w:val="0"/>
                          <w:marTop w:val="0"/>
                          <w:marBottom w:val="0"/>
                          <w:divBdr>
                            <w:top w:val="none" w:sz="0" w:space="0" w:color="auto"/>
                            <w:left w:val="none" w:sz="0" w:space="0" w:color="auto"/>
                            <w:bottom w:val="none" w:sz="0" w:space="0" w:color="auto"/>
                            <w:right w:val="none" w:sz="0" w:space="0" w:color="auto"/>
                          </w:divBdr>
                          <w:divsChild>
                            <w:div w:id="659963692">
                              <w:marLeft w:val="0"/>
                              <w:marRight w:val="0"/>
                              <w:marTop w:val="0"/>
                              <w:marBottom w:val="0"/>
                              <w:divBdr>
                                <w:top w:val="none" w:sz="0" w:space="0" w:color="auto"/>
                                <w:left w:val="none" w:sz="0" w:space="0" w:color="auto"/>
                                <w:bottom w:val="none" w:sz="0" w:space="0" w:color="auto"/>
                                <w:right w:val="none" w:sz="0" w:space="0" w:color="auto"/>
                              </w:divBdr>
                              <w:divsChild>
                                <w:div w:id="1870095862">
                                  <w:marLeft w:val="0"/>
                                  <w:marRight w:val="0"/>
                                  <w:marTop w:val="0"/>
                                  <w:marBottom w:val="0"/>
                                  <w:divBdr>
                                    <w:top w:val="none" w:sz="0" w:space="0" w:color="auto"/>
                                    <w:left w:val="none" w:sz="0" w:space="0" w:color="auto"/>
                                    <w:bottom w:val="none" w:sz="0" w:space="0" w:color="auto"/>
                                    <w:right w:val="none" w:sz="0" w:space="0" w:color="auto"/>
                                  </w:divBdr>
                                  <w:divsChild>
                                    <w:div w:id="101800636">
                                      <w:marLeft w:val="0"/>
                                      <w:marRight w:val="0"/>
                                      <w:marTop w:val="0"/>
                                      <w:marBottom w:val="0"/>
                                      <w:divBdr>
                                        <w:top w:val="none" w:sz="0" w:space="0" w:color="auto"/>
                                        <w:left w:val="none" w:sz="0" w:space="0" w:color="auto"/>
                                        <w:bottom w:val="none" w:sz="0" w:space="0" w:color="auto"/>
                                        <w:right w:val="none" w:sz="0" w:space="0" w:color="auto"/>
                                      </w:divBdr>
                                      <w:divsChild>
                                        <w:div w:id="1344091483">
                                          <w:marLeft w:val="0"/>
                                          <w:marRight w:val="0"/>
                                          <w:marTop w:val="0"/>
                                          <w:marBottom w:val="0"/>
                                          <w:divBdr>
                                            <w:top w:val="none" w:sz="0" w:space="0" w:color="auto"/>
                                            <w:left w:val="none" w:sz="0" w:space="0" w:color="auto"/>
                                            <w:bottom w:val="none" w:sz="0" w:space="0" w:color="auto"/>
                                            <w:right w:val="none" w:sz="0" w:space="0" w:color="auto"/>
                                          </w:divBdr>
                                          <w:divsChild>
                                            <w:div w:id="120196035">
                                              <w:marLeft w:val="0"/>
                                              <w:marRight w:val="0"/>
                                              <w:marTop w:val="0"/>
                                              <w:marBottom w:val="0"/>
                                              <w:divBdr>
                                                <w:top w:val="none" w:sz="0" w:space="0" w:color="auto"/>
                                                <w:left w:val="none" w:sz="0" w:space="0" w:color="auto"/>
                                                <w:bottom w:val="none" w:sz="0" w:space="0" w:color="auto"/>
                                                <w:right w:val="none" w:sz="0" w:space="0" w:color="auto"/>
                                              </w:divBdr>
                                              <w:divsChild>
                                                <w:div w:id="488207912">
                                                  <w:marLeft w:val="0"/>
                                                  <w:marRight w:val="0"/>
                                                  <w:marTop w:val="0"/>
                                                  <w:marBottom w:val="0"/>
                                                  <w:divBdr>
                                                    <w:top w:val="none" w:sz="0" w:space="0" w:color="auto"/>
                                                    <w:left w:val="none" w:sz="0" w:space="0" w:color="auto"/>
                                                    <w:bottom w:val="none" w:sz="0" w:space="0" w:color="auto"/>
                                                    <w:right w:val="none" w:sz="0" w:space="0" w:color="auto"/>
                                                  </w:divBdr>
                                                  <w:divsChild>
                                                    <w:div w:id="1027024739">
                                                      <w:marLeft w:val="0"/>
                                                      <w:marRight w:val="0"/>
                                                      <w:marTop w:val="0"/>
                                                      <w:marBottom w:val="0"/>
                                                      <w:divBdr>
                                                        <w:top w:val="none" w:sz="0" w:space="0" w:color="auto"/>
                                                        <w:left w:val="none" w:sz="0" w:space="0" w:color="auto"/>
                                                        <w:bottom w:val="none" w:sz="0" w:space="0" w:color="auto"/>
                                                        <w:right w:val="none" w:sz="0" w:space="0" w:color="auto"/>
                                                      </w:divBdr>
                                                      <w:divsChild>
                                                        <w:div w:id="183606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0630670">
      <w:bodyDiv w:val="1"/>
      <w:marLeft w:val="0"/>
      <w:marRight w:val="0"/>
      <w:marTop w:val="0"/>
      <w:marBottom w:val="0"/>
      <w:divBdr>
        <w:top w:val="none" w:sz="0" w:space="0" w:color="auto"/>
        <w:left w:val="none" w:sz="0" w:space="0" w:color="auto"/>
        <w:bottom w:val="none" w:sz="0" w:space="0" w:color="auto"/>
        <w:right w:val="none" w:sz="0" w:space="0" w:color="auto"/>
      </w:divBdr>
    </w:div>
    <w:div w:id="1496726024">
      <w:bodyDiv w:val="1"/>
      <w:marLeft w:val="0"/>
      <w:marRight w:val="0"/>
      <w:marTop w:val="0"/>
      <w:marBottom w:val="0"/>
      <w:divBdr>
        <w:top w:val="none" w:sz="0" w:space="0" w:color="auto"/>
        <w:left w:val="none" w:sz="0" w:space="0" w:color="auto"/>
        <w:bottom w:val="none" w:sz="0" w:space="0" w:color="auto"/>
        <w:right w:val="none" w:sz="0" w:space="0" w:color="auto"/>
      </w:divBdr>
    </w:div>
    <w:div w:id="1506096331">
      <w:bodyDiv w:val="1"/>
      <w:marLeft w:val="0"/>
      <w:marRight w:val="0"/>
      <w:marTop w:val="0"/>
      <w:marBottom w:val="0"/>
      <w:divBdr>
        <w:top w:val="none" w:sz="0" w:space="0" w:color="auto"/>
        <w:left w:val="none" w:sz="0" w:space="0" w:color="auto"/>
        <w:bottom w:val="none" w:sz="0" w:space="0" w:color="auto"/>
        <w:right w:val="none" w:sz="0" w:space="0" w:color="auto"/>
      </w:divBdr>
    </w:div>
    <w:div w:id="1508209594">
      <w:bodyDiv w:val="1"/>
      <w:marLeft w:val="0"/>
      <w:marRight w:val="0"/>
      <w:marTop w:val="0"/>
      <w:marBottom w:val="0"/>
      <w:divBdr>
        <w:top w:val="none" w:sz="0" w:space="0" w:color="auto"/>
        <w:left w:val="none" w:sz="0" w:space="0" w:color="auto"/>
        <w:bottom w:val="none" w:sz="0" w:space="0" w:color="auto"/>
        <w:right w:val="none" w:sz="0" w:space="0" w:color="auto"/>
      </w:divBdr>
    </w:div>
    <w:div w:id="1512716430">
      <w:bodyDiv w:val="1"/>
      <w:marLeft w:val="0"/>
      <w:marRight w:val="0"/>
      <w:marTop w:val="0"/>
      <w:marBottom w:val="0"/>
      <w:divBdr>
        <w:top w:val="none" w:sz="0" w:space="0" w:color="auto"/>
        <w:left w:val="none" w:sz="0" w:space="0" w:color="auto"/>
        <w:bottom w:val="none" w:sz="0" w:space="0" w:color="auto"/>
        <w:right w:val="none" w:sz="0" w:space="0" w:color="auto"/>
      </w:divBdr>
    </w:div>
    <w:div w:id="1514221888">
      <w:bodyDiv w:val="1"/>
      <w:marLeft w:val="0"/>
      <w:marRight w:val="0"/>
      <w:marTop w:val="0"/>
      <w:marBottom w:val="0"/>
      <w:divBdr>
        <w:top w:val="none" w:sz="0" w:space="0" w:color="auto"/>
        <w:left w:val="none" w:sz="0" w:space="0" w:color="auto"/>
        <w:bottom w:val="none" w:sz="0" w:space="0" w:color="auto"/>
        <w:right w:val="none" w:sz="0" w:space="0" w:color="auto"/>
      </w:divBdr>
    </w:div>
    <w:div w:id="1524981313">
      <w:bodyDiv w:val="1"/>
      <w:marLeft w:val="0"/>
      <w:marRight w:val="0"/>
      <w:marTop w:val="0"/>
      <w:marBottom w:val="0"/>
      <w:divBdr>
        <w:top w:val="none" w:sz="0" w:space="0" w:color="auto"/>
        <w:left w:val="none" w:sz="0" w:space="0" w:color="auto"/>
        <w:bottom w:val="none" w:sz="0" w:space="0" w:color="auto"/>
        <w:right w:val="none" w:sz="0" w:space="0" w:color="auto"/>
      </w:divBdr>
    </w:div>
    <w:div w:id="1535576321">
      <w:bodyDiv w:val="1"/>
      <w:marLeft w:val="0"/>
      <w:marRight w:val="0"/>
      <w:marTop w:val="0"/>
      <w:marBottom w:val="0"/>
      <w:divBdr>
        <w:top w:val="none" w:sz="0" w:space="0" w:color="auto"/>
        <w:left w:val="none" w:sz="0" w:space="0" w:color="auto"/>
        <w:bottom w:val="none" w:sz="0" w:space="0" w:color="auto"/>
        <w:right w:val="none" w:sz="0" w:space="0" w:color="auto"/>
      </w:divBdr>
      <w:divsChild>
        <w:div w:id="1325432139">
          <w:marLeft w:val="360"/>
          <w:marRight w:val="0"/>
          <w:marTop w:val="200"/>
          <w:marBottom w:val="0"/>
          <w:divBdr>
            <w:top w:val="none" w:sz="0" w:space="0" w:color="auto"/>
            <w:left w:val="none" w:sz="0" w:space="0" w:color="auto"/>
            <w:bottom w:val="none" w:sz="0" w:space="0" w:color="auto"/>
            <w:right w:val="none" w:sz="0" w:space="0" w:color="auto"/>
          </w:divBdr>
        </w:div>
        <w:div w:id="1543706404">
          <w:marLeft w:val="360"/>
          <w:marRight w:val="0"/>
          <w:marTop w:val="200"/>
          <w:marBottom w:val="0"/>
          <w:divBdr>
            <w:top w:val="none" w:sz="0" w:space="0" w:color="auto"/>
            <w:left w:val="none" w:sz="0" w:space="0" w:color="auto"/>
            <w:bottom w:val="none" w:sz="0" w:space="0" w:color="auto"/>
            <w:right w:val="none" w:sz="0" w:space="0" w:color="auto"/>
          </w:divBdr>
        </w:div>
        <w:div w:id="835221063">
          <w:marLeft w:val="360"/>
          <w:marRight w:val="0"/>
          <w:marTop w:val="200"/>
          <w:marBottom w:val="0"/>
          <w:divBdr>
            <w:top w:val="none" w:sz="0" w:space="0" w:color="auto"/>
            <w:left w:val="none" w:sz="0" w:space="0" w:color="auto"/>
            <w:bottom w:val="none" w:sz="0" w:space="0" w:color="auto"/>
            <w:right w:val="none" w:sz="0" w:space="0" w:color="auto"/>
          </w:divBdr>
        </w:div>
        <w:div w:id="1092580762">
          <w:marLeft w:val="360"/>
          <w:marRight w:val="0"/>
          <w:marTop w:val="200"/>
          <w:marBottom w:val="0"/>
          <w:divBdr>
            <w:top w:val="none" w:sz="0" w:space="0" w:color="auto"/>
            <w:left w:val="none" w:sz="0" w:space="0" w:color="auto"/>
            <w:bottom w:val="none" w:sz="0" w:space="0" w:color="auto"/>
            <w:right w:val="none" w:sz="0" w:space="0" w:color="auto"/>
          </w:divBdr>
        </w:div>
        <w:div w:id="1343239431">
          <w:marLeft w:val="360"/>
          <w:marRight w:val="0"/>
          <w:marTop w:val="200"/>
          <w:marBottom w:val="0"/>
          <w:divBdr>
            <w:top w:val="none" w:sz="0" w:space="0" w:color="auto"/>
            <w:left w:val="none" w:sz="0" w:space="0" w:color="auto"/>
            <w:bottom w:val="none" w:sz="0" w:space="0" w:color="auto"/>
            <w:right w:val="none" w:sz="0" w:space="0" w:color="auto"/>
          </w:divBdr>
        </w:div>
      </w:divsChild>
    </w:div>
    <w:div w:id="1542741207">
      <w:bodyDiv w:val="1"/>
      <w:marLeft w:val="0"/>
      <w:marRight w:val="0"/>
      <w:marTop w:val="0"/>
      <w:marBottom w:val="0"/>
      <w:divBdr>
        <w:top w:val="none" w:sz="0" w:space="0" w:color="auto"/>
        <w:left w:val="none" w:sz="0" w:space="0" w:color="auto"/>
        <w:bottom w:val="none" w:sz="0" w:space="0" w:color="auto"/>
        <w:right w:val="none" w:sz="0" w:space="0" w:color="auto"/>
      </w:divBdr>
      <w:divsChild>
        <w:div w:id="1142305571">
          <w:marLeft w:val="360"/>
          <w:marRight w:val="0"/>
          <w:marTop w:val="200"/>
          <w:marBottom w:val="0"/>
          <w:divBdr>
            <w:top w:val="none" w:sz="0" w:space="0" w:color="auto"/>
            <w:left w:val="none" w:sz="0" w:space="0" w:color="auto"/>
            <w:bottom w:val="none" w:sz="0" w:space="0" w:color="auto"/>
            <w:right w:val="none" w:sz="0" w:space="0" w:color="auto"/>
          </w:divBdr>
        </w:div>
      </w:divsChild>
    </w:div>
    <w:div w:id="1544487670">
      <w:bodyDiv w:val="1"/>
      <w:marLeft w:val="0"/>
      <w:marRight w:val="0"/>
      <w:marTop w:val="0"/>
      <w:marBottom w:val="0"/>
      <w:divBdr>
        <w:top w:val="none" w:sz="0" w:space="0" w:color="auto"/>
        <w:left w:val="none" w:sz="0" w:space="0" w:color="auto"/>
        <w:bottom w:val="none" w:sz="0" w:space="0" w:color="auto"/>
        <w:right w:val="none" w:sz="0" w:space="0" w:color="auto"/>
      </w:divBdr>
    </w:div>
    <w:div w:id="1615483201">
      <w:bodyDiv w:val="1"/>
      <w:marLeft w:val="0"/>
      <w:marRight w:val="0"/>
      <w:marTop w:val="0"/>
      <w:marBottom w:val="0"/>
      <w:divBdr>
        <w:top w:val="none" w:sz="0" w:space="0" w:color="auto"/>
        <w:left w:val="none" w:sz="0" w:space="0" w:color="auto"/>
        <w:bottom w:val="none" w:sz="0" w:space="0" w:color="auto"/>
        <w:right w:val="none" w:sz="0" w:space="0" w:color="auto"/>
      </w:divBdr>
    </w:div>
    <w:div w:id="1632051890">
      <w:bodyDiv w:val="1"/>
      <w:marLeft w:val="0"/>
      <w:marRight w:val="0"/>
      <w:marTop w:val="0"/>
      <w:marBottom w:val="0"/>
      <w:divBdr>
        <w:top w:val="none" w:sz="0" w:space="0" w:color="auto"/>
        <w:left w:val="none" w:sz="0" w:space="0" w:color="auto"/>
        <w:bottom w:val="none" w:sz="0" w:space="0" w:color="auto"/>
        <w:right w:val="none" w:sz="0" w:space="0" w:color="auto"/>
      </w:divBdr>
      <w:divsChild>
        <w:div w:id="1863129973">
          <w:marLeft w:val="0"/>
          <w:marRight w:val="0"/>
          <w:marTop w:val="0"/>
          <w:marBottom w:val="0"/>
          <w:divBdr>
            <w:top w:val="none" w:sz="0" w:space="0" w:color="auto"/>
            <w:left w:val="none" w:sz="0" w:space="0" w:color="auto"/>
            <w:bottom w:val="none" w:sz="0" w:space="0" w:color="auto"/>
            <w:right w:val="none" w:sz="0" w:space="0" w:color="auto"/>
          </w:divBdr>
          <w:divsChild>
            <w:div w:id="1341272220">
              <w:marLeft w:val="0"/>
              <w:marRight w:val="0"/>
              <w:marTop w:val="0"/>
              <w:marBottom w:val="0"/>
              <w:divBdr>
                <w:top w:val="none" w:sz="0" w:space="0" w:color="auto"/>
                <w:left w:val="none" w:sz="0" w:space="0" w:color="auto"/>
                <w:bottom w:val="none" w:sz="0" w:space="0" w:color="auto"/>
                <w:right w:val="none" w:sz="0" w:space="0" w:color="auto"/>
              </w:divBdr>
              <w:divsChild>
                <w:div w:id="1281186341">
                  <w:marLeft w:val="0"/>
                  <w:marRight w:val="0"/>
                  <w:marTop w:val="0"/>
                  <w:marBottom w:val="0"/>
                  <w:divBdr>
                    <w:top w:val="none" w:sz="0" w:space="0" w:color="auto"/>
                    <w:left w:val="none" w:sz="0" w:space="0" w:color="auto"/>
                    <w:bottom w:val="none" w:sz="0" w:space="0" w:color="auto"/>
                    <w:right w:val="none" w:sz="0" w:space="0" w:color="auto"/>
                  </w:divBdr>
                  <w:divsChild>
                    <w:div w:id="1141389451">
                      <w:marLeft w:val="0"/>
                      <w:marRight w:val="0"/>
                      <w:marTop w:val="0"/>
                      <w:marBottom w:val="0"/>
                      <w:divBdr>
                        <w:top w:val="none" w:sz="0" w:space="0" w:color="auto"/>
                        <w:left w:val="none" w:sz="0" w:space="0" w:color="auto"/>
                        <w:bottom w:val="none" w:sz="0" w:space="0" w:color="auto"/>
                        <w:right w:val="none" w:sz="0" w:space="0" w:color="auto"/>
                      </w:divBdr>
                      <w:divsChild>
                        <w:div w:id="1044476391">
                          <w:marLeft w:val="0"/>
                          <w:marRight w:val="0"/>
                          <w:marTop w:val="0"/>
                          <w:marBottom w:val="0"/>
                          <w:divBdr>
                            <w:top w:val="none" w:sz="0" w:space="0" w:color="auto"/>
                            <w:left w:val="none" w:sz="0" w:space="0" w:color="auto"/>
                            <w:bottom w:val="none" w:sz="0" w:space="0" w:color="auto"/>
                            <w:right w:val="none" w:sz="0" w:space="0" w:color="auto"/>
                          </w:divBdr>
                          <w:divsChild>
                            <w:div w:id="1563327795">
                              <w:marLeft w:val="0"/>
                              <w:marRight w:val="0"/>
                              <w:marTop w:val="0"/>
                              <w:marBottom w:val="0"/>
                              <w:divBdr>
                                <w:top w:val="none" w:sz="0" w:space="0" w:color="auto"/>
                                <w:left w:val="none" w:sz="0" w:space="0" w:color="auto"/>
                                <w:bottom w:val="none" w:sz="0" w:space="0" w:color="auto"/>
                                <w:right w:val="none" w:sz="0" w:space="0" w:color="auto"/>
                              </w:divBdr>
                              <w:divsChild>
                                <w:div w:id="1939675500">
                                  <w:marLeft w:val="0"/>
                                  <w:marRight w:val="0"/>
                                  <w:marTop w:val="0"/>
                                  <w:marBottom w:val="0"/>
                                  <w:divBdr>
                                    <w:top w:val="none" w:sz="0" w:space="0" w:color="auto"/>
                                    <w:left w:val="none" w:sz="0" w:space="0" w:color="auto"/>
                                    <w:bottom w:val="none" w:sz="0" w:space="0" w:color="auto"/>
                                    <w:right w:val="none" w:sz="0" w:space="0" w:color="auto"/>
                                  </w:divBdr>
                                  <w:divsChild>
                                    <w:div w:id="1387801512">
                                      <w:marLeft w:val="0"/>
                                      <w:marRight w:val="0"/>
                                      <w:marTop w:val="0"/>
                                      <w:marBottom w:val="0"/>
                                      <w:divBdr>
                                        <w:top w:val="none" w:sz="0" w:space="0" w:color="auto"/>
                                        <w:left w:val="none" w:sz="0" w:space="0" w:color="auto"/>
                                        <w:bottom w:val="none" w:sz="0" w:space="0" w:color="auto"/>
                                        <w:right w:val="none" w:sz="0" w:space="0" w:color="auto"/>
                                      </w:divBdr>
                                      <w:divsChild>
                                        <w:div w:id="354812997">
                                          <w:marLeft w:val="0"/>
                                          <w:marRight w:val="0"/>
                                          <w:marTop w:val="0"/>
                                          <w:marBottom w:val="0"/>
                                          <w:divBdr>
                                            <w:top w:val="none" w:sz="0" w:space="0" w:color="auto"/>
                                            <w:left w:val="none" w:sz="0" w:space="0" w:color="auto"/>
                                            <w:bottom w:val="none" w:sz="0" w:space="0" w:color="auto"/>
                                            <w:right w:val="none" w:sz="0" w:space="0" w:color="auto"/>
                                          </w:divBdr>
                                          <w:divsChild>
                                            <w:div w:id="1979459567">
                                              <w:marLeft w:val="0"/>
                                              <w:marRight w:val="0"/>
                                              <w:marTop w:val="0"/>
                                              <w:marBottom w:val="0"/>
                                              <w:divBdr>
                                                <w:top w:val="none" w:sz="0" w:space="0" w:color="auto"/>
                                                <w:left w:val="none" w:sz="0" w:space="0" w:color="auto"/>
                                                <w:bottom w:val="none" w:sz="0" w:space="0" w:color="auto"/>
                                                <w:right w:val="none" w:sz="0" w:space="0" w:color="auto"/>
                                              </w:divBdr>
                                              <w:divsChild>
                                                <w:div w:id="1412389457">
                                                  <w:marLeft w:val="0"/>
                                                  <w:marRight w:val="0"/>
                                                  <w:marTop w:val="0"/>
                                                  <w:marBottom w:val="0"/>
                                                  <w:divBdr>
                                                    <w:top w:val="none" w:sz="0" w:space="0" w:color="auto"/>
                                                    <w:left w:val="none" w:sz="0" w:space="0" w:color="auto"/>
                                                    <w:bottom w:val="none" w:sz="0" w:space="0" w:color="auto"/>
                                                    <w:right w:val="none" w:sz="0" w:space="0" w:color="auto"/>
                                                  </w:divBdr>
                                                  <w:divsChild>
                                                    <w:div w:id="1339699642">
                                                      <w:marLeft w:val="0"/>
                                                      <w:marRight w:val="0"/>
                                                      <w:marTop w:val="0"/>
                                                      <w:marBottom w:val="0"/>
                                                      <w:divBdr>
                                                        <w:top w:val="none" w:sz="0" w:space="0" w:color="auto"/>
                                                        <w:left w:val="none" w:sz="0" w:space="0" w:color="auto"/>
                                                        <w:bottom w:val="none" w:sz="0" w:space="0" w:color="auto"/>
                                                        <w:right w:val="none" w:sz="0" w:space="0" w:color="auto"/>
                                                      </w:divBdr>
                                                      <w:divsChild>
                                                        <w:div w:id="14484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4380610">
      <w:bodyDiv w:val="1"/>
      <w:marLeft w:val="0"/>
      <w:marRight w:val="0"/>
      <w:marTop w:val="0"/>
      <w:marBottom w:val="0"/>
      <w:divBdr>
        <w:top w:val="none" w:sz="0" w:space="0" w:color="auto"/>
        <w:left w:val="none" w:sz="0" w:space="0" w:color="auto"/>
        <w:bottom w:val="none" w:sz="0" w:space="0" w:color="auto"/>
        <w:right w:val="none" w:sz="0" w:space="0" w:color="auto"/>
      </w:divBdr>
    </w:div>
    <w:div w:id="1780757107">
      <w:bodyDiv w:val="1"/>
      <w:marLeft w:val="0"/>
      <w:marRight w:val="0"/>
      <w:marTop w:val="0"/>
      <w:marBottom w:val="0"/>
      <w:divBdr>
        <w:top w:val="none" w:sz="0" w:space="0" w:color="auto"/>
        <w:left w:val="none" w:sz="0" w:space="0" w:color="auto"/>
        <w:bottom w:val="none" w:sz="0" w:space="0" w:color="auto"/>
        <w:right w:val="none" w:sz="0" w:space="0" w:color="auto"/>
      </w:divBdr>
    </w:div>
    <w:div w:id="1787579439">
      <w:bodyDiv w:val="1"/>
      <w:marLeft w:val="0"/>
      <w:marRight w:val="0"/>
      <w:marTop w:val="0"/>
      <w:marBottom w:val="0"/>
      <w:divBdr>
        <w:top w:val="none" w:sz="0" w:space="0" w:color="auto"/>
        <w:left w:val="none" w:sz="0" w:space="0" w:color="auto"/>
        <w:bottom w:val="none" w:sz="0" w:space="0" w:color="auto"/>
        <w:right w:val="none" w:sz="0" w:space="0" w:color="auto"/>
      </w:divBdr>
    </w:div>
    <w:div w:id="1812862951">
      <w:bodyDiv w:val="1"/>
      <w:marLeft w:val="0"/>
      <w:marRight w:val="0"/>
      <w:marTop w:val="0"/>
      <w:marBottom w:val="0"/>
      <w:divBdr>
        <w:top w:val="none" w:sz="0" w:space="0" w:color="auto"/>
        <w:left w:val="none" w:sz="0" w:space="0" w:color="auto"/>
        <w:bottom w:val="none" w:sz="0" w:space="0" w:color="auto"/>
        <w:right w:val="none" w:sz="0" w:space="0" w:color="auto"/>
      </w:divBdr>
    </w:div>
    <w:div w:id="1834292963">
      <w:bodyDiv w:val="1"/>
      <w:marLeft w:val="0"/>
      <w:marRight w:val="0"/>
      <w:marTop w:val="0"/>
      <w:marBottom w:val="0"/>
      <w:divBdr>
        <w:top w:val="none" w:sz="0" w:space="0" w:color="auto"/>
        <w:left w:val="none" w:sz="0" w:space="0" w:color="auto"/>
        <w:bottom w:val="none" w:sz="0" w:space="0" w:color="auto"/>
        <w:right w:val="none" w:sz="0" w:space="0" w:color="auto"/>
      </w:divBdr>
    </w:div>
    <w:div w:id="1837068614">
      <w:bodyDiv w:val="1"/>
      <w:marLeft w:val="0"/>
      <w:marRight w:val="0"/>
      <w:marTop w:val="0"/>
      <w:marBottom w:val="0"/>
      <w:divBdr>
        <w:top w:val="none" w:sz="0" w:space="0" w:color="auto"/>
        <w:left w:val="none" w:sz="0" w:space="0" w:color="auto"/>
        <w:bottom w:val="none" w:sz="0" w:space="0" w:color="auto"/>
        <w:right w:val="none" w:sz="0" w:space="0" w:color="auto"/>
      </w:divBdr>
    </w:div>
    <w:div w:id="1842350110">
      <w:bodyDiv w:val="1"/>
      <w:marLeft w:val="0"/>
      <w:marRight w:val="0"/>
      <w:marTop w:val="0"/>
      <w:marBottom w:val="0"/>
      <w:divBdr>
        <w:top w:val="none" w:sz="0" w:space="0" w:color="auto"/>
        <w:left w:val="none" w:sz="0" w:space="0" w:color="auto"/>
        <w:bottom w:val="none" w:sz="0" w:space="0" w:color="auto"/>
        <w:right w:val="none" w:sz="0" w:space="0" w:color="auto"/>
      </w:divBdr>
    </w:div>
    <w:div w:id="1875533419">
      <w:bodyDiv w:val="1"/>
      <w:marLeft w:val="0"/>
      <w:marRight w:val="0"/>
      <w:marTop w:val="0"/>
      <w:marBottom w:val="0"/>
      <w:divBdr>
        <w:top w:val="none" w:sz="0" w:space="0" w:color="auto"/>
        <w:left w:val="none" w:sz="0" w:space="0" w:color="auto"/>
        <w:bottom w:val="none" w:sz="0" w:space="0" w:color="auto"/>
        <w:right w:val="none" w:sz="0" w:space="0" w:color="auto"/>
      </w:divBdr>
    </w:div>
    <w:div w:id="1876966933">
      <w:bodyDiv w:val="1"/>
      <w:marLeft w:val="0"/>
      <w:marRight w:val="0"/>
      <w:marTop w:val="0"/>
      <w:marBottom w:val="0"/>
      <w:divBdr>
        <w:top w:val="none" w:sz="0" w:space="0" w:color="auto"/>
        <w:left w:val="none" w:sz="0" w:space="0" w:color="auto"/>
        <w:bottom w:val="none" w:sz="0" w:space="0" w:color="auto"/>
        <w:right w:val="none" w:sz="0" w:space="0" w:color="auto"/>
      </w:divBdr>
    </w:div>
    <w:div w:id="1907063566">
      <w:bodyDiv w:val="1"/>
      <w:marLeft w:val="0"/>
      <w:marRight w:val="0"/>
      <w:marTop w:val="0"/>
      <w:marBottom w:val="0"/>
      <w:divBdr>
        <w:top w:val="none" w:sz="0" w:space="0" w:color="auto"/>
        <w:left w:val="none" w:sz="0" w:space="0" w:color="auto"/>
        <w:bottom w:val="none" w:sz="0" w:space="0" w:color="auto"/>
        <w:right w:val="none" w:sz="0" w:space="0" w:color="auto"/>
      </w:divBdr>
    </w:div>
    <w:div w:id="1915819332">
      <w:bodyDiv w:val="1"/>
      <w:marLeft w:val="0"/>
      <w:marRight w:val="0"/>
      <w:marTop w:val="0"/>
      <w:marBottom w:val="0"/>
      <w:divBdr>
        <w:top w:val="none" w:sz="0" w:space="0" w:color="auto"/>
        <w:left w:val="none" w:sz="0" w:space="0" w:color="auto"/>
        <w:bottom w:val="none" w:sz="0" w:space="0" w:color="auto"/>
        <w:right w:val="none" w:sz="0" w:space="0" w:color="auto"/>
      </w:divBdr>
    </w:div>
    <w:div w:id="1942297064">
      <w:bodyDiv w:val="1"/>
      <w:marLeft w:val="0"/>
      <w:marRight w:val="0"/>
      <w:marTop w:val="0"/>
      <w:marBottom w:val="0"/>
      <w:divBdr>
        <w:top w:val="none" w:sz="0" w:space="0" w:color="auto"/>
        <w:left w:val="none" w:sz="0" w:space="0" w:color="auto"/>
        <w:bottom w:val="none" w:sz="0" w:space="0" w:color="auto"/>
        <w:right w:val="none" w:sz="0" w:space="0" w:color="auto"/>
      </w:divBdr>
    </w:div>
    <w:div w:id="1991515414">
      <w:bodyDiv w:val="1"/>
      <w:marLeft w:val="0"/>
      <w:marRight w:val="0"/>
      <w:marTop w:val="0"/>
      <w:marBottom w:val="0"/>
      <w:divBdr>
        <w:top w:val="none" w:sz="0" w:space="0" w:color="auto"/>
        <w:left w:val="none" w:sz="0" w:space="0" w:color="auto"/>
        <w:bottom w:val="none" w:sz="0" w:space="0" w:color="auto"/>
        <w:right w:val="none" w:sz="0" w:space="0" w:color="auto"/>
      </w:divBdr>
      <w:divsChild>
        <w:div w:id="241571427">
          <w:marLeft w:val="360"/>
          <w:marRight w:val="0"/>
          <w:marTop w:val="200"/>
          <w:marBottom w:val="0"/>
          <w:divBdr>
            <w:top w:val="none" w:sz="0" w:space="0" w:color="auto"/>
            <w:left w:val="none" w:sz="0" w:space="0" w:color="auto"/>
            <w:bottom w:val="none" w:sz="0" w:space="0" w:color="auto"/>
            <w:right w:val="none" w:sz="0" w:space="0" w:color="auto"/>
          </w:divBdr>
        </w:div>
        <w:div w:id="35084706">
          <w:marLeft w:val="360"/>
          <w:marRight w:val="0"/>
          <w:marTop w:val="200"/>
          <w:marBottom w:val="0"/>
          <w:divBdr>
            <w:top w:val="none" w:sz="0" w:space="0" w:color="auto"/>
            <w:left w:val="none" w:sz="0" w:space="0" w:color="auto"/>
            <w:bottom w:val="none" w:sz="0" w:space="0" w:color="auto"/>
            <w:right w:val="none" w:sz="0" w:space="0" w:color="auto"/>
          </w:divBdr>
        </w:div>
        <w:div w:id="2068020396">
          <w:marLeft w:val="360"/>
          <w:marRight w:val="0"/>
          <w:marTop w:val="200"/>
          <w:marBottom w:val="0"/>
          <w:divBdr>
            <w:top w:val="none" w:sz="0" w:space="0" w:color="auto"/>
            <w:left w:val="none" w:sz="0" w:space="0" w:color="auto"/>
            <w:bottom w:val="none" w:sz="0" w:space="0" w:color="auto"/>
            <w:right w:val="none" w:sz="0" w:space="0" w:color="auto"/>
          </w:divBdr>
        </w:div>
      </w:divsChild>
    </w:div>
    <w:div w:id="2025351742">
      <w:bodyDiv w:val="1"/>
      <w:marLeft w:val="0"/>
      <w:marRight w:val="0"/>
      <w:marTop w:val="0"/>
      <w:marBottom w:val="0"/>
      <w:divBdr>
        <w:top w:val="none" w:sz="0" w:space="0" w:color="auto"/>
        <w:left w:val="none" w:sz="0" w:space="0" w:color="auto"/>
        <w:bottom w:val="none" w:sz="0" w:space="0" w:color="auto"/>
        <w:right w:val="none" w:sz="0" w:space="0" w:color="auto"/>
      </w:divBdr>
    </w:div>
    <w:div w:id="2036224916">
      <w:bodyDiv w:val="1"/>
      <w:marLeft w:val="0"/>
      <w:marRight w:val="0"/>
      <w:marTop w:val="0"/>
      <w:marBottom w:val="0"/>
      <w:divBdr>
        <w:top w:val="none" w:sz="0" w:space="0" w:color="auto"/>
        <w:left w:val="none" w:sz="0" w:space="0" w:color="auto"/>
        <w:bottom w:val="none" w:sz="0" w:space="0" w:color="auto"/>
        <w:right w:val="none" w:sz="0" w:space="0" w:color="auto"/>
      </w:divBdr>
    </w:div>
    <w:div w:id="2065761635">
      <w:bodyDiv w:val="1"/>
      <w:marLeft w:val="0"/>
      <w:marRight w:val="0"/>
      <w:marTop w:val="0"/>
      <w:marBottom w:val="0"/>
      <w:divBdr>
        <w:top w:val="none" w:sz="0" w:space="0" w:color="auto"/>
        <w:left w:val="none" w:sz="0" w:space="0" w:color="auto"/>
        <w:bottom w:val="none" w:sz="0" w:space="0" w:color="auto"/>
        <w:right w:val="none" w:sz="0" w:space="0" w:color="auto"/>
      </w:divBdr>
      <w:divsChild>
        <w:div w:id="1965424653">
          <w:marLeft w:val="0"/>
          <w:marRight w:val="0"/>
          <w:marTop w:val="0"/>
          <w:marBottom w:val="0"/>
          <w:divBdr>
            <w:top w:val="none" w:sz="0" w:space="0" w:color="auto"/>
            <w:left w:val="none" w:sz="0" w:space="0" w:color="auto"/>
            <w:bottom w:val="none" w:sz="0" w:space="0" w:color="auto"/>
            <w:right w:val="none" w:sz="0" w:space="0" w:color="auto"/>
          </w:divBdr>
          <w:divsChild>
            <w:div w:id="1133598652">
              <w:marLeft w:val="0"/>
              <w:marRight w:val="0"/>
              <w:marTop w:val="0"/>
              <w:marBottom w:val="0"/>
              <w:divBdr>
                <w:top w:val="none" w:sz="0" w:space="0" w:color="auto"/>
                <w:left w:val="none" w:sz="0" w:space="0" w:color="auto"/>
                <w:bottom w:val="none" w:sz="0" w:space="0" w:color="auto"/>
                <w:right w:val="none" w:sz="0" w:space="0" w:color="auto"/>
              </w:divBdr>
              <w:divsChild>
                <w:div w:id="1779986258">
                  <w:marLeft w:val="0"/>
                  <w:marRight w:val="0"/>
                  <w:marTop w:val="0"/>
                  <w:marBottom w:val="0"/>
                  <w:divBdr>
                    <w:top w:val="none" w:sz="0" w:space="0" w:color="auto"/>
                    <w:left w:val="none" w:sz="0" w:space="0" w:color="auto"/>
                    <w:bottom w:val="none" w:sz="0" w:space="0" w:color="auto"/>
                    <w:right w:val="none" w:sz="0" w:space="0" w:color="auto"/>
                  </w:divBdr>
                  <w:divsChild>
                    <w:div w:id="1200507822">
                      <w:marLeft w:val="0"/>
                      <w:marRight w:val="0"/>
                      <w:marTop w:val="0"/>
                      <w:marBottom w:val="0"/>
                      <w:divBdr>
                        <w:top w:val="none" w:sz="0" w:space="0" w:color="auto"/>
                        <w:left w:val="none" w:sz="0" w:space="0" w:color="auto"/>
                        <w:bottom w:val="none" w:sz="0" w:space="0" w:color="auto"/>
                        <w:right w:val="none" w:sz="0" w:space="0" w:color="auto"/>
                      </w:divBdr>
                      <w:divsChild>
                        <w:div w:id="433281299">
                          <w:marLeft w:val="0"/>
                          <w:marRight w:val="0"/>
                          <w:marTop w:val="0"/>
                          <w:marBottom w:val="0"/>
                          <w:divBdr>
                            <w:top w:val="none" w:sz="0" w:space="0" w:color="auto"/>
                            <w:left w:val="none" w:sz="0" w:space="0" w:color="auto"/>
                            <w:bottom w:val="none" w:sz="0" w:space="0" w:color="auto"/>
                            <w:right w:val="none" w:sz="0" w:space="0" w:color="auto"/>
                          </w:divBdr>
                          <w:divsChild>
                            <w:div w:id="1464349240">
                              <w:marLeft w:val="0"/>
                              <w:marRight w:val="0"/>
                              <w:marTop w:val="0"/>
                              <w:marBottom w:val="0"/>
                              <w:divBdr>
                                <w:top w:val="none" w:sz="0" w:space="0" w:color="auto"/>
                                <w:left w:val="none" w:sz="0" w:space="0" w:color="auto"/>
                                <w:bottom w:val="none" w:sz="0" w:space="0" w:color="auto"/>
                                <w:right w:val="none" w:sz="0" w:space="0" w:color="auto"/>
                              </w:divBdr>
                              <w:divsChild>
                                <w:div w:id="836963268">
                                  <w:marLeft w:val="0"/>
                                  <w:marRight w:val="0"/>
                                  <w:marTop w:val="0"/>
                                  <w:marBottom w:val="0"/>
                                  <w:divBdr>
                                    <w:top w:val="none" w:sz="0" w:space="0" w:color="auto"/>
                                    <w:left w:val="none" w:sz="0" w:space="0" w:color="auto"/>
                                    <w:bottom w:val="none" w:sz="0" w:space="0" w:color="auto"/>
                                    <w:right w:val="none" w:sz="0" w:space="0" w:color="auto"/>
                                  </w:divBdr>
                                  <w:divsChild>
                                    <w:div w:id="1812090076">
                                      <w:marLeft w:val="0"/>
                                      <w:marRight w:val="0"/>
                                      <w:marTop w:val="0"/>
                                      <w:marBottom w:val="0"/>
                                      <w:divBdr>
                                        <w:top w:val="none" w:sz="0" w:space="0" w:color="auto"/>
                                        <w:left w:val="none" w:sz="0" w:space="0" w:color="auto"/>
                                        <w:bottom w:val="none" w:sz="0" w:space="0" w:color="auto"/>
                                        <w:right w:val="none" w:sz="0" w:space="0" w:color="auto"/>
                                      </w:divBdr>
                                      <w:divsChild>
                                        <w:div w:id="1391731147">
                                          <w:marLeft w:val="0"/>
                                          <w:marRight w:val="0"/>
                                          <w:marTop w:val="0"/>
                                          <w:marBottom w:val="0"/>
                                          <w:divBdr>
                                            <w:top w:val="none" w:sz="0" w:space="0" w:color="auto"/>
                                            <w:left w:val="none" w:sz="0" w:space="0" w:color="auto"/>
                                            <w:bottom w:val="none" w:sz="0" w:space="0" w:color="auto"/>
                                            <w:right w:val="none" w:sz="0" w:space="0" w:color="auto"/>
                                          </w:divBdr>
                                          <w:divsChild>
                                            <w:div w:id="603075827">
                                              <w:marLeft w:val="0"/>
                                              <w:marRight w:val="0"/>
                                              <w:marTop w:val="0"/>
                                              <w:marBottom w:val="0"/>
                                              <w:divBdr>
                                                <w:top w:val="none" w:sz="0" w:space="0" w:color="auto"/>
                                                <w:left w:val="none" w:sz="0" w:space="0" w:color="auto"/>
                                                <w:bottom w:val="none" w:sz="0" w:space="0" w:color="auto"/>
                                                <w:right w:val="none" w:sz="0" w:space="0" w:color="auto"/>
                                              </w:divBdr>
                                              <w:divsChild>
                                                <w:div w:id="1921016419">
                                                  <w:marLeft w:val="0"/>
                                                  <w:marRight w:val="0"/>
                                                  <w:marTop w:val="0"/>
                                                  <w:marBottom w:val="0"/>
                                                  <w:divBdr>
                                                    <w:top w:val="none" w:sz="0" w:space="0" w:color="auto"/>
                                                    <w:left w:val="none" w:sz="0" w:space="0" w:color="auto"/>
                                                    <w:bottom w:val="none" w:sz="0" w:space="0" w:color="auto"/>
                                                    <w:right w:val="none" w:sz="0" w:space="0" w:color="auto"/>
                                                  </w:divBdr>
                                                  <w:divsChild>
                                                    <w:div w:id="1529290530">
                                                      <w:marLeft w:val="0"/>
                                                      <w:marRight w:val="0"/>
                                                      <w:marTop w:val="0"/>
                                                      <w:marBottom w:val="0"/>
                                                      <w:divBdr>
                                                        <w:top w:val="none" w:sz="0" w:space="0" w:color="auto"/>
                                                        <w:left w:val="none" w:sz="0" w:space="0" w:color="auto"/>
                                                        <w:bottom w:val="none" w:sz="0" w:space="0" w:color="auto"/>
                                                        <w:right w:val="none" w:sz="0" w:space="0" w:color="auto"/>
                                                      </w:divBdr>
                                                      <w:divsChild>
                                                        <w:div w:id="106044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5985559">
      <w:bodyDiv w:val="1"/>
      <w:marLeft w:val="0"/>
      <w:marRight w:val="0"/>
      <w:marTop w:val="0"/>
      <w:marBottom w:val="0"/>
      <w:divBdr>
        <w:top w:val="none" w:sz="0" w:space="0" w:color="auto"/>
        <w:left w:val="none" w:sz="0" w:space="0" w:color="auto"/>
        <w:bottom w:val="none" w:sz="0" w:space="0" w:color="auto"/>
        <w:right w:val="none" w:sz="0" w:space="0" w:color="auto"/>
      </w:divBdr>
    </w:div>
    <w:div w:id="2071420833">
      <w:bodyDiv w:val="1"/>
      <w:marLeft w:val="0"/>
      <w:marRight w:val="0"/>
      <w:marTop w:val="0"/>
      <w:marBottom w:val="0"/>
      <w:divBdr>
        <w:top w:val="none" w:sz="0" w:space="0" w:color="auto"/>
        <w:left w:val="none" w:sz="0" w:space="0" w:color="auto"/>
        <w:bottom w:val="none" w:sz="0" w:space="0" w:color="auto"/>
        <w:right w:val="none" w:sz="0" w:space="0" w:color="auto"/>
      </w:divBdr>
    </w:div>
    <w:div w:id="2079400712">
      <w:bodyDiv w:val="1"/>
      <w:marLeft w:val="0"/>
      <w:marRight w:val="0"/>
      <w:marTop w:val="0"/>
      <w:marBottom w:val="0"/>
      <w:divBdr>
        <w:top w:val="none" w:sz="0" w:space="0" w:color="auto"/>
        <w:left w:val="none" w:sz="0" w:space="0" w:color="auto"/>
        <w:bottom w:val="none" w:sz="0" w:space="0" w:color="auto"/>
        <w:right w:val="none" w:sz="0" w:space="0" w:color="auto"/>
      </w:divBdr>
    </w:div>
    <w:div w:id="2082561169">
      <w:bodyDiv w:val="1"/>
      <w:marLeft w:val="0"/>
      <w:marRight w:val="0"/>
      <w:marTop w:val="0"/>
      <w:marBottom w:val="0"/>
      <w:divBdr>
        <w:top w:val="none" w:sz="0" w:space="0" w:color="auto"/>
        <w:left w:val="none" w:sz="0" w:space="0" w:color="auto"/>
        <w:bottom w:val="none" w:sz="0" w:space="0" w:color="auto"/>
        <w:right w:val="none" w:sz="0" w:space="0" w:color="auto"/>
      </w:divBdr>
    </w:div>
    <w:div w:id="2086027101">
      <w:bodyDiv w:val="1"/>
      <w:marLeft w:val="0"/>
      <w:marRight w:val="0"/>
      <w:marTop w:val="0"/>
      <w:marBottom w:val="0"/>
      <w:divBdr>
        <w:top w:val="none" w:sz="0" w:space="0" w:color="auto"/>
        <w:left w:val="none" w:sz="0" w:space="0" w:color="auto"/>
        <w:bottom w:val="none" w:sz="0" w:space="0" w:color="auto"/>
        <w:right w:val="none" w:sz="0" w:space="0" w:color="auto"/>
      </w:divBdr>
    </w:div>
    <w:div w:id="2088265716">
      <w:bodyDiv w:val="1"/>
      <w:marLeft w:val="0"/>
      <w:marRight w:val="0"/>
      <w:marTop w:val="0"/>
      <w:marBottom w:val="0"/>
      <w:divBdr>
        <w:top w:val="none" w:sz="0" w:space="0" w:color="auto"/>
        <w:left w:val="none" w:sz="0" w:space="0" w:color="auto"/>
        <w:bottom w:val="none" w:sz="0" w:space="0" w:color="auto"/>
        <w:right w:val="none" w:sz="0" w:space="0" w:color="auto"/>
      </w:divBdr>
    </w:div>
    <w:div w:id="213536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21582041.2023.2197877" TargetMode="External"/><Relationship Id="rId18" Type="http://schemas.openxmlformats.org/officeDocument/2006/relationships/hyperlink" Target="https://www.tandfonline.com/doi/abs/10.1080/00131911.2017.1340871" TargetMode="External"/><Relationship Id="rId26" Type="http://schemas.openxmlformats.org/officeDocument/2006/relationships/hyperlink" Target="https://www.tandfonline.com/doi/full/10.1080/12294659.2023.2286671" TargetMode="External"/><Relationship Id="rId39" Type="http://schemas.openxmlformats.org/officeDocument/2006/relationships/hyperlink" Target="https://doi.org/10.1080/0046760x.2021.1953158" TargetMode="External"/><Relationship Id="rId21" Type="http://schemas.openxmlformats.org/officeDocument/2006/relationships/hyperlink" Target="https://www.jasss.org/21/1/14.html" TargetMode="External"/><Relationship Id="rId34" Type="http://schemas.openxmlformats.org/officeDocument/2006/relationships/hyperlink" Target="https://doi.org/10.1080/00071005.2020.1831434" TargetMode="External"/><Relationship Id="rId42" Type="http://schemas.openxmlformats.org/officeDocument/2006/relationships/hyperlink" Target="https://ideas.repec.org/a/eme/jpifpp/jpif-02-2019-0023.html" TargetMode="External"/><Relationship Id="rId47" Type="http://schemas.openxmlformats.org/officeDocument/2006/relationships/hyperlink" Target="https://www.parliament.uk/about/living-heritage/transformingsociety/livinglearning/school/overview/1870educationact/" TargetMode="External"/><Relationship Id="rId50" Type="http://schemas.openxmlformats.org/officeDocument/2006/relationships/hyperlink" Target="https://www.sciencedirect.com/science/article/pii/S0145213415001246?via%3Dihub" TargetMode="External"/><Relationship Id="rId55" Type="http://schemas.openxmlformats.org/officeDocument/2006/relationships/fontTable" Target="fontTable.xml"/><Relationship Id="rId7" Type="http://schemas.openxmlformats.org/officeDocument/2006/relationships/hyperlink" Target="https://bristoluniversitypressdigital.com/view/journals/pp/45/3/article-p467.xml" TargetMode="External"/><Relationship Id="rId2" Type="http://schemas.openxmlformats.org/officeDocument/2006/relationships/styles" Target="styles.xml"/><Relationship Id="rId16" Type="http://schemas.openxmlformats.org/officeDocument/2006/relationships/hyperlink" Target="https://pubmed.ncbi.nlm.nih.gov/30802080/" TargetMode="External"/><Relationship Id="rId29" Type="http://schemas.openxmlformats.org/officeDocument/2006/relationships/hyperlink" Target="https://www.newpaltz.edu/media/history/Jones,%20Jessica%20Fall%202022.pdf" TargetMode="External"/><Relationship Id="rId11" Type="http://schemas.openxmlformats.org/officeDocument/2006/relationships/hyperlink" Target="https://www.bbc.co.uk/news/uk-wales-60402204" TargetMode="External"/><Relationship Id="rId24" Type="http://schemas.openxmlformats.org/officeDocument/2006/relationships/hyperlink" Target="https://www.proquest.com/openview/c80dc82b610cb5d24e3898ad02280eef/1?pq-origsite=gscholar&amp;cbl=18750&amp;diss=y" TargetMode="External"/><Relationship Id="rId32" Type="http://schemas.openxmlformats.org/officeDocument/2006/relationships/hyperlink" Target="https://journal.uwp.co.uk/wje/article/593/galley/578/view/" TargetMode="External"/><Relationship Id="rId37" Type="http://schemas.openxmlformats.org/officeDocument/2006/relationships/hyperlink" Target="https://egalitarianpublishing.com/JCPCP/Subscriber_Fulltext/JCPCP_v20_i01_COMPLETE.pdf" TargetMode="External"/><Relationship Id="rId40" Type="http://schemas.openxmlformats.org/officeDocument/2006/relationships/hyperlink" Target="https://www.tandfonline.com/doi/abs/10.1080/00405841.2019.1702451" TargetMode="External"/><Relationship Id="rId45" Type="http://schemas.openxmlformats.org/officeDocument/2006/relationships/hyperlink" Target="https://revista-anglo-saxonica.org/articles/10.5334/as.44"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bc.co.uk/news/uk-wales-51266509" TargetMode="External"/><Relationship Id="rId19" Type="http://schemas.openxmlformats.org/officeDocument/2006/relationships/hyperlink" Target="https://doi.org/10.1111/padm.12702" TargetMode="External"/><Relationship Id="rId31" Type="http://schemas.openxmlformats.org/officeDocument/2006/relationships/hyperlink" Target="https://nasenjournals.onlinelibrary.wiley.com/doi/full/10.1111/1467-8578.12394" TargetMode="External"/><Relationship Id="rId44" Type="http://schemas.openxmlformats.org/officeDocument/2006/relationships/hyperlink" Target="https://www.proquest.com/openview/2de325118bd7845d401503e8986c3e03/1?pq-origsite=gscholar&amp;cbl=2026366&amp;diss=y" TargetMode="External"/><Relationship Id="rId52" Type="http://schemas.openxmlformats.org/officeDocument/2006/relationships/hyperlink" Target="https://www.igi-global.com/chapter/margaret-thatcher-and-domestic-politics/356113" TargetMode="External"/><Relationship Id="rId4" Type="http://schemas.openxmlformats.org/officeDocument/2006/relationships/webSettings" Target="webSettings.xml"/><Relationship Id="rId9" Type="http://schemas.openxmlformats.org/officeDocument/2006/relationships/hyperlink" Target="https://link.springer.com/chapter/10.1007/978-3-030-92721-9_10" TargetMode="External"/><Relationship Id="rId14" Type="http://schemas.openxmlformats.org/officeDocument/2006/relationships/hyperlink" Target="https://pubmed.ncbi.nlm.nih.gov/27034196/" TargetMode="External"/><Relationship Id="rId22" Type="http://schemas.openxmlformats.org/officeDocument/2006/relationships/hyperlink" Target="https://www.proquest.com/openview/c80dc82b610cb5d24e3898ad02280eef/1?pq-origsite=gscholar&amp;cbl=18750&amp;diss=y" TargetMode="External"/><Relationship Id="rId27" Type="http://schemas.openxmlformats.org/officeDocument/2006/relationships/hyperlink" Target="https://doi.org/10.1080/25741292.2018.1540378" TargetMode="External"/><Relationship Id="rId30" Type="http://schemas.openxmlformats.org/officeDocument/2006/relationships/hyperlink" Target="https://doi.org/10.1006/exeh.1999.0713" TargetMode="External"/><Relationship Id="rId35" Type="http://schemas.openxmlformats.org/officeDocument/2006/relationships/hyperlink" Target="https://www.tandfonline.com/doi/pdf/10.1080/00071005.1970.9973280" TargetMode="External"/><Relationship Id="rId43" Type="http://schemas.openxmlformats.org/officeDocument/2006/relationships/hyperlink" Target="https://psycnet.apa.org/record/2018-41336-007" TargetMode="External"/><Relationship Id="rId48" Type="http://schemas.openxmlformats.org/officeDocument/2006/relationships/hyperlink" Target="https://www.parliament.uk/about/living-heritage/transformingsociety/livinglearning/school/overview/1870educationact/" TargetMode="External"/><Relationship Id="rId56" Type="http://schemas.openxmlformats.org/officeDocument/2006/relationships/theme" Target="theme/theme1.xml"/><Relationship Id="rId8" Type="http://schemas.openxmlformats.org/officeDocument/2006/relationships/hyperlink" Target="https://doi.org/10.1007/978-3-030-90434-0_89-1" TargetMode="External"/><Relationship Id="rId51" Type="http://schemas.openxmlformats.org/officeDocument/2006/relationships/hyperlink" Target="https://www.tandfonline.com/doi/full/10.1080/00461520.2016.1207538" TargetMode="External"/><Relationship Id="rId3" Type="http://schemas.openxmlformats.org/officeDocument/2006/relationships/settings" Target="settings.xml"/><Relationship Id="rId12" Type="http://schemas.openxmlformats.org/officeDocument/2006/relationships/hyperlink" Target="https://link.springer.com/chapter/10.1007/978-3-030-37892-9_2" TargetMode="External"/><Relationship Id="rId17" Type="http://schemas.openxmlformats.org/officeDocument/2006/relationships/hyperlink" Target="https://journals.gla.ac.uk/groundings/article/view/156" TargetMode="External"/><Relationship Id="rId25" Type="http://schemas.openxmlformats.org/officeDocument/2006/relationships/hyperlink" Target="https://doi.org/10.1093/tcbh/hwx034" TargetMode="External"/><Relationship Id="rId33" Type="http://schemas.openxmlformats.org/officeDocument/2006/relationships/hyperlink" Target="https://www.researchgate.net/publication/283575609_Mapping_Concepts_of_Agency_in_Educational_Contexts" TargetMode="External"/><Relationship Id="rId38" Type="http://schemas.openxmlformats.org/officeDocument/2006/relationships/hyperlink" Target="https://cms.learningthroughplay.com/media/nihnouvc/learning-through-play-school.pdf" TargetMode="External"/><Relationship Id="rId46" Type="http://schemas.openxmlformats.org/officeDocument/2006/relationships/hyperlink" Target="https://doi.org/10.4324/9780429036989" TargetMode="External"/><Relationship Id="rId20" Type="http://schemas.openxmlformats.org/officeDocument/2006/relationships/hyperlink" Target="https://journals.sagepub.com/doi/full/10.1177/02750740211023597" TargetMode="External"/><Relationship Id="rId41" Type="http://schemas.openxmlformats.org/officeDocument/2006/relationships/hyperlink" Target="https://journals.sagepub.com/doi/10.1177/1523422318756954"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ubmed.ncbi.nlm.nih.gov/37973344/" TargetMode="External"/><Relationship Id="rId23" Type="http://schemas.openxmlformats.org/officeDocument/2006/relationships/hyperlink" Target="https://doi.org/10.1093/pastj/gtz026" TargetMode="External"/><Relationship Id="rId28" Type="http://schemas.openxmlformats.org/officeDocument/2006/relationships/hyperlink" Target="https://oxfordre.com/politics/display/10.1093/acrefore/9780190228637.001.0001/acrefore-9780190228637-e-1750" TargetMode="External"/><Relationship Id="rId36" Type="http://schemas.openxmlformats.org/officeDocument/2006/relationships/hyperlink" Target="https://yorkspace.library.yorku.ca/server/api/core/bitstreams/4f35ae21-4006-49ab-9cc1-4dd50c45a35a/content" TargetMode="External"/><Relationship Id="rId49" Type="http://schemas.openxmlformats.org/officeDocument/2006/relationships/hyperlink" Target="https://journal.uwp.co.uk/wje/article/id/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3735</TotalTime>
  <Pages>23</Pages>
  <Words>7025</Words>
  <Characters>40048</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hannah jones</cp:lastModifiedBy>
  <cp:revision>654</cp:revision>
  <dcterms:created xsi:type="dcterms:W3CDTF">2024-12-15T00:05:00Z</dcterms:created>
  <dcterms:modified xsi:type="dcterms:W3CDTF">2025-01-19T23:49:00Z</dcterms:modified>
</cp:coreProperties>
</file>