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12D0" w:rsidRPr="00AF12D0" w:rsidRDefault="00E07D64" w:rsidP="00AF12D0">
      <w:pPr>
        <w:jc w:val="center"/>
      </w:pPr>
      <w:r w:rsidRPr="00E07D64">
        <w:rPr>
          <w:noProof/>
          <w:lang w:val="en-US" w:eastAsia="en-US"/>
        </w:rPr>
        <w:drawing>
          <wp:inline distT="0" distB="0" distL="0" distR="0">
            <wp:extent cx="4754882" cy="1699260"/>
            <wp:effectExtent l="19050" t="0" r="7618" b="0"/>
            <wp:docPr id="196259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99713" name=""/>
                    <pic:cNvPicPr/>
                  </pic:nvPicPr>
                  <pic:blipFill>
                    <a:blip r:embed="rId8" cstate="print"/>
                    <a:stretch>
                      <a:fillRect/>
                    </a:stretch>
                  </pic:blipFill>
                  <pic:spPr>
                    <a:xfrm>
                      <a:off x="0" y="0"/>
                      <a:ext cx="4753638" cy="1698816"/>
                    </a:xfrm>
                    <a:prstGeom prst="rect">
                      <a:avLst/>
                    </a:prstGeom>
                  </pic:spPr>
                </pic:pic>
              </a:graphicData>
            </a:graphic>
          </wp:inline>
        </w:drawing>
      </w:r>
    </w:p>
    <w:p w:rsidR="00AF12D0" w:rsidRPr="00370195" w:rsidRDefault="00AF12D0" w:rsidP="00AF12D0">
      <w:pPr>
        <w:spacing w:line="360" w:lineRule="auto"/>
        <w:jc w:val="center"/>
        <w:rPr>
          <w:rFonts w:cs="Times New Roman"/>
          <w:sz w:val="24"/>
          <w:szCs w:val="24"/>
        </w:rPr>
      </w:pPr>
      <w:proofErr w:type="spellStart"/>
      <w:r w:rsidRPr="00370195">
        <w:rPr>
          <w:rFonts w:cs="Times New Roman"/>
          <w:sz w:val="24"/>
          <w:szCs w:val="24"/>
        </w:rPr>
        <w:t>MSc</w:t>
      </w:r>
      <w:proofErr w:type="spellEnd"/>
      <w:r w:rsidRPr="00370195">
        <w:rPr>
          <w:rFonts w:cs="Times New Roman"/>
          <w:sz w:val="24"/>
          <w:szCs w:val="24"/>
        </w:rPr>
        <w:t xml:space="preserve"> </w:t>
      </w:r>
      <w:proofErr w:type="spellStart"/>
      <w:r w:rsidRPr="00370195">
        <w:rPr>
          <w:rFonts w:cs="Times New Roman"/>
          <w:sz w:val="24"/>
          <w:szCs w:val="24"/>
        </w:rPr>
        <w:t>Cybersecurity</w:t>
      </w:r>
      <w:proofErr w:type="spellEnd"/>
      <w:r w:rsidRPr="00370195">
        <w:rPr>
          <w:rFonts w:cs="Times New Roman"/>
          <w:sz w:val="24"/>
          <w:szCs w:val="24"/>
        </w:rPr>
        <w:t xml:space="preserve"> and Digital Forensics</w:t>
      </w:r>
    </w:p>
    <w:p w:rsidR="00AF12D0" w:rsidRPr="008E0E80" w:rsidRDefault="00AF12D0" w:rsidP="00AF12D0">
      <w:pPr>
        <w:spacing w:line="360" w:lineRule="auto"/>
        <w:jc w:val="center"/>
        <w:rPr>
          <w:rFonts w:cs="Times New Roman"/>
        </w:rPr>
      </w:pPr>
    </w:p>
    <w:p w:rsidR="00AF12D0" w:rsidRPr="009D0FC9" w:rsidRDefault="00AF12D0" w:rsidP="00AF12D0">
      <w:pPr>
        <w:spacing w:line="360" w:lineRule="auto"/>
        <w:jc w:val="center"/>
        <w:rPr>
          <w:rFonts w:cs="Times New Roman"/>
          <w:b/>
          <w:bCs/>
          <w:sz w:val="28"/>
          <w:szCs w:val="28"/>
        </w:rPr>
      </w:pPr>
      <w:r w:rsidRPr="009D0FC9">
        <w:rPr>
          <w:rFonts w:cs="Times New Roman"/>
          <w:b/>
          <w:bCs/>
          <w:sz w:val="28"/>
          <w:szCs w:val="28"/>
        </w:rPr>
        <w:t>ASSESSMENT REPORT</w:t>
      </w:r>
    </w:p>
    <w:p w:rsidR="00AF12D0" w:rsidRPr="008E0E80" w:rsidRDefault="00AF12D0" w:rsidP="00AF12D0">
      <w:pPr>
        <w:spacing w:line="360" w:lineRule="auto"/>
        <w:jc w:val="center"/>
        <w:rPr>
          <w:rFonts w:cs="Times New Roman"/>
          <w:b/>
          <w:bCs/>
        </w:rPr>
      </w:pPr>
    </w:p>
    <w:p w:rsidR="00AF12D0" w:rsidRPr="008E0E80" w:rsidRDefault="00AF12D0" w:rsidP="00AF12D0">
      <w:pPr>
        <w:spacing w:line="360" w:lineRule="auto"/>
        <w:jc w:val="center"/>
        <w:rPr>
          <w:rFonts w:cs="Times New Roman"/>
          <w:b/>
          <w:bCs/>
          <w:sz w:val="36"/>
          <w:szCs w:val="36"/>
        </w:rPr>
      </w:pPr>
      <w:r w:rsidRPr="008E0E80">
        <w:rPr>
          <w:rFonts w:cs="Times New Roman"/>
          <w:b/>
          <w:bCs/>
          <w:sz w:val="36"/>
          <w:szCs w:val="36"/>
        </w:rPr>
        <w:t xml:space="preserve">Developing an Integrated Data Security, Governance and Compliance Approach for </w:t>
      </w:r>
      <w:proofErr w:type="spellStart"/>
      <w:r w:rsidRPr="008E0E80">
        <w:rPr>
          <w:rFonts w:cs="Times New Roman"/>
          <w:b/>
          <w:bCs/>
          <w:sz w:val="36"/>
          <w:szCs w:val="36"/>
        </w:rPr>
        <w:t>AeroLink</w:t>
      </w:r>
      <w:proofErr w:type="spellEnd"/>
      <w:r w:rsidRPr="008E0E80">
        <w:rPr>
          <w:rFonts w:cs="Times New Roman"/>
          <w:b/>
          <w:bCs/>
          <w:sz w:val="36"/>
          <w:szCs w:val="36"/>
        </w:rPr>
        <w:t xml:space="preserve"> Logistics</w:t>
      </w:r>
    </w:p>
    <w:p w:rsidR="00AF12D0" w:rsidRPr="008E0E80" w:rsidRDefault="00AF12D0" w:rsidP="00AF12D0">
      <w:pPr>
        <w:spacing w:after="500" w:line="360" w:lineRule="auto"/>
        <w:jc w:val="center"/>
        <w:rPr>
          <w:rFonts w:eastAsia="Times New Roman" w:cs="Times New Roman"/>
          <w:i/>
          <w:szCs w:val="28"/>
        </w:rPr>
      </w:pPr>
      <w:r w:rsidRPr="00376221">
        <w:rPr>
          <w:rFonts w:eastAsia="Times New Roman" w:cs="Times New Roman"/>
          <w:i/>
          <w:szCs w:val="28"/>
        </w:rPr>
        <w:t xml:space="preserve">Applying data security, governance and compliance principles to the </w:t>
      </w:r>
      <w:proofErr w:type="spellStart"/>
      <w:r w:rsidRPr="00376221">
        <w:rPr>
          <w:rFonts w:eastAsia="Times New Roman" w:cs="Times New Roman"/>
          <w:i/>
          <w:szCs w:val="28"/>
        </w:rPr>
        <w:t>AeroLink</w:t>
      </w:r>
      <w:proofErr w:type="spellEnd"/>
      <w:r w:rsidRPr="00376221">
        <w:rPr>
          <w:rFonts w:eastAsia="Times New Roman" w:cs="Times New Roman"/>
          <w:i/>
          <w:szCs w:val="28"/>
        </w:rPr>
        <w:t xml:space="preserve"> Logistics scenario</w:t>
      </w:r>
    </w:p>
    <w:tbl>
      <w:tblPr>
        <w:tblStyle w:val="GridTableLight"/>
        <w:tblW w:w="5000" w:type="pct"/>
        <w:tblLook w:val="04A0"/>
      </w:tblPr>
      <w:tblGrid>
        <w:gridCol w:w="2921"/>
        <w:gridCol w:w="6655"/>
      </w:tblGrid>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Module</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sidRPr="004B3A4C">
              <w:rPr>
                <w:rFonts w:eastAsia="Times New Roman" w:cs="Times New Roman"/>
                <w:szCs w:val="32"/>
              </w:rPr>
              <w:t>Data Security, Governance and Compliance</w:t>
            </w:r>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Module code</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sidRPr="004B3A4C">
              <w:rPr>
                <w:rFonts w:eastAsia="Times New Roman" w:cs="Times New Roman"/>
                <w:szCs w:val="32"/>
              </w:rPr>
              <w:t>ACCA7028</w:t>
            </w:r>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Assignment Weighting</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sidRPr="004B3A4C">
              <w:rPr>
                <w:rFonts w:eastAsia="Times New Roman" w:cs="Times New Roman"/>
                <w:szCs w:val="32"/>
              </w:rPr>
              <w:t>50% of the overall module assessment</w:t>
            </w:r>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Lecturer</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sidRPr="004B3A4C">
              <w:rPr>
                <w:rFonts w:eastAsia="Times New Roman" w:cs="Times New Roman"/>
                <w:szCs w:val="32"/>
              </w:rPr>
              <w:t xml:space="preserve">Dr </w:t>
            </w:r>
            <w:proofErr w:type="spellStart"/>
            <w:r w:rsidRPr="004B3A4C">
              <w:rPr>
                <w:rFonts w:eastAsia="Times New Roman" w:cs="Times New Roman"/>
                <w:szCs w:val="32"/>
              </w:rPr>
              <w:t>Ayman</w:t>
            </w:r>
            <w:proofErr w:type="spellEnd"/>
            <w:r w:rsidRPr="004B3A4C">
              <w:rPr>
                <w:rFonts w:eastAsia="Times New Roman" w:cs="Times New Roman"/>
                <w:szCs w:val="32"/>
              </w:rPr>
              <w:t xml:space="preserve"> El </w:t>
            </w:r>
            <w:proofErr w:type="spellStart"/>
            <w:r w:rsidRPr="004B3A4C">
              <w:rPr>
                <w:rFonts w:eastAsia="Times New Roman" w:cs="Times New Roman"/>
                <w:szCs w:val="32"/>
              </w:rPr>
              <w:t>Hajjar</w:t>
            </w:r>
            <w:proofErr w:type="spellEnd"/>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Student Name</w:t>
            </w:r>
          </w:p>
        </w:tc>
        <w:tc>
          <w:tcPr>
            <w:tcW w:w="3475" w:type="pct"/>
            <w:shd w:val="clear" w:color="auto" w:fill="F2F2F2" w:themeFill="background1" w:themeFillShade="F2"/>
            <w:vAlign w:val="center"/>
          </w:tcPr>
          <w:p w:rsidR="00AF12D0" w:rsidRPr="004B3A4C" w:rsidRDefault="00370195" w:rsidP="005B73BA">
            <w:pPr>
              <w:spacing w:before="40" w:after="40" w:line="360" w:lineRule="auto"/>
              <w:rPr>
                <w:rFonts w:cs="Times New Roman"/>
                <w:szCs w:val="32"/>
              </w:rPr>
            </w:pPr>
            <w:proofErr w:type="spellStart"/>
            <w:r>
              <w:rPr>
                <w:rFonts w:cs="Times New Roman"/>
                <w:szCs w:val="32"/>
              </w:rPr>
              <w:t>Fozia</w:t>
            </w:r>
            <w:proofErr w:type="spellEnd"/>
            <w:r>
              <w:rPr>
                <w:rFonts w:cs="Times New Roman"/>
                <w:szCs w:val="32"/>
              </w:rPr>
              <w:t xml:space="preserve"> </w:t>
            </w:r>
            <w:proofErr w:type="spellStart"/>
            <w:r>
              <w:rPr>
                <w:rFonts w:cs="Times New Roman"/>
                <w:szCs w:val="32"/>
              </w:rPr>
              <w:t>Malek</w:t>
            </w:r>
            <w:proofErr w:type="spellEnd"/>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Student ID</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Pr>
                <w:rFonts w:cs="Times New Roman"/>
                <w:szCs w:val="32"/>
              </w:rPr>
              <w:t>25</w:t>
            </w:r>
            <w:r w:rsidR="00370195">
              <w:rPr>
                <w:rFonts w:cs="Times New Roman"/>
                <w:szCs w:val="32"/>
              </w:rPr>
              <w:t>35796</w:t>
            </w:r>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cs="Times New Roman"/>
                <w:szCs w:val="32"/>
              </w:rPr>
            </w:pPr>
            <w:r w:rsidRPr="004B3A4C">
              <w:rPr>
                <w:rFonts w:eastAsia="Arial" w:cs="Times New Roman"/>
                <w:b/>
                <w:szCs w:val="32"/>
              </w:rPr>
              <w:t>Submission Deadline</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cs="Times New Roman"/>
                <w:szCs w:val="32"/>
              </w:rPr>
            </w:pPr>
            <w:r w:rsidRPr="004B3A4C">
              <w:rPr>
                <w:rFonts w:eastAsia="Times New Roman" w:cs="Times New Roman"/>
                <w:szCs w:val="32"/>
              </w:rPr>
              <w:t>Wednesday, 12 August 2026, 2:00 pm</w:t>
            </w:r>
          </w:p>
        </w:tc>
      </w:tr>
      <w:tr w:rsidR="00AF12D0" w:rsidRPr="004B3A4C" w:rsidTr="005B73BA">
        <w:trPr>
          <w:trHeight w:val="576"/>
        </w:trPr>
        <w:tc>
          <w:tcPr>
            <w:tcW w:w="1525" w:type="pct"/>
            <w:shd w:val="clear" w:color="auto" w:fill="DBE5F1" w:themeFill="accent1" w:themeFillTint="33"/>
            <w:vAlign w:val="center"/>
          </w:tcPr>
          <w:p w:rsidR="00AF12D0" w:rsidRPr="004B3A4C" w:rsidRDefault="00AF12D0" w:rsidP="005B73BA">
            <w:pPr>
              <w:spacing w:before="40" w:after="40" w:line="360" w:lineRule="auto"/>
              <w:rPr>
                <w:rFonts w:eastAsia="Arial" w:cs="Times New Roman"/>
                <w:b/>
                <w:szCs w:val="32"/>
              </w:rPr>
            </w:pPr>
            <w:r w:rsidRPr="004B3A4C">
              <w:rPr>
                <w:rFonts w:eastAsia="Arial" w:cs="Times New Roman"/>
                <w:b/>
                <w:szCs w:val="32"/>
              </w:rPr>
              <w:t>Submission Date</w:t>
            </w:r>
          </w:p>
        </w:tc>
        <w:tc>
          <w:tcPr>
            <w:tcW w:w="3475" w:type="pct"/>
            <w:shd w:val="clear" w:color="auto" w:fill="F2F2F2" w:themeFill="background1" w:themeFillShade="F2"/>
            <w:vAlign w:val="center"/>
          </w:tcPr>
          <w:p w:rsidR="00AF12D0" w:rsidRPr="004B3A4C" w:rsidRDefault="00AF12D0" w:rsidP="005B73BA">
            <w:pPr>
              <w:spacing w:before="40" w:after="40" w:line="360" w:lineRule="auto"/>
              <w:rPr>
                <w:rFonts w:eastAsia="Times New Roman" w:cs="Times New Roman"/>
                <w:szCs w:val="32"/>
              </w:rPr>
            </w:pPr>
            <w:r w:rsidRPr="004B3A4C">
              <w:rPr>
                <w:rFonts w:eastAsia="Times New Roman" w:cs="Times New Roman"/>
                <w:szCs w:val="32"/>
              </w:rPr>
              <w:t>Wednesday, 12 August 2026, 2:00 pm</w:t>
            </w:r>
          </w:p>
        </w:tc>
      </w:tr>
    </w:tbl>
    <w:p w:rsidR="00370195" w:rsidRDefault="00370195" w:rsidP="00F31ED4">
      <w:pPr>
        <w:spacing w:before="200" w:line="360" w:lineRule="auto"/>
        <w:jc w:val="center"/>
        <w:rPr>
          <w:rFonts w:ascii="Times New Roman" w:eastAsia="Times New Roman" w:hAnsi="Times New Roman" w:cs="Times New Roman"/>
          <w:b/>
          <w:bCs/>
          <w:sz w:val="24"/>
          <w:szCs w:val="24"/>
        </w:rPr>
      </w:pPr>
    </w:p>
    <w:p w:rsidR="00370195" w:rsidRDefault="00370195" w:rsidP="00F31ED4">
      <w:pPr>
        <w:spacing w:before="200" w:line="360" w:lineRule="auto"/>
        <w:jc w:val="center"/>
        <w:rPr>
          <w:rFonts w:ascii="Times New Roman" w:eastAsia="Times New Roman" w:hAnsi="Times New Roman" w:cs="Times New Roman"/>
          <w:b/>
          <w:bCs/>
          <w:sz w:val="24"/>
          <w:szCs w:val="24"/>
        </w:rPr>
      </w:pPr>
    </w:p>
    <w:p w:rsidR="00A26B65" w:rsidRPr="00DA19AF" w:rsidRDefault="004773E1" w:rsidP="00F31ED4">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lastRenderedPageBreak/>
        <w:t>Abstract</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This report explores data security challenges, governance and compliance challenges that </w:t>
      </w:r>
      <w:proofErr w:type="spellStart"/>
      <w:r w:rsidRPr="00DA19AF">
        <w:rPr>
          <w:rFonts w:ascii="Times New Roman" w:eastAsia="Times New Roman" w:hAnsi="Times New Roman" w:cs="Times New Roman"/>
          <w:sz w:val="24"/>
          <w:szCs w:val="24"/>
        </w:rPr>
        <w:t>AeroLink</w:t>
      </w:r>
      <w:proofErr w:type="spellEnd"/>
      <w:r w:rsidRPr="00DA19AF">
        <w:rPr>
          <w:rFonts w:ascii="Times New Roman" w:eastAsia="Times New Roman" w:hAnsi="Times New Roman" w:cs="Times New Roman"/>
          <w:sz w:val="24"/>
          <w:szCs w:val="24"/>
        </w:rPr>
        <w:t xml:space="preserve"> Logistics (ALL) is currently facing as a multinational logistics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xml:space="preserve"> that is increasingly relying on cloud computing, IoT, AI and outsourced IT capabilities. The analysis reveals critical weaknesses such as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data breach, unmanaged devices, poor governance, third party risk, poor encryption and poor business continuity arrangements. NIST Cybersecurity Framework, ISO/IEC 27001, COBIT 2019 and ITIL are harshly analyzed to prove their applicability to ALL. A comprehensive solution that incorporates these frameworks is suggested to enhance the governance, risk management, access control, data security, incident management and vendor control. It is also noted that the standards and regulations need to be updated constantly to ensure they have a proper level of protection.</w:t>
      </w:r>
    </w:p>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hAnsi="Times New Roman" w:cs="Times New Roman"/>
        </w:rPr>
        <w:br w:type="page"/>
      </w:r>
    </w:p>
    <w:sdt>
      <w:sdtPr>
        <w:rPr>
          <w:rFonts w:ascii="Arial" w:eastAsia="Arial" w:hAnsi="Arial" w:cs="Arial"/>
          <w:b/>
          <w:bCs/>
          <w:color w:val="000000" w:themeColor="text1"/>
          <w:sz w:val="22"/>
          <w:szCs w:val="22"/>
          <w:lang w:eastAsia="en-IN"/>
        </w:rPr>
        <w:id w:val="-1874920664"/>
        <w:docPartObj>
          <w:docPartGallery w:val="Table of Contents"/>
          <w:docPartUnique/>
        </w:docPartObj>
      </w:sdtPr>
      <w:sdtEndPr>
        <w:rPr>
          <w:noProof/>
          <w:color w:val="auto"/>
        </w:rPr>
      </w:sdtEndPr>
      <w:sdtContent>
        <w:p w:rsidR="00163A4F" w:rsidRPr="00163A4F" w:rsidRDefault="00163A4F" w:rsidP="00163A4F">
          <w:pPr>
            <w:pStyle w:val="TOCHeading"/>
            <w:spacing w:line="360" w:lineRule="auto"/>
            <w:jc w:val="center"/>
            <w:rPr>
              <w:rFonts w:ascii="Times New Roman" w:hAnsi="Times New Roman" w:cs="Times New Roman"/>
              <w:b/>
              <w:bCs/>
              <w:color w:val="000000" w:themeColor="text1"/>
              <w:sz w:val="24"/>
              <w:szCs w:val="24"/>
            </w:rPr>
          </w:pPr>
          <w:r w:rsidRPr="00163A4F">
            <w:rPr>
              <w:rFonts w:ascii="Times New Roman" w:hAnsi="Times New Roman" w:cs="Times New Roman"/>
              <w:b/>
              <w:bCs/>
              <w:color w:val="000000" w:themeColor="text1"/>
              <w:sz w:val="24"/>
              <w:szCs w:val="24"/>
            </w:rPr>
            <w:t>Table of Contents</w:t>
          </w:r>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r w:rsidRPr="007967E5">
            <w:rPr>
              <w:rFonts w:ascii="Times New Roman" w:hAnsi="Times New Roman" w:cs="Times New Roman"/>
              <w:sz w:val="24"/>
              <w:szCs w:val="24"/>
            </w:rPr>
            <w:fldChar w:fldCharType="begin"/>
          </w:r>
          <w:r w:rsidR="00163A4F" w:rsidRPr="00163A4F">
            <w:rPr>
              <w:rFonts w:ascii="Times New Roman" w:hAnsi="Times New Roman" w:cs="Times New Roman"/>
              <w:sz w:val="24"/>
              <w:szCs w:val="24"/>
            </w:rPr>
            <w:instrText xml:space="preserve"> TOC \o "1-3" \h \z \u </w:instrText>
          </w:r>
          <w:r w:rsidRPr="007967E5">
            <w:rPr>
              <w:rFonts w:ascii="Times New Roman" w:hAnsi="Times New Roman" w:cs="Times New Roman"/>
              <w:sz w:val="24"/>
              <w:szCs w:val="24"/>
            </w:rPr>
            <w:fldChar w:fldCharType="separate"/>
          </w:r>
          <w:hyperlink w:anchor="_Toc237269148" w:history="1">
            <w:r w:rsidR="00163A4F" w:rsidRPr="00163A4F">
              <w:rPr>
                <w:rStyle w:val="Hyperlink"/>
                <w:rFonts w:ascii="Times New Roman" w:hAnsi="Times New Roman" w:cs="Times New Roman"/>
                <w:noProof/>
                <w:sz w:val="24"/>
                <w:szCs w:val="24"/>
              </w:rPr>
              <w:t>1. Introduction</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_Toc237269148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49" w:history="1">
            <w:r w:rsidR="00163A4F" w:rsidRPr="00163A4F">
              <w:rPr>
                <w:rStyle w:val="Hyperlink"/>
                <w:rFonts w:ascii="Times New Roman" w:hAnsi="Times New Roman" w:cs="Times New Roman"/>
                <w:noProof/>
                <w:sz w:val="24"/>
                <w:szCs w:val="24"/>
              </w:rPr>
              <w:t>1.1 Background</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_Toc237269149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0" w:history="1">
            <w:r w:rsidR="00163A4F" w:rsidRPr="00163A4F">
              <w:rPr>
                <w:rStyle w:val="Hyperlink"/>
                <w:rFonts w:ascii="Times New Roman" w:hAnsi="Times New Roman" w:cs="Times New Roman"/>
                <w:noProof/>
                <w:sz w:val="24"/>
                <w:szCs w:val="24"/>
              </w:rPr>
              <w:t>1.2 AeroLink Logistics Context</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1" w:history="1">
            <w:r w:rsidR="00163A4F" w:rsidRPr="00163A4F">
              <w:rPr>
                <w:rStyle w:val="Hyperlink"/>
                <w:rFonts w:ascii="Times New Roman" w:hAnsi="Times New Roman" w:cs="Times New Roman"/>
                <w:noProof/>
                <w:sz w:val="24"/>
                <w:szCs w:val="24"/>
              </w:rPr>
              <w:t>1.3 Key Security Problem</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2" w:history="1">
            <w:r w:rsidR="00163A4F" w:rsidRPr="00163A4F">
              <w:rPr>
                <w:rStyle w:val="Hyperlink"/>
                <w:rFonts w:ascii="Times New Roman" w:hAnsi="Times New Roman" w:cs="Times New Roman"/>
                <w:noProof/>
                <w:sz w:val="24"/>
                <w:szCs w:val="24"/>
              </w:rPr>
              <w:t>1.4 Report Aim and Scope</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53" w:history="1">
            <w:r w:rsidR="00163A4F" w:rsidRPr="00163A4F">
              <w:rPr>
                <w:rStyle w:val="Hyperlink"/>
                <w:rFonts w:ascii="Times New Roman" w:hAnsi="Times New Roman" w:cs="Times New Roman"/>
                <w:noProof/>
                <w:sz w:val="24"/>
                <w:szCs w:val="24"/>
              </w:rPr>
              <w:t>2. Critical Review of Security Frameworks and Models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4" w:history="1">
            <w:r w:rsidR="00163A4F" w:rsidRPr="00163A4F">
              <w:rPr>
                <w:rStyle w:val="Hyperlink"/>
                <w:rFonts w:ascii="Times New Roman" w:hAnsi="Times New Roman" w:cs="Times New Roman"/>
                <w:noProof/>
                <w:sz w:val="24"/>
                <w:szCs w:val="24"/>
              </w:rPr>
              <w:t>2.1 NIST Cybersecurity Framework</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5" w:history="1">
            <w:r w:rsidR="00163A4F" w:rsidRPr="00163A4F">
              <w:rPr>
                <w:rStyle w:val="Hyperlink"/>
                <w:rFonts w:ascii="Times New Roman" w:hAnsi="Times New Roman" w:cs="Times New Roman"/>
                <w:noProof/>
                <w:sz w:val="24"/>
                <w:szCs w:val="24"/>
              </w:rPr>
              <w:t>2.2 ISO/IEC 27001 / ISO 27000 Series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6" w:history="1">
            <w:r w:rsidR="00163A4F" w:rsidRPr="00163A4F">
              <w:rPr>
                <w:rStyle w:val="Hyperlink"/>
                <w:rFonts w:ascii="Times New Roman" w:hAnsi="Times New Roman" w:cs="Times New Roman"/>
                <w:noProof/>
                <w:sz w:val="24"/>
                <w:szCs w:val="24"/>
              </w:rPr>
              <w:t>2.3 COBIT 2019</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7</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7" w:history="1">
            <w:r w:rsidR="00163A4F" w:rsidRPr="00163A4F">
              <w:rPr>
                <w:rStyle w:val="Hyperlink"/>
                <w:rFonts w:ascii="Times New Roman" w:hAnsi="Times New Roman" w:cs="Times New Roman"/>
                <w:noProof/>
                <w:sz w:val="24"/>
                <w:szCs w:val="24"/>
              </w:rPr>
              <w:t>2.4 ITIL</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7</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58" w:history="1">
            <w:r w:rsidR="00163A4F" w:rsidRPr="00163A4F">
              <w:rPr>
                <w:rStyle w:val="Hyperlink"/>
                <w:rFonts w:ascii="Times New Roman" w:hAnsi="Times New Roman" w:cs="Times New Roman"/>
                <w:noProof/>
                <w:sz w:val="24"/>
                <w:szCs w:val="24"/>
              </w:rPr>
              <w:t>2.5 Comparative Evaluation</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8</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59" w:history="1">
            <w:r w:rsidR="00163A4F" w:rsidRPr="00163A4F">
              <w:rPr>
                <w:rStyle w:val="Hyperlink"/>
                <w:rFonts w:ascii="Times New Roman" w:hAnsi="Times New Roman" w:cs="Times New Roman"/>
                <w:noProof/>
                <w:sz w:val="24"/>
                <w:szCs w:val="24"/>
              </w:rPr>
              <w:t>3. AeroLink Logistics Security, Governance and Compliance Assessment</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_Toc237269159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9</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0" w:history="1">
            <w:r w:rsidR="00163A4F" w:rsidRPr="00163A4F">
              <w:rPr>
                <w:rStyle w:val="Hyperlink"/>
                <w:rFonts w:ascii="Times New Roman" w:hAnsi="Times New Roman" w:cs="Times New Roman"/>
                <w:noProof/>
                <w:sz w:val="24"/>
                <w:szCs w:val="24"/>
              </w:rPr>
              <w:t>3.1 Current Security Weaknesses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9</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1" w:history="1">
            <w:r w:rsidR="00163A4F" w:rsidRPr="00163A4F">
              <w:rPr>
                <w:rStyle w:val="Hyperlink"/>
                <w:rFonts w:ascii="Times New Roman" w:hAnsi="Times New Roman" w:cs="Times New Roman"/>
                <w:noProof/>
                <w:sz w:val="24"/>
                <w:szCs w:val="24"/>
              </w:rPr>
              <w:t>3.2 Risk Assessment</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10</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62" w:history="1">
            <w:r w:rsidR="00163A4F" w:rsidRPr="00163A4F">
              <w:rPr>
                <w:rStyle w:val="Hyperlink"/>
                <w:rFonts w:ascii="Times New Roman" w:hAnsi="Times New Roman" w:cs="Times New Roman"/>
                <w:noProof/>
                <w:sz w:val="24"/>
                <w:szCs w:val="24"/>
              </w:rPr>
              <w:t>4. Proposed Integrated Security, Governance and Compliance Approach</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3" w:history="1">
            <w:r w:rsidR="00163A4F" w:rsidRPr="00163A4F">
              <w:rPr>
                <w:rStyle w:val="Hyperlink"/>
                <w:rFonts w:ascii="Times New Roman" w:hAnsi="Times New Roman" w:cs="Times New Roman"/>
                <w:noProof/>
                <w:sz w:val="24"/>
                <w:szCs w:val="24"/>
              </w:rPr>
              <w:t>4.1 Proposed Governance Model</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4" w:history="1">
            <w:r w:rsidR="00163A4F" w:rsidRPr="00163A4F">
              <w:rPr>
                <w:rStyle w:val="Hyperlink"/>
                <w:rFonts w:ascii="Times New Roman" w:hAnsi="Times New Roman" w:cs="Times New Roman"/>
                <w:noProof/>
                <w:sz w:val="24"/>
                <w:szCs w:val="24"/>
              </w:rPr>
              <w:t>4.2 Integrated Framework Model</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5" w:history="1">
            <w:r w:rsidR="00163A4F" w:rsidRPr="00163A4F">
              <w:rPr>
                <w:rStyle w:val="Hyperlink"/>
                <w:rFonts w:ascii="Times New Roman" w:hAnsi="Times New Roman" w:cs="Times New Roman"/>
                <w:noProof/>
                <w:sz w:val="24"/>
                <w:szCs w:val="24"/>
              </w:rPr>
              <w:t>4.3 Security Policies and Procedures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6" w:history="1">
            <w:r w:rsidR="00163A4F" w:rsidRPr="00163A4F">
              <w:rPr>
                <w:rStyle w:val="Hyperlink"/>
                <w:rFonts w:ascii="Times New Roman" w:hAnsi="Times New Roman" w:cs="Times New Roman"/>
                <w:noProof/>
                <w:sz w:val="24"/>
                <w:szCs w:val="24"/>
              </w:rPr>
              <w:t>4.4 Identity and Access Management</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7" w:history="1">
            <w:r w:rsidR="00163A4F" w:rsidRPr="00163A4F">
              <w:rPr>
                <w:rStyle w:val="Hyperlink"/>
                <w:rFonts w:ascii="Times New Roman" w:hAnsi="Times New Roman" w:cs="Times New Roman"/>
                <w:noProof/>
                <w:sz w:val="24"/>
                <w:szCs w:val="24"/>
              </w:rPr>
              <w:t>4.5 Data Protection and Encryption</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8" w:history="1">
            <w:r w:rsidR="00163A4F" w:rsidRPr="00163A4F">
              <w:rPr>
                <w:rStyle w:val="Hyperlink"/>
                <w:rFonts w:ascii="Times New Roman" w:hAnsi="Times New Roman" w:cs="Times New Roman"/>
                <w:noProof/>
                <w:sz w:val="24"/>
                <w:szCs w:val="24"/>
              </w:rPr>
              <w:t>4.6 Cloud, IoT and AI Security</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69" w:history="1">
            <w:r w:rsidR="00163A4F" w:rsidRPr="00163A4F">
              <w:rPr>
                <w:rStyle w:val="Hyperlink"/>
                <w:rFonts w:ascii="Times New Roman" w:hAnsi="Times New Roman" w:cs="Times New Roman"/>
                <w:noProof/>
                <w:sz w:val="24"/>
                <w:szCs w:val="24"/>
              </w:rPr>
              <w:t>4.7 Incident Response and Business Continuity</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_Toc237269169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13</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0" w:history="1">
            <w:r w:rsidR="00163A4F" w:rsidRPr="00163A4F">
              <w:rPr>
                <w:rStyle w:val="Hyperlink"/>
                <w:rFonts w:ascii="Times New Roman" w:hAnsi="Times New Roman" w:cs="Times New Roman"/>
                <w:noProof/>
                <w:sz w:val="24"/>
                <w:szCs w:val="24"/>
              </w:rPr>
              <w:t>4.8 Vendor and SLA Management</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14</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1" w:history="1">
            <w:r w:rsidR="00163A4F" w:rsidRPr="00163A4F">
              <w:rPr>
                <w:rStyle w:val="Hyperlink"/>
                <w:rFonts w:ascii="Times New Roman" w:hAnsi="Times New Roman" w:cs="Times New Roman"/>
                <w:noProof/>
                <w:sz w:val="24"/>
                <w:szCs w:val="24"/>
              </w:rPr>
              <w:t>4.9 Compliance and Legal/Ethical Governance</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14</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72" w:history="1">
            <w:r w:rsidR="00163A4F" w:rsidRPr="00163A4F">
              <w:rPr>
                <w:rStyle w:val="Hyperlink"/>
                <w:rFonts w:ascii="Times New Roman" w:hAnsi="Times New Roman" w:cs="Times New Roman"/>
                <w:noProof/>
                <w:sz w:val="24"/>
                <w:szCs w:val="24"/>
              </w:rPr>
              <w:t>5. Continuous Updating of Regulations, Standards and Security Controls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3" w:history="1">
            <w:r w:rsidR="00163A4F" w:rsidRPr="00163A4F">
              <w:rPr>
                <w:rStyle w:val="Hyperlink"/>
                <w:rFonts w:ascii="Times New Roman" w:hAnsi="Times New Roman" w:cs="Times New Roman"/>
                <w:noProof/>
                <w:sz w:val="24"/>
                <w:szCs w:val="24"/>
              </w:rPr>
              <w:t>5.1 Emerging Technologies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4" w:history="1">
            <w:r w:rsidR="00163A4F" w:rsidRPr="00163A4F">
              <w:rPr>
                <w:rStyle w:val="Hyperlink"/>
                <w:rFonts w:ascii="Times New Roman" w:hAnsi="Times New Roman" w:cs="Times New Roman"/>
                <w:noProof/>
                <w:sz w:val="24"/>
                <w:szCs w:val="24"/>
              </w:rPr>
              <w:t>5.2 Evolving Cyber Threats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5" w:history="1">
            <w:r w:rsidR="00163A4F" w:rsidRPr="00163A4F">
              <w:rPr>
                <w:rStyle w:val="Hyperlink"/>
                <w:rFonts w:ascii="Times New Roman" w:hAnsi="Times New Roman" w:cs="Times New Roman"/>
                <w:noProof/>
                <w:sz w:val="24"/>
                <w:szCs w:val="24"/>
              </w:rPr>
              <w:t>5.3 Changing Global Compliance Requirements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6" w:history="1">
            <w:r w:rsidR="00163A4F" w:rsidRPr="00163A4F">
              <w:rPr>
                <w:rStyle w:val="Hyperlink"/>
                <w:rFonts w:ascii="Times New Roman" w:hAnsi="Times New Roman" w:cs="Times New Roman"/>
                <w:noProof/>
                <w:sz w:val="24"/>
                <w:szCs w:val="24"/>
              </w:rPr>
              <w:t>5.4 Continuous Improvement Cycle</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2"/>
            <w:tabs>
              <w:tab w:val="right" w:leader="dot" w:pos="9350"/>
            </w:tabs>
            <w:spacing w:line="360" w:lineRule="auto"/>
            <w:jc w:val="both"/>
            <w:rPr>
              <w:rFonts w:ascii="Times New Roman" w:hAnsi="Times New Roman" w:cs="Times New Roman"/>
              <w:noProof/>
              <w:sz w:val="24"/>
              <w:szCs w:val="24"/>
            </w:rPr>
          </w:pPr>
          <w:hyperlink w:anchor="_Toc237269177" w:history="1">
            <w:r w:rsidR="00163A4F" w:rsidRPr="00163A4F">
              <w:rPr>
                <w:rStyle w:val="Hyperlink"/>
                <w:rFonts w:ascii="Times New Roman" w:hAnsi="Times New Roman" w:cs="Times New Roman"/>
                <w:noProof/>
                <w:sz w:val="24"/>
                <w:szCs w:val="24"/>
              </w:rPr>
              <w:t>5.5 Critical Evaluation</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78" w:history="1">
            <w:r w:rsidR="00163A4F" w:rsidRPr="00163A4F">
              <w:rPr>
                <w:rStyle w:val="Hyperlink"/>
                <w:rFonts w:ascii="Times New Roman" w:hAnsi="Times New Roman" w:cs="Times New Roman"/>
                <w:noProof/>
                <w:sz w:val="24"/>
                <w:szCs w:val="24"/>
              </w:rPr>
              <w:t>6. Assumptions and Implementation Priorities</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79" w:history="1">
            <w:r w:rsidR="00163A4F" w:rsidRPr="00163A4F">
              <w:rPr>
                <w:rStyle w:val="Hyperlink"/>
                <w:rFonts w:ascii="Times New Roman" w:hAnsi="Times New Roman" w:cs="Times New Roman"/>
                <w:noProof/>
                <w:sz w:val="24"/>
                <w:szCs w:val="24"/>
              </w:rPr>
              <w:t>7. Conclusion</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_Toc237269179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17</w:t>
            </w:r>
            <w:r w:rsidRPr="00163A4F">
              <w:rPr>
                <w:rFonts w:ascii="Times New Roman" w:hAnsi="Times New Roman" w:cs="Times New Roman"/>
                <w:noProof/>
                <w:webHidden/>
                <w:sz w:val="24"/>
                <w:szCs w:val="24"/>
              </w:rPr>
              <w:fldChar w:fldCharType="end"/>
            </w:r>
          </w:hyperlink>
        </w:p>
        <w:p w:rsidR="00163A4F" w:rsidRPr="00163A4F" w:rsidRDefault="007967E5" w:rsidP="00163A4F">
          <w:pPr>
            <w:pStyle w:val="TOC1"/>
            <w:tabs>
              <w:tab w:val="right" w:leader="dot" w:pos="9350"/>
            </w:tabs>
            <w:spacing w:line="360" w:lineRule="auto"/>
            <w:jc w:val="both"/>
            <w:rPr>
              <w:rFonts w:ascii="Times New Roman" w:hAnsi="Times New Roman" w:cs="Times New Roman"/>
              <w:noProof/>
              <w:sz w:val="24"/>
              <w:szCs w:val="24"/>
            </w:rPr>
          </w:pPr>
          <w:hyperlink w:anchor="_Toc237269180" w:history="1">
            <w:r w:rsidR="00163A4F" w:rsidRPr="00163A4F">
              <w:rPr>
                <w:rStyle w:val="Hyperlink"/>
                <w:rFonts w:ascii="Times New Roman" w:hAnsi="Times New Roman" w:cs="Times New Roman"/>
                <w:noProof/>
                <w:sz w:val="24"/>
                <w:szCs w:val="24"/>
              </w:rPr>
              <w:t>Reference</w:t>
            </w:r>
            <w:r w:rsidR="00163A4F"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00163A4F" w:rsidRPr="00163A4F">
              <w:rPr>
                <w:rFonts w:ascii="Times New Roman" w:hAnsi="Times New Roman" w:cs="Times New Roman"/>
                <w:noProof/>
                <w:webHidden/>
                <w:sz w:val="24"/>
                <w:szCs w:val="24"/>
              </w:rPr>
              <w:instrText xml:space="preserve"> PAGEREF _Toc237269180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00163A4F" w:rsidRPr="00163A4F">
              <w:rPr>
                <w:rFonts w:ascii="Times New Roman" w:hAnsi="Times New Roman" w:cs="Times New Roman"/>
                <w:noProof/>
                <w:webHidden/>
                <w:sz w:val="24"/>
                <w:szCs w:val="24"/>
              </w:rPr>
              <w:t>19</w:t>
            </w:r>
            <w:r w:rsidRPr="00163A4F">
              <w:rPr>
                <w:rFonts w:ascii="Times New Roman" w:hAnsi="Times New Roman" w:cs="Times New Roman"/>
                <w:noProof/>
                <w:webHidden/>
                <w:sz w:val="24"/>
                <w:szCs w:val="24"/>
              </w:rPr>
              <w:fldChar w:fldCharType="end"/>
            </w:r>
          </w:hyperlink>
        </w:p>
        <w:p w:rsidR="00163A4F" w:rsidRDefault="007967E5" w:rsidP="00163A4F">
          <w:pPr>
            <w:spacing w:line="360" w:lineRule="auto"/>
            <w:jc w:val="both"/>
          </w:pPr>
          <w:r w:rsidRPr="00163A4F">
            <w:rPr>
              <w:rFonts w:ascii="Times New Roman" w:hAnsi="Times New Roman" w:cs="Times New Roman"/>
              <w:b/>
              <w:bCs/>
              <w:noProof/>
              <w:sz w:val="24"/>
              <w:szCs w:val="24"/>
            </w:rPr>
            <w:fldChar w:fldCharType="end"/>
          </w:r>
        </w:p>
      </w:sdtContent>
    </w:sdt>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hAnsi="Times New Roman" w:cs="Times New Roman"/>
        </w:rPr>
        <w:br w:type="page"/>
      </w:r>
    </w:p>
    <w:p w:rsidR="00A26B65" w:rsidRPr="00DA19AF" w:rsidRDefault="004773E1" w:rsidP="00DA19AF">
      <w:pPr>
        <w:pStyle w:val="Heading1"/>
      </w:pPr>
      <w:bookmarkStart w:id="0" w:name="_Toc237269148"/>
      <w:r w:rsidRPr="00DA19AF">
        <w:lastRenderedPageBreak/>
        <w:t>1. Introduction</w:t>
      </w:r>
      <w:bookmarkEnd w:id="0"/>
      <w:r w:rsidRPr="00DA19AF">
        <w:t xml:space="preserve"> </w:t>
      </w:r>
    </w:p>
    <w:p w:rsidR="00A26B65" w:rsidRPr="00DA19AF" w:rsidRDefault="004773E1" w:rsidP="00DA19AF">
      <w:pPr>
        <w:pStyle w:val="Heading2"/>
      </w:pPr>
      <w:bookmarkStart w:id="1" w:name="_Toc237269149"/>
      <w:r w:rsidRPr="00DA19AF">
        <w:t>1.1 Background</w:t>
      </w:r>
      <w:bookmarkEnd w:id="1"/>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digital transformation elevated the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reliance on cloud computing, Internet of Things (IoT) devices and artificial intelligence (AI). Remote access and third-party services introduce potential opportunities in case of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data breach and disruption of service delivery that are interconnected </w:t>
      </w:r>
      <w:r w:rsidR="00551882">
        <w:rPr>
          <w:rFonts w:ascii="Times New Roman" w:eastAsia="Times New Roman" w:hAnsi="Times New Roman" w:cs="Times New Roman"/>
          <w:sz w:val="24"/>
          <w:szCs w:val="24"/>
        </w:rPr>
        <w:t>[15]</w:t>
      </w:r>
      <w:r w:rsidRPr="00DA19AF">
        <w:rPr>
          <w:rFonts w:ascii="Times New Roman" w:eastAsia="Times New Roman" w:hAnsi="Times New Roman" w:cs="Times New Roman"/>
          <w:sz w:val="24"/>
          <w:szCs w:val="24"/>
        </w:rPr>
        <w:t>. As a result, data security is to be regarded with governance and regulatory compliance. B Business continuity is also achieved when a business has effective cybersecurity because information that is needed to carry out important business activities is secure.</w:t>
      </w:r>
    </w:p>
    <w:p w:rsidR="00A26B65" w:rsidRPr="00DA19AF" w:rsidRDefault="004773E1" w:rsidP="00DA19AF">
      <w:pPr>
        <w:pStyle w:val="Heading2"/>
      </w:pPr>
      <w:bookmarkStart w:id="2" w:name="_Toc237269150"/>
      <w:r w:rsidRPr="00DA19AF">
        <w:t xml:space="preserve">1.2 </w:t>
      </w:r>
      <w:proofErr w:type="spellStart"/>
      <w:r w:rsidRPr="00DA19AF">
        <w:t>AeroLink</w:t>
      </w:r>
      <w:proofErr w:type="spellEnd"/>
      <w:r w:rsidRPr="00DA19AF">
        <w:t xml:space="preserve"> Logistics Context</w:t>
      </w:r>
      <w:bookmarkEnd w:id="2"/>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AeroLink</w:t>
      </w:r>
      <w:proofErr w:type="spellEnd"/>
      <w:r w:rsidRPr="00DA19AF">
        <w:rPr>
          <w:rFonts w:ascii="Times New Roman" w:eastAsia="Times New Roman" w:hAnsi="Times New Roman" w:cs="Times New Roman"/>
          <w:sz w:val="24"/>
          <w:szCs w:val="24"/>
        </w:rPr>
        <w:t xml:space="preserve"> Logistics (ALL) is a multinational company-based supply-chain and logistic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xml:space="preserve">. Its business relies on cloud computing, smart sensors and analytics </w:t>
      </w:r>
      <w:sdt>
        <w:sdtPr>
          <w:rPr>
            <w:rFonts w:ascii="Times New Roman" w:eastAsia="Times New Roman" w:hAnsi="Times New Roman" w:cs="Times New Roman"/>
            <w:sz w:val="24"/>
            <w:szCs w:val="24"/>
          </w:rPr>
          <w:id w:val="1678298157"/>
          <w:citation/>
        </w:sdtPr>
        <w:sdtContent>
          <w:r w:rsidR="007967E5">
            <w:rPr>
              <w:rFonts w:ascii="Times New Roman" w:eastAsia="Times New Roman" w:hAnsi="Times New Roman" w:cs="Times New Roman"/>
              <w:sz w:val="24"/>
              <w:szCs w:val="24"/>
            </w:rPr>
            <w:fldChar w:fldCharType="begin"/>
          </w:r>
          <w:r w:rsidR="000029BD">
            <w:rPr>
              <w:rFonts w:ascii="Times New Roman" w:eastAsia="Times New Roman" w:hAnsi="Times New Roman" w:cs="Times New Roman"/>
              <w:sz w:val="24"/>
              <w:szCs w:val="24"/>
              <w:lang w:val="en-US"/>
            </w:rPr>
            <w:instrText xml:space="preserve"> CITATION Aer26 \l 1033 </w:instrText>
          </w:r>
          <w:r w:rsidR="007967E5">
            <w:rPr>
              <w:rFonts w:ascii="Times New Roman" w:eastAsia="Times New Roman" w:hAnsi="Times New Roman" w:cs="Times New Roman"/>
              <w:sz w:val="24"/>
              <w:szCs w:val="24"/>
            </w:rPr>
            <w:fldChar w:fldCharType="separate"/>
          </w:r>
          <w:r w:rsidR="000029BD" w:rsidRPr="000029BD">
            <w:rPr>
              <w:rFonts w:ascii="Times New Roman" w:eastAsia="Times New Roman" w:hAnsi="Times New Roman" w:cs="Times New Roman"/>
              <w:noProof/>
              <w:sz w:val="24"/>
              <w:szCs w:val="24"/>
              <w:lang w:val="en-US"/>
            </w:rPr>
            <w:t>[1]</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It has approximately 88 percent of its IT infrastructure outsourced under IaaS and SaaS contracts and full access to internal application applications via unmanaged devices by employees, suppliers and logistics partners working offsite.</w:t>
      </w:r>
    </w:p>
    <w:p w:rsidR="00A26B65" w:rsidRPr="00DA19AF" w:rsidRDefault="004773E1"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noProof/>
          <w:sz w:val="24"/>
          <w:szCs w:val="24"/>
          <w:lang w:val="en-US" w:eastAsia="en-US"/>
        </w:rPr>
        <w:drawing>
          <wp:inline distT="114300" distB="114300" distL="114300" distR="114300">
            <wp:extent cx="3641725" cy="266065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641725" cy="2660650"/>
                    </a:xfrm>
                    <a:prstGeom prst="rect">
                      <a:avLst/>
                    </a:prstGeom>
                    <a:ln/>
                  </pic:spPr>
                </pic:pic>
              </a:graphicData>
            </a:graphic>
          </wp:inline>
        </w:drawing>
      </w:r>
    </w:p>
    <w:p w:rsidR="00A26B65" w:rsidRPr="00DA19AF" w:rsidRDefault="004773E1" w:rsidP="00B525FD">
      <w:pPr>
        <w:spacing w:before="200" w:after="24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1: “</w:t>
      </w:r>
      <w:proofErr w:type="spellStart"/>
      <w:r w:rsidRPr="00DA19AF">
        <w:rPr>
          <w:rFonts w:ascii="Times New Roman" w:eastAsia="Times New Roman" w:hAnsi="Times New Roman" w:cs="Times New Roman"/>
          <w:b/>
          <w:bCs/>
          <w:sz w:val="24"/>
          <w:szCs w:val="24"/>
        </w:rPr>
        <w:t>AerolinkLogistics</w:t>
      </w:r>
      <w:proofErr w:type="spellEnd"/>
      <w:r w:rsidRPr="00DA19AF">
        <w:rPr>
          <w:rFonts w:ascii="Times New Roman" w:eastAsia="Times New Roman" w:hAnsi="Times New Roman" w:cs="Times New Roman"/>
          <w:b/>
          <w:bCs/>
          <w:sz w:val="24"/>
          <w:szCs w:val="24"/>
        </w:rPr>
        <w:t xml:space="preserve"> Logo”</w:t>
      </w:r>
    </w:p>
    <w:p w:rsidR="00A26B65" w:rsidRPr="00DA19AF" w:rsidRDefault="004773E1"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(Source: </w:t>
      </w:r>
      <w:hyperlink r:id="rId10">
        <w:r w:rsidR="00A26B65" w:rsidRPr="00DA19AF">
          <w:rPr>
            <w:rFonts w:ascii="Times New Roman" w:eastAsia="Times New Roman" w:hAnsi="Times New Roman" w:cs="Times New Roman"/>
            <w:color w:val="1155CC"/>
            <w:sz w:val="24"/>
            <w:szCs w:val="24"/>
            <w:u w:val="single"/>
          </w:rPr>
          <w:t>aerolink-logistics.com</w:t>
        </w:r>
      </w:hyperlink>
      <w:r w:rsidRPr="00DA19AF">
        <w:rPr>
          <w:rFonts w:ascii="Times New Roman" w:eastAsia="Times New Roman" w:hAnsi="Times New Roman" w:cs="Times New Roman"/>
          <w:sz w:val="24"/>
          <w:szCs w:val="24"/>
        </w:rPr>
        <w:t>, 2026)</w:t>
      </w:r>
      <w:sdt>
        <w:sdtPr>
          <w:rPr>
            <w:rFonts w:ascii="Times New Roman" w:eastAsia="Times New Roman" w:hAnsi="Times New Roman" w:cs="Times New Roman"/>
            <w:sz w:val="24"/>
            <w:szCs w:val="24"/>
          </w:rPr>
          <w:id w:val="1816142369"/>
          <w:citation/>
        </w:sdtPr>
        <w:sdtContent>
          <w:r w:rsidR="007967E5">
            <w:rPr>
              <w:rFonts w:ascii="Times New Roman" w:eastAsia="Times New Roman" w:hAnsi="Times New Roman" w:cs="Times New Roman"/>
              <w:sz w:val="24"/>
              <w:szCs w:val="24"/>
            </w:rPr>
            <w:fldChar w:fldCharType="begin"/>
          </w:r>
          <w:r w:rsidR="000029BD">
            <w:rPr>
              <w:rFonts w:ascii="Times New Roman" w:eastAsia="Times New Roman" w:hAnsi="Times New Roman" w:cs="Times New Roman"/>
              <w:sz w:val="24"/>
              <w:szCs w:val="24"/>
              <w:lang w:val="en-US"/>
            </w:rPr>
            <w:instrText xml:space="preserve"> CITATION Aer26 \l 1033 </w:instrText>
          </w:r>
          <w:r w:rsidR="007967E5">
            <w:rPr>
              <w:rFonts w:ascii="Times New Roman" w:eastAsia="Times New Roman" w:hAnsi="Times New Roman" w:cs="Times New Roman"/>
              <w:sz w:val="24"/>
              <w:szCs w:val="24"/>
            </w:rPr>
            <w:fldChar w:fldCharType="separate"/>
          </w:r>
          <w:r w:rsidR="000029BD">
            <w:rPr>
              <w:rFonts w:ascii="Times New Roman" w:eastAsia="Times New Roman" w:hAnsi="Times New Roman" w:cs="Times New Roman"/>
              <w:noProof/>
              <w:sz w:val="24"/>
              <w:szCs w:val="24"/>
              <w:lang w:val="en-US"/>
            </w:rPr>
            <w:t xml:space="preserve"> </w:t>
          </w:r>
          <w:r w:rsidR="000029BD" w:rsidRPr="000029BD">
            <w:rPr>
              <w:rFonts w:ascii="Times New Roman" w:eastAsia="Times New Roman" w:hAnsi="Times New Roman" w:cs="Times New Roman"/>
              <w:noProof/>
              <w:sz w:val="24"/>
              <w:szCs w:val="24"/>
              <w:lang w:val="en-US"/>
            </w:rPr>
            <w:t>[1]</w:t>
          </w:r>
          <w:r w:rsidR="007967E5">
            <w:rPr>
              <w:rFonts w:ascii="Times New Roman" w:eastAsia="Times New Roman" w:hAnsi="Times New Roman" w:cs="Times New Roman"/>
              <w:sz w:val="24"/>
              <w:szCs w:val="24"/>
            </w:rPr>
            <w:fldChar w:fldCharType="end"/>
          </w:r>
        </w:sdtContent>
      </w:sdt>
    </w:p>
    <w:p w:rsidR="00A26B65" w:rsidRPr="00DA19AF" w:rsidRDefault="004773E1" w:rsidP="00DA19AF">
      <w:pPr>
        <w:pStyle w:val="Heading2"/>
      </w:pPr>
      <w:bookmarkStart w:id="3" w:name="_Toc237269151"/>
      <w:r w:rsidRPr="00DA19AF">
        <w:lastRenderedPageBreak/>
        <w:t>1.3 Key Security Problem</w:t>
      </w:r>
      <w:bookmarkEnd w:id="3"/>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has had breaches in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to shipment data and customer PII. Its underdeveloped governance system does not have a single security mechanism,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and formal compliance auditing </w:t>
      </w:r>
      <w:r w:rsidR="00523D98">
        <w:rPr>
          <w:rFonts w:ascii="Times New Roman" w:eastAsia="Times New Roman" w:hAnsi="Times New Roman" w:cs="Times New Roman"/>
          <w:sz w:val="24"/>
          <w:szCs w:val="24"/>
        </w:rPr>
        <w:t>[9]</w:t>
      </w:r>
      <w:r w:rsidRPr="00DA19AF">
        <w:rPr>
          <w:rFonts w:ascii="Times New Roman" w:eastAsia="Times New Roman" w:hAnsi="Times New Roman" w:cs="Times New Roman"/>
          <w:sz w:val="24"/>
          <w:szCs w:val="24"/>
        </w:rPr>
        <w:t>. Other weaknesses relate to the accountability of vendors, encryption, incident response, business continuity and security responsibilities that are not clearly defined. Such vulnerabilities heighten the operational, financial and reputational risks in its digital ecosystem.</w:t>
      </w:r>
    </w:p>
    <w:p w:rsidR="00A26B65" w:rsidRPr="00DA19AF" w:rsidRDefault="004773E1" w:rsidP="00DA19AF">
      <w:pPr>
        <w:pStyle w:val="Heading2"/>
      </w:pPr>
      <w:bookmarkStart w:id="4" w:name="_Toc237269152"/>
      <w:r w:rsidRPr="00DA19AF">
        <w:t>1.4 Report Aim and Scope</w:t>
      </w:r>
      <w:bookmarkEnd w:id="4"/>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 this report, NIST CSF, ISO/IEC 27001, COBIT 2019 and ITIL are considered in terms of their language, applicability to ALL, and a unified approach to security, governance and compliance is built.</w:t>
      </w:r>
    </w:p>
    <w:p w:rsidR="00A26B65" w:rsidRPr="00DA19AF" w:rsidRDefault="004773E1" w:rsidP="00DA19AF">
      <w:pPr>
        <w:pStyle w:val="Heading1"/>
      </w:pPr>
      <w:bookmarkStart w:id="5" w:name="_Toc237269153"/>
      <w:r w:rsidRPr="00DA19AF">
        <w:t>2. Critical Review of Security Frameworks and Models</w:t>
      </w:r>
      <w:bookmarkEnd w:id="5"/>
      <w:r w:rsidRPr="00DA19AF">
        <w:t xml:space="preserve"> </w:t>
      </w:r>
    </w:p>
    <w:p w:rsidR="00A26B65" w:rsidRPr="00DA19AF" w:rsidRDefault="004773E1" w:rsidP="00DA19AF">
      <w:pPr>
        <w:pStyle w:val="Heading2"/>
      </w:pPr>
      <w:bookmarkStart w:id="6" w:name="_Toc237269154"/>
      <w:r w:rsidRPr="00DA19AF">
        <w:t>2.1 NIST Cybersecurity Framework</w:t>
      </w:r>
      <w:bookmarkEnd w:id="6"/>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NIST cybersecurity framework platform (CSF) offers a risk-oriented approach to cybersecurity via six functions, namely Govern, Identify, Protect, Detect, Respond and Recover. In the case of ALL, NIST is applicable since it can facilitate the organization of security tasks in cloud infrastructure, IoT devices, remote access and incident response </w:t>
      </w:r>
      <w:r w:rsidR="00D30793">
        <w:rPr>
          <w:rFonts w:ascii="Times New Roman" w:eastAsia="Times New Roman" w:hAnsi="Times New Roman" w:cs="Times New Roman"/>
          <w:sz w:val="24"/>
          <w:szCs w:val="24"/>
        </w:rPr>
        <w:t>[5]</w:t>
      </w:r>
      <w:r w:rsidRPr="00DA19AF">
        <w:rPr>
          <w:rFonts w:ascii="Times New Roman" w:eastAsia="Times New Roman" w:hAnsi="Times New Roman" w:cs="Times New Roman"/>
          <w:sz w:val="24"/>
          <w:szCs w:val="24"/>
        </w:rPr>
        <w:t xml:space="preserve">. Govern is also necessary due to the lack of security accounts and management of risks of ALL. Priorities in controls can be made based on risk in the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NIST however is a guide and not a certification-based management standard and is unable to offer the needed governance and assurance. It ought to then work in conjunction with ISO/IEC 27001 and COBIT 2019 throughout its multifaceted digital and outsourced ecosystem.</w:t>
      </w:r>
    </w:p>
    <w:p w:rsidR="00A26B65" w:rsidRPr="00DA19AF" w:rsidRDefault="004773E1"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noProof/>
          <w:sz w:val="24"/>
          <w:szCs w:val="24"/>
          <w:lang w:val="en-US" w:eastAsia="en-US"/>
        </w:rPr>
        <w:lastRenderedPageBreak/>
        <w:drawing>
          <wp:inline distT="114300" distB="114300" distL="114300" distR="114300">
            <wp:extent cx="3526778" cy="349091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3526778" cy="3490913"/>
                    </a:xfrm>
                    <a:prstGeom prst="rect">
                      <a:avLst/>
                    </a:prstGeom>
                    <a:ln/>
                  </pic:spPr>
                </pic:pic>
              </a:graphicData>
            </a:graphic>
          </wp:inline>
        </w:drawing>
      </w:r>
    </w:p>
    <w:p w:rsidR="00A26B65" w:rsidRPr="00DA19AF" w:rsidRDefault="004773E1" w:rsidP="00B525FD">
      <w:pPr>
        <w:spacing w:before="200" w:after="24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2: “NIST Cybersecurity Framework”</w:t>
      </w:r>
    </w:p>
    <w:p w:rsidR="00A26B65" w:rsidRPr="00DA19AF" w:rsidRDefault="004773E1"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(Source: Fadya and Utama, 2025)</w:t>
      </w:r>
      <w:r w:rsidR="00D30793">
        <w:rPr>
          <w:rFonts w:ascii="Times New Roman" w:eastAsia="Times New Roman" w:hAnsi="Times New Roman" w:cs="Times New Roman"/>
          <w:sz w:val="24"/>
          <w:szCs w:val="24"/>
        </w:rPr>
        <w:t>[5]</w:t>
      </w:r>
    </w:p>
    <w:p w:rsidR="00A26B65" w:rsidRPr="00DA19AF" w:rsidRDefault="004773E1" w:rsidP="00DA19AF">
      <w:pPr>
        <w:pStyle w:val="Heading2"/>
      </w:pPr>
      <w:bookmarkStart w:id="7" w:name="_Toc237269155"/>
      <w:r w:rsidRPr="00DA19AF">
        <w:t>2.2 ISO/IEC 27001 / ISO 27000 Series</w:t>
      </w:r>
      <w:bookmarkEnd w:id="7"/>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ISO/IEC 27001 outlines the specifications of an Information Security Management System (ISMS) </w:t>
      </w:r>
      <w:proofErr w:type="spellStart"/>
      <w:r w:rsidRPr="00DA19AF">
        <w:rPr>
          <w:rFonts w:ascii="Times New Roman" w:eastAsia="Times New Roman" w:hAnsi="Times New Roman" w:cs="Times New Roman"/>
          <w:sz w:val="24"/>
          <w:szCs w:val="24"/>
        </w:rPr>
        <w:t>organising</w:t>
      </w:r>
      <w:proofErr w:type="spellEnd"/>
      <w:r w:rsidRPr="00DA19AF">
        <w:rPr>
          <w:rFonts w:ascii="Times New Roman" w:eastAsia="Times New Roman" w:hAnsi="Times New Roman" w:cs="Times New Roman"/>
          <w:sz w:val="24"/>
          <w:szCs w:val="24"/>
        </w:rPr>
        <w:t xml:space="preserve"> the identification, evaluation, treatment and monitoring of information-security threats by </w:t>
      </w:r>
      <w:proofErr w:type="spellStart"/>
      <w:r w:rsidRPr="00DA19AF">
        <w:rPr>
          <w:rFonts w:ascii="Times New Roman" w:eastAsia="Times New Roman" w:hAnsi="Times New Roman" w:cs="Times New Roman"/>
          <w:sz w:val="24"/>
          <w:szCs w:val="24"/>
        </w:rPr>
        <w:t>organisations</w:t>
      </w:r>
      <w:proofErr w:type="spellEnd"/>
      <w:r w:rsidRPr="00DA19AF">
        <w:rPr>
          <w:rFonts w:ascii="Times New Roman" w:eastAsia="Times New Roman" w:hAnsi="Times New Roman" w:cs="Times New Roman"/>
          <w:sz w:val="24"/>
          <w:szCs w:val="24"/>
        </w:rPr>
        <w:t xml:space="preserve"> </w:t>
      </w:r>
      <w:r w:rsidR="00C3263C">
        <w:rPr>
          <w:rFonts w:ascii="Times New Roman" w:eastAsia="Times New Roman" w:hAnsi="Times New Roman" w:cs="Times New Roman"/>
          <w:sz w:val="24"/>
          <w:szCs w:val="24"/>
        </w:rPr>
        <w:t>[17]</w:t>
      </w:r>
      <w:r w:rsidRPr="00DA19AF">
        <w:rPr>
          <w:rFonts w:ascii="Times New Roman" w:eastAsia="Times New Roman" w:hAnsi="Times New Roman" w:cs="Times New Roman"/>
          <w:sz w:val="24"/>
          <w:szCs w:val="24"/>
        </w:rPr>
        <w:t xml:space="preserve">. It maintains policies, controls, accountability, auditing and continuous improvement. This is appropriate to everyone as it does not have a single security model. An ISMS can establish uniform customer PII protection procedures, shipment data and </w:t>
      </w:r>
      <w:r w:rsidR="004B70DC" w:rsidRPr="00DA19AF">
        <w:rPr>
          <w:rFonts w:ascii="Times New Roman" w:eastAsia="Times New Roman" w:hAnsi="Times New Roman" w:cs="Times New Roman"/>
          <w:sz w:val="24"/>
          <w:szCs w:val="24"/>
        </w:rPr>
        <w:t>third-party</w:t>
      </w:r>
      <w:r w:rsidRPr="00DA19AF">
        <w:rPr>
          <w:rFonts w:ascii="Times New Roman" w:eastAsia="Times New Roman" w:hAnsi="Times New Roman" w:cs="Times New Roman"/>
          <w:sz w:val="24"/>
          <w:szCs w:val="24"/>
        </w:rPr>
        <w:t xml:space="preserve"> data protection procedures and present evidence of risk management. This has to be implemented through training and documentation. Certification does not eliminate the chance of being the victim of a cyberattack hence, ALL must still have technical controls, monitoring and incident response. In a broader security architecture, ISO/IEC 27001 would be most suited as a management basis.</w:t>
      </w:r>
    </w:p>
    <w:p w:rsidR="00A26B65" w:rsidRPr="00DA19AF" w:rsidRDefault="004773E1" w:rsidP="00DA19AF">
      <w:pPr>
        <w:pStyle w:val="Heading2"/>
      </w:pPr>
      <w:bookmarkStart w:id="8" w:name="_Toc237269156"/>
      <w:r w:rsidRPr="00DA19AF">
        <w:t>2.3 COBIT 2019</w:t>
      </w:r>
      <w:bookmarkEnd w:id="8"/>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lastRenderedPageBreak/>
        <w:t xml:space="preserve">COBIT is a 2019 framework that emphasizes information and technology related to governance and management of enterprises. It encourages coordination of technology actions and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goals by accountability, risk </w:t>
      </w:r>
      <w:proofErr w:type="spellStart"/>
      <w:r w:rsidRPr="00DA19AF">
        <w:rPr>
          <w:rFonts w:ascii="Times New Roman" w:eastAsia="Times New Roman" w:hAnsi="Times New Roman" w:cs="Times New Roman"/>
          <w:sz w:val="24"/>
          <w:szCs w:val="24"/>
        </w:rPr>
        <w:t>optimisation</w:t>
      </w:r>
      <w:proofErr w:type="spellEnd"/>
      <w:r w:rsidRPr="00DA19AF">
        <w:rPr>
          <w:rFonts w:ascii="Times New Roman" w:eastAsia="Times New Roman" w:hAnsi="Times New Roman" w:cs="Times New Roman"/>
          <w:sz w:val="24"/>
          <w:szCs w:val="24"/>
        </w:rPr>
        <w:t xml:space="preserve"> and performance tracking. This is applicable as ALL </w:t>
      </w:r>
      <w:r w:rsidR="00DA19AF" w:rsidRPr="00DA19AF">
        <w:rPr>
          <w:rFonts w:ascii="Times New Roman" w:eastAsia="Times New Roman" w:hAnsi="Times New Roman" w:cs="Times New Roman"/>
          <w:sz w:val="24"/>
          <w:szCs w:val="24"/>
        </w:rPr>
        <w:t>lack’s</w:t>
      </w:r>
      <w:r w:rsidRPr="00DA19AF">
        <w:rPr>
          <w:rFonts w:ascii="Times New Roman" w:eastAsia="Times New Roman" w:hAnsi="Times New Roman" w:cs="Times New Roman"/>
          <w:sz w:val="24"/>
          <w:szCs w:val="24"/>
        </w:rPr>
        <w:t xml:space="preserve"> strong interdepartmental cooperation and unspecified security responsibilities</w:t>
      </w:r>
      <w:r w:rsidR="00804C61">
        <w:rPr>
          <w:rFonts w:ascii="Times New Roman" w:eastAsia="Times New Roman" w:hAnsi="Times New Roman" w:cs="Times New Roman"/>
          <w:sz w:val="24"/>
          <w:szCs w:val="24"/>
        </w:rPr>
        <w:t xml:space="preserve"> [7]</w:t>
      </w:r>
      <w:r w:rsidRPr="00DA19AF">
        <w:rPr>
          <w:rFonts w:ascii="Times New Roman" w:eastAsia="Times New Roman" w:hAnsi="Times New Roman" w:cs="Times New Roman"/>
          <w:sz w:val="24"/>
          <w:szCs w:val="24"/>
        </w:rPr>
        <w:t>. COBIT can create ownership and managerial control of the cybersecurity risks. Nevertheless, this may be complicated to implement and lacks the bread and Ruth of operational cybersecurity controls that NIST CSF offers. Thus, governance and strategic alignment should be enhanced by COBIT, whereas NIST and ISO/IEC 27001 can help with operational and security assistance.</w:t>
      </w:r>
    </w:p>
    <w:p w:rsidR="00A26B65" w:rsidRPr="00DA19AF" w:rsidRDefault="004773E1" w:rsidP="00DA19AF">
      <w:pPr>
        <w:pStyle w:val="Heading2"/>
      </w:pPr>
      <w:bookmarkStart w:id="9" w:name="_Toc237269157"/>
      <w:r w:rsidRPr="00DA19AF">
        <w:t>2.4 ITIL</w:t>
      </w:r>
      <w:bookmarkEnd w:id="9"/>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ITIL assists in managing IT services in the form of incident management, change enablement, service-level management, supplier management and continuous improvement. The practices are appropriate to ALL as its infrastructure is outsourced and the company has liabilities in incident response and service continuity</w:t>
      </w:r>
      <w:r w:rsidR="00804C61">
        <w:rPr>
          <w:rFonts w:ascii="Times New Roman" w:eastAsia="Times New Roman" w:hAnsi="Times New Roman" w:cs="Times New Roman"/>
          <w:sz w:val="24"/>
          <w:szCs w:val="24"/>
        </w:rPr>
        <w:t xml:space="preserve"> [12]</w:t>
      </w:r>
      <w:r w:rsidRPr="00DA19AF">
        <w:rPr>
          <w:rFonts w:ascii="Times New Roman" w:eastAsia="Times New Roman" w:hAnsi="Times New Roman" w:cs="Times New Roman"/>
          <w:sz w:val="24"/>
          <w:szCs w:val="24"/>
        </w:rPr>
        <w:t>. ITIL may make responses regarding service roles clearer and enhance supplier relationships. Nonetheless, it is not an exhaustive cybersecurity framework and is not able to support the security, governance and regulatory needs of ALL. It must thus be a complement and not a substitute to frameworks inclined towards security.</w:t>
      </w:r>
    </w:p>
    <w:p w:rsidR="00A26B65" w:rsidRPr="00DA19AF" w:rsidRDefault="004773E1" w:rsidP="00DA19AF">
      <w:pPr>
        <w:pStyle w:val="Heading2"/>
      </w:pPr>
      <w:bookmarkStart w:id="10" w:name="_Toc237269158"/>
      <w:r w:rsidRPr="00DA19AF">
        <w:t>2.5 Comparative Evaluation</w:t>
      </w:r>
      <w:bookmarkEnd w:id="10"/>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 one model handles all the weaknesses at ALL.</w:t>
      </w:r>
    </w:p>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Table 1: Comparative Evaluation of Security Frameworks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1437"/>
        <w:gridCol w:w="2013"/>
        <w:gridCol w:w="2013"/>
        <w:gridCol w:w="1984"/>
        <w:gridCol w:w="1913"/>
      </w:tblGrid>
      <w:tr w:rsidR="00A26B65" w:rsidRPr="00DA19AF">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Framework</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Main purpose</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Strength for ALL</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Limitation</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Recommended use</w:t>
            </w:r>
          </w:p>
        </w:tc>
      </w:tr>
      <w:tr w:rsidR="00A26B65" w:rsidRPr="00DA19AF">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NIST CSF</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Cybersecurity risk management</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Operational security</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Less governance-specific</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Core security</w:t>
            </w:r>
          </w:p>
        </w:tc>
      </w:tr>
      <w:tr w:rsidR="00A26B65" w:rsidRPr="00DA19AF">
        <w:trPr>
          <w:trHeight w:val="137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lastRenderedPageBreak/>
              <w:t>ISO/IEC 27001</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Information Security Management System</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Governance, risk and compliance</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Implementation burden</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ISMS/compliance</w:t>
            </w:r>
          </w:p>
        </w:tc>
      </w:tr>
      <w:tr w:rsidR="00A26B65" w:rsidRPr="00DA19AF">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COBIT 2019</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IT governance</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Accountability and strategic alignment</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Can be complex</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Governance</w:t>
            </w:r>
          </w:p>
        </w:tc>
      </w:tr>
      <w:tr w:rsidR="00A26B65" w:rsidRPr="00DA19AF">
        <w:trPr>
          <w:trHeight w:val="1085"/>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ITIL</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IT service management</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Incidents, changes and suppliers</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Not comprehensive cybersecurity</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Service operations</w:t>
            </w:r>
          </w:p>
        </w:tc>
      </w:tr>
    </w:tbl>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greatest strengths of NIST include operational cybersecurity, ISO/IEC 27001 systematic information-security management, COBIT 2019 governance and accountability, and ITIL service operations. ALL is thus encouraged to use an integrated model that incorporates ISO/IEC 27001 as the foundation of its ISMS, NIST CSF as the foundation of operational cybersecurity and tools like COBIT 2019 as the basis of governance and selected ITIL practices as the basis of service continuity, incidents and suppliers </w:t>
      </w:r>
      <w:r w:rsidR="0042656E">
        <w:rPr>
          <w:rFonts w:ascii="Times New Roman" w:eastAsia="Times New Roman" w:hAnsi="Times New Roman" w:cs="Times New Roman"/>
          <w:sz w:val="24"/>
          <w:szCs w:val="24"/>
        </w:rPr>
        <w:t>[8]</w:t>
      </w:r>
      <w:r w:rsidRPr="00DA19AF">
        <w:rPr>
          <w:rFonts w:ascii="Times New Roman" w:eastAsia="Times New Roman" w:hAnsi="Times New Roman" w:cs="Times New Roman"/>
          <w:sz w:val="24"/>
          <w:szCs w:val="24"/>
        </w:rPr>
        <w:t>.</w:t>
      </w:r>
    </w:p>
    <w:p w:rsidR="00A26B65" w:rsidRPr="00DA19AF" w:rsidRDefault="004773E1" w:rsidP="00DA19AF">
      <w:pPr>
        <w:pStyle w:val="Heading1"/>
      </w:pPr>
      <w:bookmarkStart w:id="11" w:name="_Toc237269159"/>
      <w:r w:rsidRPr="00DA19AF">
        <w:t xml:space="preserve">3. </w:t>
      </w:r>
      <w:proofErr w:type="spellStart"/>
      <w:r w:rsidRPr="00DA19AF">
        <w:t>AeroLink</w:t>
      </w:r>
      <w:proofErr w:type="spellEnd"/>
      <w:r w:rsidRPr="00DA19AF">
        <w:t xml:space="preserve"> Logistics Security, Governance and Compliance Assessment</w:t>
      </w:r>
      <w:bookmarkEnd w:id="11"/>
      <w:r w:rsidRPr="00DA19AF">
        <w:t xml:space="preserve"> </w:t>
      </w:r>
    </w:p>
    <w:p w:rsidR="00A26B65" w:rsidRPr="00DA19AF" w:rsidRDefault="004773E1" w:rsidP="00DA19AF">
      <w:pPr>
        <w:pStyle w:val="Heading2"/>
      </w:pPr>
      <w:bookmarkStart w:id="12" w:name="_Toc237269160"/>
      <w:r w:rsidRPr="00DA19AF">
        <w:t>3.1 Current Security Weaknesses</w:t>
      </w:r>
      <w:bookmarkEnd w:id="12"/>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Security and governance frailties of </w:t>
      </w:r>
      <w:proofErr w:type="spellStart"/>
      <w:r w:rsidRPr="00DA19AF">
        <w:rPr>
          <w:rFonts w:ascii="Times New Roman" w:eastAsia="Times New Roman" w:hAnsi="Times New Roman" w:cs="Times New Roman"/>
          <w:sz w:val="24"/>
          <w:szCs w:val="24"/>
        </w:rPr>
        <w:t>AeroLink</w:t>
      </w:r>
      <w:proofErr w:type="spellEnd"/>
      <w:r w:rsidRPr="00DA19AF">
        <w:rPr>
          <w:rFonts w:ascii="Times New Roman" w:eastAsia="Times New Roman" w:hAnsi="Times New Roman" w:cs="Times New Roman"/>
          <w:sz w:val="24"/>
          <w:szCs w:val="24"/>
        </w:rPr>
        <w:t xml:space="preserve"> Logistics (ALL) interrelate in the information and strategic automobiles being revealed. Lax devices enhance the chances of unauthorized access, and a weak encryption poses risks of exposure of sensitive data. Outsourcing 88 per cent IT infrastructure produces major dependence of third parties and diminishes the immediate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command </w:t>
      </w:r>
      <w:r w:rsidR="002A01B8">
        <w:rPr>
          <w:rFonts w:ascii="Times New Roman" w:eastAsia="Times New Roman" w:hAnsi="Times New Roman" w:cs="Times New Roman"/>
          <w:sz w:val="24"/>
          <w:szCs w:val="24"/>
        </w:rPr>
        <w:t>[13]</w:t>
      </w:r>
      <w:r w:rsidRPr="00DA19AF">
        <w:rPr>
          <w:rFonts w:ascii="Times New Roman" w:eastAsia="Times New Roman" w:hAnsi="Times New Roman" w:cs="Times New Roman"/>
          <w:sz w:val="24"/>
          <w:szCs w:val="24"/>
        </w:rPr>
        <w:t xml:space="preserve">. Lack of a cohesive security system may result in unequal controls between departments and suppliers. Moreover, absence of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hinders </w:t>
      </w:r>
      <w:r w:rsidRPr="00DA19AF">
        <w:rPr>
          <w:rFonts w:ascii="Times New Roman" w:eastAsia="Times New Roman" w:hAnsi="Times New Roman" w:cs="Times New Roman"/>
          <w:sz w:val="24"/>
          <w:szCs w:val="24"/>
        </w:rPr>
        <w:lastRenderedPageBreak/>
        <w:t xml:space="preserve">effective </w:t>
      </w:r>
      <w:proofErr w:type="spellStart"/>
      <w:r w:rsidRPr="00DA19AF">
        <w:rPr>
          <w:rFonts w:ascii="Times New Roman" w:eastAsia="Times New Roman" w:hAnsi="Times New Roman" w:cs="Times New Roman"/>
          <w:sz w:val="24"/>
          <w:szCs w:val="24"/>
        </w:rPr>
        <w:t>prioritisation</w:t>
      </w:r>
      <w:proofErr w:type="spellEnd"/>
      <w:r w:rsidRPr="00DA19AF">
        <w:rPr>
          <w:rFonts w:ascii="Times New Roman" w:eastAsia="Times New Roman" w:hAnsi="Times New Roman" w:cs="Times New Roman"/>
          <w:sz w:val="24"/>
          <w:szCs w:val="24"/>
        </w:rPr>
        <w:t xml:space="preserve"> of threats and resource allocation. Ineffective incident response can slow down breach containment, which raises financial, regulatory and reputational damages. Poor business continuity planning also poses operational risks since the disruption of technology may interfere with tracking, warehousing and distribution.</w:t>
      </w:r>
    </w:p>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Table 2: Key Security Weaknesses at ALL</w:t>
      </w:r>
    </w:p>
    <w:tbl>
      <w:tblPr>
        <w:tblStyle w:val="a0"/>
        <w:tblW w:w="93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2910"/>
        <w:gridCol w:w="2775"/>
        <w:gridCol w:w="3645"/>
      </w:tblGrid>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Problem</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Risk</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Potential Impact</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Unmanaged devices</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Data breach</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encryption</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Data exposure</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PII compromise</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88% outsourced IT</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Third-party risk</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Loss of control</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 unified framework</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Inconsistent security</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Increased vulnerabilities</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 central risk process</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Unknown risks</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Poor decisions</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incident response</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Delayed containment</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Financial/reputational damage</w:t>
            </w:r>
          </w:p>
        </w:tc>
      </w:tr>
      <w:tr w:rsidR="00A26B65" w:rsidRPr="00DA19AF">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BCP</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Operational disruption</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Service failure</w:t>
            </w:r>
          </w:p>
        </w:tc>
      </w:tr>
    </w:tbl>
    <w:p w:rsidR="00A26B65" w:rsidRPr="00DA19AF" w:rsidRDefault="004773E1" w:rsidP="00DA19AF">
      <w:pPr>
        <w:pStyle w:val="Heading2"/>
      </w:pPr>
      <w:bookmarkStart w:id="13" w:name="_Toc237269161"/>
      <w:r w:rsidRPr="00DA19AF">
        <w:t>3.2 Risk Assessment</w:t>
      </w:r>
      <w:bookmarkEnd w:id="13"/>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should use a likelihood-impact approach to </w:t>
      </w:r>
      <w:proofErr w:type="spellStart"/>
      <w:r w:rsidRPr="00DA19AF">
        <w:rPr>
          <w:rFonts w:ascii="Times New Roman" w:eastAsia="Times New Roman" w:hAnsi="Times New Roman" w:cs="Times New Roman"/>
          <w:sz w:val="24"/>
          <w:szCs w:val="24"/>
        </w:rPr>
        <w:t>prioritise</w:t>
      </w:r>
      <w:proofErr w:type="spellEnd"/>
      <w:r w:rsidRPr="00DA19AF">
        <w:rPr>
          <w:rFonts w:ascii="Times New Roman" w:eastAsia="Times New Roman" w:hAnsi="Times New Roman" w:cs="Times New Roman"/>
          <w:sz w:val="24"/>
          <w:szCs w:val="24"/>
        </w:rPr>
        <w:t xml:space="preserve"> identified risks. Critical risks need to be treated, high risks mitigated, medium risks controlled as planned, and low risks can be observed during regular routine.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and PII breach must be given the priority </w:t>
      </w:r>
      <w:r w:rsidRPr="00DA19AF">
        <w:rPr>
          <w:rFonts w:ascii="Times New Roman" w:eastAsia="Times New Roman" w:hAnsi="Times New Roman" w:cs="Times New Roman"/>
          <w:sz w:val="24"/>
          <w:szCs w:val="24"/>
        </w:rPr>
        <w:lastRenderedPageBreak/>
        <w:t>since ALL has already suffered due to shipment and customer information breaches. The third-party compromise also plays a major role in that 88% of the infrastructure is outsourced. The failure of IoT and cloud-security must be considered since these two technologies underpin core functions, and interruption of the business may impact real-time tracking and distribution.</w:t>
      </w:r>
    </w:p>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Risk Matrix</w:t>
      </w:r>
    </w:p>
    <w:tbl>
      <w:tblPr>
        <w:tblStyle w:val="a1"/>
        <w:tblW w:w="937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3285"/>
        <w:gridCol w:w="1515"/>
        <w:gridCol w:w="1590"/>
        <w:gridCol w:w="1515"/>
        <w:gridCol w:w="1470"/>
      </w:tblGrid>
      <w:tr w:rsidR="00A26B65" w:rsidRPr="00DA19AF">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Likelihood / Impact</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High</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Critical</w:t>
            </w:r>
          </w:p>
        </w:tc>
      </w:tr>
      <w:tr w:rsidR="00A26B65" w:rsidRPr="00DA19AF">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High</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r>
      <w:tr w:rsidR="00A26B65" w:rsidRPr="00DA19AF">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r>
      <w:tr w:rsidR="00A26B65" w:rsidRPr="00DA19AF">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Low</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r>
    </w:tbl>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Risk priority:</w:t>
      </w:r>
      <w:r w:rsidRPr="00DA19AF">
        <w:rPr>
          <w:rFonts w:ascii="Times New Roman" w:eastAsia="Cardo" w:hAnsi="Times New Roman" w:cs="Times New Roman"/>
          <w:sz w:val="24"/>
          <w:szCs w:val="24"/>
        </w:rPr>
        <w:t xml:space="preserve"> </w:t>
      </w:r>
      <w:proofErr w:type="spellStart"/>
      <w:r w:rsidRPr="00DA19AF">
        <w:rPr>
          <w:rFonts w:ascii="Times New Roman" w:eastAsia="Cardo" w:hAnsi="Times New Roman" w:cs="Times New Roman"/>
          <w:sz w:val="24"/>
          <w:szCs w:val="24"/>
        </w:rPr>
        <w:t>Unauthorised</w:t>
      </w:r>
      <w:proofErr w:type="spellEnd"/>
      <w:r w:rsidRPr="00DA19AF">
        <w:rPr>
          <w:rFonts w:ascii="Times New Roman" w:eastAsia="Cardo" w:hAnsi="Times New Roman" w:cs="Times New Roman"/>
          <w:sz w:val="24"/>
          <w:szCs w:val="24"/>
        </w:rPr>
        <w:t xml:space="preserve"> access → PII compromise → Third-party compromise → IoT/cloud compromise → Business interruption.</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These strengths indicate the inability of ALL to have a cohesive structure,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and formal compliance auditing.</w:t>
      </w:r>
    </w:p>
    <w:p w:rsidR="00A26B65" w:rsidRPr="00DA19AF" w:rsidRDefault="004773E1" w:rsidP="00DA19AF">
      <w:pPr>
        <w:pStyle w:val="Heading1"/>
      </w:pPr>
      <w:bookmarkStart w:id="14" w:name="_Toc237269162"/>
      <w:r w:rsidRPr="00DA19AF">
        <w:t>4. Proposed Integrated Security, Governance and Compliance Approach</w:t>
      </w:r>
      <w:bookmarkEnd w:id="14"/>
      <w:r w:rsidRPr="00DA19AF">
        <w:t xml:space="preserve"> </w:t>
      </w:r>
    </w:p>
    <w:p w:rsidR="00A26B65" w:rsidRPr="00DA19AF" w:rsidRDefault="004773E1" w:rsidP="00DA19AF">
      <w:pPr>
        <w:pStyle w:val="Heading2"/>
      </w:pPr>
      <w:bookmarkStart w:id="15" w:name="_Toc237269163"/>
      <w:r w:rsidRPr="00DA19AF">
        <w:t>4.1 Proposed Governance Model</w:t>
      </w:r>
      <w:bookmarkEnd w:id="15"/>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needs to develop a governance structure starting with the Board of Directors, then a Cybersecurity and Risk Committee, CISO or Information Security Lead, security operations, risk and compliance functions, technical teams, then finally employees and third parties. Security strategy and risk appetite should be agreed upon by the Board. The security </w:t>
      </w:r>
      <w:proofErr w:type="spellStart"/>
      <w:r w:rsidRPr="00DA19AF">
        <w:rPr>
          <w:rFonts w:ascii="Times New Roman" w:eastAsia="Times New Roman" w:hAnsi="Times New Roman" w:cs="Times New Roman"/>
          <w:sz w:val="24"/>
          <w:szCs w:val="24"/>
        </w:rPr>
        <w:t>programme</w:t>
      </w:r>
      <w:proofErr w:type="spellEnd"/>
      <w:r w:rsidRPr="00DA19AF">
        <w:rPr>
          <w:rFonts w:ascii="Times New Roman" w:eastAsia="Times New Roman" w:hAnsi="Times New Roman" w:cs="Times New Roman"/>
          <w:sz w:val="24"/>
          <w:szCs w:val="24"/>
        </w:rPr>
        <w:t xml:space="preserve"> should belong to the CISO and the incident response, the risk and compliance teams should be tracking controls, regulatory requirements and audit results </w:t>
      </w:r>
      <w:r w:rsidR="005D5B9B">
        <w:rPr>
          <w:rFonts w:ascii="Times New Roman" w:eastAsia="Times New Roman" w:hAnsi="Times New Roman" w:cs="Times New Roman"/>
          <w:sz w:val="24"/>
          <w:szCs w:val="24"/>
        </w:rPr>
        <w:t>[16]</w:t>
      </w:r>
      <w:r w:rsidRPr="00DA19AF">
        <w:rPr>
          <w:rFonts w:ascii="Times New Roman" w:eastAsia="Times New Roman" w:hAnsi="Times New Roman" w:cs="Times New Roman"/>
          <w:sz w:val="24"/>
          <w:szCs w:val="24"/>
        </w:rPr>
        <w:t xml:space="preserve">. There should be controls in place by IT, cloud, IoT and data teams. There are supposed to be specific security requirements to which </w:t>
      </w:r>
      <w:r w:rsidRPr="00DA19AF">
        <w:rPr>
          <w:rFonts w:ascii="Times New Roman" w:eastAsia="Times New Roman" w:hAnsi="Times New Roman" w:cs="Times New Roman"/>
          <w:sz w:val="24"/>
          <w:szCs w:val="24"/>
        </w:rPr>
        <w:lastRenderedPageBreak/>
        <w:t>employees and suppliers should adhere. Definite accountability would help fix the lack of specified security responsibilities at ALL currently.</w:t>
      </w:r>
    </w:p>
    <w:p w:rsidR="00A26B65" w:rsidRPr="00DA19AF" w:rsidRDefault="004773E1" w:rsidP="00DA19AF">
      <w:pPr>
        <w:pStyle w:val="Heading2"/>
      </w:pPr>
      <w:bookmarkStart w:id="16" w:name="_Toc237269164"/>
      <w:r w:rsidRPr="00DA19AF">
        <w:t>4.2 Integrated Framework Model</w:t>
      </w:r>
      <w:bookmarkEnd w:id="16"/>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four frameworks need to be integrated into the suggested model based on their complementary functionality. COBIT 2019, ISO/IEC 27001 and NIST CSF should deliver governance and strategic alignment, structure of risk treatment and compliance and Identify, Protect, Detect, Respond and Recover should be provided as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operational </w:t>
      </w:r>
      <w:proofErr w:type="spellStart"/>
      <w:r w:rsidRPr="00DA19AF">
        <w:rPr>
          <w:rFonts w:ascii="Times New Roman" w:eastAsia="Times New Roman" w:hAnsi="Times New Roman" w:cs="Times New Roman"/>
          <w:sz w:val="24"/>
          <w:szCs w:val="24"/>
        </w:rPr>
        <w:t>cybersecurity</w:t>
      </w:r>
      <w:proofErr w:type="spellEnd"/>
      <w:r w:rsidRPr="00DA19AF">
        <w:rPr>
          <w:rFonts w:ascii="Times New Roman" w:eastAsia="Times New Roman" w:hAnsi="Times New Roman" w:cs="Times New Roman"/>
          <w:sz w:val="24"/>
          <w:szCs w:val="24"/>
        </w:rPr>
        <w:t>, and selected ITIL practices should assist with incident, change, service and supplier management</w:t>
      </w:r>
      <w:r w:rsidR="00A306F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118449958"/>
          <w:citation/>
        </w:sdtPr>
        <w:sdtContent>
          <w:r w:rsidR="007967E5">
            <w:rPr>
              <w:rFonts w:ascii="Times New Roman" w:eastAsia="Times New Roman" w:hAnsi="Times New Roman" w:cs="Times New Roman"/>
              <w:sz w:val="24"/>
              <w:szCs w:val="24"/>
            </w:rPr>
            <w:fldChar w:fldCharType="begin"/>
          </w:r>
          <w:r w:rsidR="00A70BA1">
            <w:rPr>
              <w:rFonts w:ascii="Times New Roman" w:eastAsia="Times New Roman" w:hAnsi="Times New Roman" w:cs="Times New Roman"/>
              <w:sz w:val="24"/>
              <w:szCs w:val="24"/>
              <w:lang w:val="en-US"/>
            </w:rPr>
            <w:instrText xml:space="preserve"> CITATION Fai24 \l 1033 </w:instrText>
          </w:r>
          <w:r w:rsidR="007967E5">
            <w:rPr>
              <w:rFonts w:ascii="Times New Roman" w:eastAsia="Times New Roman" w:hAnsi="Times New Roman" w:cs="Times New Roman"/>
              <w:sz w:val="24"/>
              <w:szCs w:val="24"/>
            </w:rPr>
            <w:fldChar w:fldCharType="separate"/>
          </w:r>
          <w:r w:rsidR="00A70BA1" w:rsidRPr="00A70BA1">
            <w:rPr>
              <w:rFonts w:ascii="Times New Roman" w:eastAsia="Times New Roman" w:hAnsi="Times New Roman" w:cs="Times New Roman"/>
              <w:noProof/>
              <w:sz w:val="24"/>
              <w:szCs w:val="24"/>
              <w:lang w:val="en-US"/>
            </w:rPr>
            <w:t>[6]</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xml:space="preserve">. With this layered approach, frameworks are not seen as competing options. Rather, management is defined by governance, practices </w:t>
      </w:r>
      <w:proofErr w:type="spellStart"/>
      <w:r w:rsidRPr="00DA19AF">
        <w:rPr>
          <w:rFonts w:ascii="Times New Roman" w:eastAsia="Times New Roman" w:hAnsi="Times New Roman" w:cs="Times New Roman"/>
          <w:sz w:val="24"/>
          <w:szCs w:val="24"/>
        </w:rPr>
        <w:t>formalised</w:t>
      </w:r>
      <w:proofErr w:type="spellEnd"/>
      <w:r w:rsidRPr="00DA19AF">
        <w:rPr>
          <w:rFonts w:ascii="Times New Roman" w:eastAsia="Times New Roman" w:hAnsi="Times New Roman" w:cs="Times New Roman"/>
          <w:sz w:val="24"/>
          <w:szCs w:val="24"/>
        </w:rPr>
        <w:t xml:space="preserve"> through ISMS, </w:t>
      </w:r>
      <w:proofErr w:type="spellStart"/>
      <w:r w:rsidRPr="00DA19AF">
        <w:rPr>
          <w:rFonts w:ascii="Times New Roman" w:eastAsia="Times New Roman" w:hAnsi="Times New Roman" w:cs="Times New Roman"/>
          <w:sz w:val="24"/>
          <w:szCs w:val="24"/>
        </w:rPr>
        <w:t>operationalised</w:t>
      </w:r>
      <w:proofErr w:type="spellEnd"/>
      <w:r w:rsidRPr="00DA19AF">
        <w:rPr>
          <w:rFonts w:ascii="Times New Roman" w:eastAsia="Times New Roman" w:hAnsi="Times New Roman" w:cs="Times New Roman"/>
          <w:sz w:val="24"/>
          <w:szCs w:val="24"/>
        </w:rPr>
        <w:t xml:space="preserve"> by NIST, and the service delivery enhanced by ITIL. The combination allows them to cover in a comprehensive manner the governance, security and operations needs of ALL.</w:t>
      </w:r>
    </w:p>
    <w:p w:rsidR="00A26B65" w:rsidRPr="00DA19AF" w:rsidRDefault="004773E1" w:rsidP="00DA19AF">
      <w:pPr>
        <w:pStyle w:val="Heading2"/>
      </w:pPr>
      <w:bookmarkStart w:id="17" w:name="_Toc237269165"/>
      <w:r w:rsidRPr="00DA19AF">
        <w:t>4.3 Security Policies and Procedures</w:t>
      </w:r>
      <w:bookmarkEnd w:id="17"/>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ALL must develop formal information-security policies on acceptable use, authentication, remote work, unmanaged personal computers, version, encryption, incident response, backup, vendor security, access control and data retention. Every policy must have an owner and supporting procedure, monitoring method and review date. This will provide accountability and be able to transform policies into coherent operational practices. The policies must be revisited after significant events, regulatory changes, major shifts in technology and planned governance reviews across the department and the suppliers via governance controls of accountability and clearer KSA</w:t>
      </w:r>
      <w:r w:rsidR="00F8481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741871654"/>
          <w:citation/>
        </w:sdtPr>
        <w:sdtContent>
          <w:r w:rsidR="007967E5">
            <w:rPr>
              <w:rFonts w:ascii="Times New Roman" w:eastAsia="Times New Roman" w:hAnsi="Times New Roman" w:cs="Times New Roman"/>
              <w:sz w:val="24"/>
              <w:szCs w:val="24"/>
            </w:rPr>
            <w:fldChar w:fldCharType="begin"/>
          </w:r>
          <w:r w:rsidR="00967627">
            <w:rPr>
              <w:rFonts w:ascii="Times New Roman" w:eastAsia="Times New Roman" w:hAnsi="Times New Roman" w:cs="Times New Roman"/>
              <w:sz w:val="24"/>
              <w:szCs w:val="24"/>
              <w:lang w:val="en-US"/>
            </w:rPr>
            <w:instrText xml:space="preserve"> CITATION Als25 \l 1033 </w:instrText>
          </w:r>
          <w:r w:rsidR="007967E5">
            <w:rPr>
              <w:rFonts w:ascii="Times New Roman" w:eastAsia="Times New Roman" w:hAnsi="Times New Roman" w:cs="Times New Roman"/>
              <w:sz w:val="24"/>
              <w:szCs w:val="24"/>
            </w:rPr>
            <w:fldChar w:fldCharType="separate"/>
          </w:r>
          <w:r w:rsidR="00967627" w:rsidRPr="00967627">
            <w:rPr>
              <w:rFonts w:ascii="Times New Roman" w:eastAsia="Times New Roman" w:hAnsi="Times New Roman" w:cs="Times New Roman"/>
              <w:noProof/>
              <w:sz w:val="24"/>
              <w:szCs w:val="24"/>
              <w:lang w:val="en-US"/>
            </w:rPr>
            <w:t>[2]</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Cardo" w:hAnsi="Times New Roman" w:cs="Times New Roman"/>
          <w:b/>
          <w:bCs/>
          <w:sz w:val="24"/>
          <w:szCs w:val="24"/>
        </w:rPr>
        <w:t>Policy → Procedure → Responsible Owner → Monitoring → Review Date</w:t>
      </w:r>
    </w:p>
    <w:p w:rsidR="00A26B65" w:rsidRPr="00DA19AF" w:rsidRDefault="004773E1" w:rsidP="00DA19AF">
      <w:pPr>
        <w:pStyle w:val="Heading2"/>
      </w:pPr>
      <w:bookmarkStart w:id="18" w:name="_Toc237269166"/>
      <w:r w:rsidRPr="00DA19AF">
        <w:t>4.4 Identity and Access Management</w:t>
      </w:r>
      <w:bookmarkEnd w:id="18"/>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principles of Zero Trust should be applied to identity and access management, and the idea is that users and devices should be constantly verified. Remote accounts should be secured using multi-factor authentication and the access should be limited by Role-Based Access Control in line with job responsibilities. Access privileges should be controlled to administrative exposure </w:t>
      </w:r>
      <w:r w:rsidRPr="00DA19AF">
        <w:rPr>
          <w:rFonts w:ascii="Times New Roman" w:eastAsia="Times New Roman" w:hAnsi="Times New Roman" w:cs="Times New Roman"/>
          <w:sz w:val="24"/>
          <w:szCs w:val="24"/>
        </w:rPr>
        <w:lastRenderedPageBreak/>
        <w:t xml:space="preserve">by least-privilege permissions and Privileged Access Management. User, device and location risk, and device-compliance checks should be used to provide conditional access and limit unmanaged or unsecure endpoints </w:t>
      </w:r>
      <w:sdt>
        <w:sdtPr>
          <w:rPr>
            <w:rFonts w:ascii="Times New Roman" w:eastAsia="Times New Roman" w:hAnsi="Times New Roman" w:cs="Times New Roman"/>
            <w:sz w:val="24"/>
            <w:szCs w:val="24"/>
          </w:rPr>
          <w:id w:val="-750589104"/>
          <w:citation/>
        </w:sdtPr>
        <w:sdtContent>
          <w:r w:rsidR="007967E5">
            <w:rPr>
              <w:rFonts w:ascii="Times New Roman" w:eastAsia="Times New Roman" w:hAnsi="Times New Roman" w:cs="Times New Roman"/>
              <w:sz w:val="24"/>
              <w:szCs w:val="24"/>
            </w:rPr>
            <w:fldChar w:fldCharType="begin"/>
          </w:r>
          <w:r w:rsidR="00D94A62">
            <w:rPr>
              <w:rFonts w:ascii="Times New Roman" w:eastAsia="Times New Roman" w:hAnsi="Times New Roman" w:cs="Times New Roman"/>
              <w:sz w:val="24"/>
              <w:szCs w:val="24"/>
              <w:lang w:val="en-US"/>
            </w:rPr>
            <w:instrText xml:space="preserve"> CITATION Dum25 \l 1033 </w:instrText>
          </w:r>
          <w:r w:rsidR="007967E5">
            <w:rPr>
              <w:rFonts w:ascii="Times New Roman" w:eastAsia="Times New Roman" w:hAnsi="Times New Roman" w:cs="Times New Roman"/>
              <w:sz w:val="24"/>
              <w:szCs w:val="24"/>
            </w:rPr>
            <w:fldChar w:fldCharType="separate"/>
          </w:r>
          <w:r w:rsidR="00D94A62" w:rsidRPr="00967627">
            <w:rPr>
              <w:rFonts w:ascii="Times New Roman" w:eastAsia="Times New Roman" w:hAnsi="Times New Roman" w:cs="Times New Roman"/>
              <w:noProof/>
              <w:sz w:val="24"/>
              <w:szCs w:val="24"/>
              <w:lang w:val="en-US"/>
            </w:rPr>
            <w:t>[4]</w:t>
          </w:r>
          <w:r w:rsidR="007967E5">
            <w:rPr>
              <w:rFonts w:ascii="Times New Roman" w:eastAsia="Times New Roman" w:hAnsi="Times New Roman" w:cs="Times New Roman"/>
              <w:sz w:val="24"/>
              <w:szCs w:val="24"/>
            </w:rPr>
            <w:fldChar w:fldCharType="end"/>
          </w:r>
        </w:sdtContent>
      </w:sdt>
      <w:sdt>
        <w:sdtPr>
          <w:rPr>
            <w:rFonts w:ascii="Times New Roman" w:eastAsia="Times New Roman" w:hAnsi="Times New Roman" w:cs="Times New Roman"/>
            <w:sz w:val="24"/>
            <w:szCs w:val="24"/>
          </w:rPr>
          <w:id w:val="-1940062470"/>
          <w:citation/>
        </w:sdtPr>
        <w:sdtContent>
          <w:r w:rsidR="007967E5">
            <w:rPr>
              <w:rFonts w:ascii="Times New Roman" w:eastAsia="Times New Roman" w:hAnsi="Times New Roman" w:cs="Times New Roman"/>
              <w:sz w:val="24"/>
              <w:szCs w:val="24"/>
            </w:rPr>
            <w:fldChar w:fldCharType="begin"/>
          </w:r>
          <w:r w:rsidR="00D94A62">
            <w:rPr>
              <w:rFonts w:ascii="Times New Roman" w:eastAsia="Times New Roman" w:hAnsi="Times New Roman" w:cs="Times New Roman"/>
              <w:sz w:val="24"/>
              <w:szCs w:val="24"/>
              <w:lang w:val="en-US"/>
            </w:rPr>
            <w:instrText xml:space="preserve"> CITATION Uta25 \l 1033 </w:instrText>
          </w:r>
          <w:r w:rsidR="007967E5">
            <w:rPr>
              <w:rFonts w:ascii="Times New Roman" w:eastAsia="Times New Roman" w:hAnsi="Times New Roman" w:cs="Times New Roman"/>
              <w:sz w:val="24"/>
              <w:szCs w:val="24"/>
            </w:rPr>
            <w:fldChar w:fldCharType="separate"/>
          </w:r>
          <w:r w:rsidR="00D94A62">
            <w:rPr>
              <w:rFonts w:ascii="Times New Roman" w:eastAsia="Times New Roman" w:hAnsi="Times New Roman" w:cs="Times New Roman"/>
              <w:noProof/>
              <w:sz w:val="24"/>
              <w:szCs w:val="24"/>
              <w:lang w:val="en-US"/>
            </w:rPr>
            <w:t xml:space="preserve"> </w:t>
          </w:r>
          <w:r w:rsidR="00D94A62" w:rsidRPr="00D94A62">
            <w:rPr>
              <w:rFonts w:ascii="Times New Roman" w:eastAsia="Times New Roman" w:hAnsi="Times New Roman" w:cs="Times New Roman"/>
              <w:noProof/>
              <w:sz w:val="24"/>
              <w:szCs w:val="24"/>
              <w:lang w:val="en-US"/>
            </w:rPr>
            <w:t>[4]</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xml:space="preserve">. Unnecessary privileges should be frequently eliminated by access review and accounts automatically disabled when employment or access to suppliers terminates. Such controls would </w:t>
      </w:r>
      <w:proofErr w:type="spellStart"/>
      <w:r w:rsidRPr="00DA19AF">
        <w:rPr>
          <w:rFonts w:ascii="Times New Roman" w:eastAsia="Times New Roman" w:hAnsi="Times New Roman" w:cs="Times New Roman"/>
          <w:sz w:val="24"/>
          <w:szCs w:val="24"/>
        </w:rPr>
        <w:t>minimise</w:t>
      </w:r>
      <w:proofErr w:type="spellEnd"/>
      <w:r w:rsidRPr="00DA19AF">
        <w:rPr>
          <w:rFonts w:ascii="Times New Roman" w:eastAsia="Times New Roman" w:hAnsi="Times New Roman" w:cs="Times New Roman"/>
          <w:sz w:val="24"/>
          <w:szCs w:val="24"/>
        </w:rPr>
        <w:t xml:space="preserve">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to shipment and customer PII stored in systems in a continuous and consistent manner.</w:t>
      </w:r>
    </w:p>
    <w:p w:rsidR="00A26B65" w:rsidRPr="00DA19AF" w:rsidRDefault="004773E1" w:rsidP="00DA19AF">
      <w:pPr>
        <w:pStyle w:val="Heading2"/>
      </w:pPr>
      <w:bookmarkStart w:id="19" w:name="_Toc237269167"/>
      <w:r w:rsidRPr="00DA19AF">
        <w:t>4.5 Data Protection and Encryption</w:t>
      </w:r>
      <w:bookmarkEnd w:id="19"/>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must protect sensitive information and keep cryptographic keys encrypted at rest and in transit, as well as strong cryptographic key-management practices. Information must be categorized based on sensitivity in order to have PII and commercially sensitive shipment data appropriately safeguarded. </w:t>
      </w:r>
      <w:proofErr w:type="spellStart"/>
      <w:r w:rsidRPr="00DA19AF">
        <w:rPr>
          <w:rFonts w:ascii="Times New Roman" w:eastAsia="Times New Roman" w:hAnsi="Times New Roman" w:cs="Times New Roman"/>
          <w:sz w:val="24"/>
          <w:szCs w:val="24"/>
        </w:rPr>
        <w:t>Minimisation</w:t>
      </w:r>
      <w:proofErr w:type="spellEnd"/>
      <w:r w:rsidRPr="00DA19AF">
        <w:rPr>
          <w:rFonts w:ascii="Times New Roman" w:eastAsia="Times New Roman" w:hAnsi="Times New Roman" w:cs="Times New Roman"/>
          <w:sz w:val="24"/>
          <w:szCs w:val="24"/>
        </w:rPr>
        <w:t xml:space="preserve"> of data must </w:t>
      </w:r>
      <w:proofErr w:type="spellStart"/>
      <w:r w:rsidRPr="00DA19AF">
        <w:rPr>
          <w:rFonts w:ascii="Times New Roman" w:eastAsia="Times New Roman" w:hAnsi="Times New Roman" w:cs="Times New Roman"/>
          <w:sz w:val="24"/>
          <w:szCs w:val="24"/>
        </w:rPr>
        <w:t>minimise</w:t>
      </w:r>
      <w:proofErr w:type="spellEnd"/>
      <w:r w:rsidRPr="00DA19AF">
        <w:rPr>
          <w:rFonts w:ascii="Times New Roman" w:eastAsia="Times New Roman" w:hAnsi="Times New Roman" w:cs="Times New Roman"/>
          <w:sz w:val="24"/>
          <w:szCs w:val="24"/>
        </w:rPr>
        <w:t xml:space="preserve"> what is wasted in data gathering and disclosure, whereas safe backups must maintain access without compromise of confidentiality </w:t>
      </w:r>
      <w:r w:rsidR="00E02368">
        <w:rPr>
          <w:rFonts w:ascii="Times New Roman" w:eastAsia="Times New Roman" w:hAnsi="Times New Roman" w:cs="Times New Roman"/>
          <w:sz w:val="24"/>
          <w:szCs w:val="24"/>
        </w:rPr>
        <w:t>[11]</w:t>
      </w:r>
      <w:r w:rsidRPr="00DA19AF">
        <w:rPr>
          <w:rFonts w:ascii="Times New Roman" w:eastAsia="Times New Roman" w:hAnsi="Times New Roman" w:cs="Times New Roman"/>
          <w:sz w:val="24"/>
          <w:szCs w:val="24"/>
        </w:rPr>
        <w:t>. Specific retention and safe deletion protocols should forestall the duration of information retention that is required. Collectively these controls enhance confidentiality, integrity and availability as well as data-protection compliance.</w:t>
      </w:r>
    </w:p>
    <w:p w:rsidR="00A26B65" w:rsidRPr="00DA19AF" w:rsidRDefault="004773E1" w:rsidP="00DA19AF">
      <w:pPr>
        <w:pStyle w:val="Heading2"/>
      </w:pPr>
      <w:bookmarkStart w:id="20" w:name="_Toc237269168"/>
      <w:r w:rsidRPr="00DA19AF">
        <w:t>4.6 Cloud, IoT and AI Security</w:t>
      </w:r>
      <w:bookmarkEnd w:id="20"/>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Some features such as secure configuration, identity, centralized logging, continuous monitoring and clear allocation of responsibilities must be included under the shared-responsibility model in cloud security. Authentication of identities, secured communications, updated firmware, network segmentation, and a device inventory should be utilized by IoT devices. Controlled access and secure training data, control and monitoring of the data quality and unexpected output of AI systems should control AI systems </w:t>
      </w:r>
      <w:sdt>
        <w:sdtPr>
          <w:rPr>
            <w:rFonts w:ascii="Times New Roman" w:eastAsia="Times New Roman" w:hAnsi="Times New Roman" w:cs="Times New Roman"/>
            <w:sz w:val="24"/>
            <w:szCs w:val="24"/>
          </w:rPr>
          <w:id w:val="-998652356"/>
          <w:citation/>
        </w:sdtPr>
        <w:sdtContent>
          <w:r w:rsidR="007967E5">
            <w:rPr>
              <w:rFonts w:ascii="Times New Roman" w:eastAsia="Times New Roman" w:hAnsi="Times New Roman" w:cs="Times New Roman"/>
              <w:sz w:val="24"/>
              <w:szCs w:val="24"/>
            </w:rPr>
            <w:fldChar w:fldCharType="begin"/>
          </w:r>
          <w:r w:rsidR="00967627">
            <w:rPr>
              <w:rFonts w:ascii="Times New Roman" w:eastAsia="Times New Roman" w:hAnsi="Times New Roman" w:cs="Times New Roman"/>
              <w:sz w:val="24"/>
              <w:szCs w:val="24"/>
              <w:lang w:val="en-US"/>
            </w:rPr>
            <w:instrText xml:space="preserve"> CITATION Axo22 \l 1033 </w:instrText>
          </w:r>
          <w:r w:rsidR="007967E5">
            <w:rPr>
              <w:rFonts w:ascii="Times New Roman" w:eastAsia="Times New Roman" w:hAnsi="Times New Roman" w:cs="Times New Roman"/>
              <w:sz w:val="24"/>
              <w:szCs w:val="24"/>
            </w:rPr>
            <w:fldChar w:fldCharType="separate"/>
          </w:r>
          <w:r w:rsidR="00967627" w:rsidRPr="00967627">
            <w:rPr>
              <w:rFonts w:ascii="Times New Roman" w:eastAsia="Times New Roman" w:hAnsi="Times New Roman" w:cs="Times New Roman"/>
              <w:noProof/>
              <w:sz w:val="24"/>
              <w:szCs w:val="24"/>
              <w:lang w:val="en-US"/>
            </w:rPr>
            <w:t>[3]</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xml:space="preserve">. These are not to be handled as separate technology projects but as part and parcel of the overall risk-management process at ALL. Unusual </w:t>
      </w:r>
      <w:proofErr w:type="spellStart"/>
      <w:r w:rsidRPr="00DA19AF">
        <w:rPr>
          <w:rFonts w:ascii="Times New Roman" w:eastAsia="Times New Roman" w:hAnsi="Times New Roman" w:cs="Times New Roman"/>
          <w:sz w:val="24"/>
          <w:szCs w:val="24"/>
        </w:rPr>
        <w:t>behaviour</w:t>
      </w:r>
      <w:proofErr w:type="spellEnd"/>
      <w:r w:rsidRPr="00DA19AF">
        <w:rPr>
          <w:rFonts w:ascii="Times New Roman" w:eastAsia="Times New Roman" w:hAnsi="Times New Roman" w:cs="Times New Roman"/>
          <w:sz w:val="24"/>
          <w:szCs w:val="24"/>
        </w:rPr>
        <w:t>, changes and vulnerabilities should be monitored and assessments made to ensure effectiveness and resilience.</w:t>
      </w:r>
    </w:p>
    <w:p w:rsidR="00A26B65" w:rsidRPr="00DA19AF" w:rsidRDefault="004773E1" w:rsidP="00DA19AF">
      <w:pPr>
        <w:pStyle w:val="Heading2"/>
      </w:pPr>
      <w:bookmarkStart w:id="21" w:name="_Toc237269169"/>
      <w:r w:rsidRPr="00DA19AF">
        <w:t>4.7 Incident Response and Business Continuity</w:t>
      </w:r>
      <w:bookmarkEnd w:id="21"/>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would need to establish an incident-response cycle which includes preparation, detection, containment, eradication, recovery and lessons learned. This must deploy in conjunction with a </w:t>
      </w:r>
      <w:r w:rsidRPr="00DA19AF">
        <w:rPr>
          <w:rFonts w:ascii="Times New Roman" w:eastAsia="Times New Roman" w:hAnsi="Times New Roman" w:cs="Times New Roman"/>
          <w:sz w:val="24"/>
          <w:szCs w:val="24"/>
        </w:rPr>
        <w:lastRenderedPageBreak/>
        <w:t xml:space="preserve">Business Continuity Plan and Disaster Recovery Plan that is backed by a robust set of backups. The logistics services should have recovery Time Objectives and Recovery Point Objectives and be regularly tested. This kind of preparation is necessary since interruption of the cloud platforms, monitor systems or operational data might disrupt the real-time visibility, warehousing and distribution </w:t>
      </w:r>
      <w:r w:rsidR="00EE7364">
        <w:rPr>
          <w:rFonts w:ascii="Times New Roman" w:eastAsia="Times New Roman" w:hAnsi="Times New Roman" w:cs="Times New Roman"/>
          <w:sz w:val="24"/>
          <w:szCs w:val="24"/>
        </w:rPr>
        <w:t>[14]</w:t>
      </w:r>
      <w:r w:rsidRPr="00DA19AF">
        <w:rPr>
          <w:rFonts w:ascii="Times New Roman" w:eastAsia="Times New Roman" w:hAnsi="Times New Roman" w:cs="Times New Roman"/>
          <w:sz w:val="24"/>
          <w:szCs w:val="24"/>
        </w:rPr>
        <w:t>. Risk assessment and security controls should be fed with weaknesses obtained after incident reviews.</w:t>
      </w:r>
    </w:p>
    <w:p w:rsidR="00A26B65" w:rsidRPr="00DA19AF" w:rsidRDefault="004773E1" w:rsidP="00B525FD">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noProof/>
          <w:sz w:val="24"/>
          <w:szCs w:val="24"/>
          <w:lang w:val="en-US" w:eastAsia="en-US"/>
        </w:rPr>
        <w:drawing>
          <wp:inline distT="114300" distB="114300" distL="114300" distR="114300">
            <wp:extent cx="5943600" cy="3962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5943600" cy="3962400"/>
                    </a:xfrm>
                    <a:prstGeom prst="rect">
                      <a:avLst/>
                    </a:prstGeom>
                    <a:ln/>
                  </pic:spPr>
                </pic:pic>
              </a:graphicData>
            </a:graphic>
          </wp:inline>
        </w:drawing>
      </w:r>
    </w:p>
    <w:p w:rsidR="00A26B65" w:rsidRPr="00DA19AF" w:rsidRDefault="004773E1" w:rsidP="00B525FD">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3: Incident Response Cycle</w:t>
      </w:r>
    </w:p>
    <w:p w:rsidR="00A26B65" w:rsidRPr="00DA19AF" w:rsidRDefault="004773E1" w:rsidP="00B525FD">
      <w:pPr>
        <w:spacing w:before="20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(Source: Self-Developed)</w:t>
      </w:r>
    </w:p>
    <w:p w:rsidR="00A26B65" w:rsidRPr="00DA19AF" w:rsidRDefault="004773E1" w:rsidP="00DA19AF">
      <w:pPr>
        <w:pStyle w:val="Heading2"/>
      </w:pPr>
      <w:bookmarkStart w:id="22" w:name="_Toc237269170"/>
      <w:r w:rsidRPr="00DA19AF">
        <w:t>4.8 Vendor and SLA Management</w:t>
      </w:r>
      <w:bookmarkEnd w:id="22"/>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Since 88 percent of IT infrastructure of ALL is outsourced, governance of vendors must be a key focus of security. Due diligence and risk scoring of suppliers should precede engagement and encryption, data-processing and security, incident-notification and breach responsibilities should be specified in contracts. Security and availability requirements need to be stated in SLAs, </w:t>
      </w:r>
      <w:r w:rsidRPr="00DA19AF">
        <w:rPr>
          <w:rFonts w:ascii="Times New Roman" w:eastAsia="Times New Roman" w:hAnsi="Times New Roman" w:cs="Times New Roman"/>
          <w:sz w:val="24"/>
          <w:szCs w:val="24"/>
        </w:rPr>
        <w:lastRenderedPageBreak/>
        <w:t xml:space="preserve">whereas the right-to-audit sections must allow the controls to be verified. Supplier reviews should also be done periodically to detect declining security performance, and to audit third parties to remain in compliance with the requirements and resiliency of ALL </w:t>
      </w:r>
      <w:r w:rsidR="00BC09BB">
        <w:rPr>
          <w:rFonts w:ascii="Times New Roman" w:eastAsia="Times New Roman" w:hAnsi="Times New Roman" w:cs="Times New Roman"/>
          <w:sz w:val="24"/>
          <w:szCs w:val="24"/>
        </w:rPr>
        <w:t>[10]</w:t>
      </w:r>
      <w:r w:rsidRPr="00DA19AF">
        <w:rPr>
          <w:rFonts w:ascii="Times New Roman" w:eastAsia="Times New Roman" w:hAnsi="Times New Roman" w:cs="Times New Roman"/>
          <w:sz w:val="24"/>
          <w:szCs w:val="24"/>
        </w:rPr>
        <w:t>.</w:t>
      </w:r>
    </w:p>
    <w:p w:rsidR="00A26B65" w:rsidRPr="00DA19AF" w:rsidRDefault="004773E1" w:rsidP="00DA19AF">
      <w:pPr>
        <w:pStyle w:val="Heading2"/>
      </w:pPr>
      <w:bookmarkStart w:id="23" w:name="_Toc237269171"/>
      <w:r w:rsidRPr="00DA19AF">
        <w:t>4.9 Compliance and Legal/Ethical Governance</w:t>
      </w:r>
      <w:bookmarkEnd w:id="23"/>
      <w:r w:rsidRPr="00DA19AF">
        <w:t xml:space="preserve"> </w:t>
      </w:r>
    </w:p>
    <w:p w:rsidR="00A26B65" w:rsidRPr="00DA19AF" w:rsidRDefault="004773E1" w:rsidP="00B525FD">
      <w:pPr>
        <w:spacing w:before="200" w:after="8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is to implement GDPR and broader data-protection concerns into governance especially into privacy, accountability, lawful processing requirements and breach-management. Ethical handling of customer information should complement legal compliance. This compliance must then be an ongoing process, enforced via policies, risk assessments, audits and management reviews instead of being a </w:t>
      </w:r>
      <w:r w:rsidR="00DA19AF" w:rsidRPr="00DA19AF">
        <w:rPr>
          <w:rFonts w:ascii="Times New Roman" w:eastAsia="Times New Roman" w:hAnsi="Times New Roman" w:cs="Times New Roman"/>
          <w:sz w:val="24"/>
          <w:szCs w:val="24"/>
        </w:rPr>
        <w:t>one-off</w:t>
      </w:r>
      <w:r w:rsidRPr="00DA19AF">
        <w:rPr>
          <w:rFonts w:ascii="Times New Roman" w:eastAsia="Times New Roman" w:hAnsi="Times New Roman" w:cs="Times New Roman"/>
          <w:sz w:val="24"/>
          <w:szCs w:val="24"/>
        </w:rPr>
        <w:t xml:space="preserve"> process throughout operations.</w:t>
      </w:r>
    </w:p>
    <w:p w:rsidR="00A26B65" w:rsidRPr="00DA19AF" w:rsidRDefault="004773E1" w:rsidP="00DA19AF">
      <w:pPr>
        <w:pStyle w:val="Heading1"/>
      </w:pPr>
      <w:bookmarkStart w:id="24" w:name="_Toc237269172"/>
      <w:r w:rsidRPr="00DA19AF">
        <w:t>5. Continuous Updating of Regulations, Standards and Security Controls</w:t>
      </w:r>
      <w:bookmarkEnd w:id="24"/>
      <w:r w:rsidRPr="00DA19AF">
        <w:t xml:space="preserve"> </w:t>
      </w:r>
    </w:p>
    <w:p w:rsidR="00A26B65" w:rsidRPr="00DA19AF" w:rsidRDefault="004773E1" w:rsidP="00DA19AF">
      <w:pPr>
        <w:pStyle w:val="Heading2"/>
      </w:pPr>
      <w:bookmarkStart w:id="25" w:name="_Toc237269173"/>
      <w:r w:rsidRPr="00DA19AF">
        <w:t>5.1 Emerging Technologies</w:t>
      </w:r>
      <w:bookmarkEnd w:id="25"/>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advancements of AI, IoT, cloud, edge, remote working and APIs have transformed how </w:t>
      </w:r>
      <w:proofErr w:type="spellStart"/>
      <w:r w:rsidRPr="00DA19AF">
        <w:rPr>
          <w:rFonts w:ascii="Times New Roman" w:eastAsia="Times New Roman" w:hAnsi="Times New Roman" w:cs="Times New Roman"/>
          <w:sz w:val="24"/>
          <w:szCs w:val="24"/>
        </w:rPr>
        <w:t>organisations</w:t>
      </w:r>
      <w:proofErr w:type="spellEnd"/>
      <w:r w:rsidRPr="00DA19AF">
        <w:rPr>
          <w:rFonts w:ascii="Times New Roman" w:eastAsia="Times New Roman" w:hAnsi="Times New Roman" w:cs="Times New Roman"/>
          <w:sz w:val="24"/>
          <w:szCs w:val="24"/>
        </w:rPr>
        <w:t xml:space="preserve"> create, process and exchange data. These technologies present distributed architectures, Internet of Things, dynamic points of access and many-to-many dependencies that raise the risk of cyber. In turn, the rules created to address conventional off-premises settings might not be enough. Security requirements have to be changed to include new architectures, identity models, data flows and vulnerabilities. They should also allow interoperability, resiliency and monitoring in environments.</w:t>
      </w:r>
    </w:p>
    <w:p w:rsidR="00A26B65" w:rsidRPr="00DA19AF" w:rsidRDefault="004773E1" w:rsidP="00DA19AF">
      <w:pPr>
        <w:pStyle w:val="Heading2"/>
      </w:pPr>
      <w:bookmarkStart w:id="26" w:name="_Toc237269174"/>
      <w:r w:rsidRPr="00DA19AF">
        <w:t>5.2 Evolving Cyber Threats</w:t>
      </w:r>
      <w:bookmarkEnd w:id="26"/>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The cyber threats are emerging with ransomware, phishing, credential theft, supply-chain attacks, cloud misconfiguration, and IoT exploitation and AI-enabled attacks. Supporters are also becoming a favorite target of attackers, since they usually target identities, automated systems and not devices. This means that static security standards may no longer be relevant as the controls that would have been applicable in the past against similar threat displays might fail to counter the new attack practices, vulnerabilities and introductions of digital infrastructure</w:t>
      </w:r>
      <w:r w:rsidR="00022930">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5970314"/>
          <w:citation/>
        </w:sdtPr>
        <w:sdtContent>
          <w:r w:rsidR="007967E5">
            <w:rPr>
              <w:rFonts w:ascii="Times New Roman" w:eastAsia="Times New Roman" w:hAnsi="Times New Roman" w:cs="Times New Roman"/>
              <w:sz w:val="24"/>
              <w:szCs w:val="24"/>
            </w:rPr>
            <w:fldChar w:fldCharType="begin"/>
          </w:r>
          <w:r w:rsidR="00A70BA1">
            <w:rPr>
              <w:rFonts w:ascii="Times New Roman" w:eastAsia="Times New Roman" w:hAnsi="Times New Roman" w:cs="Times New Roman"/>
              <w:sz w:val="24"/>
              <w:szCs w:val="24"/>
              <w:lang w:val="en-US"/>
            </w:rPr>
            <w:instrText xml:space="preserve"> CITATION Fai24 \l 1033 </w:instrText>
          </w:r>
          <w:r w:rsidR="007967E5">
            <w:rPr>
              <w:rFonts w:ascii="Times New Roman" w:eastAsia="Times New Roman" w:hAnsi="Times New Roman" w:cs="Times New Roman"/>
              <w:sz w:val="24"/>
              <w:szCs w:val="24"/>
            </w:rPr>
            <w:fldChar w:fldCharType="separate"/>
          </w:r>
          <w:r w:rsidR="00A70BA1" w:rsidRPr="00A70BA1">
            <w:rPr>
              <w:rFonts w:ascii="Times New Roman" w:eastAsia="Times New Roman" w:hAnsi="Times New Roman" w:cs="Times New Roman"/>
              <w:noProof/>
              <w:sz w:val="24"/>
              <w:szCs w:val="24"/>
              <w:lang w:val="en-US"/>
            </w:rPr>
            <w:t>[6]</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There should be frequent threat intelligence assessments that will help in safeguarding against emerging attack patterns and vulnerabilities.</w:t>
      </w:r>
    </w:p>
    <w:p w:rsidR="00A26B65" w:rsidRPr="00DA19AF" w:rsidRDefault="004773E1" w:rsidP="00DA19AF">
      <w:pPr>
        <w:pStyle w:val="Heading2"/>
      </w:pPr>
      <w:bookmarkStart w:id="27" w:name="_Toc237269175"/>
      <w:r w:rsidRPr="00DA19AF">
        <w:lastRenderedPageBreak/>
        <w:t>5.3 Changing Global Compliance Requirements</w:t>
      </w:r>
      <w:bookmarkEnd w:id="27"/>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Being a multinational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ALL might need to hold an array of legal and other regulatory requirements in various jurisdictions. Privacy, cross-border data transfers, data residency, breach notification, third-party processing and AI governance are all changes that may occur. The difference in regulations may cause overlapping or conflicting requirements whereby continuous compliance observation is required. ALL must then consider requirements and map changes into policies, controls, contracts and procedures. This plays a significant role when ALL moves information among countries or external processors.</w:t>
      </w:r>
    </w:p>
    <w:p w:rsidR="00A26B65" w:rsidRPr="00DA19AF" w:rsidRDefault="004773E1" w:rsidP="00DA19AF">
      <w:pPr>
        <w:pStyle w:val="Heading2"/>
      </w:pPr>
      <w:bookmarkStart w:id="28" w:name="_Toc237269176"/>
      <w:r w:rsidRPr="00DA19AF">
        <w:t>5.4 Continuous Improvement Cycle</w:t>
      </w:r>
      <w:bookmarkEnd w:id="28"/>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should adopt a continuous improvement cycle: </w:t>
      </w:r>
      <w:r w:rsidRPr="00DA19AF">
        <w:rPr>
          <w:rFonts w:ascii="Times New Roman" w:eastAsia="Cardo" w:hAnsi="Times New Roman" w:cs="Times New Roman"/>
          <w:b/>
          <w:bCs/>
          <w:sz w:val="24"/>
          <w:szCs w:val="24"/>
        </w:rPr>
        <w:t>Monitor → Assess → Update → Implement → Test → Audit → Improve</w:t>
      </w:r>
      <w:r w:rsidRPr="00DA19AF">
        <w:rPr>
          <w:rFonts w:ascii="Times New Roman" w:eastAsia="Times New Roman" w:hAnsi="Times New Roman" w:cs="Times New Roman"/>
          <w:sz w:val="24"/>
          <w:szCs w:val="24"/>
        </w:rPr>
        <w:t xml:space="preserve">. Technological regime change, threat and regulatory change, should be monitored and assessment made of their impact on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risk. Policies and controls ought to be revised, tested and implemented then audited to confirm effectiveness and sufficiency. Reviews ought to be conducted regularly and following major incidents or modifications, where security is not built on the occurrence of breaches. Outcomes must be inputs to risk registers, future security planning and training </w:t>
      </w:r>
      <w:proofErr w:type="spellStart"/>
      <w:r w:rsidRPr="00DA19AF">
        <w:rPr>
          <w:rFonts w:ascii="Times New Roman" w:eastAsia="Times New Roman" w:hAnsi="Times New Roman" w:cs="Times New Roman"/>
          <w:sz w:val="24"/>
          <w:szCs w:val="24"/>
        </w:rPr>
        <w:t>programmes</w:t>
      </w:r>
      <w:proofErr w:type="spellEnd"/>
      <w:r w:rsidRPr="00DA19AF">
        <w:rPr>
          <w:rFonts w:ascii="Times New Roman" w:eastAsia="Times New Roman" w:hAnsi="Times New Roman" w:cs="Times New Roman"/>
          <w:sz w:val="24"/>
          <w:szCs w:val="24"/>
        </w:rPr>
        <w:t>.</w:t>
      </w:r>
    </w:p>
    <w:p w:rsidR="00A26B65" w:rsidRPr="00DA19AF" w:rsidRDefault="004773E1" w:rsidP="00DA19AF">
      <w:pPr>
        <w:pStyle w:val="Heading2"/>
      </w:pPr>
      <w:bookmarkStart w:id="29" w:name="_Toc237269177"/>
      <w:r w:rsidRPr="00DA19AF">
        <w:t>5.5 Critical Evaluation</w:t>
      </w:r>
      <w:bookmarkEnd w:id="29"/>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nature of continual updating continuously results in costs in terms of technology investment, employee training, implementation time and adaptation of old systems. Implementation can be made difficult by change fatigue, vendor dependencies and conflicting regulations. However, these difficulties do not favor the standing controls </w:t>
      </w:r>
      <w:sdt>
        <w:sdtPr>
          <w:rPr>
            <w:rFonts w:ascii="Times New Roman" w:eastAsia="Times New Roman" w:hAnsi="Times New Roman" w:cs="Times New Roman"/>
            <w:sz w:val="24"/>
            <w:szCs w:val="24"/>
          </w:rPr>
          <w:id w:val="1927535581"/>
          <w:citation/>
        </w:sdtPr>
        <w:sdtContent>
          <w:r w:rsidR="007967E5">
            <w:rPr>
              <w:rFonts w:ascii="Times New Roman" w:eastAsia="Times New Roman" w:hAnsi="Times New Roman" w:cs="Times New Roman"/>
              <w:sz w:val="24"/>
              <w:szCs w:val="24"/>
            </w:rPr>
            <w:fldChar w:fldCharType="begin"/>
          </w:r>
          <w:r w:rsidR="00967627">
            <w:rPr>
              <w:rFonts w:ascii="Times New Roman" w:eastAsia="Times New Roman" w:hAnsi="Times New Roman" w:cs="Times New Roman"/>
              <w:sz w:val="24"/>
              <w:szCs w:val="24"/>
              <w:lang w:val="en-US"/>
            </w:rPr>
            <w:instrText xml:space="preserve"> CITATION Als25 \l 1033 </w:instrText>
          </w:r>
          <w:r w:rsidR="007967E5">
            <w:rPr>
              <w:rFonts w:ascii="Times New Roman" w:eastAsia="Times New Roman" w:hAnsi="Times New Roman" w:cs="Times New Roman"/>
              <w:sz w:val="24"/>
              <w:szCs w:val="24"/>
            </w:rPr>
            <w:fldChar w:fldCharType="separate"/>
          </w:r>
          <w:r w:rsidR="00967627" w:rsidRPr="00967627">
            <w:rPr>
              <w:rFonts w:ascii="Times New Roman" w:eastAsia="Times New Roman" w:hAnsi="Times New Roman" w:cs="Times New Roman"/>
              <w:noProof/>
              <w:sz w:val="24"/>
              <w:szCs w:val="24"/>
              <w:lang w:val="en-US"/>
            </w:rPr>
            <w:t>[2]</w:t>
          </w:r>
          <w:r w:rsidR="007967E5">
            <w:rPr>
              <w:rFonts w:ascii="Times New Roman" w:eastAsia="Times New Roman" w:hAnsi="Times New Roman" w:cs="Times New Roman"/>
              <w:sz w:val="24"/>
              <w:szCs w:val="24"/>
            </w:rPr>
            <w:fldChar w:fldCharType="end"/>
          </w:r>
        </w:sdtContent>
      </w:sdt>
      <w:r w:rsidRPr="00DA19AF">
        <w:rPr>
          <w:rFonts w:ascii="Times New Roman" w:eastAsia="Times New Roman" w:hAnsi="Times New Roman" w:cs="Times New Roman"/>
          <w:sz w:val="24"/>
          <w:szCs w:val="24"/>
        </w:rPr>
        <w:t>. To ALL, continuous improvement is an objective as the possible expenses of having big breaches, regulatory fines and a decline in operations may be far more than the expenses of effective maintenance of security and compliance.</w:t>
      </w:r>
    </w:p>
    <w:p w:rsidR="00A26B65" w:rsidRPr="00DA19AF" w:rsidRDefault="004773E1" w:rsidP="00DA19AF">
      <w:pPr>
        <w:pStyle w:val="Heading1"/>
      </w:pPr>
      <w:bookmarkStart w:id="30" w:name="_Toc237269178"/>
      <w:r w:rsidRPr="00DA19AF">
        <w:t>6. Assumptions and Implementation Priorities</w:t>
      </w:r>
      <w:bookmarkEnd w:id="30"/>
      <w:r w:rsidRPr="00DA19AF">
        <w:t xml:space="preserve"> </w:t>
      </w:r>
    </w:p>
    <w:p w:rsidR="00A26B65" w:rsidRPr="00DA19AF" w:rsidRDefault="004773E1"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analysis is based on the premise that ALL has adequate resources to undertake gradual security enhancement and that controls can be supported by cloud and SaaS vendors. ALL is </w:t>
      </w:r>
      <w:r w:rsidRPr="00DA19AF">
        <w:rPr>
          <w:rFonts w:ascii="Times New Roman" w:eastAsia="Times New Roman" w:hAnsi="Times New Roman" w:cs="Times New Roman"/>
          <w:sz w:val="24"/>
          <w:szCs w:val="24"/>
        </w:rPr>
        <w:lastRenderedPageBreak/>
        <w:t>believed to handle both personal data and shipment data in various jurisdictions, and is believed to have an immature IT department with management support provided in formal governance of cybersecurity. The security requirements imposed by contracts are presumed to be accepted by vendors.</w:t>
      </w:r>
    </w:p>
    <w:p w:rsidR="00A26B65" w:rsidRPr="00DA19AF" w:rsidRDefault="004773E1"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 xml:space="preserve">Table 2: Implementation Roadmap for </w:t>
      </w:r>
      <w:proofErr w:type="spellStart"/>
      <w:r w:rsidRPr="00DA19AF">
        <w:rPr>
          <w:rFonts w:ascii="Times New Roman" w:eastAsia="Times New Roman" w:hAnsi="Times New Roman" w:cs="Times New Roman"/>
          <w:b/>
          <w:bCs/>
          <w:sz w:val="24"/>
          <w:szCs w:val="24"/>
        </w:rPr>
        <w:t>AeroLink</w:t>
      </w:r>
      <w:proofErr w:type="spellEnd"/>
      <w:r w:rsidRPr="00DA19AF">
        <w:rPr>
          <w:rFonts w:ascii="Times New Roman" w:eastAsia="Times New Roman" w:hAnsi="Times New Roman" w:cs="Times New Roman"/>
          <w:b/>
          <w:bCs/>
          <w:sz w:val="24"/>
          <w:szCs w:val="24"/>
        </w:rPr>
        <w:t xml:space="preserve"> Logistics</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2033"/>
        <w:gridCol w:w="1157"/>
        <w:gridCol w:w="3450"/>
        <w:gridCol w:w="2720"/>
      </w:tblGrid>
      <w:tr w:rsidR="00A26B65" w:rsidRPr="00DA19AF">
        <w:trPr>
          <w:trHeight w:val="51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Timeline</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Key Activities</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Expected Outcome</w:t>
            </w:r>
          </w:p>
        </w:tc>
      </w:tr>
      <w:tr w:rsidR="00A26B65" w:rsidRPr="00DA19AF">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1: Foundation</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0–3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Establish cybersecurity governance; implement MFA; conduct enterprise-wide risk assessment; create an asset inventory; develop critical security policies.</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Clear security ownership, improved access protection, identified risks and a formal policy foundation.</w:t>
            </w:r>
          </w:p>
        </w:tc>
      </w:tr>
      <w:tr w:rsidR="00A26B65" w:rsidRPr="00DA19AF">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2: Security Integration</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3–6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Establish an ISO/IEC 27001-aligned ISMS; implement NIST CSF controls; conduct vendor security assessments; strengthen encryption; introduce security monitoring.</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Improved security management, stronger third-party controls, enhanced data protection and better threat detection.</w:t>
            </w:r>
          </w:p>
        </w:tc>
      </w:tr>
      <w:tr w:rsidR="00A26B65" w:rsidRPr="00DA19AF">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3: Assurance &amp; Continuous Improvement</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6–12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Conduct security audits; test Business Continuity and Disaster Recovery Plans; establish continuous compliance monitoring; deliver staff training; assess framework maturity.</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Measurable security maturity, improved resilience, stronger compliance and continuous improvement capability.</w:t>
            </w:r>
          </w:p>
        </w:tc>
      </w:tr>
    </w:tbl>
    <w:p w:rsidR="00A26B65" w:rsidRPr="00DA19AF" w:rsidRDefault="004773E1" w:rsidP="00B525FD">
      <w:pPr>
        <w:spacing w:before="200" w:line="360" w:lineRule="auto"/>
        <w:jc w:val="both"/>
        <w:rPr>
          <w:rFonts w:ascii="Times New Roman" w:eastAsia="Times New Roman" w:hAnsi="Times New Roman" w:cs="Times New Roman"/>
          <w:sz w:val="24"/>
          <w:szCs w:val="24"/>
        </w:rPr>
      </w:pPr>
      <w:r w:rsidRPr="00DA19AF">
        <w:rPr>
          <w:rFonts w:ascii="Times New Roman" w:hAnsi="Times New Roman" w:cs="Times New Roman"/>
        </w:rPr>
        <w:br w:type="page"/>
      </w:r>
    </w:p>
    <w:p w:rsidR="00A26B65" w:rsidRPr="00DA19AF" w:rsidRDefault="004773E1" w:rsidP="00DA19AF">
      <w:pPr>
        <w:pStyle w:val="Heading1"/>
      </w:pPr>
      <w:bookmarkStart w:id="31" w:name="_Toc237269180"/>
      <w:r w:rsidRPr="00DA19AF">
        <w:lastRenderedPageBreak/>
        <w:t>Reference</w:t>
      </w:r>
      <w:bookmarkEnd w:id="31"/>
      <w:r w:rsidRPr="00DA19AF">
        <w:t xml:space="preserve"> </w:t>
      </w:r>
    </w:p>
    <w:p w:rsidR="00A26B65" w:rsidRPr="00AF12D0" w:rsidRDefault="00AF12D0" w:rsidP="00AF12D0">
      <w:pPr>
        <w:spacing w:before="200" w:after="160" w:line="360" w:lineRule="auto"/>
        <w:ind w:left="720"/>
        <w:jc w:val="both"/>
        <w:rPr>
          <w:rFonts w:ascii="Times New Roman" w:eastAsia="Times New Roman" w:hAnsi="Times New Roman" w:cs="Times New Roman"/>
          <w:sz w:val="24"/>
          <w:szCs w:val="24"/>
        </w:rPr>
      </w:pPr>
      <w:r w:rsidRPr="00AF12D0">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w:t>
      </w:r>
      <w:r w:rsidR="000029BD" w:rsidRPr="00AF12D0">
        <w:rPr>
          <w:rFonts w:ascii="Times New Roman" w:eastAsia="Times New Roman" w:hAnsi="Times New Roman" w:cs="Times New Roman"/>
          <w:sz w:val="24"/>
          <w:szCs w:val="24"/>
        </w:rPr>
        <w:t>https://aerolink-logistics.com/</w:t>
      </w:r>
      <w:r w:rsidR="004773E1" w:rsidRPr="00AF12D0">
        <w:rPr>
          <w:rFonts w:ascii="Times New Roman" w:eastAsia="Times New Roman" w:hAnsi="Times New Roman" w:cs="Times New Roman"/>
          <w:sz w:val="24"/>
          <w:szCs w:val="24"/>
        </w:rPr>
        <w:t>AeroLink Logistics, Reliable and efficient shipping solutions tailored to your needs, 2026, Retrieved From:</w:t>
      </w:r>
      <w:hyperlink r:id="rId13">
        <w:r w:rsidR="00A26B65" w:rsidRPr="00AF12D0">
          <w:rPr>
            <w:rFonts w:ascii="Times New Roman" w:eastAsia="Times New Roman" w:hAnsi="Times New Roman" w:cs="Times New Roman"/>
            <w:sz w:val="24"/>
            <w:szCs w:val="24"/>
          </w:rPr>
          <w:t xml:space="preserve"> </w:t>
        </w:r>
      </w:hyperlink>
      <w:hyperlink r:id="rId14">
        <w:r w:rsidR="00A26B65" w:rsidRPr="00AF12D0">
          <w:rPr>
            <w:rFonts w:ascii="Times New Roman" w:eastAsia="Times New Roman" w:hAnsi="Times New Roman" w:cs="Times New Roman"/>
            <w:color w:val="1155CC"/>
            <w:sz w:val="24"/>
            <w:szCs w:val="24"/>
            <w:u w:val="single"/>
          </w:rPr>
          <w:t>https://aerolink-logistics.com/</w:t>
        </w:r>
      </w:hyperlink>
      <w:r w:rsidR="004773E1" w:rsidRPr="00AF12D0">
        <w:rPr>
          <w:rFonts w:ascii="Times New Roman" w:eastAsia="Times New Roman" w:hAnsi="Times New Roman" w:cs="Times New Roman"/>
          <w:sz w:val="24"/>
          <w:szCs w:val="24"/>
        </w:rPr>
        <w:t xml:space="preserve"> [accessed on: 10-08-2026]</w:t>
      </w:r>
    </w:p>
    <w:p w:rsidR="000029BD" w:rsidRPr="00FF5D1B" w:rsidRDefault="000029BD" w:rsidP="000029BD">
      <w:pPr>
        <w:pStyle w:val="ListParagraph"/>
        <w:spacing w:before="200" w:after="160" w:line="360" w:lineRule="auto"/>
        <w:jc w:val="both"/>
        <w:rPr>
          <w:rFonts w:ascii="Times New Roman" w:eastAsia="Times New Roman" w:hAnsi="Times New Roman" w:cs="Times New Roman"/>
          <w:sz w:val="24"/>
          <w:szCs w:val="24"/>
        </w:rPr>
      </w:pP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2.</w:t>
      </w:r>
      <w:r w:rsidR="004773E1" w:rsidRPr="00FF5D1B">
        <w:rPr>
          <w:rFonts w:ascii="Times New Roman" w:eastAsia="Times New Roman" w:hAnsi="Times New Roman" w:cs="Times New Roman"/>
          <w:sz w:val="24"/>
          <w:szCs w:val="24"/>
        </w:rPr>
        <w:t>Alshammari</w:t>
      </w:r>
      <w:proofErr w:type="gramEnd"/>
      <w:r w:rsidR="004773E1" w:rsidRPr="00FF5D1B">
        <w:rPr>
          <w:rFonts w:ascii="Times New Roman" w:eastAsia="Times New Roman" w:hAnsi="Times New Roman" w:cs="Times New Roman"/>
          <w:sz w:val="24"/>
          <w:szCs w:val="24"/>
        </w:rPr>
        <w:t xml:space="preserve">, B. and Singh, M.M., 2025. A systematic literature review on tackling cyber threats for cyber logistic chain and conceptual frameworks for robust detection mechanisms. </w:t>
      </w:r>
      <w:proofErr w:type="gramStart"/>
      <w:r w:rsidR="004773E1" w:rsidRPr="00FF5D1B">
        <w:rPr>
          <w:rFonts w:ascii="Times New Roman" w:eastAsia="Times New Roman" w:hAnsi="Times New Roman" w:cs="Times New Roman"/>
          <w:i/>
          <w:iCs/>
          <w:sz w:val="24"/>
          <w:szCs w:val="24"/>
        </w:rPr>
        <w:t>IEEE Access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13</w:t>
      </w:r>
      <w:r w:rsidR="004773E1" w:rsidRPr="00FF5D1B">
        <w:rPr>
          <w:rFonts w:ascii="Times New Roman" w:eastAsia="Times New Roman" w:hAnsi="Times New Roman" w:cs="Times New Roman"/>
          <w:sz w:val="24"/>
          <w:szCs w:val="24"/>
        </w:rPr>
        <w:t>, pp.67661-67692.</w:t>
      </w:r>
      <w:proofErr w:type="gramEnd"/>
      <w:r w:rsidR="005F6031" w:rsidRPr="005F6031">
        <w:t xml:space="preserve"> </w:t>
      </w:r>
      <w:hyperlink r:id="rId15" w:history="1">
        <w:r w:rsidR="005F6031" w:rsidRPr="00FF5D1B">
          <w:rPr>
            <w:rStyle w:val="Hyperlink"/>
            <w:rFonts w:ascii="Times New Roman" w:eastAsia="Times New Roman" w:hAnsi="Times New Roman" w:cs="Times New Roman"/>
            <w:sz w:val="24"/>
            <w:szCs w:val="24"/>
          </w:rPr>
          <w:t>https://ieeexplore.ieee.org/abstract/document/10933978/</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3.</w:t>
      </w:r>
      <w:r w:rsidR="004773E1" w:rsidRPr="00FF5D1B">
        <w:rPr>
          <w:rFonts w:ascii="Times New Roman" w:eastAsia="Times New Roman" w:hAnsi="Times New Roman" w:cs="Times New Roman"/>
          <w:sz w:val="24"/>
          <w:szCs w:val="24"/>
        </w:rPr>
        <w:t>Axon</w:t>
      </w:r>
      <w:proofErr w:type="gramEnd"/>
      <w:r w:rsidR="004773E1" w:rsidRPr="00FF5D1B">
        <w:rPr>
          <w:rFonts w:ascii="Times New Roman" w:eastAsia="Times New Roman" w:hAnsi="Times New Roman" w:cs="Times New Roman"/>
          <w:sz w:val="24"/>
          <w:szCs w:val="24"/>
        </w:rPr>
        <w:t xml:space="preserve">, L., Fletcher, K., Scott, A.S., Stolz, M., Hannigan, R., </w:t>
      </w:r>
      <w:proofErr w:type="spellStart"/>
      <w:r w:rsidR="004773E1" w:rsidRPr="00FF5D1B">
        <w:rPr>
          <w:rFonts w:ascii="Times New Roman" w:eastAsia="Times New Roman" w:hAnsi="Times New Roman" w:cs="Times New Roman"/>
          <w:sz w:val="24"/>
          <w:szCs w:val="24"/>
        </w:rPr>
        <w:t>Kaafarani</w:t>
      </w:r>
      <w:proofErr w:type="spellEnd"/>
      <w:r w:rsidR="004773E1" w:rsidRPr="00FF5D1B">
        <w:rPr>
          <w:rFonts w:ascii="Times New Roman" w:eastAsia="Times New Roman" w:hAnsi="Times New Roman" w:cs="Times New Roman"/>
          <w:sz w:val="24"/>
          <w:szCs w:val="24"/>
        </w:rPr>
        <w:t xml:space="preserve">, A.E., Goldsmith, M. and Creese, S., 2022. Emerging cybersecurity capability gaps in the industrial internet of things: Overview and research agenda. </w:t>
      </w:r>
      <w:r w:rsidR="004773E1" w:rsidRPr="00FF5D1B">
        <w:rPr>
          <w:rFonts w:ascii="Times New Roman" w:eastAsia="Times New Roman" w:hAnsi="Times New Roman" w:cs="Times New Roman"/>
          <w:i/>
          <w:iCs/>
          <w:sz w:val="24"/>
          <w:szCs w:val="24"/>
        </w:rPr>
        <w:t>Digital Threats: Research and Practice</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3</w:t>
      </w:r>
      <w:r w:rsidR="004773E1" w:rsidRPr="00FF5D1B">
        <w:rPr>
          <w:rFonts w:ascii="Times New Roman" w:eastAsia="Times New Roman" w:hAnsi="Times New Roman" w:cs="Times New Roman"/>
          <w:sz w:val="24"/>
          <w:szCs w:val="24"/>
        </w:rPr>
        <w:t>(4), pp.1-27.</w:t>
      </w:r>
      <w:r w:rsidR="005F6031" w:rsidRPr="005F6031">
        <w:t xml:space="preserve"> </w:t>
      </w:r>
      <w:hyperlink r:id="rId16" w:history="1">
        <w:r w:rsidR="005F6031" w:rsidRPr="00FF5D1B">
          <w:rPr>
            <w:rStyle w:val="Hyperlink"/>
            <w:rFonts w:ascii="Times New Roman" w:eastAsia="Times New Roman" w:hAnsi="Times New Roman" w:cs="Times New Roman"/>
            <w:sz w:val="24"/>
            <w:szCs w:val="24"/>
          </w:rPr>
          <w:t>https://dl.acm.org/doi/abs/10.1145/3503920</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4.</w:t>
      </w:r>
      <w:r w:rsidR="004773E1" w:rsidRPr="00FF5D1B">
        <w:rPr>
          <w:rFonts w:ascii="Times New Roman" w:eastAsia="Times New Roman" w:hAnsi="Times New Roman" w:cs="Times New Roman"/>
          <w:sz w:val="24"/>
          <w:szCs w:val="24"/>
        </w:rPr>
        <w:t>I</w:t>
      </w:r>
      <w:proofErr w:type="gramEnd"/>
      <w:r w:rsidR="004773E1" w:rsidRPr="00FF5D1B">
        <w:rPr>
          <w:rFonts w:ascii="Times New Roman" w:eastAsia="Times New Roman" w:hAnsi="Times New Roman" w:cs="Times New Roman"/>
          <w:sz w:val="24"/>
          <w:szCs w:val="24"/>
        </w:rPr>
        <w:t xml:space="preserve">., 2025. Logistical support of industrial enterprises: innovative and safety components. </w:t>
      </w:r>
      <w:proofErr w:type="gramStart"/>
      <w:r w:rsidR="004773E1" w:rsidRPr="00FF5D1B">
        <w:rPr>
          <w:rFonts w:ascii="Times New Roman" w:eastAsia="Times New Roman" w:hAnsi="Times New Roman" w:cs="Times New Roman"/>
          <w:i/>
          <w:iCs/>
          <w:sz w:val="24"/>
          <w:szCs w:val="24"/>
        </w:rPr>
        <w:t>Herald of Khmelnytskyi National University.</w:t>
      </w:r>
      <w:proofErr w:type="gramEnd"/>
      <w:r w:rsidR="004773E1" w:rsidRPr="00FF5D1B">
        <w:rPr>
          <w:rFonts w:ascii="Times New Roman" w:eastAsia="Times New Roman" w:hAnsi="Times New Roman" w:cs="Times New Roman"/>
          <w:i/>
          <w:iCs/>
          <w:sz w:val="24"/>
          <w:szCs w:val="24"/>
        </w:rPr>
        <w:t xml:space="preserve"> </w:t>
      </w:r>
      <w:proofErr w:type="gramStart"/>
      <w:r w:rsidR="004773E1" w:rsidRPr="00FF5D1B">
        <w:rPr>
          <w:rFonts w:ascii="Times New Roman" w:eastAsia="Times New Roman" w:hAnsi="Times New Roman" w:cs="Times New Roman"/>
          <w:i/>
          <w:iCs/>
          <w:sz w:val="24"/>
          <w:szCs w:val="24"/>
        </w:rPr>
        <w:t>Economic sciences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340</w:t>
      </w:r>
      <w:r w:rsidR="004773E1" w:rsidRPr="00FF5D1B">
        <w:rPr>
          <w:rFonts w:ascii="Times New Roman" w:eastAsia="Times New Roman" w:hAnsi="Times New Roman" w:cs="Times New Roman"/>
          <w:sz w:val="24"/>
          <w:szCs w:val="24"/>
        </w:rPr>
        <w:t>(2), pp.96-103.</w:t>
      </w:r>
      <w:proofErr w:type="gramEnd"/>
      <w:r w:rsidR="005F6031" w:rsidRPr="005F6031">
        <w:t xml:space="preserve"> </w:t>
      </w:r>
      <w:hyperlink r:id="rId17" w:history="1">
        <w:r w:rsidR="005F6031" w:rsidRPr="00FF5D1B">
          <w:rPr>
            <w:rStyle w:val="Hyperlink"/>
            <w:rFonts w:ascii="Times New Roman" w:eastAsia="Times New Roman" w:hAnsi="Times New Roman" w:cs="Times New Roman"/>
            <w:sz w:val="24"/>
            <w:szCs w:val="24"/>
          </w:rPr>
          <w:t>http://heraldes.khmnu.edu.ua/index.php/heraldes/article/view/1659</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5.</w:t>
      </w:r>
      <w:r w:rsidR="004773E1" w:rsidRPr="00FF5D1B">
        <w:rPr>
          <w:rFonts w:ascii="Times New Roman" w:eastAsia="Times New Roman" w:hAnsi="Times New Roman" w:cs="Times New Roman"/>
          <w:sz w:val="24"/>
          <w:szCs w:val="24"/>
        </w:rPr>
        <w:t>Fadya</w:t>
      </w:r>
      <w:proofErr w:type="gramEnd"/>
      <w:r w:rsidR="004773E1" w:rsidRPr="00FF5D1B">
        <w:rPr>
          <w:rFonts w:ascii="Times New Roman" w:eastAsia="Times New Roman" w:hAnsi="Times New Roman" w:cs="Times New Roman"/>
          <w:sz w:val="24"/>
          <w:szCs w:val="24"/>
        </w:rPr>
        <w:t xml:space="preserve">, M. and Utama, D.N., 2025. </w:t>
      </w:r>
      <w:proofErr w:type="gramStart"/>
      <w:r w:rsidR="004773E1" w:rsidRPr="00FF5D1B">
        <w:rPr>
          <w:rFonts w:ascii="Times New Roman" w:eastAsia="Times New Roman" w:hAnsi="Times New Roman" w:cs="Times New Roman"/>
          <w:sz w:val="24"/>
          <w:szCs w:val="24"/>
        </w:rPr>
        <w:t>Towards secure information systems: Developing and implementing an information security evaluation model using NIST CSF and COBIT 2019.</w:t>
      </w:r>
      <w:proofErr w:type="gramEnd"/>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TEM Journal</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14</w:t>
      </w:r>
      <w:r w:rsidR="004773E1" w:rsidRPr="00FF5D1B">
        <w:rPr>
          <w:rFonts w:ascii="Times New Roman" w:eastAsia="Times New Roman" w:hAnsi="Times New Roman" w:cs="Times New Roman"/>
          <w:sz w:val="24"/>
          <w:szCs w:val="24"/>
        </w:rPr>
        <w:t>(1), p.182.</w:t>
      </w:r>
      <w:r w:rsidR="005F6031" w:rsidRPr="005F6031">
        <w:t xml:space="preserve"> </w:t>
      </w:r>
      <w:hyperlink r:id="rId18" w:history="1">
        <w:r w:rsidR="005F6031" w:rsidRPr="00FF5D1B">
          <w:rPr>
            <w:rStyle w:val="Hyperlink"/>
            <w:rFonts w:ascii="Times New Roman" w:eastAsia="Times New Roman" w:hAnsi="Times New Roman" w:cs="Times New Roman"/>
            <w:sz w:val="24"/>
            <w:szCs w:val="24"/>
          </w:rPr>
          <w:t>https://www.ceeol.com/search/article-detail?id=1320270</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6.</w:t>
      </w:r>
      <w:r w:rsidR="004773E1" w:rsidRPr="00FF5D1B">
        <w:rPr>
          <w:rFonts w:ascii="Times New Roman" w:eastAsia="Times New Roman" w:hAnsi="Times New Roman" w:cs="Times New Roman"/>
          <w:sz w:val="24"/>
          <w:szCs w:val="24"/>
        </w:rPr>
        <w:t>Faisal</w:t>
      </w:r>
      <w:proofErr w:type="gramEnd"/>
      <w:r w:rsidR="004773E1" w:rsidRPr="00FF5D1B">
        <w:rPr>
          <w:rFonts w:ascii="Times New Roman" w:eastAsia="Times New Roman" w:hAnsi="Times New Roman" w:cs="Times New Roman"/>
          <w:sz w:val="24"/>
          <w:szCs w:val="24"/>
        </w:rPr>
        <w:t xml:space="preserve">, A. and </w:t>
      </w:r>
      <w:proofErr w:type="spellStart"/>
      <w:r w:rsidR="004773E1" w:rsidRPr="00FF5D1B">
        <w:rPr>
          <w:rFonts w:ascii="Times New Roman" w:eastAsia="Times New Roman" w:hAnsi="Times New Roman" w:cs="Times New Roman"/>
          <w:sz w:val="24"/>
          <w:szCs w:val="24"/>
        </w:rPr>
        <w:t>Cupiadi</w:t>
      </w:r>
      <w:proofErr w:type="spellEnd"/>
      <w:r w:rsidR="004773E1" w:rsidRPr="00FF5D1B">
        <w:rPr>
          <w:rFonts w:ascii="Times New Roman" w:eastAsia="Times New Roman" w:hAnsi="Times New Roman" w:cs="Times New Roman"/>
          <w:sz w:val="24"/>
          <w:szCs w:val="24"/>
        </w:rPr>
        <w:t xml:space="preserve">, H., 2024. Cybersecurity in Digital Supply Chains: A Narrative Review of Threats and Strategic Frameworks for Sustainable Logistics. </w:t>
      </w:r>
      <w:proofErr w:type="spellStart"/>
      <w:proofErr w:type="gramStart"/>
      <w:r w:rsidR="004773E1" w:rsidRPr="00FF5D1B">
        <w:rPr>
          <w:rFonts w:ascii="Times New Roman" w:eastAsia="Times New Roman" w:hAnsi="Times New Roman" w:cs="Times New Roman"/>
          <w:i/>
          <w:iCs/>
          <w:sz w:val="24"/>
          <w:szCs w:val="24"/>
        </w:rPr>
        <w:t>Sinergi</w:t>
      </w:r>
      <w:proofErr w:type="spellEnd"/>
      <w:r w:rsidR="004773E1" w:rsidRPr="00FF5D1B">
        <w:rPr>
          <w:rFonts w:ascii="Times New Roman" w:eastAsia="Times New Roman" w:hAnsi="Times New Roman" w:cs="Times New Roman"/>
          <w:i/>
          <w:iCs/>
          <w:sz w:val="24"/>
          <w:szCs w:val="24"/>
        </w:rPr>
        <w:t xml:space="preserve"> International Journal of Logistics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2</w:t>
      </w:r>
      <w:r w:rsidR="004773E1" w:rsidRPr="00FF5D1B">
        <w:rPr>
          <w:rFonts w:ascii="Times New Roman" w:eastAsia="Times New Roman" w:hAnsi="Times New Roman" w:cs="Times New Roman"/>
          <w:sz w:val="24"/>
          <w:szCs w:val="24"/>
        </w:rPr>
        <w:t>(3), pp.174-186.</w:t>
      </w:r>
      <w:proofErr w:type="gramEnd"/>
      <w:r w:rsidR="005F6031" w:rsidRPr="005F6031">
        <w:t xml:space="preserve"> </w:t>
      </w:r>
      <w:hyperlink r:id="rId19" w:history="1">
        <w:r w:rsidR="005F6031" w:rsidRPr="00FF5D1B">
          <w:rPr>
            <w:rStyle w:val="Hyperlink"/>
            <w:rFonts w:ascii="Times New Roman" w:eastAsia="Times New Roman" w:hAnsi="Times New Roman" w:cs="Times New Roman"/>
            <w:sz w:val="24"/>
            <w:szCs w:val="24"/>
          </w:rPr>
          <w:t>https://journal.sinergi.or.id/index.php/ijl/article/view/728</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7.</w:t>
      </w:r>
      <w:r w:rsidR="004773E1" w:rsidRPr="00FF5D1B">
        <w:rPr>
          <w:rFonts w:ascii="Times New Roman" w:eastAsia="Times New Roman" w:hAnsi="Times New Roman" w:cs="Times New Roman"/>
          <w:sz w:val="24"/>
          <w:szCs w:val="24"/>
        </w:rPr>
        <w:t>Ghura</w:t>
      </w:r>
      <w:proofErr w:type="gramEnd"/>
      <w:r w:rsidR="004773E1" w:rsidRPr="00FF5D1B">
        <w:rPr>
          <w:rFonts w:ascii="Times New Roman" w:eastAsia="Times New Roman" w:hAnsi="Times New Roman" w:cs="Times New Roman"/>
          <w:sz w:val="24"/>
          <w:szCs w:val="24"/>
        </w:rPr>
        <w:t xml:space="preserve">, B., 2024. </w:t>
      </w:r>
      <w:proofErr w:type="gramStart"/>
      <w:r w:rsidR="004773E1" w:rsidRPr="00FF5D1B">
        <w:rPr>
          <w:rFonts w:ascii="Times New Roman" w:eastAsia="Times New Roman" w:hAnsi="Times New Roman" w:cs="Times New Roman"/>
          <w:i/>
          <w:iCs/>
          <w:sz w:val="24"/>
          <w:szCs w:val="24"/>
        </w:rPr>
        <w:t>Role of frameworks in cybersecurity governance</w:t>
      </w:r>
      <w:r w:rsidR="004773E1" w:rsidRPr="00FF5D1B">
        <w:rPr>
          <w:rFonts w:ascii="Times New Roman" w:eastAsia="Times New Roman" w:hAnsi="Times New Roman" w:cs="Times New Roman"/>
          <w:sz w:val="24"/>
          <w:szCs w:val="24"/>
        </w:rPr>
        <w:t>.</w:t>
      </w:r>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sz w:val="24"/>
          <w:szCs w:val="24"/>
        </w:rPr>
        <w:t>Cybersecurity Governance Working Paper.</w:t>
      </w:r>
      <w:proofErr w:type="gramEnd"/>
      <w:r w:rsidR="004773E1" w:rsidRPr="00FF5D1B">
        <w:rPr>
          <w:rFonts w:ascii="Times New Roman" w:eastAsia="Times New Roman" w:hAnsi="Times New Roman" w:cs="Times New Roman"/>
          <w:sz w:val="24"/>
          <w:szCs w:val="24"/>
        </w:rPr>
        <w:t xml:space="preserve"> https://www. </w:t>
      </w:r>
      <w:proofErr w:type="spellStart"/>
      <w:proofErr w:type="gramStart"/>
      <w:r w:rsidR="004773E1" w:rsidRPr="00FF5D1B">
        <w:rPr>
          <w:rFonts w:ascii="Times New Roman" w:eastAsia="Times New Roman" w:hAnsi="Times New Roman" w:cs="Times New Roman"/>
          <w:sz w:val="24"/>
          <w:szCs w:val="24"/>
        </w:rPr>
        <w:t>researchgate</w:t>
      </w:r>
      <w:proofErr w:type="spellEnd"/>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sz w:val="24"/>
          <w:szCs w:val="24"/>
        </w:rPr>
        <w:t>net/publication/385007438_Role_of_Frameworks_in_Cybersecurity_Governance</w:t>
      </w:r>
      <w:proofErr w:type="gramEnd"/>
      <w:r w:rsidR="004773E1" w:rsidRPr="00FF5D1B">
        <w:rPr>
          <w:rFonts w:ascii="Times New Roman" w:eastAsia="Times New Roman" w:hAnsi="Times New Roman" w:cs="Times New Roman"/>
          <w:sz w:val="24"/>
          <w:szCs w:val="24"/>
        </w:rPr>
        <w:t xml:space="preserve"> (open in a new window).</w:t>
      </w:r>
      <w:r w:rsidR="005F6031" w:rsidRPr="005F6031">
        <w:t xml:space="preserve"> </w:t>
      </w:r>
      <w:hyperlink r:id="rId20" w:history="1">
        <w:r w:rsidR="005F6031" w:rsidRPr="00FF5D1B">
          <w:rPr>
            <w:rStyle w:val="Hyperlink"/>
            <w:rFonts w:ascii="Times New Roman" w:eastAsia="Times New Roman" w:hAnsi="Times New Roman" w:cs="Times New Roman"/>
            <w:sz w:val="24"/>
            <w:szCs w:val="24"/>
          </w:rPr>
          <w:t>https://www.researchgate.net/profile/Bikramjeet-Ghura/publication/385007438_Role_of_Frameworks_in_Cybersecurity_Governance/links/671270fe035917754c082dd8/Role-of-Frameworks-in-Cybersecurity-Governance.pdf</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8.</w:t>
      </w:r>
      <w:r w:rsidR="004773E1" w:rsidRPr="00FF5D1B">
        <w:rPr>
          <w:rFonts w:ascii="Times New Roman" w:eastAsia="Times New Roman" w:hAnsi="Times New Roman" w:cs="Times New Roman"/>
          <w:sz w:val="24"/>
          <w:szCs w:val="24"/>
        </w:rPr>
        <w:t>Gunasekaran</w:t>
      </w:r>
      <w:proofErr w:type="gramEnd"/>
      <w:r w:rsidR="004773E1" w:rsidRPr="00FF5D1B">
        <w:rPr>
          <w:rFonts w:ascii="Times New Roman" w:eastAsia="Times New Roman" w:hAnsi="Times New Roman" w:cs="Times New Roman"/>
          <w:sz w:val="24"/>
          <w:szCs w:val="24"/>
        </w:rPr>
        <w:t xml:space="preserve">, R.M.N., 2025. </w:t>
      </w:r>
      <w:proofErr w:type="gramStart"/>
      <w:r w:rsidR="004773E1" w:rsidRPr="00FF5D1B">
        <w:rPr>
          <w:rFonts w:ascii="Times New Roman" w:eastAsia="Times New Roman" w:hAnsi="Times New Roman" w:cs="Times New Roman"/>
          <w:sz w:val="24"/>
          <w:szCs w:val="24"/>
        </w:rPr>
        <w:t>Integrated IT Governance and Risk Management: A Framework for Compliance and Resilience.</w:t>
      </w:r>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i/>
          <w:iCs/>
          <w:sz w:val="24"/>
          <w:szCs w:val="24"/>
        </w:rPr>
        <w:t>International Journal of Research Publications in Engineering, Technology and Management (IJRPETM)</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8</w:t>
      </w:r>
      <w:r w:rsidR="004773E1" w:rsidRPr="00FF5D1B">
        <w:rPr>
          <w:rFonts w:ascii="Times New Roman" w:eastAsia="Times New Roman" w:hAnsi="Times New Roman" w:cs="Times New Roman"/>
          <w:sz w:val="24"/>
          <w:szCs w:val="24"/>
        </w:rPr>
        <w:t>(1), pp.11836-11849.</w:t>
      </w:r>
      <w:proofErr w:type="gramEnd"/>
      <w:r w:rsidR="005F6031" w:rsidRPr="005F6031">
        <w:t xml:space="preserve"> </w:t>
      </w:r>
      <w:hyperlink r:id="rId21" w:history="1">
        <w:r w:rsidR="005F6031" w:rsidRPr="00FF5D1B">
          <w:rPr>
            <w:rStyle w:val="Hyperlink"/>
            <w:rFonts w:ascii="Times New Roman" w:eastAsia="Times New Roman" w:hAnsi="Times New Roman" w:cs="Times New Roman"/>
            <w:sz w:val="24"/>
            <w:szCs w:val="24"/>
          </w:rPr>
          <w:t>https://www.ijrpetm.com/index.php/IJRPETM/article/view/512</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9.</w:t>
      </w:r>
      <w:r w:rsidR="004773E1" w:rsidRPr="00FF5D1B">
        <w:rPr>
          <w:rFonts w:ascii="Times New Roman" w:eastAsia="Times New Roman" w:hAnsi="Times New Roman" w:cs="Times New Roman"/>
          <w:sz w:val="24"/>
          <w:szCs w:val="24"/>
        </w:rPr>
        <w:t>Johnson</w:t>
      </w:r>
      <w:proofErr w:type="gramEnd"/>
      <w:r w:rsidR="004773E1" w:rsidRPr="00FF5D1B">
        <w:rPr>
          <w:rFonts w:ascii="Times New Roman" w:eastAsia="Times New Roman" w:hAnsi="Times New Roman" w:cs="Times New Roman"/>
          <w:sz w:val="24"/>
          <w:szCs w:val="24"/>
        </w:rPr>
        <w:t xml:space="preserve">, H., 2025. </w:t>
      </w:r>
      <w:proofErr w:type="gramStart"/>
      <w:r w:rsidR="004773E1" w:rsidRPr="00FF5D1B">
        <w:rPr>
          <w:rFonts w:ascii="Times New Roman" w:eastAsia="Times New Roman" w:hAnsi="Times New Roman" w:cs="Times New Roman"/>
          <w:sz w:val="24"/>
          <w:szCs w:val="24"/>
        </w:rPr>
        <w:t>Investigating the role of IoT in improving supply chain resilience, risk management, and operational efficiency.</w:t>
      </w:r>
      <w:proofErr w:type="gramEnd"/>
      <w:r w:rsidR="005F6031" w:rsidRPr="005F6031">
        <w:t xml:space="preserve"> </w:t>
      </w:r>
      <w:hyperlink r:id="rId22" w:history="1">
        <w:r w:rsidR="005F6031" w:rsidRPr="00FF5D1B">
          <w:rPr>
            <w:rStyle w:val="Hyperlink"/>
            <w:rFonts w:ascii="Times New Roman" w:eastAsia="Times New Roman" w:hAnsi="Times New Roman" w:cs="Times New Roman"/>
            <w:sz w:val="24"/>
            <w:szCs w:val="24"/>
          </w:rPr>
          <w:t>https://www.preprints.org/manuscript/202512.2622</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Matondang</w:t>
      </w:r>
      <w:proofErr w:type="gramEnd"/>
      <w:r w:rsidR="004773E1" w:rsidRPr="00FF5D1B">
        <w:rPr>
          <w:rFonts w:ascii="Times New Roman" w:eastAsia="Times New Roman" w:hAnsi="Times New Roman" w:cs="Times New Roman"/>
          <w:sz w:val="24"/>
          <w:szCs w:val="24"/>
        </w:rPr>
        <w:t xml:space="preserve">, T.M.A., 2025. </w:t>
      </w:r>
      <w:proofErr w:type="gramStart"/>
      <w:r w:rsidR="004773E1" w:rsidRPr="00FF5D1B">
        <w:rPr>
          <w:rFonts w:ascii="Times New Roman" w:eastAsia="Times New Roman" w:hAnsi="Times New Roman" w:cs="Times New Roman"/>
          <w:sz w:val="24"/>
          <w:szCs w:val="24"/>
        </w:rPr>
        <w:t>IoT-Enabled Intermodal Port Management for Sustainable Maritime Logistics.</w:t>
      </w:r>
      <w:proofErr w:type="gramEnd"/>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IJISIT: International Journal of Computer Science and Information Technology</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2</w:t>
      </w:r>
      <w:r w:rsidR="004773E1" w:rsidRPr="00FF5D1B">
        <w:rPr>
          <w:rFonts w:ascii="Times New Roman" w:eastAsia="Times New Roman" w:hAnsi="Times New Roman" w:cs="Times New Roman"/>
          <w:sz w:val="24"/>
          <w:szCs w:val="24"/>
        </w:rPr>
        <w:t>(1), pp.19-25.</w:t>
      </w:r>
      <w:r w:rsidR="005F6031" w:rsidRPr="005F6031">
        <w:t xml:space="preserve"> </w:t>
      </w:r>
      <w:hyperlink r:id="rId23" w:history="1">
        <w:r w:rsidR="005F6031" w:rsidRPr="00FF5D1B">
          <w:rPr>
            <w:rStyle w:val="Hyperlink"/>
            <w:rFonts w:ascii="Times New Roman" w:eastAsia="Times New Roman" w:hAnsi="Times New Roman" w:cs="Times New Roman"/>
            <w:sz w:val="24"/>
            <w:szCs w:val="24"/>
          </w:rPr>
          <w:t>https://ojs.literasisains.id/index.php/ijisit/article/view/96</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Mumin</w:t>
      </w:r>
      <w:proofErr w:type="gramEnd"/>
      <w:r w:rsidR="004773E1" w:rsidRPr="00FF5D1B">
        <w:rPr>
          <w:rFonts w:ascii="Times New Roman" w:eastAsia="Times New Roman" w:hAnsi="Times New Roman" w:cs="Times New Roman"/>
          <w:sz w:val="24"/>
          <w:szCs w:val="24"/>
        </w:rPr>
        <w:t xml:space="preserve">, M.A., Mohammed, A.L. and </w:t>
      </w:r>
      <w:proofErr w:type="spellStart"/>
      <w:r w:rsidR="004773E1" w:rsidRPr="00FF5D1B">
        <w:rPr>
          <w:rFonts w:ascii="Times New Roman" w:eastAsia="Times New Roman" w:hAnsi="Times New Roman" w:cs="Times New Roman"/>
          <w:sz w:val="24"/>
          <w:szCs w:val="24"/>
        </w:rPr>
        <w:t>Amedofu</w:t>
      </w:r>
      <w:proofErr w:type="spellEnd"/>
      <w:r w:rsidR="004773E1" w:rsidRPr="00FF5D1B">
        <w:rPr>
          <w:rFonts w:ascii="Times New Roman" w:eastAsia="Times New Roman" w:hAnsi="Times New Roman" w:cs="Times New Roman"/>
          <w:sz w:val="24"/>
          <w:szCs w:val="24"/>
        </w:rPr>
        <w:t xml:space="preserve">, M.K., 2026. </w:t>
      </w:r>
      <w:proofErr w:type="gramStart"/>
      <w:r w:rsidR="004773E1" w:rsidRPr="00FF5D1B">
        <w:rPr>
          <w:rFonts w:ascii="Times New Roman" w:eastAsia="Times New Roman" w:hAnsi="Times New Roman" w:cs="Times New Roman"/>
          <w:sz w:val="24"/>
          <w:szCs w:val="24"/>
        </w:rPr>
        <w:t>Leveraging IoT and blockchain for smarter supply chains and logistics.</w:t>
      </w:r>
      <w:proofErr w:type="gramEnd"/>
      <w:r w:rsidR="004773E1" w:rsidRPr="00FF5D1B">
        <w:rPr>
          <w:rFonts w:ascii="Times New Roman" w:eastAsia="Times New Roman" w:hAnsi="Times New Roman" w:cs="Times New Roman"/>
          <w:sz w:val="24"/>
          <w:szCs w:val="24"/>
        </w:rPr>
        <w:t xml:space="preserve"> In </w:t>
      </w:r>
      <w:proofErr w:type="gramStart"/>
      <w:r w:rsidR="004773E1" w:rsidRPr="00FF5D1B">
        <w:rPr>
          <w:rFonts w:ascii="Times New Roman" w:eastAsia="Times New Roman" w:hAnsi="Times New Roman" w:cs="Times New Roman"/>
          <w:i/>
          <w:iCs/>
          <w:sz w:val="24"/>
          <w:szCs w:val="24"/>
        </w:rPr>
        <w:t>Innovating</w:t>
      </w:r>
      <w:proofErr w:type="gramEnd"/>
      <w:r w:rsidR="004773E1" w:rsidRPr="00FF5D1B">
        <w:rPr>
          <w:rFonts w:ascii="Times New Roman" w:eastAsia="Times New Roman" w:hAnsi="Times New Roman" w:cs="Times New Roman"/>
          <w:i/>
          <w:iCs/>
          <w:sz w:val="24"/>
          <w:szCs w:val="24"/>
        </w:rPr>
        <w:t xml:space="preserve"> Cost-Efficient and Scalable Business Models in the Digital Era</w:t>
      </w:r>
      <w:r w:rsidR="004773E1" w:rsidRPr="00FF5D1B">
        <w:rPr>
          <w:rFonts w:ascii="Times New Roman" w:eastAsia="Times New Roman" w:hAnsi="Times New Roman" w:cs="Times New Roman"/>
          <w:sz w:val="24"/>
          <w:szCs w:val="24"/>
        </w:rPr>
        <w:t xml:space="preserve"> (pp. 229-270). </w:t>
      </w:r>
      <w:proofErr w:type="gramStart"/>
      <w:r w:rsidR="004773E1" w:rsidRPr="00FF5D1B">
        <w:rPr>
          <w:rFonts w:ascii="Times New Roman" w:eastAsia="Times New Roman" w:hAnsi="Times New Roman" w:cs="Times New Roman"/>
          <w:sz w:val="24"/>
          <w:szCs w:val="24"/>
        </w:rPr>
        <w:t>IGI Global Scientific Publishing.</w:t>
      </w:r>
      <w:proofErr w:type="gramEnd"/>
      <w:r w:rsidR="005F6031" w:rsidRPr="005F6031">
        <w:t xml:space="preserve"> </w:t>
      </w:r>
      <w:hyperlink r:id="rId24" w:history="1">
        <w:r w:rsidR="005F6031" w:rsidRPr="00FF5D1B">
          <w:rPr>
            <w:rStyle w:val="Hyperlink"/>
            <w:rFonts w:ascii="Times New Roman" w:eastAsia="Times New Roman" w:hAnsi="Times New Roman" w:cs="Times New Roman"/>
            <w:sz w:val="24"/>
            <w:szCs w:val="24"/>
          </w:rPr>
          <w:t>https://www.igi-global.com/chapter/leveraging-iot-and-blockchain-for-smarter-supply-chains-and-logistics/390746</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Parera</w:t>
      </w:r>
      <w:proofErr w:type="gramEnd"/>
      <w:r w:rsidR="004773E1" w:rsidRPr="00FF5D1B">
        <w:rPr>
          <w:rFonts w:ascii="Times New Roman" w:eastAsia="Times New Roman" w:hAnsi="Times New Roman" w:cs="Times New Roman"/>
          <w:sz w:val="24"/>
          <w:szCs w:val="24"/>
        </w:rPr>
        <w:t xml:space="preserve">, N.M., </w:t>
      </w:r>
      <w:proofErr w:type="spellStart"/>
      <w:r w:rsidR="004773E1" w:rsidRPr="00FF5D1B">
        <w:rPr>
          <w:rFonts w:ascii="Times New Roman" w:eastAsia="Times New Roman" w:hAnsi="Times New Roman" w:cs="Times New Roman"/>
          <w:sz w:val="24"/>
          <w:szCs w:val="24"/>
        </w:rPr>
        <w:t>Sulistyo</w:t>
      </w:r>
      <w:proofErr w:type="spellEnd"/>
      <w:r w:rsidR="004773E1" w:rsidRPr="00FF5D1B">
        <w:rPr>
          <w:rFonts w:ascii="Times New Roman" w:eastAsia="Times New Roman" w:hAnsi="Times New Roman" w:cs="Times New Roman"/>
          <w:sz w:val="24"/>
          <w:szCs w:val="24"/>
        </w:rPr>
        <w:t xml:space="preserve">, W. and </w:t>
      </w:r>
      <w:proofErr w:type="spellStart"/>
      <w:r w:rsidR="004773E1" w:rsidRPr="00FF5D1B">
        <w:rPr>
          <w:rFonts w:ascii="Times New Roman" w:eastAsia="Times New Roman" w:hAnsi="Times New Roman" w:cs="Times New Roman"/>
          <w:sz w:val="24"/>
          <w:szCs w:val="24"/>
        </w:rPr>
        <w:t>Tambotoh</w:t>
      </w:r>
      <w:proofErr w:type="spellEnd"/>
      <w:r w:rsidR="004773E1" w:rsidRPr="00FF5D1B">
        <w:rPr>
          <w:rFonts w:ascii="Times New Roman" w:eastAsia="Times New Roman" w:hAnsi="Times New Roman" w:cs="Times New Roman"/>
          <w:sz w:val="24"/>
          <w:szCs w:val="24"/>
        </w:rPr>
        <w:t xml:space="preserve">, J.J.C., 2026. Information Security Governance Model for Higher Education Based on ISO/IEC 27001: 2022 and COBIT 2019. </w:t>
      </w:r>
      <w:proofErr w:type="gramStart"/>
      <w:r w:rsidR="004773E1" w:rsidRPr="00FF5D1B">
        <w:rPr>
          <w:rFonts w:ascii="Times New Roman" w:eastAsia="Times New Roman" w:hAnsi="Times New Roman" w:cs="Times New Roman"/>
          <w:i/>
          <w:iCs/>
          <w:sz w:val="24"/>
          <w:szCs w:val="24"/>
        </w:rPr>
        <w:t>International Journal of Advances in Data and Information Systems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7</w:t>
      </w:r>
      <w:r w:rsidR="004773E1" w:rsidRPr="00FF5D1B">
        <w:rPr>
          <w:rFonts w:ascii="Times New Roman" w:eastAsia="Times New Roman" w:hAnsi="Times New Roman" w:cs="Times New Roman"/>
          <w:sz w:val="24"/>
          <w:szCs w:val="24"/>
        </w:rPr>
        <w:t>(2), pp.534-545.</w:t>
      </w:r>
      <w:proofErr w:type="gramEnd"/>
      <w:r w:rsidR="005F6031" w:rsidRPr="005F6031">
        <w:t xml:space="preserve"> </w:t>
      </w:r>
      <w:hyperlink r:id="rId25" w:history="1">
        <w:r w:rsidR="005F6031" w:rsidRPr="00FF5D1B">
          <w:rPr>
            <w:rStyle w:val="Hyperlink"/>
            <w:rFonts w:ascii="Times New Roman" w:eastAsia="Times New Roman" w:hAnsi="Times New Roman" w:cs="Times New Roman"/>
            <w:sz w:val="24"/>
            <w:szCs w:val="24"/>
          </w:rPr>
          <w:t>https://ijadis.com/index.php/ijadis/article/view/1538</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Roberts</w:t>
      </w:r>
      <w:proofErr w:type="gramEnd"/>
      <w:r w:rsidR="004773E1" w:rsidRPr="00FF5D1B">
        <w:rPr>
          <w:rFonts w:ascii="Times New Roman" w:eastAsia="Times New Roman" w:hAnsi="Times New Roman" w:cs="Times New Roman"/>
          <w:sz w:val="24"/>
          <w:szCs w:val="24"/>
        </w:rPr>
        <w:t xml:space="preserve">, O., 2025. </w:t>
      </w:r>
      <w:proofErr w:type="gramStart"/>
      <w:r w:rsidR="004773E1" w:rsidRPr="00FF5D1B">
        <w:rPr>
          <w:rFonts w:ascii="Times New Roman" w:eastAsia="Times New Roman" w:hAnsi="Times New Roman" w:cs="Times New Roman"/>
          <w:sz w:val="24"/>
          <w:szCs w:val="24"/>
        </w:rPr>
        <w:t>Exploring Barriers and Enablers of IoT Adoption in Supply Chain and Logistics Management.</w:t>
      </w:r>
      <w:proofErr w:type="gramEnd"/>
      <w:r w:rsidR="005F6031" w:rsidRPr="005F6031">
        <w:t xml:space="preserve"> </w:t>
      </w:r>
      <w:hyperlink r:id="rId26" w:history="1">
        <w:r w:rsidR="005F6031" w:rsidRPr="00FF5D1B">
          <w:rPr>
            <w:rStyle w:val="Hyperlink"/>
            <w:rFonts w:ascii="Times New Roman" w:eastAsia="Times New Roman" w:hAnsi="Times New Roman" w:cs="Times New Roman"/>
            <w:sz w:val="24"/>
            <w:szCs w:val="24"/>
          </w:rPr>
          <w:t>https://www.preprints.org/manuscript/202512.2390</w:t>
        </w:r>
      </w:hyperlink>
      <w:r w:rsidR="005F6031" w:rsidRPr="00FF5D1B">
        <w:rPr>
          <w:rFonts w:ascii="Times New Roman" w:eastAsia="Times New Roman" w:hAnsi="Times New Roman" w:cs="Times New Roman"/>
          <w:sz w:val="24"/>
          <w:szCs w:val="24"/>
        </w:rPr>
        <w:t xml:space="preserve"> </w:t>
      </w:r>
    </w:p>
    <w:p w:rsidR="00A26B65" w:rsidRPr="00FF5D1B" w:rsidRDefault="004773E1" w:rsidP="00AF12D0">
      <w:pPr>
        <w:pStyle w:val="ListParagraph"/>
        <w:spacing w:before="200" w:after="160" w:line="360" w:lineRule="auto"/>
        <w:jc w:val="both"/>
        <w:rPr>
          <w:rFonts w:ascii="Times New Roman" w:eastAsia="Times New Roman" w:hAnsi="Times New Roman" w:cs="Times New Roman"/>
          <w:sz w:val="24"/>
          <w:szCs w:val="24"/>
        </w:rPr>
      </w:pPr>
      <w:proofErr w:type="spellStart"/>
      <w:r w:rsidRPr="00FF5D1B">
        <w:rPr>
          <w:rFonts w:ascii="Times New Roman" w:eastAsia="Times New Roman" w:hAnsi="Times New Roman" w:cs="Times New Roman"/>
          <w:sz w:val="24"/>
          <w:szCs w:val="24"/>
        </w:rPr>
        <w:t>Ruzel</w:t>
      </w:r>
      <w:proofErr w:type="spellEnd"/>
      <w:r w:rsidRPr="00FF5D1B">
        <w:rPr>
          <w:rFonts w:ascii="Times New Roman" w:eastAsia="Times New Roman" w:hAnsi="Times New Roman" w:cs="Times New Roman"/>
          <w:sz w:val="24"/>
          <w:szCs w:val="24"/>
        </w:rPr>
        <w:t xml:space="preserve">, M.A., 2024. IoT-Driven Digital Transformation in Global Supply Chains: Implications for Financial Risk Monitoring and Investment Efficiency. </w:t>
      </w:r>
      <w:proofErr w:type="gramStart"/>
      <w:r w:rsidRPr="00FF5D1B">
        <w:rPr>
          <w:rFonts w:ascii="Times New Roman" w:eastAsia="Times New Roman" w:hAnsi="Times New Roman" w:cs="Times New Roman"/>
          <w:i/>
          <w:iCs/>
          <w:sz w:val="24"/>
          <w:szCs w:val="24"/>
        </w:rPr>
        <w:t>American Journal of Scholarly Research and Innovation</w:t>
      </w:r>
      <w:r w:rsidRPr="00FF5D1B">
        <w:rPr>
          <w:rFonts w:ascii="Times New Roman" w:eastAsia="Times New Roman" w:hAnsi="Times New Roman" w:cs="Times New Roman"/>
          <w:sz w:val="24"/>
          <w:szCs w:val="24"/>
        </w:rPr>
        <w:t xml:space="preserve">, </w:t>
      </w:r>
      <w:r w:rsidRPr="00FF5D1B">
        <w:rPr>
          <w:rFonts w:ascii="Times New Roman" w:eastAsia="Times New Roman" w:hAnsi="Times New Roman" w:cs="Times New Roman"/>
          <w:i/>
          <w:iCs/>
          <w:sz w:val="24"/>
          <w:szCs w:val="24"/>
        </w:rPr>
        <w:t>3</w:t>
      </w:r>
      <w:r w:rsidRPr="00FF5D1B">
        <w:rPr>
          <w:rFonts w:ascii="Times New Roman" w:eastAsia="Times New Roman" w:hAnsi="Times New Roman" w:cs="Times New Roman"/>
          <w:sz w:val="24"/>
          <w:szCs w:val="24"/>
        </w:rPr>
        <w:t>(02), pp.375-421.</w:t>
      </w:r>
      <w:proofErr w:type="gramEnd"/>
      <w:r w:rsidR="005F6031" w:rsidRPr="005F6031">
        <w:t xml:space="preserve"> </w:t>
      </w:r>
      <w:hyperlink r:id="rId27" w:history="1">
        <w:r w:rsidR="005F6031" w:rsidRPr="00FF5D1B">
          <w:rPr>
            <w:rStyle w:val="Hyperlink"/>
            <w:rFonts w:ascii="Times New Roman" w:eastAsia="Times New Roman" w:hAnsi="Times New Roman" w:cs="Times New Roman"/>
            <w:sz w:val="24"/>
            <w:szCs w:val="24"/>
          </w:rPr>
          <w:t>https://researchinnovationjournal.com/index.php/AJSRI/article/view/116</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Taherdoost</w:t>
      </w:r>
      <w:proofErr w:type="gramEnd"/>
      <w:r w:rsidR="004773E1" w:rsidRPr="00FF5D1B">
        <w:rPr>
          <w:rFonts w:ascii="Times New Roman" w:eastAsia="Times New Roman" w:hAnsi="Times New Roman" w:cs="Times New Roman"/>
          <w:sz w:val="24"/>
          <w:szCs w:val="24"/>
        </w:rPr>
        <w:t xml:space="preserve">, H., Shieh, C.S. and Gupta, S.K., 2026. An Integrated Information Security Governance Model for Hyperconnected IoT Ecosystems; Unified Resilient Security Governance Model (URSGM). </w:t>
      </w:r>
      <w:proofErr w:type="gramStart"/>
      <w:r w:rsidR="004773E1" w:rsidRPr="00FF5D1B">
        <w:rPr>
          <w:rFonts w:ascii="Times New Roman" w:eastAsia="Times New Roman" w:hAnsi="Times New Roman" w:cs="Times New Roman"/>
          <w:i/>
          <w:iCs/>
          <w:sz w:val="24"/>
          <w:szCs w:val="24"/>
        </w:rPr>
        <w:t>Computers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15</w:t>
      </w:r>
      <w:r w:rsidR="004773E1" w:rsidRPr="00FF5D1B">
        <w:rPr>
          <w:rFonts w:ascii="Times New Roman" w:eastAsia="Times New Roman" w:hAnsi="Times New Roman" w:cs="Times New Roman"/>
          <w:sz w:val="24"/>
          <w:szCs w:val="24"/>
        </w:rPr>
        <w:t>(4), p.236.</w:t>
      </w:r>
      <w:proofErr w:type="gramEnd"/>
      <w:r w:rsidR="005F6031" w:rsidRPr="005F6031">
        <w:t xml:space="preserve"> </w:t>
      </w:r>
      <w:hyperlink r:id="rId28" w:history="1">
        <w:r w:rsidR="005F6031" w:rsidRPr="00FF5D1B">
          <w:rPr>
            <w:rStyle w:val="Hyperlink"/>
            <w:rFonts w:ascii="Times New Roman" w:eastAsia="Times New Roman" w:hAnsi="Times New Roman" w:cs="Times New Roman"/>
            <w:sz w:val="24"/>
            <w:szCs w:val="24"/>
          </w:rPr>
          <w:t>https://www.mdpi.com/2073-431X/15/4/236</w:t>
        </w:r>
      </w:hyperlink>
      <w:r w:rsidR="005F6031" w:rsidRPr="00FF5D1B">
        <w:rPr>
          <w:rFonts w:ascii="Times New Roman" w:eastAsia="Times New Roman" w:hAnsi="Times New Roman" w:cs="Times New Roman"/>
          <w:sz w:val="24"/>
          <w:szCs w:val="24"/>
        </w:rPr>
        <w:t xml:space="preserve"> </w:t>
      </w:r>
    </w:p>
    <w:p w:rsidR="00A26B65"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roofErr w:type="gramStart"/>
      <w:r>
        <w:rPr>
          <w:rFonts w:ascii="Times New Roman" w:eastAsia="Times New Roman" w:hAnsi="Times New Roman" w:cs="Times New Roman"/>
          <w:sz w:val="24"/>
          <w:szCs w:val="24"/>
        </w:rPr>
        <w:t>.</w:t>
      </w:r>
      <w:r w:rsidR="004773E1" w:rsidRPr="00FF5D1B">
        <w:rPr>
          <w:rFonts w:ascii="Times New Roman" w:eastAsia="Times New Roman" w:hAnsi="Times New Roman" w:cs="Times New Roman"/>
          <w:sz w:val="24"/>
          <w:szCs w:val="24"/>
        </w:rPr>
        <w:t>Ugochukwu</w:t>
      </w:r>
      <w:proofErr w:type="gramEnd"/>
      <w:r w:rsidR="004773E1" w:rsidRPr="00FF5D1B">
        <w:rPr>
          <w:rFonts w:ascii="Times New Roman" w:eastAsia="Times New Roman" w:hAnsi="Times New Roman" w:cs="Times New Roman"/>
          <w:sz w:val="24"/>
          <w:szCs w:val="24"/>
        </w:rPr>
        <w:t xml:space="preserve">, N.A., </w:t>
      </w:r>
      <w:proofErr w:type="spellStart"/>
      <w:r w:rsidR="004773E1" w:rsidRPr="00FF5D1B">
        <w:rPr>
          <w:rFonts w:ascii="Times New Roman" w:eastAsia="Times New Roman" w:hAnsi="Times New Roman" w:cs="Times New Roman"/>
          <w:sz w:val="24"/>
          <w:szCs w:val="24"/>
        </w:rPr>
        <w:t>Goyal</w:t>
      </w:r>
      <w:proofErr w:type="spellEnd"/>
      <w:r w:rsidR="004773E1" w:rsidRPr="00FF5D1B">
        <w:rPr>
          <w:rFonts w:ascii="Times New Roman" w:eastAsia="Times New Roman" w:hAnsi="Times New Roman" w:cs="Times New Roman"/>
          <w:sz w:val="24"/>
          <w:szCs w:val="24"/>
        </w:rPr>
        <w:t xml:space="preserve">, S.B. and Arumugam, S., 2022. </w:t>
      </w:r>
      <w:proofErr w:type="gramStart"/>
      <w:r w:rsidR="004773E1" w:rsidRPr="00FF5D1B">
        <w:rPr>
          <w:rFonts w:ascii="Times New Roman" w:eastAsia="Times New Roman" w:hAnsi="Times New Roman" w:cs="Times New Roman"/>
          <w:sz w:val="24"/>
          <w:szCs w:val="24"/>
        </w:rPr>
        <w:t>Blockchain‐based IoT‐enabled system for secure and efficient logistics management in the era of IR 4.0.</w:t>
      </w:r>
      <w:proofErr w:type="gramEnd"/>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lastRenderedPageBreak/>
        <w:t>Journal of Nanomaterials</w:t>
      </w:r>
      <w:r w:rsidR="004773E1" w:rsidRPr="00FF5D1B">
        <w:rPr>
          <w:rFonts w:ascii="Times New Roman" w:eastAsia="Times New Roman" w:hAnsi="Times New Roman" w:cs="Times New Roman"/>
          <w:sz w:val="24"/>
          <w:szCs w:val="24"/>
        </w:rPr>
        <w:t xml:space="preserve">, </w:t>
      </w:r>
      <w:r w:rsidR="004773E1" w:rsidRPr="00FF5D1B">
        <w:rPr>
          <w:rFonts w:ascii="Times New Roman" w:eastAsia="Times New Roman" w:hAnsi="Times New Roman" w:cs="Times New Roman"/>
          <w:i/>
          <w:iCs/>
          <w:sz w:val="24"/>
          <w:szCs w:val="24"/>
        </w:rPr>
        <w:t>2022</w:t>
      </w:r>
      <w:r w:rsidR="004773E1" w:rsidRPr="00FF5D1B">
        <w:rPr>
          <w:rFonts w:ascii="Times New Roman" w:eastAsia="Times New Roman" w:hAnsi="Times New Roman" w:cs="Times New Roman"/>
          <w:sz w:val="24"/>
          <w:szCs w:val="24"/>
        </w:rPr>
        <w:t>(1), p.7295395.</w:t>
      </w:r>
      <w:r w:rsidR="005F6031" w:rsidRPr="005F6031">
        <w:t xml:space="preserve"> </w:t>
      </w:r>
      <w:hyperlink r:id="rId29" w:history="1">
        <w:r w:rsidR="005F6031" w:rsidRPr="00FF5D1B">
          <w:rPr>
            <w:rStyle w:val="Hyperlink"/>
            <w:rFonts w:ascii="Times New Roman" w:eastAsia="Times New Roman" w:hAnsi="Times New Roman" w:cs="Times New Roman"/>
            <w:sz w:val="24"/>
            <w:szCs w:val="24"/>
          </w:rPr>
          <w:t>https://onlinelibrary.wiley.com/doi/abs/10.1155/2022/7295395</w:t>
        </w:r>
      </w:hyperlink>
      <w:r w:rsidR="005F6031" w:rsidRPr="00FF5D1B">
        <w:rPr>
          <w:rFonts w:ascii="Times New Roman" w:eastAsia="Times New Roman" w:hAnsi="Times New Roman" w:cs="Times New Roman"/>
          <w:sz w:val="24"/>
          <w:szCs w:val="24"/>
        </w:rPr>
        <w:t xml:space="preserve"> </w:t>
      </w:r>
    </w:p>
    <w:p w:rsidR="00A26B65" w:rsidRDefault="00AF12D0" w:rsidP="00AF12D0">
      <w:pPr>
        <w:pStyle w:val="ListParagraph"/>
        <w:spacing w:before="200" w:after="16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16</w:t>
      </w:r>
      <w:r w:rsidR="004773E1" w:rsidRPr="00FF5D1B">
        <w:rPr>
          <w:rFonts w:ascii="Times New Roman" w:eastAsia="Times New Roman" w:hAnsi="Times New Roman" w:cs="Times New Roman"/>
          <w:sz w:val="24"/>
          <w:szCs w:val="24"/>
        </w:rPr>
        <w:t xml:space="preserve">Wiraandryana, I.P.D. and </w:t>
      </w:r>
      <w:proofErr w:type="spellStart"/>
      <w:r w:rsidR="004773E1" w:rsidRPr="00FF5D1B">
        <w:rPr>
          <w:rFonts w:ascii="Times New Roman" w:eastAsia="Times New Roman" w:hAnsi="Times New Roman" w:cs="Times New Roman"/>
          <w:sz w:val="24"/>
          <w:szCs w:val="24"/>
        </w:rPr>
        <w:t>Pramartha</w:t>
      </w:r>
      <w:proofErr w:type="spellEnd"/>
      <w:r w:rsidR="004773E1" w:rsidRPr="00FF5D1B">
        <w:rPr>
          <w:rFonts w:ascii="Times New Roman" w:eastAsia="Times New Roman" w:hAnsi="Times New Roman" w:cs="Times New Roman"/>
          <w:sz w:val="24"/>
          <w:szCs w:val="24"/>
        </w:rPr>
        <w:t>, C., 2025, November.</w:t>
      </w:r>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sz w:val="24"/>
          <w:szCs w:val="24"/>
        </w:rPr>
        <w:t>Auditing Library Information Systems Using COBIT 2019: A Systematic Review of Governance, Compliance, and Cyber Risk Mitigation.</w:t>
      </w:r>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sz w:val="24"/>
          <w:szCs w:val="24"/>
        </w:rPr>
        <w:t xml:space="preserve">In </w:t>
      </w:r>
      <w:r w:rsidR="004773E1" w:rsidRPr="00FF5D1B">
        <w:rPr>
          <w:rFonts w:ascii="Times New Roman" w:eastAsia="Times New Roman" w:hAnsi="Times New Roman" w:cs="Times New Roman"/>
          <w:i/>
          <w:iCs/>
          <w:sz w:val="24"/>
          <w:szCs w:val="24"/>
        </w:rPr>
        <w:t>2025 15th International Conference on Information &amp; Communication Technology and System (ICTS)</w:t>
      </w:r>
      <w:r w:rsidR="004773E1" w:rsidRPr="00FF5D1B">
        <w:rPr>
          <w:rFonts w:ascii="Times New Roman" w:eastAsia="Times New Roman" w:hAnsi="Times New Roman" w:cs="Times New Roman"/>
          <w:sz w:val="24"/>
          <w:szCs w:val="24"/>
        </w:rPr>
        <w:t xml:space="preserve"> (pp. 1-6).</w:t>
      </w:r>
      <w:proofErr w:type="gramEnd"/>
      <w:r w:rsidR="004773E1" w:rsidRPr="00FF5D1B">
        <w:rPr>
          <w:rFonts w:ascii="Times New Roman" w:eastAsia="Times New Roman" w:hAnsi="Times New Roman" w:cs="Times New Roman"/>
          <w:sz w:val="24"/>
          <w:szCs w:val="24"/>
        </w:rPr>
        <w:t xml:space="preserve"> </w:t>
      </w:r>
      <w:proofErr w:type="gramStart"/>
      <w:r w:rsidR="004773E1" w:rsidRPr="00FF5D1B">
        <w:rPr>
          <w:rFonts w:ascii="Times New Roman" w:eastAsia="Times New Roman" w:hAnsi="Times New Roman" w:cs="Times New Roman"/>
          <w:sz w:val="24"/>
          <w:szCs w:val="24"/>
        </w:rPr>
        <w:t>IEEE.</w:t>
      </w:r>
      <w:proofErr w:type="gramEnd"/>
      <w:r w:rsidR="005F6031" w:rsidRPr="005F6031">
        <w:t xml:space="preserve"> </w:t>
      </w:r>
      <w:hyperlink r:id="rId30" w:history="1">
        <w:r w:rsidR="005F6031" w:rsidRPr="00FF5D1B">
          <w:rPr>
            <w:rStyle w:val="Hyperlink"/>
            <w:rFonts w:ascii="Times New Roman" w:eastAsia="Times New Roman" w:hAnsi="Times New Roman" w:cs="Times New Roman"/>
            <w:sz w:val="24"/>
            <w:szCs w:val="24"/>
          </w:rPr>
          <w:t>https://ieeexplore.ieee.org/abstract/document/11369555/</w:t>
        </w:r>
      </w:hyperlink>
      <w:r w:rsidR="005F6031" w:rsidRPr="00FF5D1B">
        <w:rPr>
          <w:rFonts w:ascii="Times New Roman" w:eastAsia="Times New Roman" w:hAnsi="Times New Roman" w:cs="Times New Roman"/>
          <w:sz w:val="24"/>
          <w:szCs w:val="24"/>
        </w:rPr>
        <w:t xml:space="preserve"> </w:t>
      </w:r>
    </w:p>
    <w:p w:rsidR="00AF12D0" w:rsidRPr="00DA19AF" w:rsidRDefault="00AF12D0" w:rsidP="00AF12D0">
      <w:pPr>
        <w:pStyle w:val="Heading1"/>
      </w:pPr>
      <w:bookmarkStart w:id="32" w:name="_Toc237269179"/>
      <w:r w:rsidRPr="00DA19AF">
        <w:t>7. Conclusion</w:t>
      </w:r>
      <w:bookmarkEnd w:id="32"/>
      <w:r w:rsidRPr="00DA19AF">
        <w:t xml:space="preserve"> </w:t>
      </w:r>
    </w:p>
    <w:p w:rsidR="00AF12D0" w:rsidRPr="00DA19AF" w:rsidRDefault="00AF12D0" w:rsidP="00AF12D0">
      <w:pPr>
        <w:spacing w:before="200" w:after="240" w:line="360" w:lineRule="auto"/>
        <w:jc w:val="both"/>
        <w:rPr>
          <w:rFonts w:ascii="Times New Roman" w:eastAsia="Times New Roman" w:hAnsi="Times New Roman" w:cs="Times New Roman"/>
          <w:b/>
          <w:bCs/>
          <w:sz w:val="24"/>
          <w:szCs w:val="24"/>
        </w:rPr>
      </w:pPr>
      <w:proofErr w:type="spellStart"/>
      <w:r w:rsidRPr="00DA19AF">
        <w:rPr>
          <w:rFonts w:ascii="Times New Roman" w:eastAsia="Times New Roman" w:hAnsi="Times New Roman" w:cs="Times New Roman"/>
          <w:sz w:val="24"/>
          <w:szCs w:val="24"/>
        </w:rPr>
        <w:t>AeroLink</w:t>
      </w:r>
      <w:proofErr w:type="spellEnd"/>
      <w:r w:rsidRPr="00DA19AF">
        <w:rPr>
          <w:rFonts w:ascii="Times New Roman" w:eastAsia="Times New Roman" w:hAnsi="Times New Roman" w:cs="Times New Roman"/>
          <w:sz w:val="24"/>
          <w:szCs w:val="24"/>
        </w:rPr>
        <w:t xml:space="preserve"> Logistics is prone to security, governance and compliance vulnerabilities that are attributed to unlicensed access, unsecured PII, unsanctioned devices, heavy outsourcing, insecure encryption, poor risk management and insufficient continuity protections. These vulnerabilities show that </w:t>
      </w:r>
      <w:proofErr w:type="spellStart"/>
      <w:r w:rsidRPr="00DA19AF">
        <w:rPr>
          <w:rFonts w:ascii="Times New Roman" w:eastAsia="Times New Roman" w:hAnsi="Times New Roman" w:cs="Times New Roman"/>
          <w:sz w:val="24"/>
          <w:szCs w:val="24"/>
        </w:rPr>
        <w:t>cybersecurity</w:t>
      </w:r>
      <w:proofErr w:type="spellEnd"/>
      <w:r w:rsidRPr="00DA19AF">
        <w:rPr>
          <w:rFonts w:ascii="Times New Roman" w:eastAsia="Times New Roman" w:hAnsi="Times New Roman" w:cs="Times New Roman"/>
          <w:sz w:val="24"/>
          <w:szCs w:val="24"/>
        </w:rPr>
        <w:t xml:space="preserve"> cannot be achieved by the use of isolated technical controls. The best answer will be an integrated system with an ISO/IEC 27001 as the foundation of the ISMS, NIST CSF as operational </w:t>
      </w:r>
      <w:proofErr w:type="spellStart"/>
      <w:r w:rsidRPr="00DA19AF">
        <w:rPr>
          <w:rFonts w:ascii="Times New Roman" w:eastAsia="Times New Roman" w:hAnsi="Times New Roman" w:cs="Times New Roman"/>
          <w:sz w:val="24"/>
          <w:szCs w:val="24"/>
        </w:rPr>
        <w:t>cybersecurity</w:t>
      </w:r>
      <w:proofErr w:type="spellEnd"/>
      <w:r w:rsidRPr="00DA19AF">
        <w:rPr>
          <w:rFonts w:ascii="Times New Roman" w:eastAsia="Times New Roman" w:hAnsi="Times New Roman" w:cs="Times New Roman"/>
          <w:sz w:val="24"/>
          <w:szCs w:val="24"/>
        </w:rPr>
        <w:t xml:space="preserve">, COBIT 2019 as governance and accountability, and a few practices of ITIL as managing services and vendors. Such a combination can define better responsibilities and better access and data protection, enhance response to an incident, </w:t>
      </w:r>
      <w:proofErr w:type="gramStart"/>
      <w:r w:rsidRPr="00DA19AF">
        <w:rPr>
          <w:rFonts w:ascii="Times New Roman" w:eastAsia="Times New Roman" w:hAnsi="Times New Roman" w:cs="Times New Roman"/>
          <w:sz w:val="24"/>
          <w:szCs w:val="24"/>
        </w:rPr>
        <w:t>address</w:t>
      </w:r>
      <w:proofErr w:type="gramEnd"/>
      <w:r w:rsidRPr="00DA19AF">
        <w:rPr>
          <w:rFonts w:ascii="Times New Roman" w:eastAsia="Times New Roman" w:hAnsi="Times New Roman" w:cs="Times New Roman"/>
          <w:sz w:val="24"/>
          <w:szCs w:val="24"/>
        </w:rPr>
        <w:t xml:space="preserve"> third-party risks and business continuity. Constant updating is also critical since ALL exists in dynamic technological, threat and regulatory settings. In spite of the resources needed to continually improve, training and </w:t>
      </w:r>
      <w:proofErr w:type="spellStart"/>
      <w:r w:rsidRPr="00DA19AF">
        <w:rPr>
          <w:rFonts w:ascii="Times New Roman" w:eastAsia="Times New Roman" w:hAnsi="Times New Roman" w:cs="Times New Roman"/>
          <w:sz w:val="24"/>
          <w:szCs w:val="24"/>
        </w:rPr>
        <w:t>organisational</w:t>
      </w:r>
      <w:proofErr w:type="spellEnd"/>
      <w:r w:rsidRPr="00DA19AF">
        <w:rPr>
          <w:rFonts w:ascii="Times New Roman" w:eastAsia="Times New Roman" w:hAnsi="Times New Roman" w:cs="Times New Roman"/>
          <w:sz w:val="24"/>
          <w:szCs w:val="24"/>
        </w:rPr>
        <w:t xml:space="preserve"> change, the costs outweigh the impacts of major breaches, non-compliance and operational disruption. This means that </w:t>
      </w:r>
      <w:proofErr w:type="spellStart"/>
      <w:r w:rsidRPr="00DA19AF">
        <w:rPr>
          <w:rFonts w:ascii="Times New Roman" w:eastAsia="Times New Roman" w:hAnsi="Times New Roman" w:cs="Times New Roman"/>
          <w:sz w:val="24"/>
          <w:szCs w:val="24"/>
        </w:rPr>
        <w:t>AeroLink</w:t>
      </w:r>
      <w:proofErr w:type="spellEnd"/>
      <w:r w:rsidRPr="00DA19AF">
        <w:rPr>
          <w:rFonts w:ascii="Times New Roman" w:eastAsia="Times New Roman" w:hAnsi="Times New Roman" w:cs="Times New Roman"/>
          <w:sz w:val="24"/>
          <w:szCs w:val="24"/>
        </w:rPr>
        <w:t xml:space="preserve"> will need </w:t>
      </w:r>
      <w:proofErr w:type="spellStart"/>
      <w:r w:rsidRPr="00DA19AF">
        <w:rPr>
          <w:rFonts w:ascii="Times New Roman" w:eastAsia="Times New Roman" w:hAnsi="Times New Roman" w:cs="Times New Roman"/>
          <w:sz w:val="24"/>
          <w:szCs w:val="24"/>
        </w:rPr>
        <w:t>cybersecurity</w:t>
      </w:r>
      <w:proofErr w:type="spellEnd"/>
      <w:r w:rsidRPr="00DA19AF">
        <w:rPr>
          <w:rFonts w:ascii="Times New Roman" w:eastAsia="Times New Roman" w:hAnsi="Times New Roman" w:cs="Times New Roman"/>
          <w:sz w:val="24"/>
          <w:szCs w:val="24"/>
        </w:rPr>
        <w:t xml:space="preserve"> as a governance </w:t>
      </w:r>
      <w:proofErr w:type="spellStart"/>
      <w:r w:rsidRPr="00DA19AF">
        <w:rPr>
          <w:rFonts w:ascii="Times New Roman" w:eastAsia="Times New Roman" w:hAnsi="Times New Roman" w:cs="Times New Roman"/>
          <w:sz w:val="24"/>
          <w:szCs w:val="24"/>
        </w:rPr>
        <w:t>organisationwide</w:t>
      </w:r>
      <w:proofErr w:type="spellEnd"/>
      <w:r w:rsidRPr="00DA19AF">
        <w:rPr>
          <w:rFonts w:ascii="Times New Roman" w:eastAsia="Times New Roman" w:hAnsi="Times New Roman" w:cs="Times New Roman"/>
          <w:sz w:val="24"/>
          <w:szCs w:val="24"/>
        </w:rPr>
        <w:t xml:space="preserve"> concern instead of an IT operation only.</w:t>
      </w:r>
    </w:p>
    <w:p w:rsidR="00AF12D0" w:rsidRPr="00FF5D1B" w:rsidRDefault="00AF12D0" w:rsidP="00AF12D0">
      <w:pPr>
        <w:pStyle w:val="ListParagraph"/>
        <w:spacing w:before="200" w:after="160" w:line="360" w:lineRule="auto"/>
        <w:jc w:val="both"/>
        <w:rPr>
          <w:rFonts w:ascii="Times New Roman" w:eastAsia="Times New Roman" w:hAnsi="Times New Roman" w:cs="Times New Roman"/>
          <w:sz w:val="24"/>
          <w:szCs w:val="24"/>
        </w:rPr>
      </w:pPr>
    </w:p>
    <w:p w:rsidR="00A26B65" w:rsidRPr="00DA19AF" w:rsidRDefault="00A26B65" w:rsidP="00B525FD">
      <w:pPr>
        <w:spacing w:before="200" w:line="360" w:lineRule="auto"/>
        <w:jc w:val="both"/>
        <w:rPr>
          <w:rFonts w:ascii="Times New Roman" w:eastAsia="Times New Roman" w:hAnsi="Times New Roman" w:cs="Times New Roman"/>
          <w:sz w:val="24"/>
          <w:szCs w:val="24"/>
        </w:rPr>
      </w:pPr>
    </w:p>
    <w:sectPr w:rsidR="00A26B65" w:rsidRPr="00DA19AF" w:rsidSect="00B525FD">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2793A" w:rsidRDefault="0012793A" w:rsidP="00B525FD">
      <w:pPr>
        <w:spacing w:line="240" w:lineRule="auto"/>
      </w:pPr>
      <w:r>
        <w:separator/>
      </w:r>
    </w:p>
  </w:endnote>
  <w:endnote w:type="continuationSeparator" w:id="0">
    <w:p w:rsidR="0012793A" w:rsidRDefault="0012793A" w:rsidP="00B525F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A32FD6B-3375-414B-8937-CA7856597046}"/>
  </w:font>
  <w:font w:name="Tahoma">
    <w:panose1 w:val="020B0604030504040204"/>
    <w:charset w:val="00"/>
    <w:family w:val="swiss"/>
    <w:pitch w:val="variable"/>
    <w:sig w:usb0="E1002EFF" w:usb1="C000605B" w:usb2="00000029" w:usb3="00000000" w:csb0="000101FF" w:csb1="00000000"/>
    <w:embedRegular r:id="rId2" w:fontKey="{F1B2B5A0-D373-43B4-B869-E74B8E123B49}"/>
  </w:font>
  <w:font w:name="Cambria">
    <w:panose1 w:val="02040503050406030204"/>
    <w:charset w:val="00"/>
    <w:family w:val="roman"/>
    <w:pitch w:val="variable"/>
    <w:sig w:usb0="E00006FF" w:usb1="420024FF" w:usb2="02000000" w:usb3="00000000" w:csb0="0000019F" w:csb1="00000000"/>
    <w:embedRegular r:id="rId3" w:fontKey="{E434CA1E-5FA6-40F4-A7E4-B3D73EBF0D41}"/>
    <w:embedBold r:id="rId4" w:fontKey="{747AB7D0-32C0-4AD9-9A40-B12C4E46F4E3}"/>
  </w:font>
  <w:font w:name="Cardo">
    <w:charset w:val="00"/>
    <w:family w:val="auto"/>
    <w:pitch w:val="default"/>
    <w:sig w:usb0="00000000" w:usb1="00000000" w:usb2="00000000" w:usb3="00000000" w:csb0="00000000" w:csb1="00000000"/>
    <w:embedRegular r:id="rId5" w:fontKey="{07EB5C1E-1E58-40BD-9FE0-5EC754D8BD8C}"/>
    <w:embedBold r:id="rId6" w:fontKey="{B403319B-C0ED-4760-AB44-FB2AD0A47FE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137378"/>
      <w:docPartObj>
        <w:docPartGallery w:val="Page Numbers (Bottom of Page)"/>
        <w:docPartUnique/>
      </w:docPartObj>
    </w:sdtPr>
    <w:sdtEndPr>
      <w:rPr>
        <w:noProof/>
      </w:rPr>
    </w:sdtEndPr>
    <w:sdtContent>
      <w:p w:rsidR="00B525FD" w:rsidRDefault="007967E5">
        <w:pPr>
          <w:pStyle w:val="Footer"/>
          <w:jc w:val="right"/>
        </w:pPr>
        <w:r>
          <w:fldChar w:fldCharType="begin"/>
        </w:r>
        <w:r w:rsidR="00B525FD">
          <w:instrText xml:space="preserve"> PAGE   \* MERGEFORMAT </w:instrText>
        </w:r>
        <w:r>
          <w:fldChar w:fldCharType="separate"/>
        </w:r>
        <w:r w:rsidR="00D13AE0">
          <w:rPr>
            <w:noProof/>
          </w:rPr>
          <w:t>14</w:t>
        </w:r>
        <w:r>
          <w:rPr>
            <w:noProof/>
          </w:rPr>
          <w:fldChar w:fldCharType="end"/>
        </w:r>
      </w:p>
    </w:sdtContent>
  </w:sdt>
  <w:p w:rsidR="00B525FD" w:rsidRDefault="00B525F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2793A" w:rsidRDefault="0012793A" w:rsidP="00B525FD">
      <w:pPr>
        <w:spacing w:line="240" w:lineRule="auto"/>
      </w:pPr>
      <w:r>
        <w:separator/>
      </w:r>
    </w:p>
  </w:footnote>
  <w:footnote w:type="continuationSeparator" w:id="0">
    <w:p w:rsidR="0012793A" w:rsidRDefault="0012793A" w:rsidP="00B525F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35672F"/>
    <w:multiLevelType w:val="hybridMultilevel"/>
    <w:tmpl w:val="584CE7EA"/>
    <w:lvl w:ilvl="0" w:tplc="28B87FC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615F3ECF"/>
    <w:multiLevelType w:val="hybridMultilevel"/>
    <w:tmpl w:val="81C2743E"/>
    <w:lvl w:ilvl="0" w:tplc="0A1E900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A26B65"/>
    <w:rsid w:val="000029BD"/>
    <w:rsid w:val="00022930"/>
    <w:rsid w:val="0012793A"/>
    <w:rsid w:val="00136043"/>
    <w:rsid w:val="00163A4F"/>
    <w:rsid w:val="001C0651"/>
    <w:rsid w:val="002A01B8"/>
    <w:rsid w:val="00337C51"/>
    <w:rsid w:val="00370195"/>
    <w:rsid w:val="0042656E"/>
    <w:rsid w:val="004773E1"/>
    <w:rsid w:val="004B70DC"/>
    <w:rsid w:val="00517991"/>
    <w:rsid w:val="00523D98"/>
    <w:rsid w:val="00551882"/>
    <w:rsid w:val="005D5B9B"/>
    <w:rsid w:val="005F6031"/>
    <w:rsid w:val="00714DBC"/>
    <w:rsid w:val="0073550A"/>
    <w:rsid w:val="0075581F"/>
    <w:rsid w:val="00755D6C"/>
    <w:rsid w:val="007811F8"/>
    <w:rsid w:val="007967E5"/>
    <w:rsid w:val="007E3A2A"/>
    <w:rsid w:val="00804C61"/>
    <w:rsid w:val="00826C07"/>
    <w:rsid w:val="00967627"/>
    <w:rsid w:val="00A26B65"/>
    <w:rsid w:val="00A306F1"/>
    <w:rsid w:val="00A70BA1"/>
    <w:rsid w:val="00AF12D0"/>
    <w:rsid w:val="00B135A8"/>
    <w:rsid w:val="00B525FD"/>
    <w:rsid w:val="00B773EE"/>
    <w:rsid w:val="00BC09BB"/>
    <w:rsid w:val="00C033DC"/>
    <w:rsid w:val="00C3263C"/>
    <w:rsid w:val="00D13AE0"/>
    <w:rsid w:val="00D30793"/>
    <w:rsid w:val="00D55E6D"/>
    <w:rsid w:val="00D94A62"/>
    <w:rsid w:val="00D94CAE"/>
    <w:rsid w:val="00DA19AF"/>
    <w:rsid w:val="00DC2C68"/>
    <w:rsid w:val="00E02368"/>
    <w:rsid w:val="00E07D64"/>
    <w:rsid w:val="00EE7364"/>
    <w:rsid w:val="00F31ED4"/>
    <w:rsid w:val="00F84811"/>
    <w:rsid w:val="00FF5D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67E5"/>
  </w:style>
  <w:style w:type="paragraph" w:styleId="Heading1">
    <w:name w:val="heading 1"/>
    <w:basedOn w:val="Normal"/>
    <w:next w:val="Normal"/>
    <w:link w:val="Heading1Char"/>
    <w:uiPriority w:val="9"/>
    <w:qFormat/>
    <w:rsid w:val="00DA19AF"/>
    <w:pPr>
      <w:spacing w:before="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rsid w:val="00DA19AF"/>
    <w:pPr>
      <w:spacing w:before="200" w:after="8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rsid w:val="007967E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967E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967E5"/>
    <w:pPr>
      <w:keepNext/>
      <w:keepLines/>
      <w:spacing w:before="240" w:after="80"/>
      <w:outlineLvl w:val="4"/>
    </w:pPr>
    <w:rPr>
      <w:color w:val="666666"/>
    </w:rPr>
  </w:style>
  <w:style w:type="paragraph" w:styleId="Heading6">
    <w:name w:val="heading 6"/>
    <w:basedOn w:val="Normal"/>
    <w:next w:val="Normal"/>
    <w:uiPriority w:val="9"/>
    <w:semiHidden/>
    <w:unhideWhenUsed/>
    <w:qFormat/>
    <w:rsid w:val="007967E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967E5"/>
    <w:tblPr>
      <w:tblCellMar>
        <w:top w:w="100" w:type="dxa"/>
        <w:left w:w="100" w:type="dxa"/>
        <w:bottom w:w="100" w:type="dxa"/>
        <w:right w:w="100" w:type="dxa"/>
      </w:tblCellMar>
    </w:tblPr>
  </w:style>
  <w:style w:type="paragraph" w:styleId="Title">
    <w:name w:val="Title"/>
    <w:basedOn w:val="Normal"/>
    <w:next w:val="Normal"/>
    <w:uiPriority w:val="10"/>
    <w:qFormat/>
    <w:rsid w:val="007967E5"/>
    <w:pPr>
      <w:keepNext/>
      <w:keepLines/>
      <w:spacing w:after="60"/>
    </w:pPr>
    <w:rPr>
      <w:sz w:val="52"/>
      <w:szCs w:val="52"/>
    </w:rPr>
  </w:style>
  <w:style w:type="paragraph" w:styleId="Subtitle">
    <w:name w:val="Subtitle"/>
    <w:basedOn w:val="Normal"/>
    <w:next w:val="Normal"/>
    <w:uiPriority w:val="11"/>
    <w:qFormat/>
    <w:rsid w:val="007967E5"/>
    <w:pPr>
      <w:keepNext/>
      <w:keepLines/>
      <w:spacing w:after="320"/>
    </w:pPr>
    <w:rPr>
      <w:color w:val="666666"/>
      <w:sz w:val="30"/>
      <w:szCs w:val="30"/>
    </w:rPr>
  </w:style>
  <w:style w:type="table" w:customStyle="1" w:styleId="a">
    <w:basedOn w:val="TableNormal0"/>
    <w:rsid w:val="007967E5"/>
    <w:tblPr>
      <w:tblStyleRowBandSize w:val="1"/>
      <w:tblStyleColBandSize w:val="1"/>
      <w:tblCellMar>
        <w:top w:w="100" w:type="dxa"/>
        <w:left w:w="100" w:type="dxa"/>
        <w:bottom w:w="100" w:type="dxa"/>
        <w:right w:w="100" w:type="dxa"/>
      </w:tblCellMar>
    </w:tblPr>
  </w:style>
  <w:style w:type="table" w:customStyle="1" w:styleId="a0">
    <w:basedOn w:val="TableNormal0"/>
    <w:rsid w:val="007967E5"/>
    <w:tblPr>
      <w:tblStyleRowBandSize w:val="1"/>
      <w:tblStyleColBandSize w:val="1"/>
      <w:tblCellMar>
        <w:top w:w="100" w:type="dxa"/>
        <w:left w:w="100" w:type="dxa"/>
        <w:bottom w:w="100" w:type="dxa"/>
        <w:right w:w="100" w:type="dxa"/>
      </w:tblCellMar>
    </w:tblPr>
  </w:style>
  <w:style w:type="table" w:customStyle="1" w:styleId="a1">
    <w:basedOn w:val="TableNormal0"/>
    <w:rsid w:val="007967E5"/>
    <w:tblPr>
      <w:tblStyleRowBandSize w:val="1"/>
      <w:tblStyleColBandSize w:val="1"/>
      <w:tblCellMar>
        <w:top w:w="100" w:type="dxa"/>
        <w:left w:w="100" w:type="dxa"/>
        <w:bottom w:w="100" w:type="dxa"/>
        <w:right w:w="100" w:type="dxa"/>
      </w:tblCellMar>
    </w:tblPr>
  </w:style>
  <w:style w:type="table" w:customStyle="1" w:styleId="a2">
    <w:basedOn w:val="TableNormal0"/>
    <w:rsid w:val="007967E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525FD"/>
    <w:pPr>
      <w:tabs>
        <w:tab w:val="center" w:pos="4513"/>
        <w:tab w:val="right" w:pos="9026"/>
      </w:tabs>
      <w:spacing w:line="240" w:lineRule="auto"/>
    </w:pPr>
  </w:style>
  <w:style w:type="character" w:customStyle="1" w:styleId="HeaderChar">
    <w:name w:val="Header Char"/>
    <w:basedOn w:val="DefaultParagraphFont"/>
    <w:link w:val="Header"/>
    <w:uiPriority w:val="99"/>
    <w:rsid w:val="00B525FD"/>
  </w:style>
  <w:style w:type="paragraph" w:styleId="Footer">
    <w:name w:val="footer"/>
    <w:basedOn w:val="Normal"/>
    <w:link w:val="FooterChar"/>
    <w:uiPriority w:val="99"/>
    <w:unhideWhenUsed/>
    <w:rsid w:val="00B525FD"/>
    <w:pPr>
      <w:tabs>
        <w:tab w:val="center" w:pos="4513"/>
        <w:tab w:val="right" w:pos="9026"/>
      </w:tabs>
      <w:spacing w:line="240" w:lineRule="auto"/>
    </w:pPr>
  </w:style>
  <w:style w:type="character" w:customStyle="1" w:styleId="FooterChar">
    <w:name w:val="Footer Char"/>
    <w:basedOn w:val="DefaultParagraphFont"/>
    <w:link w:val="Footer"/>
    <w:uiPriority w:val="99"/>
    <w:rsid w:val="00B525FD"/>
  </w:style>
  <w:style w:type="paragraph" w:styleId="TOCHeading">
    <w:name w:val="TOC Heading"/>
    <w:basedOn w:val="Heading1"/>
    <w:next w:val="Normal"/>
    <w:uiPriority w:val="39"/>
    <w:unhideWhenUsed/>
    <w:qFormat/>
    <w:rsid w:val="00163A4F"/>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63A4F"/>
    <w:pPr>
      <w:spacing w:after="100"/>
    </w:pPr>
  </w:style>
  <w:style w:type="paragraph" w:styleId="TOC2">
    <w:name w:val="toc 2"/>
    <w:basedOn w:val="Normal"/>
    <w:next w:val="Normal"/>
    <w:autoRedefine/>
    <w:uiPriority w:val="39"/>
    <w:unhideWhenUsed/>
    <w:rsid w:val="00163A4F"/>
    <w:pPr>
      <w:spacing w:after="100"/>
      <w:ind w:left="220"/>
    </w:pPr>
  </w:style>
  <w:style w:type="character" w:styleId="Hyperlink">
    <w:name w:val="Hyperlink"/>
    <w:basedOn w:val="DefaultParagraphFont"/>
    <w:uiPriority w:val="99"/>
    <w:unhideWhenUsed/>
    <w:rsid w:val="00163A4F"/>
    <w:rPr>
      <w:color w:val="0000FF" w:themeColor="hyperlink"/>
      <w:u w:val="single"/>
    </w:rPr>
  </w:style>
  <w:style w:type="character" w:customStyle="1" w:styleId="UnresolvedMention">
    <w:name w:val="Unresolved Mention"/>
    <w:basedOn w:val="DefaultParagraphFont"/>
    <w:uiPriority w:val="99"/>
    <w:semiHidden/>
    <w:unhideWhenUsed/>
    <w:rsid w:val="005F6031"/>
    <w:rPr>
      <w:color w:val="605E5C"/>
      <w:shd w:val="clear" w:color="auto" w:fill="E1DFDD"/>
    </w:rPr>
  </w:style>
  <w:style w:type="paragraph" w:styleId="ListParagraph">
    <w:name w:val="List Paragraph"/>
    <w:basedOn w:val="Normal"/>
    <w:uiPriority w:val="34"/>
    <w:qFormat/>
    <w:rsid w:val="00FF5D1B"/>
    <w:pPr>
      <w:ind w:left="720"/>
      <w:contextualSpacing/>
    </w:pPr>
  </w:style>
  <w:style w:type="character" w:customStyle="1" w:styleId="Heading1Char">
    <w:name w:val="Heading 1 Char"/>
    <w:basedOn w:val="DefaultParagraphFont"/>
    <w:link w:val="Heading1"/>
    <w:uiPriority w:val="9"/>
    <w:rsid w:val="000029BD"/>
    <w:rPr>
      <w:rFonts w:ascii="Times New Roman" w:eastAsia="Times New Roman" w:hAnsi="Times New Roman" w:cs="Times New Roman"/>
      <w:b/>
      <w:bCs/>
      <w:sz w:val="24"/>
      <w:szCs w:val="24"/>
    </w:rPr>
  </w:style>
  <w:style w:type="paragraph" w:styleId="Bibliography">
    <w:name w:val="Bibliography"/>
    <w:basedOn w:val="Normal"/>
    <w:next w:val="Normal"/>
    <w:uiPriority w:val="37"/>
    <w:unhideWhenUsed/>
    <w:rsid w:val="000029BD"/>
  </w:style>
  <w:style w:type="paragraph" w:styleId="BalloonText">
    <w:name w:val="Balloon Text"/>
    <w:basedOn w:val="Normal"/>
    <w:link w:val="BalloonTextChar"/>
    <w:uiPriority w:val="99"/>
    <w:semiHidden/>
    <w:unhideWhenUsed/>
    <w:rsid w:val="00AF12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2D0"/>
    <w:rPr>
      <w:rFonts w:ascii="Tahoma" w:hAnsi="Tahoma" w:cs="Tahoma"/>
      <w:sz w:val="16"/>
      <w:szCs w:val="16"/>
    </w:rPr>
  </w:style>
  <w:style w:type="table" w:styleId="TableGrid">
    <w:name w:val="Table Grid"/>
    <w:basedOn w:val="TableNormal"/>
    <w:uiPriority w:val="39"/>
    <w:rsid w:val="00AF12D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AF12D0"/>
    <w:pPr>
      <w:spacing w:line="240" w:lineRule="auto"/>
    </w:pPr>
    <w:rPr>
      <w:rFonts w:asciiTheme="minorHAnsi" w:eastAsiaTheme="minorHAnsi" w:hAnsiTheme="minorHAnsi" w:cstheme="minorBidi"/>
      <w:kern w:val="2"/>
      <w:sz w:val="24"/>
      <w:szCs w:val="24"/>
      <w:lang w:val="en-US" w:eastAsia="en-US"/>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2430665">
      <w:bodyDiv w:val="1"/>
      <w:marLeft w:val="0"/>
      <w:marRight w:val="0"/>
      <w:marTop w:val="0"/>
      <w:marBottom w:val="0"/>
      <w:divBdr>
        <w:top w:val="none" w:sz="0" w:space="0" w:color="auto"/>
        <w:left w:val="none" w:sz="0" w:space="0" w:color="auto"/>
        <w:bottom w:val="none" w:sz="0" w:space="0" w:color="auto"/>
        <w:right w:val="none" w:sz="0" w:space="0" w:color="auto"/>
      </w:divBdr>
    </w:div>
    <w:div w:id="55780260">
      <w:bodyDiv w:val="1"/>
      <w:marLeft w:val="0"/>
      <w:marRight w:val="0"/>
      <w:marTop w:val="0"/>
      <w:marBottom w:val="0"/>
      <w:divBdr>
        <w:top w:val="none" w:sz="0" w:space="0" w:color="auto"/>
        <w:left w:val="none" w:sz="0" w:space="0" w:color="auto"/>
        <w:bottom w:val="none" w:sz="0" w:space="0" w:color="auto"/>
        <w:right w:val="none" w:sz="0" w:space="0" w:color="auto"/>
      </w:divBdr>
    </w:div>
    <w:div w:id="230386055">
      <w:bodyDiv w:val="1"/>
      <w:marLeft w:val="0"/>
      <w:marRight w:val="0"/>
      <w:marTop w:val="0"/>
      <w:marBottom w:val="0"/>
      <w:divBdr>
        <w:top w:val="none" w:sz="0" w:space="0" w:color="auto"/>
        <w:left w:val="none" w:sz="0" w:space="0" w:color="auto"/>
        <w:bottom w:val="none" w:sz="0" w:space="0" w:color="auto"/>
        <w:right w:val="none" w:sz="0" w:space="0" w:color="auto"/>
      </w:divBdr>
    </w:div>
    <w:div w:id="268046401">
      <w:bodyDiv w:val="1"/>
      <w:marLeft w:val="0"/>
      <w:marRight w:val="0"/>
      <w:marTop w:val="0"/>
      <w:marBottom w:val="0"/>
      <w:divBdr>
        <w:top w:val="none" w:sz="0" w:space="0" w:color="auto"/>
        <w:left w:val="none" w:sz="0" w:space="0" w:color="auto"/>
        <w:bottom w:val="none" w:sz="0" w:space="0" w:color="auto"/>
        <w:right w:val="none" w:sz="0" w:space="0" w:color="auto"/>
      </w:divBdr>
    </w:div>
    <w:div w:id="388849979">
      <w:bodyDiv w:val="1"/>
      <w:marLeft w:val="0"/>
      <w:marRight w:val="0"/>
      <w:marTop w:val="0"/>
      <w:marBottom w:val="0"/>
      <w:divBdr>
        <w:top w:val="none" w:sz="0" w:space="0" w:color="auto"/>
        <w:left w:val="none" w:sz="0" w:space="0" w:color="auto"/>
        <w:bottom w:val="none" w:sz="0" w:space="0" w:color="auto"/>
        <w:right w:val="none" w:sz="0" w:space="0" w:color="auto"/>
      </w:divBdr>
    </w:div>
    <w:div w:id="447092698">
      <w:bodyDiv w:val="1"/>
      <w:marLeft w:val="0"/>
      <w:marRight w:val="0"/>
      <w:marTop w:val="0"/>
      <w:marBottom w:val="0"/>
      <w:divBdr>
        <w:top w:val="none" w:sz="0" w:space="0" w:color="auto"/>
        <w:left w:val="none" w:sz="0" w:space="0" w:color="auto"/>
        <w:bottom w:val="none" w:sz="0" w:space="0" w:color="auto"/>
        <w:right w:val="none" w:sz="0" w:space="0" w:color="auto"/>
      </w:divBdr>
    </w:div>
    <w:div w:id="659581508">
      <w:bodyDiv w:val="1"/>
      <w:marLeft w:val="0"/>
      <w:marRight w:val="0"/>
      <w:marTop w:val="0"/>
      <w:marBottom w:val="0"/>
      <w:divBdr>
        <w:top w:val="none" w:sz="0" w:space="0" w:color="auto"/>
        <w:left w:val="none" w:sz="0" w:space="0" w:color="auto"/>
        <w:bottom w:val="none" w:sz="0" w:space="0" w:color="auto"/>
        <w:right w:val="none" w:sz="0" w:space="0" w:color="auto"/>
      </w:divBdr>
    </w:div>
    <w:div w:id="771172180">
      <w:bodyDiv w:val="1"/>
      <w:marLeft w:val="0"/>
      <w:marRight w:val="0"/>
      <w:marTop w:val="0"/>
      <w:marBottom w:val="0"/>
      <w:divBdr>
        <w:top w:val="none" w:sz="0" w:space="0" w:color="auto"/>
        <w:left w:val="none" w:sz="0" w:space="0" w:color="auto"/>
        <w:bottom w:val="none" w:sz="0" w:space="0" w:color="auto"/>
        <w:right w:val="none" w:sz="0" w:space="0" w:color="auto"/>
      </w:divBdr>
    </w:div>
    <w:div w:id="850797972">
      <w:bodyDiv w:val="1"/>
      <w:marLeft w:val="0"/>
      <w:marRight w:val="0"/>
      <w:marTop w:val="0"/>
      <w:marBottom w:val="0"/>
      <w:divBdr>
        <w:top w:val="none" w:sz="0" w:space="0" w:color="auto"/>
        <w:left w:val="none" w:sz="0" w:space="0" w:color="auto"/>
        <w:bottom w:val="none" w:sz="0" w:space="0" w:color="auto"/>
        <w:right w:val="none" w:sz="0" w:space="0" w:color="auto"/>
      </w:divBdr>
    </w:div>
    <w:div w:id="891428183">
      <w:bodyDiv w:val="1"/>
      <w:marLeft w:val="0"/>
      <w:marRight w:val="0"/>
      <w:marTop w:val="0"/>
      <w:marBottom w:val="0"/>
      <w:divBdr>
        <w:top w:val="none" w:sz="0" w:space="0" w:color="auto"/>
        <w:left w:val="none" w:sz="0" w:space="0" w:color="auto"/>
        <w:bottom w:val="none" w:sz="0" w:space="0" w:color="auto"/>
        <w:right w:val="none" w:sz="0" w:space="0" w:color="auto"/>
      </w:divBdr>
    </w:div>
    <w:div w:id="931595920">
      <w:bodyDiv w:val="1"/>
      <w:marLeft w:val="0"/>
      <w:marRight w:val="0"/>
      <w:marTop w:val="0"/>
      <w:marBottom w:val="0"/>
      <w:divBdr>
        <w:top w:val="none" w:sz="0" w:space="0" w:color="auto"/>
        <w:left w:val="none" w:sz="0" w:space="0" w:color="auto"/>
        <w:bottom w:val="none" w:sz="0" w:space="0" w:color="auto"/>
        <w:right w:val="none" w:sz="0" w:space="0" w:color="auto"/>
      </w:divBdr>
    </w:div>
    <w:div w:id="1018241129">
      <w:bodyDiv w:val="1"/>
      <w:marLeft w:val="0"/>
      <w:marRight w:val="0"/>
      <w:marTop w:val="0"/>
      <w:marBottom w:val="0"/>
      <w:divBdr>
        <w:top w:val="none" w:sz="0" w:space="0" w:color="auto"/>
        <w:left w:val="none" w:sz="0" w:space="0" w:color="auto"/>
        <w:bottom w:val="none" w:sz="0" w:space="0" w:color="auto"/>
        <w:right w:val="none" w:sz="0" w:space="0" w:color="auto"/>
      </w:divBdr>
    </w:div>
    <w:div w:id="1133138737">
      <w:bodyDiv w:val="1"/>
      <w:marLeft w:val="0"/>
      <w:marRight w:val="0"/>
      <w:marTop w:val="0"/>
      <w:marBottom w:val="0"/>
      <w:divBdr>
        <w:top w:val="none" w:sz="0" w:space="0" w:color="auto"/>
        <w:left w:val="none" w:sz="0" w:space="0" w:color="auto"/>
        <w:bottom w:val="none" w:sz="0" w:space="0" w:color="auto"/>
        <w:right w:val="none" w:sz="0" w:space="0" w:color="auto"/>
      </w:divBdr>
    </w:div>
    <w:div w:id="1154684893">
      <w:bodyDiv w:val="1"/>
      <w:marLeft w:val="0"/>
      <w:marRight w:val="0"/>
      <w:marTop w:val="0"/>
      <w:marBottom w:val="0"/>
      <w:divBdr>
        <w:top w:val="none" w:sz="0" w:space="0" w:color="auto"/>
        <w:left w:val="none" w:sz="0" w:space="0" w:color="auto"/>
        <w:bottom w:val="none" w:sz="0" w:space="0" w:color="auto"/>
        <w:right w:val="none" w:sz="0" w:space="0" w:color="auto"/>
      </w:divBdr>
    </w:div>
    <w:div w:id="1303923586">
      <w:bodyDiv w:val="1"/>
      <w:marLeft w:val="0"/>
      <w:marRight w:val="0"/>
      <w:marTop w:val="0"/>
      <w:marBottom w:val="0"/>
      <w:divBdr>
        <w:top w:val="none" w:sz="0" w:space="0" w:color="auto"/>
        <w:left w:val="none" w:sz="0" w:space="0" w:color="auto"/>
        <w:bottom w:val="none" w:sz="0" w:space="0" w:color="auto"/>
        <w:right w:val="none" w:sz="0" w:space="0" w:color="auto"/>
      </w:divBdr>
    </w:div>
    <w:div w:id="1419253600">
      <w:bodyDiv w:val="1"/>
      <w:marLeft w:val="0"/>
      <w:marRight w:val="0"/>
      <w:marTop w:val="0"/>
      <w:marBottom w:val="0"/>
      <w:divBdr>
        <w:top w:val="none" w:sz="0" w:space="0" w:color="auto"/>
        <w:left w:val="none" w:sz="0" w:space="0" w:color="auto"/>
        <w:bottom w:val="none" w:sz="0" w:space="0" w:color="auto"/>
        <w:right w:val="none" w:sz="0" w:space="0" w:color="auto"/>
      </w:divBdr>
    </w:div>
    <w:div w:id="1425106257">
      <w:bodyDiv w:val="1"/>
      <w:marLeft w:val="0"/>
      <w:marRight w:val="0"/>
      <w:marTop w:val="0"/>
      <w:marBottom w:val="0"/>
      <w:divBdr>
        <w:top w:val="none" w:sz="0" w:space="0" w:color="auto"/>
        <w:left w:val="none" w:sz="0" w:space="0" w:color="auto"/>
        <w:bottom w:val="none" w:sz="0" w:space="0" w:color="auto"/>
        <w:right w:val="none" w:sz="0" w:space="0" w:color="auto"/>
      </w:divBdr>
    </w:div>
    <w:div w:id="1439980870">
      <w:bodyDiv w:val="1"/>
      <w:marLeft w:val="0"/>
      <w:marRight w:val="0"/>
      <w:marTop w:val="0"/>
      <w:marBottom w:val="0"/>
      <w:divBdr>
        <w:top w:val="none" w:sz="0" w:space="0" w:color="auto"/>
        <w:left w:val="none" w:sz="0" w:space="0" w:color="auto"/>
        <w:bottom w:val="none" w:sz="0" w:space="0" w:color="auto"/>
        <w:right w:val="none" w:sz="0" w:space="0" w:color="auto"/>
      </w:divBdr>
    </w:div>
    <w:div w:id="1459179485">
      <w:bodyDiv w:val="1"/>
      <w:marLeft w:val="0"/>
      <w:marRight w:val="0"/>
      <w:marTop w:val="0"/>
      <w:marBottom w:val="0"/>
      <w:divBdr>
        <w:top w:val="none" w:sz="0" w:space="0" w:color="auto"/>
        <w:left w:val="none" w:sz="0" w:space="0" w:color="auto"/>
        <w:bottom w:val="none" w:sz="0" w:space="0" w:color="auto"/>
        <w:right w:val="none" w:sz="0" w:space="0" w:color="auto"/>
      </w:divBdr>
    </w:div>
    <w:div w:id="1512648325">
      <w:bodyDiv w:val="1"/>
      <w:marLeft w:val="0"/>
      <w:marRight w:val="0"/>
      <w:marTop w:val="0"/>
      <w:marBottom w:val="0"/>
      <w:divBdr>
        <w:top w:val="none" w:sz="0" w:space="0" w:color="auto"/>
        <w:left w:val="none" w:sz="0" w:space="0" w:color="auto"/>
        <w:bottom w:val="none" w:sz="0" w:space="0" w:color="auto"/>
        <w:right w:val="none" w:sz="0" w:space="0" w:color="auto"/>
      </w:divBdr>
    </w:div>
    <w:div w:id="1550721942">
      <w:bodyDiv w:val="1"/>
      <w:marLeft w:val="0"/>
      <w:marRight w:val="0"/>
      <w:marTop w:val="0"/>
      <w:marBottom w:val="0"/>
      <w:divBdr>
        <w:top w:val="none" w:sz="0" w:space="0" w:color="auto"/>
        <w:left w:val="none" w:sz="0" w:space="0" w:color="auto"/>
        <w:bottom w:val="none" w:sz="0" w:space="0" w:color="auto"/>
        <w:right w:val="none" w:sz="0" w:space="0" w:color="auto"/>
      </w:divBdr>
    </w:div>
    <w:div w:id="1624966239">
      <w:bodyDiv w:val="1"/>
      <w:marLeft w:val="0"/>
      <w:marRight w:val="0"/>
      <w:marTop w:val="0"/>
      <w:marBottom w:val="0"/>
      <w:divBdr>
        <w:top w:val="none" w:sz="0" w:space="0" w:color="auto"/>
        <w:left w:val="none" w:sz="0" w:space="0" w:color="auto"/>
        <w:bottom w:val="none" w:sz="0" w:space="0" w:color="auto"/>
        <w:right w:val="none" w:sz="0" w:space="0" w:color="auto"/>
      </w:divBdr>
    </w:div>
    <w:div w:id="1702896243">
      <w:bodyDiv w:val="1"/>
      <w:marLeft w:val="0"/>
      <w:marRight w:val="0"/>
      <w:marTop w:val="0"/>
      <w:marBottom w:val="0"/>
      <w:divBdr>
        <w:top w:val="none" w:sz="0" w:space="0" w:color="auto"/>
        <w:left w:val="none" w:sz="0" w:space="0" w:color="auto"/>
        <w:bottom w:val="none" w:sz="0" w:space="0" w:color="auto"/>
        <w:right w:val="none" w:sz="0" w:space="0" w:color="auto"/>
      </w:divBdr>
    </w:div>
    <w:div w:id="1835878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erolink-logistics.com/" TargetMode="External"/><Relationship Id="rId18" Type="http://schemas.openxmlformats.org/officeDocument/2006/relationships/hyperlink" Target="https://www.ceeol.com/search/article-detail?id=1320270" TargetMode="External"/><Relationship Id="rId26" Type="http://schemas.openxmlformats.org/officeDocument/2006/relationships/hyperlink" Target="https://www.preprints.org/manuscript/202512.2390" TargetMode="External"/><Relationship Id="rId3" Type="http://schemas.openxmlformats.org/officeDocument/2006/relationships/styles" Target="styles.xml"/><Relationship Id="rId21" Type="http://schemas.openxmlformats.org/officeDocument/2006/relationships/hyperlink" Target="https://www.ijrpetm.com/index.php/IJRPETM/article/view/51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heraldes.khmnu.edu.ua/index.php/heraldes/article/view/1659" TargetMode="External"/><Relationship Id="rId25" Type="http://schemas.openxmlformats.org/officeDocument/2006/relationships/hyperlink" Target="https://ijadis.com/index.php/ijadis/article/view/153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l.acm.org/doi/abs/10.1145/3503920" TargetMode="External"/><Relationship Id="rId20" Type="http://schemas.openxmlformats.org/officeDocument/2006/relationships/hyperlink" Target="https://www.researchgate.net/profile/Bikramjeet-Ghura/publication/385007438_Role_of_Frameworks_in_Cybersecurity_Governance/links/671270fe035917754c082dd8/Role-of-Frameworks-in-Cybersecurity-Governance.pdf" TargetMode="External"/><Relationship Id="rId29" Type="http://schemas.openxmlformats.org/officeDocument/2006/relationships/hyperlink" Target="https://onlinelibrary.wiley.com/doi/abs/10.1155/2022/72953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gi-global.com/chapter/leveraging-iot-and-blockchain-for-smarter-supply-chains-and-logistics/39074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eeexplore.ieee.org/abstract/document/10933978/" TargetMode="External"/><Relationship Id="rId23" Type="http://schemas.openxmlformats.org/officeDocument/2006/relationships/hyperlink" Target="https://ojs.literasisains.id/index.php/ijisit/article/view/96" TargetMode="External"/><Relationship Id="rId28" Type="http://schemas.openxmlformats.org/officeDocument/2006/relationships/hyperlink" Target="https://www.mdpi.com/2073-431X/15/4/236" TargetMode="External"/><Relationship Id="rId10" Type="http://schemas.openxmlformats.org/officeDocument/2006/relationships/hyperlink" Target="http://aerolink-logistics.com" TargetMode="External"/><Relationship Id="rId19" Type="http://schemas.openxmlformats.org/officeDocument/2006/relationships/hyperlink" Target="https://journal.sinergi.or.id/index.php/ijl/article/view/72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erolink-logistics.com/" TargetMode="External"/><Relationship Id="rId22" Type="http://schemas.openxmlformats.org/officeDocument/2006/relationships/hyperlink" Target="https://www.preprints.org/manuscript/202512.2622" TargetMode="External"/><Relationship Id="rId27" Type="http://schemas.openxmlformats.org/officeDocument/2006/relationships/hyperlink" Target="https://researchinnovationjournal.com/index.php/AJSRI/article/view/116" TargetMode="External"/><Relationship Id="rId30" Type="http://schemas.openxmlformats.org/officeDocument/2006/relationships/hyperlink" Target="https://ieeexplore.ieee.org/abstract/document/1136955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Aer26</b:Tag>
    <b:SourceType>InternetSite</b:SourceType>
    <b:Guid>{F25B01F6-1E14-41E8-89C5-97DD20F1BAEA}</b:Guid>
    <b:Title>Reliable and efficient shipping solutions tailored to your needs</b:Title>
    <b:Year>2026</b:Year>
    <b:Author>
      <b:Author>
        <b:NameList>
          <b:Person>
            <b:Last>Logistics</b:Last>
            <b:First>AeroLink</b:First>
          </b:Person>
        </b:NameList>
      </b:Author>
    </b:Author>
    <b:ProductionCompany>AeroLink Logistics</b:ProductionCompany>
    <b:URL>https://aerolink-logistics.com/</b:URL>
    <b:RefOrder>1</b:RefOrder>
  </b:Source>
  <b:Source>
    <b:Tag>Axo22</b:Tag>
    <b:SourceType>JournalArticle</b:SourceType>
    <b:Guid>{7EF04423-329A-4F08-90FD-2AF64045AECF}</b:Guid>
    <b:Author>
      <b:Author>
        <b:NameList>
          <b:Person>
            <b:Last>Axon</b:Last>
            <b:First>L.</b:First>
          </b:Person>
        </b:NameList>
      </b:Author>
    </b:Author>
    <b:Title>Emerging cybersecurity capability gaps in the industrial internet of things: Overview and research agenda</b:Title>
    <b:JournalName>Digital Threats: Research and Practice</b:JournalName>
    <b:Year>2022</b:Year>
    <b:Pages>1–27</b:Pages>
    <b:Volume>3</b:Volume>
    <b:RefOrder>6</b:RefOrder>
  </b:Source>
  <b:Source>
    <b:Tag>Uta25</b:Tag>
    <b:SourceType>JournalArticle</b:SourceType>
    <b:Guid>{4971AFEE-C738-4BB6-9D31-0AC3F595CC5F}</b:Guid>
    <b:Author>
      <b:Author>
        <b:NameList>
          <b:Person>
            <b:Last>Utama</b:Last>
            <b:First>D.</b:First>
            <b:Middle>N.</b:Middle>
          </b:Person>
        </b:NameList>
      </b:Author>
    </b:Author>
    <b:Title>Towards secure information systems: Developing and implementing an information security evaluation model using NIST CSF and COBIT 2019</b:Title>
    <b:JournalName>TEM Journal</b:JournalName>
    <b:Year>2025</b:Year>
    <b:RefOrder>5</b:RefOrder>
  </b:Source>
  <b:Source>
    <b:Tag>Als25</b:Tag>
    <b:SourceType>JournalArticle</b:SourceType>
    <b:Guid>{155D7C93-2694-4C17-82EA-2E01D0A59036}</b:Guid>
    <b:Author>
      <b:Author>
        <b:NameList>
          <b:Person>
            <b:Last>Alshammari</b:Last>
            <b:First>B,Singh,</b:First>
            <b:Middle>M. M.</b:Middle>
          </b:Person>
        </b:NameList>
      </b:Author>
    </b:Author>
    <b:Title>A systematic literature review on tackling cyber threats for cyber logistic chain and conceptual frameworks for robust detection mechanisms</b:Title>
    <b:Year>2025</b:Year>
    <b:JournalName>IEEE Access</b:JournalName>
    <b:Pages>67661–67692</b:Pages>
    <b:Volume>13</b:Volume>
    <b:RefOrder>3</b:RefOrder>
  </b:Source>
  <b:Source>
    <b:Tag>Dum25</b:Tag>
    <b:SourceType>JournalArticle</b:SourceType>
    <b:Guid>{27A98785-FC4F-41AB-9301-F4217BE9BD2F}</b:Guid>
    <b:Author>
      <b:Author>
        <b:NameList>
          <b:Person>
            <b:Last>Dumanska</b:Last>
            <b:First>I.</b:First>
          </b:Person>
        </b:NameList>
      </b:Author>
    </b:Author>
    <b:Title>Logistical support of industrial enterprises: innovative and safety components</b:Title>
    <b:JournalName>Herald of Khmelnytskyi National University. Economic sciences</b:JournalName>
    <b:Year>2025</b:Year>
    <b:RefOrder>4</b:RefOrder>
  </b:Source>
  <b:Source>
    <b:Tag>Fai24</b:Tag>
    <b:SourceType>JournalArticle</b:SourceType>
    <b:Guid>{560570BF-A7AE-43FF-B523-97F222962F23}</b:Guid>
    <b:Author>
      <b:Author>
        <b:NameList>
          <b:Person>
            <b:Last>Faisal</b:Last>
            <b:First>A.</b:First>
          </b:Person>
        </b:NameList>
      </b:Author>
    </b:Author>
    <b:Title>Cybersecurity in Digital Supply Chains: A Narrative Review of Threats and Strategic Frameworks for Sustainable Logistics</b:Title>
    <b:JournalName>Sinergi International Journal of Logistics</b:JournalName>
    <b:Year>2024</b:Year>
    <b:RefOrder>2</b:RefOrder>
  </b:Source>
</b:Sources>
</file>

<file path=customXml/itemProps1.xml><?xml version="1.0" encoding="utf-8"?>
<ds:datastoreItem xmlns:ds="http://schemas.openxmlformats.org/officeDocument/2006/customXml" ds:itemID="{21E579AB-B14A-442F-B8B5-1EDF4BFF6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4951</Words>
  <Characters>28222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DHAVAL RAMI</dc:creator>
  <cp:lastModifiedBy>DHAVAL RAMI</cp:lastModifiedBy>
  <cp:revision>2</cp:revision>
  <dcterms:created xsi:type="dcterms:W3CDTF">2026-08-12T12:51:00Z</dcterms:created>
  <dcterms:modified xsi:type="dcterms:W3CDTF">2026-08-12T12:51:00Z</dcterms:modified>
</cp:coreProperties>
</file>