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39EB"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EC"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ED"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EE"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EF"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0"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1"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2"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3"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4"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5" w14:textId="77777777" w:rsidR="00C25362" w:rsidRPr="00746084" w:rsidRDefault="00C25362" w:rsidP="00C25362">
      <w:pPr>
        <w:jc w:val="right"/>
        <w:rPr>
          <w:rFonts w:ascii="Times New Roman" w:hAnsi="Times New Roman" w:cs="Times New Roman"/>
          <w:b/>
          <w:bCs/>
          <w:color w:val="000000" w:themeColor="text1"/>
          <w:sz w:val="24"/>
          <w:szCs w:val="24"/>
        </w:rPr>
      </w:pPr>
    </w:p>
    <w:p w14:paraId="334839F6" w14:textId="77777777" w:rsidR="00C25362" w:rsidRPr="00746084" w:rsidRDefault="00C25362" w:rsidP="00C25362">
      <w:pPr>
        <w:jc w:val="center"/>
        <w:rPr>
          <w:rFonts w:ascii="Times New Roman" w:hAnsi="Times New Roman" w:cs="Times New Roman"/>
          <w:b/>
          <w:bCs/>
          <w:color w:val="000000" w:themeColor="text1"/>
          <w:sz w:val="24"/>
          <w:szCs w:val="24"/>
        </w:rPr>
      </w:pPr>
    </w:p>
    <w:p w14:paraId="334839F7" w14:textId="77777777" w:rsidR="00C25362" w:rsidRPr="00746084" w:rsidRDefault="00C25362" w:rsidP="00C25362">
      <w:pPr>
        <w:jc w:val="center"/>
        <w:rPr>
          <w:rFonts w:ascii="Times New Roman" w:hAnsi="Times New Roman" w:cs="Times New Roman"/>
          <w:b/>
          <w:bCs/>
          <w:color w:val="000000" w:themeColor="text1"/>
          <w:sz w:val="24"/>
          <w:szCs w:val="24"/>
        </w:rPr>
      </w:pPr>
      <w:r w:rsidRPr="00746084">
        <w:rPr>
          <w:rFonts w:ascii="Times New Roman" w:hAnsi="Times New Roman" w:cs="Times New Roman"/>
          <w:b/>
          <w:bCs/>
          <w:color w:val="000000" w:themeColor="text1"/>
          <w:sz w:val="24"/>
          <w:szCs w:val="24"/>
        </w:rPr>
        <w:t>BMMB7005</w:t>
      </w:r>
    </w:p>
    <w:p w14:paraId="334839F8" w14:textId="77777777" w:rsidR="00C25362" w:rsidRPr="00746084" w:rsidRDefault="00C25362" w:rsidP="00C25362">
      <w:pPr>
        <w:jc w:val="center"/>
        <w:rPr>
          <w:rFonts w:ascii="Times New Roman" w:hAnsi="Times New Roman" w:cs="Times New Roman"/>
          <w:b/>
          <w:bCs/>
          <w:color w:val="000000" w:themeColor="text1"/>
          <w:sz w:val="24"/>
          <w:szCs w:val="24"/>
        </w:rPr>
      </w:pPr>
      <w:r w:rsidRPr="00746084">
        <w:rPr>
          <w:rFonts w:ascii="Times New Roman" w:hAnsi="Times New Roman" w:cs="Times New Roman"/>
          <w:b/>
          <w:bCs/>
          <w:color w:val="000000" w:themeColor="text1"/>
          <w:sz w:val="24"/>
          <w:szCs w:val="24"/>
        </w:rPr>
        <w:t>Finance for Business Manager</w:t>
      </w:r>
    </w:p>
    <w:p w14:paraId="334839F9" w14:textId="16D3662D" w:rsidR="00C25362" w:rsidRPr="00746084" w:rsidRDefault="00C25362" w:rsidP="00C25362">
      <w:pPr>
        <w:jc w:val="center"/>
        <w:rPr>
          <w:rFonts w:ascii="Times New Roman" w:hAnsi="Times New Roman" w:cs="Times New Roman"/>
          <w:b/>
          <w:bCs/>
          <w:color w:val="000000" w:themeColor="text1"/>
          <w:sz w:val="24"/>
          <w:szCs w:val="24"/>
        </w:rPr>
      </w:pPr>
    </w:p>
    <w:p w14:paraId="334839FA" w14:textId="77777777" w:rsidR="00C33193" w:rsidRPr="00746084" w:rsidRDefault="00C33193">
      <w:pPr>
        <w:rPr>
          <w:rFonts w:ascii="Times New Roman" w:eastAsia="Arial" w:hAnsi="Times New Roman" w:cs="Times New Roman"/>
          <w:b/>
          <w:color w:val="000000" w:themeColor="text1"/>
          <w:sz w:val="24"/>
          <w:szCs w:val="24"/>
        </w:rPr>
      </w:pPr>
    </w:p>
    <w:p w14:paraId="334839FB" w14:textId="77777777" w:rsidR="00C25362" w:rsidRPr="00746084" w:rsidRDefault="00C25362">
      <w:pPr>
        <w:rPr>
          <w:rFonts w:ascii="Times New Roman" w:eastAsia="Arial" w:hAnsi="Times New Roman" w:cs="Times New Roman"/>
          <w:b/>
          <w:color w:val="000000" w:themeColor="text1"/>
          <w:sz w:val="24"/>
          <w:szCs w:val="24"/>
        </w:rPr>
      </w:pPr>
      <w:r w:rsidRPr="00746084">
        <w:rPr>
          <w:rFonts w:ascii="Times New Roman" w:eastAsia="Arial" w:hAnsi="Times New Roman" w:cs="Times New Roman"/>
          <w:color w:val="000000" w:themeColor="text1"/>
          <w:sz w:val="24"/>
          <w:szCs w:val="24"/>
        </w:rPr>
        <w:br w:type="page"/>
      </w:r>
    </w:p>
    <w:sdt>
      <w:sdtPr>
        <w:rPr>
          <w:rFonts w:ascii="Times New Roman" w:eastAsiaTheme="minorHAnsi" w:hAnsi="Times New Roman" w:cs="Times New Roman"/>
          <w:i w:val="0"/>
          <w:color w:val="000000" w:themeColor="text1"/>
          <w:sz w:val="24"/>
          <w:szCs w:val="24"/>
          <w:lang w:val="en-GB"/>
        </w:rPr>
        <w:id w:val="577403992"/>
        <w:docPartObj>
          <w:docPartGallery w:val="Table of Contents"/>
          <w:docPartUnique/>
        </w:docPartObj>
      </w:sdtPr>
      <w:sdtEndPr>
        <w:rPr>
          <w:b/>
          <w:bCs/>
          <w:noProof/>
        </w:rPr>
      </w:sdtEndPr>
      <w:sdtContent>
        <w:p w14:paraId="334839FC" w14:textId="77777777" w:rsidR="005A72E2" w:rsidRPr="00746084" w:rsidRDefault="005A72E2" w:rsidP="00746084">
          <w:pPr>
            <w:pStyle w:val="TOCHeading"/>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Contents</w:t>
          </w:r>
        </w:p>
        <w:p w14:paraId="604039FA" w14:textId="083C835A" w:rsidR="005F1AE4" w:rsidRDefault="005A72E2">
          <w:pPr>
            <w:pStyle w:val="TOC1"/>
            <w:tabs>
              <w:tab w:val="right" w:leader="dot" w:pos="9350"/>
            </w:tabs>
            <w:rPr>
              <w:rFonts w:eastAsiaTheme="minorEastAsia"/>
              <w:noProof/>
              <w:lang w:eastAsia="zh-CN"/>
            </w:rPr>
          </w:pP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TOC \o "1-3" \h \z \u </w:instrText>
          </w:r>
          <w:r w:rsidRPr="00746084">
            <w:rPr>
              <w:rFonts w:ascii="Times New Roman" w:hAnsi="Times New Roman" w:cs="Times New Roman"/>
              <w:color w:val="000000" w:themeColor="text1"/>
              <w:sz w:val="24"/>
              <w:szCs w:val="24"/>
            </w:rPr>
            <w:fldChar w:fldCharType="separate"/>
          </w:r>
          <w:hyperlink w:anchor="_Toc121233957" w:history="1">
            <w:r w:rsidR="005F1AE4" w:rsidRPr="0070799C">
              <w:rPr>
                <w:rStyle w:val="Hyperlink"/>
                <w:rFonts w:eastAsia="Arial" w:cs="Times New Roman"/>
                <w:noProof/>
              </w:rPr>
              <w:t>Introduction</w:t>
            </w:r>
            <w:r w:rsidR="005F1AE4">
              <w:rPr>
                <w:noProof/>
                <w:webHidden/>
              </w:rPr>
              <w:tab/>
            </w:r>
            <w:r w:rsidR="005F1AE4">
              <w:rPr>
                <w:noProof/>
                <w:webHidden/>
              </w:rPr>
              <w:fldChar w:fldCharType="begin"/>
            </w:r>
            <w:r w:rsidR="005F1AE4">
              <w:rPr>
                <w:noProof/>
                <w:webHidden/>
              </w:rPr>
              <w:instrText xml:space="preserve"> PAGEREF _Toc121233957 \h </w:instrText>
            </w:r>
            <w:r w:rsidR="005F1AE4">
              <w:rPr>
                <w:noProof/>
                <w:webHidden/>
              </w:rPr>
            </w:r>
            <w:r w:rsidR="005F1AE4">
              <w:rPr>
                <w:noProof/>
                <w:webHidden/>
              </w:rPr>
              <w:fldChar w:fldCharType="separate"/>
            </w:r>
            <w:r w:rsidR="005F1AE4">
              <w:rPr>
                <w:noProof/>
                <w:webHidden/>
              </w:rPr>
              <w:t>3</w:t>
            </w:r>
            <w:r w:rsidR="005F1AE4">
              <w:rPr>
                <w:noProof/>
                <w:webHidden/>
              </w:rPr>
              <w:fldChar w:fldCharType="end"/>
            </w:r>
          </w:hyperlink>
        </w:p>
        <w:p w14:paraId="1AFD13F9" w14:textId="15F15514" w:rsidR="005F1AE4" w:rsidRDefault="005F1AE4">
          <w:pPr>
            <w:pStyle w:val="TOC2"/>
            <w:tabs>
              <w:tab w:val="right" w:leader="dot" w:pos="9350"/>
            </w:tabs>
            <w:rPr>
              <w:rFonts w:eastAsiaTheme="minorEastAsia"/>
              <w:noProof/>
              <w:lang w:eastAsia="zh-CN"/>
            </w:rPr>
          </w:pPr>
          <w:hyperlink w:anchor="_Toc121233958" w:history="1">
            <w:r w:rsidRPr="0070799C">
              <w:rPr>
                <w:rStyle w:val="Hyperlink"/>
                <w:rFonts w:cs="Times New Roman"/>
                <w:noProof/>
                <w:lang w:val="en-US"/>
              </w:rPr>
              <w:t>Company’s Overview</w:t>
            </w:r>
            <w:r>
              <w:rPr>
                <w:noProof/>
                <w:webHidden/>
              </w:rPr>
              <w:tab/>
            </w:r>
            <w:r>
              <w:rPr>
                <w:noProof/>
                <w:webHidden/>
              </w:rPr>
              <w:fldChar w:fldCharType="begin"/>
            </w:r>
            <w:r>
              <w:rPr>
                <w:noProof/>
                <w:webHidden/>
              </w:rPr>
              <w:instrText xml:space="preserve"> PAGEREF _Toc121233958 \h </w:instrText>
            </w:r>
            <w:r>
              <w:rPr>
                <w:noProof/>
                <w:webHidden/>
              </w:rPr>
            </w:r>
            <w:r>
              <w:rPr>
                <w:noProof/>
                <w:webHidden/>
              </w:rPr>
              <w:fldChar w:fldCharType="separate"/>
            </w:r>
            <w:r>
              <w:rPr>
                <w:noProof/>
                <w:webHidden/>
              </w:rPr>
              <w:t>3</w:t>
            </w:r>
            <w:r>
              <w:rPr>
                <w:noProof/>
                <w:webHidden/>
              </w:rPr>
              <w:fldChar w:fldCharType="end"/>
            </w:r>
          </w:hyperlink>
        </w:p>
        <w:p w14:paraId="79F3FD5D" w14:textId="71721838" w:rsidR="005F1AE4" w:rsidRDefault="005F1AE4">
          <w:pPr>
            <w:pStyle w:val="TOC1"/>
            <w:tabs>
              <w:tab w:val="right" w:leader="dot" w:pos="9350"/>
            </w:tabs>
            <w:rPr>
              <w:rFonts w:eastAsiaTheme="minorEastAsia"/>
              <w:noProof/>
              <w:lang w:eastAsia="zh-CN"/>
            </w:rPr>
          </w:pPr>
          <w:hyperlink w:anchor="_Toc121233959" w:history="1">
            <w:r w:rsidRPr="0070799C">
              <w:rPr>
                <w:rStyle w:val="Hyperlink"/>
                <w:rFonts w:cs="Times New Roman"/>
                <w:noProof/>
                <w:lang/>
              </w:rPr>
              <w:t>Key elements of Whitbread Plc</w:t>
            </w:r>
            <w:r>
              <w:rPr>
                <w:noProof/>
                <w:webHidden/>
              </w:rPr>
              <w:tab/>
            </w:r>
            <w:r>
              <w:rPr>
                <w:noProof/>
                <w:webHidden/>
              </w:rPr>
              <w:fldChar w:fldCharType="begin"/>
            </w:r>
            <w:r>
              <w:rPr>
                <w:noProof/>
                <w:webHidden/>
              </w:rPr>
              <w:instrText xml:space="preserve"> PAGEREF _Toc121233959 \h </w:instrText>
            </w:r>
            <w:r>
              <w:rPr>
                <w:noProof/>
                <w:webHidden/>
              </w:rPr>
            </w:r>
            <w:r>
              <w:rPr>
                <w:noProof/>
                <w:webHidden/>
              </w:rPr>
              <w:fldChar w:fldCharType="separate"/>
            </w:r>
            <w:r>
              <w:rPr>
                <w:noProof/>
                <w:webHidden/>
              </w:rPr>
              <w:t>3</w:t>
            </w:r>
            <w:r>
              <w:rPr>
                <w:noProof/>
                <w:webHidden/>
              </w:rPr>
              <w:fldChar w:fldCharType="end"/>
            </w:r>
          </w:hyperlink>
        </w:p>
        <w:p w14:paraId="204BC4AF" w14:textId="62453FE4" w:rsidR="005F1AE4" w:rsidRDefault="005F1AE4">
          <w:pPr>
            <w:pStyle w:val="TOC2"/>
            <w:tabs>
              <w:tab w:val="right" w:leader="dot" w:pos="9350"/>
            </w:tabs>
            <w:rPr>
              <w:rFonts w:eastAsiaTheme="minorEastAsia"/>
              <w:noProof/>
              <w:lang w:eastAsia="zh-CN"/>
            </w:rPr>
          </w:pPr>
          <w:hyperlink w:anchor="_Toc121233960" w:history="1">
            <w:r w:rsidRPr="0070799C">
              <w:rPr>
                <w:rStyle w:val="Hyperlink"/>
                <w:rFonts w:cs="Times New Roman"/>
                <w:noProof/>
              </w:rPr>
              <w:t>Profitability</w:t>
            </w:r>
            <w:r w:rsidRPr="0070799C">
              <w:rPr>
                <w:rStyle w:val="Hyperlink"/>
                <w:rFonts w:cs="Times New Roman"/>
                <w:noProof/>
                <w:lang/>
              </w:rPr>
              <w:t xml:space="preserve"> Ratios</w:t>
            </w:r>
            <w:r>
              <w:rPr>
                <w:noProof/>
                <w:webHidden/>
              </w:rPr>
              <w:tab/>
            </w:r>
            <w:r>
              <w:rPr>
                <w:noProof/>
                <w:webHidden/>
              </w:rPr>
              <w:fldChar w:fldCharType="begin"/>
            </w:r>
            <w:r>
              <w:rPr>
                <w:noProof/>
                <w:webHidden/>
              </w:rPr>
              <w:instrText xml:space="preserve"> PAGEREF _Toc121233960 \h </w:instrText>
            </w:r>
            <w:r>
              <w:rPr>
                <w:noProof/>
                <w:webHidden/>
              </w:rPr>
            </w:r>
            <w:r>
              <w:rPr>
                <w:noProof/>
                <w:webHidden/>
              </w:rPr>
              <w:fldChar w:fldCharType="separate"/>
            </w:r>
            <w:r>
              <w:rPr>
                <w:noProof/>
                <w:webHidden/>
              </w:rPr>
              <w:t>3</w:t>
            </w:r>
            <w:r>
              <w:rPr>
                <w:noProof/>
                <w:webHidden/>
              </w:rPr>
              <w:fldChar w:fldCharType="end"/>
            </w:r>
          </w:hyperlink>
        </w:p>
        <w:p w14:paraId="15C536A2" w14:textId="774CC2DF" w:rsidR="005F1AE4" w:rsidRDefault="005F1AE4">
          <w:pPr>
            <w:pStyle w:val="TOC2"/>
            <w:tabs>
              <w:tab w:val="right" w:leader="dot" w:pos="9350"/>
            </w:tabs>
            <w:rPr>
              <w:rFonts w:eastAsiaTheme="minorEastAsia"/>
              <w:noProof/>
              <w:lang w:eastAsia="zh-CN"/>
            </w:rPr>
          </w:pPr>
          <w:hyperlink w:anchor="_Toc121233961" w:history="1">
            <w:r w:rsidRPr="0070799C">
              <w:rPr>
                <w:rStyle w:val="Hyperlink"/>
                <w:rFonts w:cs="Times New Roman"/>
                <w:noProof/>
              </w:rPr>
              <w:t>Liquidity</w:t>
            </w:r>
            <w:r w:rsidRPr="0070799C">
              <w:rPr>
                <w:rStyle w:val="Hyperlink"/>
                <w:rFonts w:cs="Times New Roman"/>
                <w:noProof/>
                <w:lang/>
              </w:rPr>
              <w:t xml:space="preserve"> Ratios</w:t>
            </w:r>
            <w:r>
              <w:rPr>
                <w:noProof/>
                <w:webHidden/>
              </w:rPr>
              <w:tab/>
            </w:r>
            <w:r>
              <w:rPr>
                <w:noProof/>
                <w:webHidden/>
              </w:rPr>
              <w:fldChar w:fldCharType="begin"/>
            </w:r>
            <w:r>
              <w:rPr>
                <w:noProof/>
                <w:webHidden/>
              </w:rPr>
              <w:instrText xml:space="preserve"> PAGEREF _Toc121233961 \h </w:instrText>
            </w:r>
            <w:r>
              <w:rPr>
                <w:noProof/>
                <w:webHidden/>
              </w:rPr>
            </w:r>
            <w:r>
              <w:rPr>
                <w:noProof/>
                <w:webHidden/>
              </w:rPr>
              <w:fldChar w:fldCharType="separate"/>
            </w:r>
            <w:r>
              <w:rPr>
                <w:noProof/>
                <w:webHidden/>
              </w:rPr>
              <w:t>4</w:t>
            </w:r>
            <w:r>
              <w:rPr>
                <w:noProof/>
                <w:webHidden/>
              </w:rPr>
              <w:fldChar w:fldCharType="end"/>
            </w:r>
          </w:hyperlink>
        </w:p>
        <w:p w14:paraId="49CD9C26" w14:textId="19E75E71" w:rsidR="005F1AE4" w:rsidRDefault="005F1AE4">
          <w:pPr>
            <w:pStyle w:val="TOC2"/>
            <w:tabs>
              <w:tab w:val="right" w:leader="dot" w:pos="9350"/>
            </w:tabs>
            <w:rPr>
              <w:rFonts w:eastAsiaTheme="minorEastAsia"/>
              <w:noProof/>
              <w:lang w:eastAsia="zh-CN"/>
            </w:rPr>
          </w:pPr>
          <w:hyperlink w:anchor="_Toc121233962" w:history="1">
            <w:r w:rsidRPr="0070799C">
              <w:rPr>
                <w:rStyle w:val="Hyperlink"/>
                <w:rFonts w:cs="Times New Roman"/>
                <w:noProof/>
                <w:lang/>
              </w:rPr>
              <w:t>Solvency Ratios</w:t>
            </w:r>
            <w:r>
              <w:rPr>
                <w:noProof/>
                <w:webHidden/>
              </w:rPr>
              <w:tab/>
            </w:r>
            <w:r>
              <w:rPr>
                <w:noProof/>
                <w:webHidden/>
              </w:rPr>
              <w:fldChar w:fldCharType="begin"/>
            </w:r>
            <w:r>
              <w:rPr>
                <w:noProof/>
                <w:webHidden/>
              </w:rPr>
              <w:instrText xml:space="preserve"> PAGEREF _Toc121233962 \h </w:instrText>
            </w:r>
            <w:r>
              <w:rPr>
                <w:noProof/>
                <w:webHidden/>
              </w:rPr>
            </w:r>
            <w:r>
              <w:rPr>
                <w:noProof/>
                <w:webHidden/>
              </w:rPr>
              <w:fldChar w:fldCharType="separate"/>
            </w:r>
            <w:r>
              <w:rPr>
                <w:noProof/>
                <w:webHidden/>
              </w:rPr>
              <w:t>4</w:t>
            </w:r>
            <w:r>
              <w:rPr>
                <w:noProof/>
                <w:webHidden/>
              </w:rPr>
              <w:fldChar w:fldCharType="end"/>
            </w:r>
          </w:hyperlink>
        </w:p>
        <w:p w14:paraId="6FEC3997" w14:textId="597BBC5A" w:rsidR="005F1AE4" w:rsidRDefault="005F1AE4">
          <w:pPr>
            <w:pStyle w:val="TOC2"/>
            <w:tabs>
              <w:tab w:val="right" w:leader="dot" w:pos="9350"/>
            </w:tabs>
            <w:rPr>
              <w:rFonts w:eastAsiaTheme="minorEastAsia"/>
              <w:noProof/>
              <w:lang w:eastAsia="zh-CN"/>
            </w:rPr>
          </w:pPr>
          <w:hyperlink w:anchor="_Toc121233963" w:history="1">
            <w:r w:rsidRPr="0070799C">
              <w:rPr>
                <w:rStyle w:val="Hyperlink"/>
                <w:rFonts w:cs="Times New Roman"/>
                <w:noProof/>
                <w:lang/>
              </w:rPr>
              <w:t>Efficiency Ratios</w:t>
            </w:r>
            <w:r>
              <w:rPr>
                <w:noProof/>
                <w:webHidden/>
              </w:rPr>
              <w:tab/>
            </w:r>
            <w:r>
              <w:rPr>
                <w:noProof/>
                <w:webHidden/>
              </w:rPr>
              <w:fldChar w:fldCharType="begin"/>
            </w:r>
            <w:r>
              <w:rPr>
                <w:noProof/>
                <w:webHidden/>
              </w:rPr>
              <w:instrText xml:space="preserve"> PAGEREF _Toc121233963 \h </w:instrText>
            </w:r>
            <w:r>
              <w:rPr>
                <w:noProof/>
                <w:webHidden/>
              </w:rPr>
            </w:r>
            <w:r>
              <w:rPr>
                <w:noProof/>
                <w:webHidden/>
              </w:rPr>
              <w:fldChar w:fldCharType="separate"/>
            </w:r>
            <w:r>
              <w:rPr>
                <w:noProof/>
                <w:webHidden/>
              </w:rPr>
              <w:t>4</w:t>
            </w:r>
            <w:r>
              <w:rPr>
                <w:noProof/>
                <w:webHidden/>
              </w:rPr>
              <w:fldChar w:fldCharType="end"/>
            </w:r>
          </w:hyperlink>
        </w:p>
        <w:p w14:paraId="546A4340" w14:textId="79B5F01F" w:rsidR="005F1AE4" w:rsidRDefault="005F1AE4">
          <w:pPr>
            <w:pStyle w:val="TOC2"/>
            <w:tabs>
              <w:tab w:val="right" w:leader="dot" w:pos="9350"/>
            </w:tabs>
            <w:rPr>
              <w:rFonts w:eastAsiaTheme="minorEastAsia"/>
              <w:noProof/>
              <w:lang w:eastAsia="zh-CN"/>
            </w:rPr>
          </w:pPr>
          <w:hyperlink w:anchor="_Toc121233964" w:history="1">
            <w:r w:rsidRPr="0070799C">
              <w:rPr>
                <w:rStyle w:val="Hyperlink"/>
                <w:rFonts w:cs="Times New Roman"/>
                <w:noProof/>
                <w:lang/>
              </w:rPr>
              <w:t>Growth Ratios</w:t>
            </w:r>
            <w:r>
              <w:rPr>
                <w:noProof/>
                <w:webHidden/>
              </w:rPr>
              <w:tab/>
            </w:r>
            <w:r>
              <w:rPr>
                <w:noProof/>
                <w:webHidden/>
              </w:rPr>
              <w:fldChar w:fldCharType="begin"/>
            </w:r>
            <w:r>
              <w:rPr>
                <w:noProof/>
                <w:webHidden/>
              </w:rPr>
              <w:instrText xml:space="preserve"> PAGEREF _Toc121233964 \h </w:instrText>
            </w:r>
            <w:r>
              <w:rPr>
                <w:noProof/>
                <w:webHidden/>
              </w:rPr>
            </w:r>
            <w:r>
              <w:rPr>
                <w:noProof/>
                <w:webHidden/>
              </w:rPr>
              <w:fldChar w:fldCharType="separate"/>
            </w:r>
            <w:r>
              <w:rPr>
                <w:noProof/>
                <w:webHidden/>
              </w:rPr>
              <w:t>5</w:t>
            </w:r>
            <w:r>
              <w:rPr>
                <w:noProof/>
                <w:webHidden/>
              </w:rPr>
              <w:fldChar w:fldCharType="end"/>
            </w:r>
          </w:hyperlink>
        </w:p>
        <w:p w14:paraId="0BA2CF96" w14:textId="1B8BE7D4" w:rsidR="005F1AE4" w:rsidRDefault="005F1AE4">
          <w:pPr>
            <w:pStyle w:val="TOC1"/>
            <w:tabs>
              <w:tab w:val="right" w:leader="dot" w:pos="9350"/>
            </w:tabs>
            <w:rPr>
              <w:rFonts w:eastAsiaTheme="minorEastAsia"/>
              <w:noProof/>
              <w:lang w:eastAsia="zh-CN"/>
            </w:rPr>
          </w:pPr>
          <w:hyperlink w:anchor="_Toc121233965" w:history="1">
            <w:r w:rsidRPr="0070799C">
              <w:rPr>
                <w:rStyle w:val="Hyperlink"/>
                <w:rFonts w:cs="Times New Roman"/>
                <w:noProof/>
                <w:lang w:val="en-US"/>
              </w:rPr>
              <w:t>Financial Ratios</w:t>
            </w:r>
            <w:r>
              <w:rPr>
                <w:noProof/>
                <w:webHidden/>
              </w:rPr>
              <w:tab/>
            </w:r>
            <w:r>
              <w:rPr>
                <w:noProof/>
                <w:webHidden/>
              </w:rPr>
              <w:fldChar w:fldCharType="begin"/>
            </w:r>
            <w:r>
              <w:rPr>
                <w:noProof/>
                <w:webHidden/>
              </w:rPr>
              <w:instrText xml:space="preserve"> PAGEREF _Toc121233965 \h </w:instrText>
            </w:r>
            <w:r>
              <w:rPr>
                <w:noProof/>
                <w:webHidden/>
              </w:rPr>
            </w:r>
            <w:r>
              <w:rPr>
                <w:noProof/>
                <w:webHidden/>
              </w:rPr>
              <w:fldChar w:fldCharType="separate"/>
            </w:r>
            <w:r>
              <w:rPr>
                <w:noProof/>
                <w:webHidden/>
              </w:rPr>
              <w:t>5</w:t>
            </w:r>
            <w:r>
              <w:rPr>
                <w:noProof/>
                <w:webHidden/>
              </w:rPr>
              <w:fldChar w:fldCharType="end"/>
            </w:r>
          </w:hyperlink>
        </w:p>
        <w:p w14:paraId="00025F19" w14:textId="21298042" w:rsidR="005F1AE4" w:rsidRDefault="005F1AE4">
          <w:pPr>
            <w:pStyle w:val="TOC2"/>
            <w:tabs>
              <w:tab w:val="right" w:leader="dot" w:pos="9350"/>
            </w:tabs>
            <w:rPr>
              <w:rFonts w:eastAsiaTheme="minorEastAsia"/>
              <w:noProof/>
              <w:lang w:eastAsia="zh-CN"/>
            </w:rPr>
          </w:pPr>
          <w:hyperlink w:anchor="_Toc121233966" w:history="1">
            <w:r w:rsidRPr="0070799C">
              <w:rPr>
                <w:rStyle w:val="Hyperlink"/>
                <w:rFonts w:cs="Times New Roman"/>
                <w:noProof/>
                <w:lang w:val="en-US"/>
              </w:rPr>
              <w:t>Profitability Ratios</w:t>
            </w:r>
            <w:r>
              <w:rPr>
                <w:noProof/>
                <w:webHidden/>
              </w:rPr>
              <w:tab/>
            </w:r>
            <w:r>
              <w:rPr>
                <w:noProof/>
                <w:webHidden/>
              </w:rPr>
              <w:fldChar w:fldCharType="begin"/>
            </w:r>
            <w:r>
              <w:rPr>
                <w:noProof/>
                <w:webHidden/>
              </w:rPr>
              <w:instrText xml:space="preserve"> PAGEREF _Toc121233966 \h </w:instrText>
            </w:r>
            <w:r>
              <w:rPr>
                <w:noProof/>
                <w:webHidden/>
              </w:rPr>
            </w:r>
            <w:r>
              <w:rPr>
                <w:noProof/>
                <w:webHidden/>
              </w:rPr>
              <w:fldChar w:fldCharType="separate"/>
            </w:r>
            <w:r>
              <w:rPr>
                <w:noProof/>
                <w:webHidden/>
              </w:rPr>
              <w:t>6</w:t>
            </w:r>
            <w:r>
              <w:rPr>
                <w:noProof/>
                <w:webHidden/>
              </w:rPr>
              <w:fldChar w:fldCharType="end"/>
            </w:r>
          </w:hyperlink>
        </w:p>
        <w:p w14:paraId="7606FEFF" w14:textId="4649A60B" w:rsidR="005F1AE4" w:rsidRDefault="005F1AE4">
          <w:pPr>
            <w:pStyle w:val="TOC3"/>
            <w:tabs>
              <w:tab w:val="right" w:leader="dot" w:pos="9350"/>
            </w:tabs>
            <w:rPr>
              <w:rFonts w:eastAsiaTheme="minorEastAsia"/>
              <w:noProof/>
              <w:lang w:eastAsia="zh-CN"/>
            </w:rPr>
          </w:pPr>
          <w:hyperlink w:anchor="_Toc121233967" w:history="1">
            <w:r w:rsidRPr="0070799C">
              <w:rPr>
                <w:rStyle w:val="Hyperlink"/>
                <w:rFonts w:cs="Times New Roman"/>
                <w:noProof/>
                <w:lang w:val="en-US"/>
              </w:rPr>
              <w:t>Operating Profit Margin</w:t>
            </w:r>
            <w:r>
              <w:rPr>
                <w:noProof/>
                <w:webHidden/>
              </w:rPr>
              <w:tab/>
            </w:r>
            <w:r>
              <w:rPr>
                <w:noProof/>
                <w:webHidden/>
              </w:rPr>
              <w:fldChar w:fldCharType="begin"/>
            </w:r>
            <w:r>
              <w:rPr>
                <w:noProof/>
                <w:webHidden/>
              </w:rPr>
              <w:instrText xml:space="preserve"> PAGEREF _Toc121233967 \h </w:instrText>
            </w:r>
            <w:r>
              <w:rPr>
                <w:noProof/>
                <w:webHidden/>
              </w:rPr>
            </w:r>
            <w:r>
              <w:rPr>
                <w:noProof/>
                <w:webHidden/>
              </w:rPr>
              <w:fldChar w:fldCharType="separate"/>
            </w:r>
            <w:r>
              <w:rPr>
                <w:noProof/>
                <w:webHidden/>
              </w:rPr>
              <w:t>6</w:t>
            </w:r>
            <w:r>
              <w:rPr>
                <w:noProof/>
                <w:webHidden/>
              </w:rPr>
              <w:fldChar w:fldCharType="end"/>
            </w:r>
          </w:hyperlink>
        </w:p>
        <w:p w14:paraId="05717055" w14:textId="3227AD07" w:rsidR="005F1AE4" w:rsidRDefault="005F1AE4">
          <w:pPr>
            <w:pStyle w:val="TOC3"/>
            <w:tabs>
              <w:tab w:val="right" w:leader="dot" w:pos="9350"/>
            </w:tabs>
            <w:rPr>
              <w:rFonts w:eastAsiaTheme="minorEastAsia"/>
              <w:noProof/>
              <w:lang w:eastAsia="zh-CN"/>
            </w:rPr>
          </w:pPr>
          <w:hyperlink w:anchor="_Toc121233968" w:history="1">
            <w:r w:rsidRPr="0070799C">
              <w:rPr>
                <w:rStyle w:val="Hyperlink"/>
                <w:rFonts w:cs="Times New Roman"/>
                <w:noProof/>
                <w:lang w:val="en-US"/>
              </w:rPr>
              <w:t>Net Profit Margin</w:t>
            </w:r>
            <w:r>
              <w:rPr>
                <w:noProof/>
                <w:webHidden/>
              </w:rPr>
              <w:tab/>
            </w:r>
            <w:r>
              <w:rPr>
                <w:noProof/>
                <w:webHidden/>
              </w:rPr>
              <w:fldChar w:fldCharType="begin"/>
            </w:r>
            <w:r>
              <w:rPr>
                <w:noProof/>
                <w:webHidden/>
              </w:rPr>
              <w:instrText xml:space="preserve"> PAGEREF _Toc121233968 \h </w:instrText>
            </w:r>
            <w:r>
              <w:rPr>
                <w:noProof/>
                <w:webHidden/>
              </w:rPr>
            </w:r>
            <w:r>
              <w:rPr>
                <w:noProof/>
                <w:webHidden/>
              </w:rPr>
              <w:fldChar w:fldCharType="separate"/>
            </w:r>
            <w:r>
              <w:rPr>
                <w:noProof/>
                <w:webHidden/>
              </w:rPr>
              <w:t>7</w:t>
            </w:r>
            <w:r>
              <w:rPr>
                <w:noProof/>
                <w:webHidden/>
              </w:rPr>
              <w:fldChar w:fldCharType="end"/>
            </w:r>
          </w:hyperlink>
        </w:p>
        <w:p w14:paraId="6BEF194F" w14:textId="0C210F68" w:rsidR="005F1AE4" w:rsidRDefault="005F1AE4">
          <w:pPr>
            <w:pStyle w:val="TOC2"/>
            <w:tabs>
              <w:tab w:val="right" w:leader="dot" w:pos="9350"/>
            </w:tabs>
            <w:rPr>
              <w:rFonts w:eastAsiaTheme="minorEastAsia"/>
              <w:noProof/>
              <w:lang w:eastAsia="zh-CN"/>
            </w:rPr>
          </w:pPr>
          <w:hyperlink w:anchor="_Toc121233969" w:history="1">
            <w:r w:rsidRPr="0070799C">
              <w:rPr>
                <w:rStyle w:val="Hyperlink"/>
                <w:rFonts w:cs="Times New Roman"/>
                <w:noProof/>
                <w:lang w:val="en-US"/>
              </w:rPr>
              <w:t>Liquidity Ratios</w:t>
            </w:r>
            <w:r>
              <w:rPr>
                <w:noProof/>
                <w:webHidden/>
              </w:rPr>
              <w:tab/>
            </w:r>
            <w:r>
              <w:rPr>
                <w:noProof/>
                <w:webHidden/>
              </w:rPr>
              <w:fldChar w:fldCharType="begin"/>
            </w:r>
            <w:r>
              <w:rPr>
                <w:noProof/>
                <w:webHidden/>
              </w:rPr>
              <w:instrText xml:space="preserve"> PAGEREF _Toc121233969 \h </w:instrText>
            </w:r>
            <w:r>
              <w:rPr>
                <w:noProof/>
                <w:webHidden/>
              </w:rPr>
            </w:r>
            <w:r>
              <w:rPr>
                <w:noProof/>
                <w:webHidden/>
              </w:rPr>
              <w:fldChar w:fldCharType="separate"/>
            </w:r>
            <w:r>
              <w:rPr>
                <w:noProof/>
                <w:webHidden/>
              </w:rPr>
              <w:t>8</w:t>
            </w:r>
            <w:r>
              <w:rPr>
                <w:noProof/>
                <w:webHidden/>
              </w:rPr>
              <w:fldChar w:fldCharType="end"/>
            </w:r>
          </w:hyperlink>
        </w:p>
        <w:p w14:paraId="4EAAE0E3" w14:textId="66832E4D" w:rsidR="005F1AE4" w:rsidRDefault="005F1AE4">
          <w:pPr>
            <w:pStyle w:val="TOC3"/>
            <w:tabs>
              <w:tab w:val="right" w:leader="dot" w:pos="9350"/>
            </w:tabs>
            <w:rPr>
              <w:rFonts w:eastAsiaTheme="minorEastAsia"/>
              <w:noProof/>
              <w:lang w:eastAsia="zh-CN"/>
            </w:rPr>
          </w:pPr>
          <w:hyperlink w:anchor="_Toc121233970" w:history="1">
            <w:r w:rsidRPr="0070799C">
              <w:rPr>
                <w:rStyle w:val="Hyperlink"/>
                <w:rFonts w:cs="Times New Roman"/>
                <w:noProof/>
                <w:lang w:val="en-US"/>
              </w:rPr>
              <w:t>Current Ratio</w:t>
            </w:r>
            <w:r>
              <w:rPr>
                <w:noProof/>
                <w:webHidden/>
              </w:rPr>
              <w:tab/>
            </w:r>
            <w:r>
              <w:rPr>
                <w:noProof/>
                <w:webHidden/>
              </w:rPr>
              <w:fldChar w:fldCharType="begin"/>
            </w:r>
            <w:r>
              <w:rPr>
                <w:noProof/>
                <w:webHidden/>
              </w:rPr>
              <w:instrText xml:space="preserve"> PAGEREF _Toc121233970 \h </w:instrText>
            </w:r>
            <w:r>
              <w:rPr>
                <w:noProof/>
                <w:webHidden/>
              </w:rPr>
            </w:r>
            <w:r>
              <w:rPr>
                <w:noProof/>
                <w:webHidden/>
              </w:rPr>
              <w:fldChar w:fldCharType="separate"/>
            </w:r>
            <w:r>
              <w:rPr>
                <w:noProof/>
                <w:webHidden/>
              </w:rPr>
              <w:t>8</w:t>
            </w:r>
            <w:r>
              <w:rPr>
                <w:noProof/>
                <w:webHidden/>
              </w:rPr>
              <w:fldChar w:fldCharType="end"/>
            </w:r>
          </w:hyperlink>
        </w:p>
        <w:p w14:paraId="0C82419B" w14:textId="0D476402" w:rsidR="005F1AE4" w:rsidRDefault="005F1AE4">
          <w:pPr>
            <w:pStyle w:val="TOC3"/>
            <w:tabs>
              <w:tab w:val="right" w:leader="dot" w:pos="9350"/>
            </w:tabs>
            <w:rPr>
              <w:rFonts w:eastAsiaTheme="minorEastAsia"/>
              <w:noProof/>
              <w:lang w:eastAsia="zh-CN"/>
            </w:rPr>
          </w:pPr>
          <w:hyperlink w:anchor="_Toc121233971" w:history="1">
            <w:r w:rsidRPr="0070799C">
              <w:rPr>
                <w:rStyle w:val="Hyperlink"/>
                <w:rFonts w:cs="Times New Roman"/>
                <w:noProof/>
                <w:lang w:val="en-US"/>
              </w:rPr>
              <w:t>Quick Ratio</w:t>
            </w:r>
            <w:r>
              <w:rPr>
                <w:noProof/>
                <w:webHidden/>
              </w:rPr>
              <w:tab/>
            </w:r>
            <w:r>
              <w:rPr>
                <w:noProof/>
                <w:webHidden/>
              </w:rPr>
              <w:fldChar w:fldCharType="begin"/>
            </w:r>
            <w:r>
              <w:rPr>
                <w:noProof/>
                <w:webHidden/>
              </w:rPr>
              <w:instrText xml:space="preserve"> PAGEREF _Toc121233971 \h </w:instrText>
            </w:r>
            <w:r>
              <w:rPr>
                <w:noProof/>
                <w:webHidden/>
              </w:rPr>
            </w:r>
            <w:r>
              <w:rPr>
                <w:noProof/>
                <w:webHidden/>
              </w:rPr>
              <w:fldChar w:fldCharType="separate"/>
            </w:r>
            <w:r>
              <w:rPr>
                <w:noProof/>
                <w:webHidden/>
              </w:rPr>
              <w:t>9</w:t>
            </w:r>
            <w:r>
              <w:rPr>
                <w:noProof/>
                <w:webHidden/>
              </w:rPr>
              <w:fldChar w:fldCharType="end"/>
            </w:r>
          </w:hyperlink>
        </w:p>
        <w:p w14:paraId="7C1B8250" w14:textId="126F700B" w:rsidR="005F1AE4" w:rsidRDefault="005F1AE4">
          <w:pPr>
            <w:pStyle w:val="TOC2"/>
            <w:tabs>
              <w:tab w:val="right" w:leader="dot" w:pos="9350"/>
            </w:tabs>
            <w:rPr>
              <w:rFonts w:eastAsiaTheme="minorEastAsia"/>
              <w:noProof/>
              <w:lang w:eastAsia="zh-CN"/>
            </w:rPr>
          </w:pPr>
          <w:hyperlink w:anchor="_Toc121233972" w:history="1">
            <w:r w:rsidRPr="0070799C">
              <w:rPr>
                <w:rStyle w:val="Hyperlink"/>
                <w:rFonts w:cs="Times New Roman"/>
                <w:noProof/>
                <w:lang w:val="en-US"/>
              </w:rPr>
              <w:t>Efficiency Ratios</w:t>
            </w:r>
            <w:r>
              <w:rPr>
                <w:noProof/>
                <w:webHidden/>
              </w:rPr>
              <w:tab/>
            </w:r>
            <w:r>
              <w:rPr>
                <w:noProof/>
                <w:webHidden/>
              </w:rPr>
              <w:fldChar w:fldCharType="begin"/>
            </w:r>
            <w:r>
              <w:rPr>
                <w:noProof/>
                <w:webHidden/>
              </w:rPr>
              <w:instrText xml:space="preserve"> PAGEREF _Toc121233972 \h </w:instrText>
            </w:r>
            <w:r>
              <w:rPr>
                <w:noProof/>
                <w:webHidden/>
              </w:rPr>
            </w:r>
            <w:r>
              <w:rPr>
                <w:noProof/>
                <w:webHidden/>
              </w:rPr>
              <w:fldChar w:fldCharType="separate"/>
            </w:r>
            <w:r>
              <w:rPr>
                <w:noProof/>
                <w:webHidden/>
              </w:rPr>
              <w:t>10</w:t>
            </w:r>
            <w:r>
              <w:rPr>
                <w:noProof/>
                <w:webHidden/>
              </w:rPr>
              <w:fldChar w:fldCharType="end"/>
            </w:r>
          </w:hyperlink>
        </w:p>
        <w:p w14:paraId="4663414E" w14:textId="7920618C" w:rsidR="005F1AE4" w:rsidRDefault="005F1AE4">
          <w:pPr>
            <w:pStyle w:val="TOC3"/>
            <w:tabs>
              <w:tab w:val="right" w:leader="dot" w:pos="9350"/>
            </w:tabs>
            <w:rPr>
              <w:rFonts w:eastAsiaTheme="minorEastAsia"/>
              <w:noProof/>
              <w:lang w:eastAsia="zh-CN"/>
            </w:rPr>
          </w:pPr>
          <w:hyperlink w:anchor="_Toc121233973" w:history="1">
            <w:r w:rsidRPr="0070799C">
              <w:rPr>
                <w:rStyle w:val="Hyperlink"/>
                <w:rFonts w:cs="Times New Roman"/>
                <w:noProof/>
                <w:lang w:val="en-US"/>
              </w:rPr>
              <w:t>Inventory Turnover Ratio</w:t>
            </w:r>
            <w:r>
              <w:rPr>
                <w:noProof/>
                <w:webHidden/>
              </w:rPr>
              <w:tab/>
            </w:r>
            <w:r>
              <w:rPr>
                <w:noProof/>
                <w:webHidden/>
              </w:rPr>
              <w:fldChar w:fldCharType="begin"/>
            </w:r>
            <w:r>
              <w:rPr>
                <w:noProof/>
                <w:webHidden/>
              </w:rPr>
              <w:instrText xml:space="preserve"> PAGEREF _Toc121233973 \h </w:instrText>
            </w:r>
            <w:r>
              <w:rPr>
                <w:noProof/>
                <w:webHidden/>
              </w:rPr>
            </w:r>
            <w:r>
              <w:rPr>
                <w:noProof/>
                <w:webHidden/>
              </w:rPr>
              <w:fldChar w:fldCharType="separate"/>
            </w:r>
            <w:r>
              <w:rPr>
                <w:noProof/>
                <w:webHidden/>
              </w:rPr>
              <w:t>10</w:t>
            </w:r>
            <w:r>
              <w:rPr>
                <w:noProof/>
                <w:webHidden/>
              </w:rPr>
              <w:fldChar w:fldCharType="end"/>
            </w:r>
          </w:hyperlink>
        </w:p>
        <w:p w14:paraId="68CD2C1E" w14:textId="3057C402" w:rsidR="005F1AE4" w:rsidRDefault="005F1AE4">
          <w:pPr>
            <w:pStyle w:val="TOC3"/>
            <w:tabs>
              <w:tab w:val="right" w:leader="dot" w:pos="9350"/>
            </w:tabs>
            <w:rPr>
              <w:rFonts w:eastAsiaTheme="minorEastAsia"/>
              <w:noProof/>
              <w:lang w:eastAsia="zh-CN"/>
            </w:rPr>
          </w:pPr>
          <w:hyperlink w:anchor="_Toc121233974" w:history="1">
            <w:r w:rsidRPr="0070799C">
              <w:rPr>
                <w:rStyle w:val="Hyperlink"/>
                <w:rFonts w:cs="Times New Roman"/>
                <w:noProof/>
                <w:lang w:val="en-US"/>
              </w:rPr>
              <w:t>Assets Turnover Ratio</w:t>
            </w:r>
            <w:r>
              <w:rPr>
                <w:noProof/>
                <w:webHidden/>
              </w:rPr>
              <w:tab/>
            </w:r>
            <w:r>
              <w:rPr>
                <w:noProof/>
                <w:webHidden/>
              </w:rPr>
              <w:fldChar w:fldCharType="begin"/>
            </w:r>
            <w:r>
              <w:rPr>
                <w:noProof/>
                <w:webHidden/>
              </w:rPr>
              <w:instrText xml:space="preserve"> PAGEREF _Toc121233974 \h </w:instrText>
            </w:r>
            <w:r>
              <w:rPr>
                <w:noProof/>
                <w:webHidden/>
              </w:rPr>
            </w:r>
            <w:r>
              <w:rPr>
                <w:noProof/>
                <w:webHidden/>
              </w:rPr>
              <w:fldChar w:fldCharType="separate"/>
            </w:r>
            <w:r>
              <w:rPr>
                <w:noProof/>
                <w:webHidden/>
              </w:rPr>
              <w:t>11</w:t>
            </w:r>
            <w:r>
              <w:rPr>
                <w:noProof/>
                <w:webHidden/>
              </w:rPr>
              <w:fldChar w:fldCharType="end"/>
            </w:r>
          </w:hyperlink>
        </w:p>
        <w:p w14:paraId="2222727C" w14:textId="006FCE6C" w:rsidR="005F1AE4" w:rsidRDefault="005F1AE4">
          <w:pPr>
            <w:pStyle w:val="TOC2"/>
            <w:tabs>
              <w:tab w:val="right" w:leader="dot" w:pos="9350"/>
            </w:tabs>
            <w:rPr>
              <w:rFonts w:eastAsiaTheme="minorEastAsia"/>
              <w:noProof/>
              <w:lang w:eastAsia="zh-CN"/>
            </w:rPr>
          </w:pPr>
          <w:hyperlink w:anchor="_Toc121233975" w:history="1">
            <w:r w:rsidRPr="0070799C">
              <w:rPr>
                <w:rStyle w:val="Hyperlink"/>
                <w:rFonts w:cs="Times New Roman"/>
                <w:noProof/>
                <w:lang w:val="en-US"/>
              </w:rPr>
              <w:t>Gearing Ratios</w:t>
            </w:r>
            <w:r>
              <w:rPr>
                <w:noProof/>
                <w:webHidden/>
              </w:rPr>
              <w:tab/>
            </w:r>
            <w:r>
              <w:rPr>
                <w:noProof/>
                <w:webHidden/>
              </w:rPr>
              <w:fldChar w:fldCharType="begin"/>
            </w:r>
            <w:r>
              <w:rPr>
                <w:noProof/>
                <w:webHidden/>
              </w:rPr>
              <w:instrText xml:space="preserve"> PAGEREF _Toc121233975 \h </w:instrText>
            </w:r>
            <w:r>
              <w:rPr>
                <w:noProof/>
                <w:webHidden/>
              </w:rPr>
            </w:r>
            <w:r>
              <w:rPr>
                <w:noProof/>
                <w:webHidden/>
              </w:rPr>
              <w:fldChar w:fldCharType="separate"/>
            </w:r>
            <w:r>
              <w:rPr>
                <w:noProof/>
                <w:webHidden/>
              </w:rPr>
              <w:t>12</w:t>
            </w:r>
            <w:r>
              <w:rPr>
                <w:noProof/>
                <w:webHidden/>
              </w:rPr>
              <w:fldChar w:fldCharType="end"/>
            </w:r>
          </w:hyperlink>
        </w:p>
        <w:p w14:paraId="1E8ED4FE" w14:textId="5F581C30" w:rsidR="005F1AE4" w:rsidRDefault="005F1AE4">
          <w:pPr>
            <w:pStyle w:val="TOC3"/>
            <w:tabs>
              <w:tab w:val="right" w:leader="dot" w:pos="9350"/>
            </w:tabs>
            <w:rPr>
              <w:rFonts w:eastAsiaTheme="minorEastAsia"/>
              <w:noProof/>
              <w:lang w:eastAsia="zh-CN"/>
            </w:rPr>
          </w:pPr>
          <w:hyperlink w:anchor="_Toc121233976" w:history="1">
            <w:r w:rsidRPr="0070799C">
              <w:rPr>
                <w:rStyle w:val="Hyperlink"/>
                <w:rFonts w:cs="Times New Roman"/>
                <w:noProof/>
                <w:lang w:val="en-US"/>
              </w:rPr>
              <w:t>Interest Coverage Ratio</w:t>
            </w:r>
            <w:r>
              <w:rPr>
                <w:noProof/>
                <w:webHidden/>
              </w:rPr>
              <w:tab/>
            </w:r>
            <w:r>
              <w:rPr>
                <w:noProof/>
                <w:webHidden/>
              </w:rPr>
              <w:fldChar w:fldCharType="begin"/>
            </w:r>
            <w:r>
              <w:rPr>
                <w:noProof/>
                <w:webHidden/>
              </w:rPr>
              <w:instrText xml:space="preserve"> PAGEREF _Toc121233976 \h </w:instrText>
            </w:r>
            <w:r>
              <w:rPr>
                <w:noProof/>
                <w:webHidden/>
              </w:rPr>
            </w:r>
            <w:r>
              <w:rPr>
                <w:noProof/>
                <w:webHidden/>
              </w:rPr>
              <w:fldChar w:fldCharType="separate"/>
            </w:r>
            <w:r>
              <w:rPr>
                <w:noProof/>
                <w:webHidden/>
              </w:rPr>
              <w:t>12</w:t>
            </w:r>
            <w:r>
              <w:rPr>
                <w:noProof/>
                <w:webHidden/>
              </w:rPr>
              <w:fldChar w:fldCharType="end"/>
            </w:r>
          </w:hyperlink>
        </w:p>
        <w:p w14:paraId="688DD4DC" w14:textId="70F00A5E" w:rsidR="005F1AE4" w:rsidRDefault="005F1AE4">
          <w:pPr>
            <w:pStyle w:val="TOC3"/>
            <w:tabs>
              <w:tab w:val="right" w:leader="dot" w:pos="9350"/>
            </w:tabs>
            <w:rPr>
              <w:rFonts w:eastAsiaTheme="minorEastAsia"/>
              <w:noProof/>
              <w:lang w:eastAsia="zh-CN"/>
            </w:rPr>
          </w:pPr>
          <w:hyperlink w:anchor="_Toc121233977" w:history="1">
            <w:r w:rsidRPr="0070799C">
              <w:rPr>
                <w:rStyle w:val="Hyperlink"/>
                <w:rFonts w:cs="Times New Roman"/>
                <w:noProof/>
                <w:lang w:val="en-US"/>
              </w:rPr>
              <w:t>Debt to Equity Ratio</w:t>
            </w:r>
            <w:r>
              <w:rPr>
                <w:noProof/>
                <w:webHidden/>
              </w:rPr>
              <w:tab/>
            </w:r>
            <w:r>
              <w:rPr>
                <w:noProof/>
                <w:webHidden/>
              </w:rPr>
              <w:fldChar w:fldCharType="begin"/>
            </w:r>
            <w:r>
              <w:rPr>
                <w:noProof/>
                <w:webHidden/>
              </w:rPr>
              <w:instrText xml:space="preserve"> PAGEREF _Toc121233977 \h </w:instrText>
            </w:r>
            <w:r>
              <w:rPr>
                <w:noProof/>
                <w:webHidden/>
              </w:rPr>
            </w:r>
            <w:r>
              <w:rPr>
                <w:noProof/>
                <w:webHidden/>
              </w:rPr>
              <w:fldChar w:fldCharType="separate"/>
            </w:r>
            <w:r>
              <w:rPr>
                <w:noProof/>
                <w:webHidden/>
              </w:rPr>
              <w:t>13</w:t>
            </w:r>
            <w:r>
              <w:rPr>
                <w:noProof/>
                <w:webHidden/>
              </w:rPr>
              <w:fldChar w:fldCharType="end"/>
            </w:r>
          </w:hyperlink>
        </w:p>
        <w:p w14:paraId="242BEBCB" w14:textId="61EDAE36" w:rsidR="005F1AE4" w:rsidRDefault="005F1AE4">
          <w:pPr>
            <w:pStyle w:val="TOC1"/>
            <w:tabs>
              <w:tab w:val="right" w:leader="dot" w:pos="9350"/>
            </w:tabs>
            <w:rPr>
              <w:rFonts w:eastAsiaTheme="minorEastAsia"/>
              <w:noProof/>
              <w:lang w:eastAsia="zh-CN"/>
            </w:rPr>
          </w:pPr>
          <w:hyperlink w:anchor="_Toc121233978" w:history="1">
            <w:r w:rsidRPr="0070799C">
              <w:rPr>
                <w:rStyle w:val="Hyperlink"/>
                <w:rFonts w:cs="Times New Roman"/>
                <w:noProof/>
                <w:lang w:val="en-US"/>
              </w:rPr>
              <w:t>Conclusion</w:t>
            </w:r>
            <w:r>
              <w:rPr>
                <w:noProof/>
                <w:webHidden/>
              </w:rPr>
              <w:tab/>
            </w:r>
            <w:r>
              <w:rPr>
                <w:noProof/>
                <w:webHidden/>
              </w:rPr>
              <w:fldChar w:fldCharType="begin"/>
            </w:r>
            <w:r>
              <w:rPr>
                <w:noProof/>
                <w:webHidden/>
              </w:rPr>
              <w:instrText xml:space="preserve"> PAGEREF _Toc121233978 \h </w:instrText>
            </w:r>
            <w:r>
              <w:rPr>
                <w:noProof/>
                <w:webHidden/>
              </w:rPr>
            </w:r>
            <w:r>
              <w:rPr>
                <w:noProof/>
                <w:webHidden/>
              </w:rPr>
              <w:fldChar w:fldCharType="separate"/>
            </w:r>
            <w:r>
              <w:rPr>
                <w:noProof/>
                <w:webHidden/>
              </w:rPr>
              <w:t>14</w:t>
            </w:r>
            <w:r>
              <w:rPr>
                <w:noProof/>
                <w:webHidden/>
              </w:rPr>
              <w:fldChar w:fldCharType="end"/>
            </w:r>
          </w:hyperlink>
        </w:p>
        <w:p w14:paraId="4401857D" w14:textId="21137C7F" w:rsidR="005F1AE4" w:rsidRDefault="005F1AE4">
          <w:pPr>
            <w:pStyle w:val="TOC1"/>
            <w:tabs>
              <w:tab w:val="right" w:leader="dot" w:pos="9350"/>
            </w:tabs>
            <w:rPr>
              <w:rFonts w:eastAsiaTheme="minorEastAsia"/>
              <w:noProof/>
              <w:lang w:eastAsia="zh-CN"/>
            </w:rPr>
          </w:pPr>
          <w:hyperlink w:anchor="_Toc121233979" w:history="1">
            <w:r w:rsidRPr="0070799C">
              <w:rPr>
                <w:rStyle w:val="Hyperlink"/>
                <w:rFonts w:cs="Times New Roman"/>
                <w:noProof/>
                <w:lang w:val="en-US"/>
              </w:rPr>
              <w:t>References</w:t>
            </w:r>
            <w:r>
              <w:rPr>
                <w:noProof/>
                <w:webHidden/>
              </w:rPr>
              <w:tab/>
            </w:r>
            <w:r>
              <w:rPr>
                <w:noProof/>
                <w:webHidden/>
              </w:rPr>
              <w:fldChar w:fldCharType="begin"/>
            </w:r>
            <w:r>
              <w:rPr>
                <w:noProof/>
                <w:webHidden/>
              </w:rPr>
              <w:instrText xml:space="preserve"> PAGEREF _Toc121233979 \h </w:instrText>
            </w:r>
            <w:r>
              <w:rPr>
                <w:noProof/>
                <w:webHidden/>
              </w:rPr>
            </w:r>
            <w:r>
              <w:rPr>
                <w:noProof/>
                <w:webHidden/>
              </w:rPr>
              <w:fldChar w:fldCharType="separate"/>
            </w:r>
            <w:r>
              <w:rPr>
                <w:noProof/>
                <w:webHidden/>
              </w:rPr>
              <w:t>15</w:t>
            </w:r>
            <w:r>
              <w:rPr>
                <w:noProof/>
                <w:webHidden/>
              </w:rPr>
              <w:fldChar w:fldCharType="end"/>
            </w:r>
          </w:hyperlink>
        </w:p>
        <w:p w14:paraId="096AF5D7" w14:textId="77CDFC46" w:rsidR="005F1AE4" w:rsidRDefault="005F1AE4">
          <w:pPr>
            <w:pStyle w:val="TOC1"/>
            <w:tabs>
              <w:tab w:val="right" w:leader="dot" w:pos="9350"/>
            </w:tabs>
            <w:rPr>
              <w:rFonts w:eastAsiaTheme="minorEastAsia"/>
              <w:noProof/>
              <w:lang w:eastAsia="zh-CN"/>
            </w:rPr>
          </w:pPr>
          <w:hyperlink w:anchor="_Toc121233980" w:history="1">
            <w:r w:rsidRPr="0070799C">
              <w:rPr>
                <w:rStyle w:val="Hyperlink"/>
                <w:rFonts w:cs="Times New Roman"/>
                <w:noProof/>
                <w:lang w:val="en-US"/>
              </w:rPr>
              <w:t>Appendices</w:t>
            </w:r>
            <w:r>
              <w:rPr>
                <w:noProof/>
                <w:webHidden/>
              </w:rPr>
              <w:tab/>
            </w:r>
            <w:r>
              <w:rPr>
                <w:noProof/>
                <w:webHidden/>
              </w:rPr>
              <w:fldChar w:fldCharType="begin"/>
            </w:r>
            <w:r>
              <w:rPr>
                <w:noProof/>
                <w:webHidden/>
              </w:rPr>
              <w:instrText xml:space="preserve"> PAGEREF _Toc121233980 \h </w:instrText>
            </w:r>
            <w:r>
              <w:rPr>
                <w:noProof/>
                <w:webHidden/>
              </w:rPr>
            </w:r>
            <w:r>
              <w:rPr>
                <w:noProof/>
                <w:webHidden/>
              </w:rPr>
              <w:fldChar w:fldCharType="separate"/>
            </w:r>
            <w:r>
              <w:rPr>
                <w:noProof/>
                <w:webHidden/>
              </w:rPr>
              <w:t>17</w:t>
            </w:r>
            <w:r>
              <w:rPr>
                <w:noProof/>
                <w:webHidden/>
              </w:rPr>
              <w:fldChar w:fldCharType="end"/>
            </w:r>
          </w:hyperlink>
        </w:p>
        <w:p w14:paraId="6765DC05" w14:textId="5EE9B9CB" w:rsidR="005F1AE4" w:rsidRDefault="005F1AE4">
          <w:pPr>
            <w:pStyle w:val="TOC2"/>
            <w:tabs>
              <w:tab w:val="right" w:leader="dot" w:pos="9350"/>
            </w:tabs>
            <w:rPr>
              <w:rFonts w:eastAsiaTheme="minorEastAsia"/>
              <w:noProof/>
              <w:lang w:eastAsia="zh-CN"/>
            </w:rPr>
          </w:pPr>
          <w:hyperlink w:anchor="_Toc121233981" w:history="1">
            <w:r w:rsidRPr="0070799C">
              <w:rPr>
                <w:rStyle w:val="Hyperlink"/>
                <w:rFonts w:cs="Times New Roman"/>
                <w:noProof/>
                <w:lang w:val="en-US"/>
              </w:rPr>
              <w:t>Appendix – A (Income Statement)</w:t>
            </w:r>
            <w:r>
              <w:rPr>
                <w:noProof/>
                <w:webHidden/>
              </w:rPr>
              <w:tab/>
            </w:r>
            <w:r>
              <w:rPr>
                <w:noProof/>
                <w:webHidden/>
              </w:rPr>
              <w:fldChar w:fldCharType="begin"/>
            </w:r>
            <w:r>
              <w:rPr>
                <w:noProof/>
                <w:webHidden/>
              </w:rPr>
              <w:instrText xml:space="preserve"> PAGEREF _Toc121233981 \h </w:instrText>
            </w:r>
            <w:r>
              <w:rPr>
                <w:noProof/>
                <w:webHidden/>
              </w:rPr>
            </w:r>
            <w:r>
              <w:rPr>
                <w:noProof/>
                <w:webHidden/>
              </w:rPr>
              <w:fldChar w:fldCharType="separate"/>
            </w:r>
            <w:r>
              <w:rPr>
                <w:noProof/>
                <w:webHidden/>
              </w:rPr>
              <w:t>17</w:t>
            </w:r>
            <w:r>
              <w:rPr>
                <w:noProof/>
                <w:webHidden/>
              </w:rPr>
              <w:fldChar w:fldCharType="end"/>
            </w:r>
          </w:hyperlink>
        </w:p>
        <w:p w14:paraId="49B69E62" w14:textId="22CBDF0C" w:rsidR="005F1AE4" w:rsidRDefault="005F1AE4">
          <w:pPr>
            <w:pStyle w:val="TOC2"/>
            <w:tabs>
              <w:tab w:val="right" w:leader="dot" w:pos="9350"/>
            </w:tabs>
            <w:rPr>
              <w:rFonts w:eastAsiaTheme="minorEastAsia"/>
              <w:noProof/>
              <w:lang w:eastAsia="zh-CN"/>
            </w:rPr>
          </w:pPr>
          <w:hyperlink w:anchor="_Toc121233982" w:history="1">
            <w:r w:rsidRPr="0070799C">
              <w:rPr>
                <w:rStyle w:val="Hyperlink"/>
                <w:rFonts w:cs="Times New Roman"/>
                <w:noProof/>
                <w:lang w:val="en-US"/>
              </w:rPr>
              <w:t>Appendix - B (Balance Sheet)</w:t>
            </w:r>
            <w:r>
              <w:rPr>
                <w:noProof/>
                <w:webHidden/>
              </w:rPr>
              <w:tab/>
            </w:r>
            <w:r>
              <w:rPr>
                <w:noProof/>
                <w:webHidden/>
              </w:rPr>
              <w:fldChar w:fldCharType="begin"/>
            </w:r>
            <w:r>
              <w:rPr>
                <w:noProof/>
                <w:webHidden/>
              </w:rPr>
              <w:instrText xml:space="preserve"> PAGEREF _Toc121233982 \h </w:instrText>
            </w:r>
            <w:r>
              <w:rPr>
                <w:noProof/>
                <w:webHidden/>
              </w:rPr>
            </w:r>
            <w:r>
              <w:rPr>
                <w:noProof/>
                <w:webHidden/>
              </w:rPr>
              <w:fldChar w:fldCharType="separate"/>
            </w:r>
            <w:r>
              <w:rPr>
                <w:noProof/>
                <w:webHidden/>
              </w:rPr>
              <w:t>18</w:t>
            </w:r>
            <w:r>
              <w:rPr>
                <w:noProof/>
                <w:webHidden/>
              </w:rPr>
              <w:fldChar w:fldCharType="end"/>
            </w:r>
          </w:hyperlink>
        </w:p>
        <w:p w14:paraId="33483A17" w14:textId="7DE6E506" w:rsidR="005A72E2" w:rsidRPr="00746084" w:rsidRDefault="005A72E2">
          <w:pPr>
            <w:rPr>
              <w:rFonts w:ascii="Times New Roman" w:hAnsi="Times New Roman" w:cs="Times New Roman"/>
              <w:color w:val="000000" w:themeColor="text1"/>
              <w:sz w:val="24"/>
              <w:szCs w:val="24"/>
            </w:rPr>
          </w:pPr>
          <w:r w:rsidRPr="00746084">
            <w:rPr>
              <w:rFonts w:ascii="Times New Roman" w:hAnsi="Times New Roman" w:cs="Times New Roman"/>
              <w:b/>
              <w:bCs/>
              <w:noProof/>
              <w:color w:val="000000" w:themeColor="text1"/>
              <w:sz w:val="24"/>
              <w:szCs w:val="24"/>
            </w:rPr>
            <w:fldChar w:fldCharType="end"/>
          </w:r>
        </w:p>
      </w:sdtContent>
    </w:sdt>
    <w:p w14:paraId="33483A18" w14:textId="77777777" w:rsidR="005A72E2" w:rsidRPr="00746084" w:rsidRDefault="005A72E2">
      <w:pPr>
        <w:rPr>
          <w:rFonts w:ascii="Times New Roman" w:eastAsia="Arial" w:hAnsi="Times New Roman" w:cs="Times New Roman"/>
          <w:color w:val="000000" w:themeColor="text1"/>
          <w:sz w:val="24"/>
          <w:szCs w:val="24"/>
        </w:rPr>
      </w:pPr>
    </w:p>
    <w:p w14:paraId="33483A19" w14:textId="77777777" w:rsidR="005A72E2" w:rsidRPr="00746084" w:rsidRDefault="005A72E2">
      <w:pPr>
        <w:rPr>
          <w:rFonts w:ascii="Times New Roman" w:eastAsia="Arial" w:hAnsi="Times New Roman" w:cs="Times New Roman"/>
          <w:b/>
          <w:color w:val="000000" w:themeColor="text1"/>
          <w:sz w:val="24"/>
          <w:szCs w:val="24"/>
        </w:rPr>
      </w:pPr>
      <w:r w:rsidRPr="00746084">
        <w:rPr>
          <w:rFonts w:ascii="Times New Roman" w:eastAsia="Arial" w:hAnsi="Times New Roman" w:cs="Times New Roman"/>
          <w:color w:val="000000" w:themeColor="text1"/>
          <w:sz w:val="24"/>
          <w:szCs w:val="24"/>
        </w:rPr>
        <w:br w:type="page"/>
      </w:r>
    </w:p>
    <w:p w14:paraId="33483A1A" w14:textId="77777777" w:rsidR="00691321" w:rsidRPr="00746084" w:rsidRDefault="00670B9A" w:rsidP="00746084">
      <w:pPr>
        <w:pStyle w:val="Heading1"/>
        <w:rPr>
          <w:rFonts w:eastAsia="Arial" w:cs="Times New Roman"/>
          <w:szCs w:val="24"/>
        </w:rPr>
      </w:pPr>
      <w:bookmarkStart w:id="0" w:name="_Toc121233957"/>
      <w:r w:rsidRPr="00746084">
        <w:rPr>
          <w:rFonts w:eastAsia="Arial" w:cs="Times New Roman"/>
          <w:szCs w:val="24"/>
        </w:rPr>
        <w:lastRenderedPageBreak/>
        <w:t>Introduction</w:t>
      </w:r>
      <w:bookmarkEnd w:id="0"/>
      <w:r w:rsidRPr="00746084">
        <w:rPr>
          <w:rFonts w:eastAsia="Arial" w:cs="Times New Roman"/>
          <w:szCs w:val="24"/>
        </w:rPr>
        <w:t xml:space="preserve"> </w:t>
      </w:r>
    </w:p>
    <w:p w14:paraId="33483A1B" w14:textId="2516F7BE" w:rsidR="00C33193" w:rsidRPr="00746084" w:rsidRDefault="000552BD" w:rsidP="00862062">
      <w:pPr>
        <w:spacing w:line="360" w:lineRule="auto"/>
        <w:ind w:firstLine="720"/>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Financial analysis </w:t>
      </w:r>
      <w:r w:rsidR="0010494A" w:rsidRPr="00746084">
        <w:rPr>
          <w:rFonts w:ascii="Times New Roman" w:hAnsi="Times New Roman" w:cs="Times New Roman"/>
          <w:color w:val="000000" w:themeColor="text1"/>
          <w:sz w:val="24"/>
          <w:szCs w:val="24"/>
        </w:rPr>
        <w:t xml:space="preserve">is considered as substantial </w:t>
      </w:r>
      <w:r w:rsidRPr="00746084">
        <w:rPr>
          <w:rFonts w:ascii="Times New Roman" w:hAnsi="Times New Roman" w:cs="Times New Roman"/>
          <w:color w:val="000000" w:themeColor="text1"/>
          <w:sz w:val="24"/>
          <w:szCs w:val="24"/>
        </w:rPr>
        <w:t>tool in analysing current financial sit</w:t>
      </w:r>
      <w:r w:rsidR="00427365" w:rsidRPr="00746084">
        <w:rPr>
          <w:rFonts w:ascii="Times New Roman" w:hAnsi="Times New Roman" w:cs="Times New Roman"/>
          <w:color w:val="000000" w:themeColor="text1"/>
          <w:sz w:val="24"/>
          <w:szCs w:val="24"/>
        </w:rPr>
        <w:t xml:space="preserve">uation </w:t>
      </w:r>
      <w:r w:rsidR="0010494A" w:rsidRPr="00746084">
        <w:rPr>
          <w:rFonts w:ascii="Times New Roman" w:hAnsi="Times New Roman" w:cs="Times New Roman"/>
          <w:color w:val="000000" w:themeColor="text1"/>
          <w:sz w:val="24"/>
          <w:szCs w:val="24"/>
        </w:rPr>
        <w:t xml:space="preserve">and predicting future performance </w:t>
      </w:r>
      <w:r w:rsidR="00427365" w:rsidRPr="00746084">
        <w:rPr>
          <w:rFonts w:ascii="Times New Roman" w:hAnsi="Times New Roman" w:cs="Times New Roman"/>
          <w:color w:val="000000" w:themeColor="text1"/>
          <w:sz w:val="24"/>
          <w:szCs w:val="24"/>
        </w:rPr>
        <w:t>of the company</w:t>
      </w:r>
      <w:r w:rsidR="00C33193" w:rsidRPr="00746084">
        <w:rPr>
          <w:rFonts w:ascii="Times New Roman" w:hAnsi="Times New Roman" w:cs="Times New Roman"/>
          <w:color w:val="000000" w:themeColor="text1"/>
          <w:sz w:val="24"/>
          <w:szCs w:val="24"/>
        </w:rPr>
        <w:t xml:space="preserve"> (</w:t>
      </w:r>
      <w:proofErr w:type="spellStart"/>
      <w:r w:rsidR="00C33193" w:rsidRPr="00746084">
        <w:rPr>
          <w:rFonts w:ascii="Times New Roman" w:hAnsi="Times New Roman" w:cs="Times New Roman"/>
          <w:color w:val="000000" w:themeColor="text1"/>
          <w:sz w:val="24"/>
          <w:szCs w:val="24"/>
          <w:lang w:val="en-US"/>
        </w:rPr>
        <w:t>Atrill</w:t>
      </w:r>
      <w:proofErr w:type="spellEnd"/>
      <w:r w:rsidR="00C33193" w:rsidRPr="00746084">
        <w:rPr>
          <w:rFonts w:ascii="Times New Roman" w:hAnsi="Times New Roman" w:cs="Times New Roman"/>
          <w:color w:val="000000" w:themeColor="text1"/>
          <w:sz w:val="24"/>
          <w:szCs w:val="24"/>
          <w:lang w:val="en-US"/>
        </w:rPr>
        <w:t>, 2017)</w:t>
      </w:r>
      <w:r w:rsidR="00427365" w:rsidRPr="00746084">
        <w:rPr>
          <w:rFonts w:ascii="Times New Roman" w:hAnsi="Times New Roman" w:cs="Times New Roman"/>
          <w:color w:val="000000" w:themeColor="text1"/>
          <w:sz w:val="24"/>
          <w:szCs w:val="24"/>
        </w:rPr>
        <w:t xml:space="preserve">. Likely, </w:t>
      </w:r>
      <w:proofErr w:type="spellStart"/>
      <w:r w:rsidR="00427365" w:rsidRPr="00746084">
        <w:rPr>
          <w:rFonts w:ascii="Times New Roman" w:hAnsi="Times New Roman" w:cs="Times New Roman"/>
          <w:color w:val="000000" w:themeColor="text1"/>
          <w:sz w:val="24"/>
          <w:szCs w:val="24"/>
          <w:shd w:val="clear" w:color="auto" w:fill="FFFFFF"/>
        </w:rPr>
        <w:t>Nuryani</w:t>
      </w:r>
      <w:proofErr w:type="spellEnd"/>
      <w:r w:rsidR="00427365" w:rsidRPr="00746084">
        <w:rPr>
          <w:rFonts w:ascii="Times New Roman" w:hAnsi="Times New Roman" w:cs="Times New Roman"/>
          <w:color w:val="000000" w:themeColor="text1"/>
          <w:sz w:val="24"/>
          <w:szCs w:val="24"/>
          <w:shd w:val="clear" w:color="auto" w:fill="FFFFFF"/>
        </w:rPr>
        <w:t xml:space="preserve"> and </w:t>
      </w:r>
      <w:proofErr w:type="spellStart"/>
      <w:r w:rsidR="00427365" w:rsidRPr="00746084">
        <w:rPr>
          <w:rFonts w:ascii="Times New Roman" w:hAnsi="Times New Roman" w:cs="Times New Roman"/>
          <w:color w:val="000000" w:themeColor="text1"/>
          <w:sz w:val="24"/>
          <w:szCs w:val="24"/>
          <w:shd w:val="clear" w:color="auto" w:fill="FFFFFF"/>
        </w:rPr>
        <w:t>Sunarsi</w:t>
      </w:r>
      <w:proofErr w:type="spellEnd"/>
      <w:r w:rsidR="00427365" w:rsidRPr="00746084">
        <w:rPr>
          <w:rFonts w:ascii="Times New Roman" w:hAnsi="Times New Roman" w:cs="Times New Roman"/>
          <w:color w:val="000000" w:themeColor="text1"/>
          <w:sz w:val="24"/>
          <w:szCs w:val="24"/>
          <w:shd w:val="clear" w:color="auto" w:fill="FFFFFF"/>
        </w:rPr>
        <w:t xml:space="preserve"> (2020</w:t>
      </w:r>
      <w:r w:rsidRPr="00746084">
        <w:rPr>
          <w:rFonts w:ascii="Times New Roman" w:hAnsi="Times New Roman" w:cs="Times New Roman"/>
          <w:color w:val="000000" w:themeColor="text1"/>
          <w:sz w:val="24"/>
          <w:szCs w:val="24"/>
        </w:rPr>
        <w:t>) in their study indicated that</w:t>
      </w:r>
      <w:r w:rsidR="00427365" w:rsidRPr="00746084">
        <w:rPr>
          <w:rFonts w:ascii="Times New Roman" w:hAnsi="Times New Roman" w:cs="Times New Roman"/>
          <w:color w:val="000000" w:themeColor="text1"/>
          <w:sz w:val="24"/>
          <w:szCs w:val="24"/>
        </w:rPr>
        <w:t xml:space="preserve"> financial analysis assists the investors, senior managers, and analyst in determining the risk and opportunities through providing an insight and information </w:t>
      </w:r>
      <w:r w:rsidR="0010494A" w:rsidRPr="00746084">
        <w:rPr>
          <w:rFonts w:ascii="Times New Roman" w:hAnsi="Times New Roman" w:cs="Times New Roman"/>
          <w:color w:val="000000" w:themeColor="text1"/>
          <w:sz w:val="24"/>
          <w:szCs w:val="24"/>
        </w:rPr>
        <w:t>related to</w:t>
      </w:r>
      <w:r w:rsidR="00FE18B7">
        <w:rPr>
          <w:rFonts w:ascii="Times New Roman" w:hAnsi="Times New Roman" w:cs="Times New Roman"/>
          <w:color w:val="000000" w:themeColor="text1"/>
          <w:sz w:val="24"/>
          <w:szCs w:val="24"/>
        </w:rPr>
        <w:t xml:space="preserve"> </w:t>
      </w:r>
      <w:r w:rsidR="00427365" w:rsidRPr="00746084">
        <w:rPr>
          <w:rFonts w:ascii="Times New Roman" w:hAnsi="Times New Roman" w:cs="Times New Roman"/>
          <w:color w:val="000000" w:themeColor="text1"/>
          <w:sz w:val="24"/>
          <w:szCs w:val="24"/>
        </w:rPr>
        <w:t>company</w:t>
      </w:r>
      <w:r w:rsidRPr="00746084">
        <w:rPr>
          <w:rFonts w:ascii="Times New Roman" w:hAnsi="Times New Roman" w:cs="Times New Roman"/>
          <w:color w:val="000000" w:themeColor="text1"/>
          <w:sz w:val="24"/>
          <w:szCs w:val="24"/>
        </w:rPr>
        <w:t xml:space="preserve">. </w:t>
      </w:r>
      <w:r w:rsidR="00427365" w:rsidRPr="00746084">
        <w:rPr>
          <w:rFonts w:ascii="Times New Roman" w:hAnsi="Times New Roman" w:cs="Times New Roman"/>
          <w:color w:val="000000" w:themeColor="text1"/>
          <w:sz w:val="24"/>
          <w:szCs w:val="24"/>
        </w:rPr>
        <w:t>However, the aim of this assessment is to conduct a full financial performance analysis of the company</w:t>
      </w:r>
      <w:r w:rsidR="0010494A" w:rsidRPr="00746084">
        <w:rPr>
          <w:rFonts w:ascii="Times New Roman" w:hAnsi="Times New Roman" w:cs="Times New Roman"/>
          <w:color w:val="000000" w:themeColor="text1"/>
          <w:sz w:val="24"/>
          <w:szCs w:val="24"/>
        </w:rPr>
        <w:t xml:space="preserve"> operate in Hotels and Entertainment sector from the FTSE 350 listing companies</w:t>
      </w:r>
      <w:r w:rsidR="00427365" w:rsidRPr="00746084">
        <w:rPr>
          <w:rFonts w:ascii="Times New Roman" w:hAnsi="Times New Roman" w:cs="Times New Roman"/>
          <w:color w:val="000000" w:themeColor="text1"/>
          <w:sz w:val="24"/>
          <w:szCs w:val="24"/>
        </w:rPr>
        <w:t xml:space="preserve"> using</w:t>
      </w:r>
      <w:r w:rsidR="0010494A" w:rsidRPr="00746084">
        <w:rPr>
          <w:rFonts w:ascii="Times New Roman" w:hAnsi="Times New Roman" w:cs="Times New Roman"/>
          <w:color w:val="000000" w:themeColor="text1"/>
          <w:sz w:val="24"/>
          <w:szCs w:val="24"/>
        </w:rPr>
        <w:t xml:space="preserve"> financial</w:t>
      </w:r>
      <w:r w:rsidR="00427365" w:rsidRPr="00746084">
        <w:rPr>
          <w:rFonts w:ascii="Times New Roman" w:hAnsi="Times New Roman" w:cs="Times New Roman"/>
          <w:color w:val="000000" w:themeColor="text1"/>
          <w:sz w:val="24"/>
          <w:szCs w:val="24"/>
        </w:rPr>
        <w:t xml:space="preserve"> ratios and key elements.</w:t>
      </w:r>
      <w:r w:rsidR="0010494A" w:rsidRPr="00746084">
        <w:rPr>
          <w:rFonts w:ascii="Times New Roman" w:hAnsi="Times New Roman" w:cs="Times New Roman"/>
          <w:color w:val="000000" w:themeColor="text1"/>
          <w:sz w:val="24"/>
          <w:szCs w:val="24"/>
        </w:rPr>
        <w:t xml:space="preserve"> For the purpose of this Whitb</w:t>
      </w:r>
      <w:r w:rsidR="00446EAD" w:rsidRPr="00746084">
        <w:rPr>
          <w:rFonts w:ascii="Times New Roman" w:hAnsi="Times New Roman" w:cs="Times New Roman"/>
          <w:color w:val="000000" w:themeColor="text1"/>
          <w:sz w:val="24"/>
          <w:szCs w:val="24"/>
        </w:rPr>
        <w:t xml:space="preserve">read Plc WBD </w:t>
      </w:r>
      <w:r w:rsidR="0094091B" w:rsidRPr="00746084">
        <w:rPr>
          <w:rFonts w:ascii="Times New Roman" w:hAnsi="Times New Roman" w:cs="Times New Roman"/>
          <w:color w:val="000000" w:themeColor="text1"/>
          <w:sz w:val="24"/>
          <w:szCs w:val="24"/>
        </w:rPr>
        <w:t>was</w:t>
      </w:r>
      <w:r w:rsidR="00446EAD" w:rsidRPr="00746084">
        <w:rPr>
          <w:rFonts w:ascii="Times New Roman" w:hAnsi="Times New Roman" w:cs="Times New Roman"/>
          <w:color w:val="000000" w:themeColor="text1"/>
          <w:sz w:val="24"/>
          <w:szCs w:val="24"/>
        </w:rPr>
        <w:t xml:space="preserve"> chosen. </w:t>
      </w:r>
      <w:r w:rsidRPr="00746084">
        <w:rPr>
          <w:rFonts w:ascii="Times New Roman" w:hAnsi="Times New Roman" w:cs="Times New Roman"/>
          <w:color w:val="000000" w:themeColor="text1"/>
          <w:sz w:val="24"/>
          <w:szCs w:val="24"/>
        </w:rPr>
        <w:t xml:space="preserve">Lastly, it provide a </w:t>
      </w:r>
      <w:r w:rsidR="00427365" w:rsidRPr="00746084">
        <w:rPr>
          <w:rFonts w:ascii="Times New Roman" w:hAnsi="Times New Roman" w:cs="Times New Roman"/>
          <w:color w:val="000000" w:themeColor="text1"/>
          <w:sz w:val="24"/>
          <w:szCs w:val="24"/>
        </w:rPr>
        <w:t xml:space="preserve">conclusion </w:t>
      </w:r>
      <w:r w:rsidR="00446EAD" w:rsidRPr="00746084">
        <w:rPr>
          <w:rFonts w:ascii="Times New Roman" w:hAnsi="Times New Roman" w:cs="Times New Roman"/>
          <w:color w:val="000000" w:themeColor="text1"/>
          <w:sz w:val="24"/>
          <w:szCs w:val="24"/>
        </w:rPr>
        <w:t xml:space="preserve">and recommendations </w:t>
      </w:r>
      <w:r w:rsidR="00427365" w:rsidRPr="00746084">
        <w:rPr>
          <w:rFonts w:ascii="Times New Roman" w:hAnsi="Times New Roman" w:cs="Times New Roman"/>
          <w:color w:val="000000" w:themeColor="text1"/>
          <w:sz w:val="24"/>
          <w:szCs w:val="24"/>
        </w:rPr>
        <w:t xml:space="preserve">based on the analysis and key elements of the organisation. </w:t>
      </w:r>
    </w:p>
    <w:p w14:paraId="33483A1C" w14:textId="77777777" w:rsidR="00691321" w:rsidRPr="00746084" w:rsidRDefault="00670B9A" w:rsidP="00862062">
      <w:pPr>
        <w:pStyle w:val="Heading2"/>
        <w:rPr>
          <w:rFonts w:cs="Times New Roman"/>
          <w:szCs w:val="24"/>
          <w:lang w:val="en-US"/>
        </w:rPr>
      </w:pPr>
      <w:bookmarkStart w:id="1" w:name="_Toc121233958"/>
      <w:r w:rsidRPr="00746084">
        <w:rPr>
          <w:rFonts w:cs="Times New Roman"/>
          <w:szCs w:val="24"/>
          <w:lang w:val="en-US"/>
        </w:rPr>
        <w:t>Company</w:t>
      </w:r>
      <w:r w:rsidR="0094091B" w:rsidRPr="00746084">
        <w:rPr>
          <w:rFonts w:cs="Times New Roman"/>
          <w:szCs w:val="24"/>
          <w:lang w:val="en-US"/>
        </w:rPr>
        <w:t>’s</w:t>
      </w:r>
      <w:r w:rsidRPr="00746084">
        <w:rPr>
          <w:rFonts w:cs="Times New Roman"/>
          <w:szCs w:val="24"/>
          <w:lang w:val="en-US"/>
        </w:rPr>
        <w:t xml:space="preserve"> Overview</w:t>
      </w:r>
      <w:bookmarkEnd w:id="1"/>
      <w:r w:rsidR="0094091B" w:rsidRPr="00746084">
        <w:rPr>
          <w:rFonts w:cs="Times New Roman"/>
          <w:szCs w:val="24"/>
          <w:lang w:val="en-US"/>
        </w:rPr>
        <w:t xml:space="preserve"> </w:t>
      </w:r>
    </w:p>
    <w:p w14:paraId="33483A1D" w14:textId="77777777" w:rsidR="002A65F7" w:rsidRPr="00746084" w:rsidRDefault="0094091B" w:rsidP="00862062">
      <w:pPr>
        <w:spacing w:line="360" w:lineRule="auto"/>
        <w:ind w:firstLine="720"/>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lang w:val="en-US"/>
        </w:rPr>
        <w:t>Whitbread Plc is renowned as one of the leading firm in UK’s</w:t>
      </w:r>
      <w:r w:rsidRPr="00746084">
        <w:rPr>
          <w:rFonts w:ascii="Times New Roman" w:hAnsi="Times New Roman" w:cs="Times New Roman"/>
          <w:color w:val="000000" w:themeColor="text1"/>
          <w:sz w:val="24"/>
          <w:szCs w:val="24"/>
        </w:rPr>
        <w:t xml:space="preserve"> Hotels and Entertainment sector. The company </w:t>
      </w:r>
      <w:r w:rsidR="002A65F7" w:rsidRPr="00746084">
        <w:rPr>
          <w:rFonts w:ascii="Times New Roman" w:hAnsi="Times New Roman" w:cs="Times New Roman"/>
          <w:color w:val="000000" w:themeColor="text1"/>
          <w:sz w:val="24"/>
          <w:szCs w:val="24"/>
        </w:rPr>
        <w:t xml:space="preserve">provide a services in chain of restaurants, hotels, health and fitness clubs, and coffee shops across the UK, and international countries as well (Whitbread Plc. Annual report, 2021/2022). </w:t>
      </w:r>
      <w:r w:rsidR="002A65F7" w:rsidRPr="00746084">
        <w:rPr>
          <w:rFonts w:ascii="Times New Roman" w:hAnsi="Times New Roman" w:cs="Times New Roman"/>
          <w:color w:val="000000" w:themeColor="text1"/>
          <w:sz w:val="24"/>
          <w:szCs w:val="24"/>
          <w:shd w:val="clear" w:color="auto" w:fill="FFFFFF"/>
        </w:rPr>
        <w:t>The company’s headquarter is located in (Bedfordshire) UK, and</w:t>
      </w:r>
      <w:r w:rsidR="002A65F7" w:rsidRPr="00746084">
        <w:rPr>
          <w:rFonts w:ascii="Times New Roman" w:hAnsi="Times New Roman" w:cs="Times New Roman"/>
          <w:bCs/>
          <w:color w:val="000000" w:themeColor="text1"/>
          <w:sz w:val="24"/>
          <w:szCs w:val="24"/>
        </w:rPr>
        <w:t xml:space="preserve"> currently it operate approximately 840 hotels in the UK and approximately 82,000 rooms in great locations. </w:t>
      </w:r>
      <w:r w:rsidR="002A65F7" w:rsidRPr="00746084">
        <w:rPr>
          <w:rFonts w:ascii="Times New Roman" w:hAnsi="Times New Roman" w:cs="Times New Roman"/>
          <w:color w:val="000000" w:themeColor="text1"/>
          <w:sz w:val="24"/>
          <w:szCs w:val="24"/>
        </w:rPr>
        <w:t xml:space="preserve">Moreover, company provides accommodation and food services under seven different brands (e.g. Cookhouse &amp; Pub , Premier Inn, , hub by Premier Inn, Brewers Fayre, </w:t>
      </w:r>
      <w:proofErr w:type="spellStart"/>
      <w:r w:rsidR="002A65F7" w:rsidRPr="00746084">
        <w:rPr>
          <w:rFonts w:ascii="Times New Roman" w:hAnsi="Times New Roman" w:cs="Times New Roman"/>
          <w:color w:val="000000" w:themeColor="text1"/>
          <w:sz w:val="24"/>
          <w:szCs w:val="24"/>
        </w:rPr>
        <w:t>Bar+Block</w:t>
      </w:r>
      <w:proofErr w:type="spellEnd"/>
      <w:r w:rsidR="002A65F7" w:rsidRPr="00746084">
        <w:rPr>
          <w:rFonts w:ascii="Times New Roman" w:hAnsi="Times New Roman" w:cs="Times New Roman"/>
          <w:color w:val="000000" w:themeColor="text1"/>
          <w:sz w:val="24"/>
          <w:szCs w:val="24"/>
        </w:rPr>
        <w:t xml:space="preserve"> Steakhouse, Beefeater, ZIP by Premier Inn, thyme, Table, and WHITBREAD INNS (Whitbread Plc. Annual report, 2021/2022). Further while referring to its restaurants, these restaurants provide a wide range of food including char-grilled food, salad, all-day dining, steaks, classic pub food, desserts, and kids menus.</w:t>
      </w:r>
    </w:p>
    <w:p w14:paraId="33483A1E" w14:textId="77777777" w:rsidR="00CD139B" w:rsidRPr="00746084" w:rsidRDefault="00CD139B" w:rsidP="00746084">
      <w:pPr>
        <w:pStyle w:val="Heading1"/>
        <w:rPr>
          <w:rFonts w:cs="Times New Roman"/>
          <w:szCs w:val="24"/>
          <w:lang/>
        </w:rPr>
      </w:pPr>
      <w:bookmarkStart w:id="2" w:name="_Toc121233959"/>
      <w:r w:rsidRPr="00746084">
        <w:rPr>
          <w:rFonts w:cs="Times New Roman"/>
          <w:szCs w:val="24"/>
          <w:lang/>
        </w:rPr>
        <w:t>Key elements of Whitbread Plc</w:t>
      </w:r>
      <w:bookmarkEnd w:id="2"/>
    </w:p>
    <w:p w14:paraId="33483A1F"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This section provides a comprehensive analysis of the key elements that should be used in analyses such as profitability, liquidity, solvency, efficiency and growth. These ratios are often chosen from some integrated financial statement of companies for comprehensive analysis of their financial performance.</w:t>
      </w:r>
    </w:p>
    <w:p w14:paraId="33483A20" w14:textId="77777777" w:rsidR="00CD139B" w:rsidRPr="00746084" w:rsidRDefault="00CD139B" w:rsidP="00862062">
      <w:pPr>
        <w:pStyle w:val="Heading2"/>
        <w:rPr>
          <w:rFonts w:cs="Times New Roman"/>
          <w:szCs w:val="24"/>
          <w:lang/>
        </w:rPr>
      </w:pPr>
      <w:bookmarkStart w:id="3" w:name="_Toc121233960"/>
      <w:r w:rsidRPr="00746084">
        <w:rPr>
          <w:rFonts w:cs="Times New Roman"/>
          <w:szCs w:val="24"/>
        </w:rPr>
        <w:t>Profitability</w:t>
      </w:r>
      <w:r w:rsidRPr="00746084">
        <w:rPr>
          <w:rFonts w:cs="Times New Roman"/>
          <w:szCs w:val="24"/>
          <w:lang/>
        </w:rPr>
        <w:t xml:space="preserve"> Ratios</w:t>
      </w:r>
      <w:bookmarkEnd w:id="3"/>
    </w:p>
    <w:p w14:paraId="33483A21"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Profitability ratios measure how efficiently the business is working in terms of generating profits from its operations. It is important to analyse profitability ratios as it can provide an insight </w:t>
      </w:r>
      <w:r w:rsidRPr="00746084">
        <w:rPr>
          <w:rFonts w:ascii="Times New Roman" w:hAnsi="Times New Roman" w:cs="Times New Roman"/>
          <w:bCs/>
          <w:color w:val="000000" w:themeColor="text1"/>
          <w:sz w:val="24"/>
          <w:szCs w:val="24"/>
          <w:lang/>
        </w:rPr>
        <w:lastRenderedPageBreak/>
        <w:t>into the overall performance of a business</w:t>
      </w:r>
      <w:r w:rsidR="001374C5" w:rsidRPr="00746084">
        <w:rPr>
          <w:rFonts w:ascii="Times New Roman" w:hAnsi="Times New Roman" w:cs="Times New Roman"/>
          <w:bCs/>
          <w:color w:val="000000" w:themeColor="text1"/>
          <w:sz w:val="24"/>
          <w:szCs w:val="24"/>
        </w:rPr>
        <w:t xml:space="preserve"> (</w:t>
      </w:r>
      <w:proofErr w:type="spellStart"/>
      <w:r w:rsidR="001374C5" w:rsidRPr="00746084">
        <w:rPr>
          <w:rFonts w:ascii="Times New Roman" w:hAnsi="Times New Roman" w:cs="Times New Roman"/>
          <w:color w:val="000000" w:themeColor="text1"/>
          <w:sz w:val="24"/>
          <w:szCs w:val="24"/>
        </w:rPr>
        <w:t>Madushanka</w:t>
      </w:r>
      <w:proofErr w:type="spellEnd"/>
      <w:r w:rsidR="001374C5" w:rsidRPr="00746084">
        <w:rPr>
          <w:rFonts w:ascii="Times New Roman" w:hAnsi="Times New Roman" w:cs="Times New Roman"/>
          <w:color w:val="000000" w:themeColor="text1"/>
          <w:sz w:val="24"/>
          <w:szCs w:val="24"/>
        </w:rPr>
        <w:t xml:space="preserve"> and </w:t>
      </w:r>
      <w:proofErr w:type="spellStart"/>
      <w:r w:rsidR="001374C5" w:rsidRPr="00746084">
        <w:rPr>
          <w:rFonts w:ascii="Times New Roman" w:hAnsi="Times New Roman" w:cs="Times New Roman"/>
          <w:color w:val="000000" w:themeColor="text1"/>
          <w:sz w:val="24"/>
          <w:szCs w:val="24"/>
        </w:rPr>
        <w:t>Jathurika</w:t>
      </w:r>
      <w:proofErr w:type="spellEnd"/>
      <w:r w:rsidR="001374C5" w:rsidRPr="00746084">
        <w:rPr>
          <w:rFonts w:ascii="Times New Roman" w:hAnsi="Times New Roman" w:cs="Times New Roman"/>
          <w:color w:val="000000" w:themeColor="text1"/>
          <w:sz w:val="24"/>
          <w:szCs w:val="24"/>
        </w:rPr>
        <w:t>, 2018)</w:t>
      </w:r>
      <w:r w:rsidRPr="00746084">
        <w:rPr>
          <w:rFonts w:ascii="Times New Roman" w:hAnsi="Times New Roman" w:cs="Times New Roman"/>
          <w:bCs/>
          <w:color w:val="000000" w:themeColor="text1"/>
          <w:sz w:val="24"/>
          <w:szCs w:val="24"/>
          <w:lang/>
        </w:rPr>
        <w:t>. The following profitability ratios are often used to analyse the financial performance of companies.</w:t>
      </w:r>
    </w:p>
    <w:p w14:paraId="33483A22" w14:textId="77777777" w:rsidR="00CD139B" w:rsidRPr="00746084" w:rsidRDefault="00CD139B" w:rsidP="00862062">
      <w:pPr>
        <w:numPr>
          <w:ilvl w:val="0"/>
          <w:numId w:val="1"/>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Gross Profit Margin Ratio</w:t>
      </w:r>
    </w:p>
    <w:p w14:paraId="33483A23" w14:textId="77777777" w:rsidR="00CD139B" w:rsidRPr="00746084" w:rsidRDefault="00CD139B" w:rsidP="00862062">
      <w:pPr>
        <w:numPr>
          <w:ilvl w:val="0"/>
          <w:numId w:val="1"/>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Net Profit Margin Ratio</w:t>
      </w:r>
    </w:p>
    <w:p w14:paraId="33483A24" w14:textId="77777777" w:rsidR="00CD139B" w:rsidRPr="00746084" w:rsidRDefault="00CD139B" w:rsidP="00862062">
      <w:pPr>
        <w:numPr>
          <w:ilvl w:val="0"/>
          <w:numId w:val="1"/>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Operating Profit Margin Ratio</w:t>
      </w:r>
    </w:p>
    <w:p w14:paraId="33483A25" w14:textId="77777777" w:rsidR="00CD139B" w:rsidRPr="00746084" w:rsidRDefault="00CD139B" w:rsidP="00862062">
      <w:pPr>
        <w:numPr>
          <w:ilvl w:val="0"/>
          <w:numId w:val="1"/>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Return on Equity (RoE) ratio</w:t>
      </w:r>
    </w:p>
    <w:p w14:paraId="33483A26" w14:textId="77777777" w:rsidR="00CD139B" w:rsidRPr="00746084" w:rsidRDefault="00CD139B" w:rsidP="00862062">
      <w:pPr>
        <w:numPr>
          <w:ilvl w:val="0"/>
          <w:numId w:val="1"/>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Return on Assets (RoA) Ratio</w:t>
      </w:r>
    </w:p>
    <w:p w14:paraId="33483A27" w14:textId="77777777" w:rsidR="00CD139B" w:rsidRPr="00746084" w:rsidRDefault="00CD139B" w:rsidP="00862062">
      <w:pPr>
        <w:pStyle w:val="Heading2"/>
        <w:rPr>
          <w:rFonts w:cs="Times New Roman"/>
          <w:szCs w:val="24"/>
          <w:lang/>
        </w:rPr>
      </w:pPr>
      <w:bookmarkStart w:id="4" w:name="_Toc121233961"/>
      <w:r w:rsidRPr="00746084">
        <w:rPr>
          <w:rFonts w:cs="Times New Roman"/>
          <w:szCs w:val="24"/>
        </w:rPr>
        <w:t>Liquidity</w:t>
      </w:r>
      <w:r w:rsidRPr="00746084">
        <w:rPr>
          <w:rFonts w:cs="Times New Roman"/>
          <w:szCs w:val="24"/>
          <w:lang/>
        </w:rPr>
        <w:t xml:space="preserve"> Ratios</w:t>
      </w:r>
      <w:bookmarkEnd w:id="4"/>
    </w:p>
    <w:p w14:paraId="33483A28"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Liquidity ratios measure the ability of the business to meet its short-term financial obligations. It is important to analyse liquidity ratios as it can provide an insight into the company’s short-term financial situation</w:t>
      </w:r>
      <w:r w:rsidR="00D12CC4" w:rsidRPr="00746084">
        <w:rPr>
          <w:rFonts w:ascii="Times New Roman" w:hAnsi="Times New Roman" w:cs="Times New Roman"/>
          <w:bCs/>
          <w:color w:val="000000" w:themeColor="text1"/>
          <w:sz w:val="24"/>
          <w:szCs w:val="24"/>
        </w:rPr>
        <w:t xml:space="preserve"> (</w:t>
      </w:r>
      <w:proofErr w:type="spellStart"/>
      <w:r w:rsidR="00D12CC4" w:rsidRPr="00746084">
        <w:rPr>
          <w:rFonts w:ascii="Times New Roman" w:hAnsi="Times New Roman" w:cs="Times New Roman"/>
          <w:color w:val="000000" w:themeColor="text1"/>
          <w:sz w:val="24"/>
          <w:szCs w:val="24"/>
        </w:rPr>
        <w:t>Kadim</w:t>
      </w:r>
      <w:proofErr w:type="spellEnd"/>
      <w:r w:rsidR="00D12CC4" w:rsidRPr="00746084">
        <w:rPr>
          <w:rFonts w:ascii="Times New Roman" w:hAnsi="Times New Roman" w:cs="Times New Roman"/>
          <w:color w:val="000000" w:themeColor="text1"/>
          <w:sz w:val="24"/>
          <w:szCs w:val="24"/>
        </w:rPr>
        <w:t xml:space="preserve"> et al., 2020)</w:t>
      </w:r>
      <w:r w:rsidRPr="00746084">
        <w:rPr>
          <w:rFonts w:ascii="Times New Roman" w:hAnsi="Times New Roman" w:cs="Times New Roman"/>
          <w:bCs/>
          <w:color w:val="000000" w:themeColor="text1"/>
          <w:sz w:val="24"/>
          <w:szCs w:val="24"/>
          <w:lang/>
        </w:rPr>
        <w:t>. The following liquidity ratios are used to analyse the financial performance of companies.</w:t>
      </w:r>
    </w:p>
    <w:p w14:paraId="33483A29" w14:textId="77777777" w:rsidR="00CD139B" w:rsidRPr="00746084" w:rsidRDefault="00CD139B" w:rsidP="00862062">
      <w:pPr>
        <w:numPr>
          <w:ilvl w:val="0"/>
          <w:numId w:val="2"/>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Current ratio</w:t>
      </w:r>
    </w:p>
    <w:p w14:paraId="33483A2A" w14:textId="77777777" w:rsidR="00CD139B" w:rsidRPr="00746084" w:rsidRDefault="00CD139B" w:rsidP="00862062">
      <w:pPr>
        <w:numPr>
          <w:ilvl w:val="0"/>
          <w:numId w:val="2"/>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Quick ratio</w:t>
      </w:r>
    </w:p>
    <w:p w14:paraId="33483A2B" w14:textId="77777777" w:rsidR="00CD139B" w:rsidRPr="00746084" w:rsidRDefault="00CD139B" w:rsidP="00862062">
      <w:pPr>
        <w:numPr>
          <w:ilvl w:val="0"/>
          <w:numId w:val="2"/>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Cash Ratio</w:t>
      </w:r>
    </w:p>
    <w:p w14:paraId="33483A2C" w14:textId="77777777" w:rsidR="00CD139B" w:rsidRPr="00746084" w:rsidRDefault="00CD139B" w:rsidP="00862062">
      <w:pPr>
        <w:pStyle w:val="Heading2"/>
        <w:rPr>
          <w:rFonts w:cs="Times New Roman"/>
          <w:szCs w:val="24"/>
          <w:lang/>
        </w:rPr>
      </w:pPr>
      <w:bookmarkStart w:id="5" w:name="_Toc121233962"/>
      <w:r w:rsidRPr="00746084">
        <w:rPr>
          <w:rFonts w:cs="Times New Roman"/>
          <w:szCs w:val="24"/>
          <w:lang/>
        </w:rPr>
        <w:t>Solvency Ratios</w:t>
      </w:r>
      <w:bookmarkEnd w:id="5"/>
    </w:p>
    <w:p w14:paraId="33483A2D"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Solvency ratios measure the ability of the business to meet its long-term financial obligations. It is important to analyse solvency ratios as it can provide an insight into the company’s long-term financial situation</w:t>
      </w:r>
      <w:r w:rsidR="00615048" w:rsidRPr="00746084">
        <w:rPr>
          <w:rFonts w:ascii="Times New Roman" w:hAnsi="Times New Roman" w:cs="Times New Roman"/>
          <w:bCs/>
          <w:color w:val="000000" w:themeColor="text1"/>
          <w:sz w:val="24"/>
          <w:szCs w:val="24"/>
        </w:rPr>
        <w:t xml:space="preserve"> (</w:t>
      </w:r>
      <w:proofErr w:type="spellStart"/>
      <w:r w:rsidR="00615048" w:rsidRPr="00746084">
        <w:rPr>
          <w:rFonts w:ascii="Times New Roman" w:hAnsi="Times New Roman" w:cs="Times New Roman"/>
          <w:color w:val="000000" w:themeColor="text1"/>
          <w:sz w:val="24"/>
          <w:szCs w:val="24"/>
        </w:rPr>
        <w:t>Mukhtarov</w:t>
      </w:r>
      <w:proofErr w:type="spellEnd"/>
      <w:r w:rsidR="00615048" w:rsidRPr="00746084">
        <w:rPr>
          <w:rFonts w:ascii="Times New Roman" w:hAnsi="Times New Roman" w:cs="Times New Roman"/>
          <w:color w:val="000000" w:themeColor="text1"/>
          <w:sz w:val="24"/>
          <w:szCs w:val="24"/>
        </w:rPr>
        <w:t xml:space="preserve"> et al., 2022)</w:t>
      </w:r>
      <w:r w:rsidRPr="00746084">
        <w:rPr>
          <w:rFonts w:ascii="Times New Roman" w:hAnsi="Times New Roman" w:cs="Times New Roman"/>
          <w:bCs/>
          <w:color w:val="000000" w:themeColor="text1"/>
          <w:sz w:val="24"/>
          <w:szCs w:val="24"/>
          <w:lang/>
        </w:rPr>
        <w:t>. The following solvency ratios are used to analyse the financial performance of companies.</w:t>
      </w:r>
    </w:p>
    <w:p w14:paraId="33483A2E" w14:textId="77777777" w:rsidR="00CD139B" w:rsidRPr="00746084" w:rsidRDefault="00CD139B" w:rsidP="00862062">
      <w:pPr>
        <w:numPr>
          <w:ilvl w:val="0"/>
          <w:numId w:val="3"/>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Debt-to-Equity Ratio</w:t>
      </w:r>
    </w:p>
    <w:p w14:paraId="33483A2F" w14:textId="77777777" w:rsidR="00CD139B" w:rsidRPr="00746084" w:rsidRDefault="00CD139B" w:rsidP="00862062">
      <w:pPr>
        <w:numPr>
          <w:ilvl w:val="0"/>
          <w:numId w:val="3"/>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Interest Coverage ratio </w:t>
      </w:r>
    </w:p>
    <w:p w14:paraId="33483A30" w14:textId="77777777" w:rsidR="00CD139B" w:rsidRPr="00746084" w:rsidRDefault="00CD139B" w:rsidP="00862062">
      <w:pPr>
        <w:numPr>
          <w:ilvl w:val="0"/>
          <w:numId w:val="3"/>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Debt-to-capital ratio</w:t>
      </w:r>
    </w:p>
    <w:p w14:paraId="33483A31" w14:textId="77777777" w:rsidR="00CD139B" w:rsidRPr="00746084" w:rsidRDefault="00CD139B" w:rsidP="00862062">
      <w:pPr>
        <w:pStyle w:val="Heading2"/>
        <w:rPr>
          <w:rFonts w:cs="Times New Roman"/>
          <w:szCs w:val="24"/>
          <w:lang/>
        </w:rPr>
      </w:pPr>
      <w:bookmarkStart w:id="6" w:name="_Toc121233963"/>
      <w:r w:rsidRPr="00746084">
        <w:rPr>
          <w:rFonts w:cs="Times New Roman"/>
          <w:szCs w:val="24"/>
          <w:lang/>
        </w:rPr>
        <w:t>Efficiency Ratios</w:t>
      </w:r>
      <w:bookmarkEnd w:id="6"/>
    </w:p>
    <w:p w14:paraId="33483A32"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Efficiency ratios measure how efficiently the business is working in terms of generating profits from its operations and managing its assets</w:t>
      </w:r>
      <w:r w:rsidR="002816B7" w:rsidRPr="00746084">
        <w:rPr>
          <w:rFonts w:ascii="Times New Roman" w:hAnsi="Times New Roman" w:cs="Times New Roman"/>
          <w:bCs/>
          <w:color w:val="000000" w:themeColor="text1"/>
          <w:sz w:val="24"/>
          <w:szCs w:val="24"/>
        </w:rPr>
        <w:t xml:space="preserve"> (</w:t>
      </w:r>
      <w:proofErr w:type="spellStart"/>
      <w:r w:rsidR="002816B7" w:rsidRPr="00746084">
        <w:rPr>
          <w:rFonts w:ascii="Times New Roman" w:hAnsi="Times New Roman" w:cs="Times New Roman"/>
          <w:color w:val="000000" w:themeColor="text1"/>
          <w:sz w:val="24"/>
          <w:szCs w:val="24"/>
        </w:rPr>
        <w:t>Bazot</w:t>
      </w:r>
      <w:proofErr w:type="spellEnd"/>
      <w:r w:rsidR="002816B7" w:rsidRPr="00746084">
        <w:rPr>
          <w:rFonts w:ascii="Times New Roman" w:hAnsi="Times New Roman" w:cs="Times New Roman"/>
          <w:color w:val="000000" w:themeColor="text1"/>
          <w:sz w:val="24"/>
          <w:szCs w:val="24"/>
        </w:rPr>
        <w:t>, 2018)</w:t>
      </w:r>
      <w:r w:rsidRPr="00746084">
        <w:rPr>
          <w:rFonts w:ascii="Times New Roman" w:hAnsi="Times New Roman" w:cs="Times New Roman"/>
          <w:bCs/>
          <w:color w:val="000000" w:themeColor="text1"/>
          <w:sz w:val="24"/>
          <w:szCs w:val="24"/>
          <w:lang/>
        </w:rPr>
        <w:t xml:space="preserve">. It is important to analyse </w:t>
      </w:r>
      <w:r w:rsidRPr="00746084">
        <w:rPr>
          <w:rFonts w:ascii="Times New Roman" w:hAnsi="Times New Roman" w:cs="Times New Roman"/>
          <w:bCs/>
          <w:color w:val="000000" w:themeColor="text1"/>
          <w:sz w:val="24"/>
          <w:szCs w:val="24"/>
          <w:lang/>
        </w:rPr>
        <w:lastRenderedPageBreak/>
        <w:t>efficiency ratios as it can provide an insight into how well the company is performing. The following efficiency ratios are used to analyse the financial performance of companies.</w:t>
      </w:r>
    </w:p>
    <w:p w14:paraId="33483A33" w14:textId="77777777" w:rsidR="00CD139B" w:rsidRPr="00746084" w:rsidRDefault="00CD139B" w:rsidP="00862062">
      <w:pPr>
        <w:numPr>
          <w:ilvl w:val="0"/>
          <w:numId w:val="4"/>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Inventory Turnover Ratio </w:t>
      </w:r>
    </w:p>
    <w:p w14:paraId="33483A34" w14:textId="77777777" w:rsidR="00CD139B" w:rsidRPr="00746084" w:rsidRDefault="00CD139B" w:rsidP="00862062">
      <w:pPr>
        <w:numPr>
          <w:ilvl w:val="0"/>
          <w:numId w:val="4"/>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Accounts Receivable Turnover Ratio </w:t>
      </w:r>
    </w:p>
    <w:p w14:paraId="33483A35" w14:textId="77777777" w:rsidR="00CD139B" w:rsidRPr="00746084" w:rsidRDefault="00CD139B" w:rsidP="00862062">
      <w:pPr>
        <w:numPr>
          <w:ilvl w:val="0"/>
          <w:numId w:val="4"/>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Fixed Assets Turnover Ratio</w:t>
      </w:r>
    </w:p>
    <w:p w14:paraId="33483A36" w14:textId="77777777" w:rsidR="00CD139B" w:rsidRPr="00746084" w:rsidRDefault="00CD139B" w:rsidP="00862062">
      <w:pPr>
        <w:numPr>
          <w:ilvl w:val="0"/>
          <w:numId w:val="4"/>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Total Assets Turnover Ratio</w:t>
      </w:r>
    </w:p>
    <w:p w14:paraId="33483A37" w14:textId="77777777" w:rsidR="00CD139B" w:rsidRPr="00746084" w:rsidRDefault="00CD139B" w:rsidP="00862062">
      <w:pPr>
        <w:pStyle w:val="Heading2"/>
        <w:rPr>
          <w:rFonts w:cs="Times New Roman"/>
          <w:szCs w:val="24"/>
          <w:lang/>
        </w:rPr>
      </w:pPr>
      <w:bookmarkStart w:id="7" w:name="_Toc121233964"/>
      <w:r w:rsidRPr="00746084">
        <w:rPr>
          <w:rFonts w:cs="Times New Roman"/>
          <w:szCs w:val="24"/>
          <w:lang/>
        </w:rPr>
        <w:t>Growth Ratios</w:t>
      </w:r>
      <w:bookmarkEnd w:id="7"/>
    </w:p>
    <w:p w14:paraId="33483A38" w14:textId="77777777" w:rsidR="00CD139B"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Growth ratios measure how well the business is growing over a period of time. It is important to analyse growth ratios as it can provide an insight into the business’s long-term prospects</w:t>
      </w:r>
      <w:r w:rsidR="006A29FF" w:rsidRPr="00746084">
        <w:rPr>
          <w:rFonts w:ascii="Times New Roman" w:hAnsi="Times New Roman" w:cs="Times New Roman"/>
          <w:bCs/>
          <w:color w:val="000000" w:themeColor="text1"/>
          <w:sz w:val="24"/>
          <w:szCs w:val="24"/>
        </w:rPr>
        <w:t xml:space="preserve"> (</w:t>
      </w:r>
      <w:proofErr w:type="spellStart"/>
      <w:r w:rsidR="006A29FF" w:rsidRPr="00746084">
        <w:rPr>
          <w:rFonts w:ascii="Times New Roman" w:hAnsi="Times New Roman" w:cs="Times New Roman"/>
          <w:color w:val="000000" w:themeColor="text1"/>
          <w:sz w:val="24"/>
          <w:szCs w:val="24"/>
        </w:rPr>
        <w:t>Fajaria</w:t>
      </w:r>
      <w:proofErr w:type="spellEnd"/>
      <w:r w:rsidR="006A29FF" w:rsidRPr="00746084">
        <w:rPr>
          <w:rFonts w:ascii="Times New Roman" w:hAnsi="Times New Roman" w:cs="Times New Roman"/>
          <w:color w:val="000000" w:themeColor="text1"/>
          <w:sz w:val="24"/>
          <w:szCs w:val="24"/>
        </w:rPr>
        <w:t xml:space="preserve"> and </w:t>
      </w:r>
      <w:proofErr w:type="spellStart"/>
      <w:r w:rsidR="006A29FF" w:rsidRPr="00746084">
        <w:rPr>
          <w:rFonts w:ascii="Times New Roman" w:hAnsi="Times New Roman" w:cs="Times New Roman"/>
          <w:color w:val="000000" w:themeColor="text1"/>
          <w:sz w:val="24"/>
          <w:szCs w:val="24"/>
        </w:rPr>
        <w:t>Isnalita</w:t>
      </w:r>
      <w:proofErr w:type="spellEnd"/>
      <w:r w:rsidR="006A29FF" w:rsidRPr="00746084">
        <w:rPr>
          <w:rFonts w:ascii="Times New Roman" w:hAnsi="Times New Roman" w:cs="Times New Roman"/>
          <w:color w:val="000000" w:themeColor="text1"/>
          <w:sz w:val="24"/>
          <w:szCs w:val="24"/>
        </w:rPr>
        <w:t>, 2018)</w:t>
      </w:r>
      <w:r w:rsidRPr="00746084">
        <w:rPr>
          <w:rFonts w:ascii="Times New Roman" w:hAnsi="Times New Roman" w:cs="Times New Roman"/>
          <w:bCs/>
          <w:color w:val="000000" w:themeColor="text1"/>
          <w:sz w:val="24"/>
          <w:szCs w:val="24"/>
          <w:lang/>
        </w:rPr>
        <w:t>. The following growth ratios are used to analyse the financial performance of companies.</w:t>
      </w:r>
    </w:p>
    <w:p w14:paraId="33483A39" w14:textId="77777777" w:rsidR="00CD139B" w:rsidRPr="00746084" w:rsidRDefault="00CD139B" w:rsidP="00862062">
      <w:pPr>
        <w:numPr>
          <w:ilvl w:val="0"/>
          <w:numId w:val="5"/>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Revenue Growth Ratio </w:t>
      </w:r>
    </w:p>
    <w:p w14:paraId="33483A3A" w14:textId="77777777" w:rsidR="00CD139B" w:rsidRPr="00746084" w:rsidRDefault="00CD139B" w:rsidP="00862062">
      <w:pPr>
        <w:numPr>
          <w:ilvl w:val="0"/>
          <w:numId w:val="5"/>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Gross Profit Growth Ratio </w:t>
      </w:r>
    </w:p>
    <w:p w14:paraId="33483A3B" w14:textId="77777777" w:rsidR="00CD139B" w:rsidRPr="00746084" w:rsidRDefault="00CD139B" w:rsidP="00862062">
      <w:pPr>
        <w:numPr>
          <w:ilvl w:val="0"/>
          <w:numId w:val="5"/>
        </w:numPr>
        <w:spacing w:line="360" w:lineRule="auto"/>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 xml:space="preserve">Net Profit Growth Ratio </w:t>
      </w:r>
    </w:p>
    <w:p w14:paraId="33483A3C" w14:textId="77777777" w:rsidR="00604A5F" w:rsidRPr="00746084" w:rsidRDefault="00CD139B" w:rsidP="00862062">
      <w:pPr>
        <w:spacing w:line="360" w:lineRule="auto"/>
        <w:ind w:firstLine="720"/>
        <w:jc w:val="both"/>
        <w:rPr>
          <w:rFonts w:ascii="Times New Roman" w:hAnsi="Times New Roman" w:cs="Times New Roman"/>
          <w:bCs/>
          <w:color w:val="000000" w:themeColor="text1"/>
          <w:sz w:val="24"/>
          <w:szCs w:val="24"/>
          <w:lang/>
        </w:rPr>
      </w:pPr>
      <w:r w:rsidRPr="00746084">
        <w:rPr>
          <w:rFonts w:ascii="Times New Roman" w:hAnsi="Times New Roman" w:cs="Times New Roman"/>
          <w:bCs/>
          <w:color w:val="000000" w:themeColor="text1"/>
          <w:sz w:val="24"/>
          <w:szCs w:val="24"/>
          <w:lang/>
        </w:rPr>
        <w:t>The five-year financial performance of Whitbread Plc should be analysed using these key elements and any pertinent extra information from the cash flow statement as well. Vertical and horizontal assessments of the income statement and the statement of financial position have been included in the study. This will provide a comprehensive evaluation of the financial performance of the organisation. Additionally, it may be useful to compare Whitbread Plc’s performance with that of other companies in the industry, as this may provide useful insights into how Whitbread Plc is performing relative to its peers. Finally, it is essential to consider any external factors (e.g. economic conditions) which may have an impact on Whitbread Plc’s financial performance during the period under review. However, following elements and ratios have been considered to analyse the financial performance of Whitbread Plc’s.</w:t>
      </w:r>
    </w:p>
    <w:p w14:paraId="33483A3D" w14:textId="77777777" w:rsidR="00913EAE" w:rsidRPr="00746084" w:rsidRDefault="00913EAE" w:rsidP="00746084">
      <w:pPr>
        <w:pStyle w:val="Heading1"/>
        <w:rPr>
          <w:rFonts w:cs="Times New Roman"/>
          <w:szCs w:val="24"/>
          <w:lang w:val="en-US"/>
        </w:rPr>
      </w:pPr>
      <w:bookmarkStart w:id="8" w:name="_Toc121233965"/>
      <w:r w:rsidRPr="00746084">
        <w:rPr>
          <w:rFonts w:cs="Times New Roman"/>
          <w:szCs w:val="24"/>
          <w:lang w:val="en-US"/>
        </w:rPr>
        <w:t xml:space="preserve">Financial </w:t>
      </w:r>
      <w:r w:rsidR="00446EAD" w:rsidRPr="00746084">
        <w:rPr>
          <w:rFonts w:cs="Times New Roman"/>
          <w:szCs w:val="24"/>
          <w:lang w:val="en-US"/>
        </w:rPr>
        <w:t>Ratios</w:t>
      </w:r>
      <w:bookmarkEnd w:id="8"/>
      <w:r w:rsidR="00446EAD" w:rsidRPr="00746084">
        <w:rPr>
          <w:rFonts w:cs="Times New Roman"/>
          <w:szCs w:val="24"/>
          <w:lang w:val="en-US"/>
        </w:rPr>
        <w:t xml:space="preserve"> </w:t>
      </w:r>
    </w:p>
    <w:p w14:paraId="33483A3E" w14:textId="77777777" w:rsidR="00427365" w:rsidRPr="00746084" w:rsidRDefault="00427365" w:rsidP="00862062">
      <w:pPr>
        <w:spacing w:line="360" w:lineRule="auto"/>
        <w:ind w:firstLine="720"/>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Financial ratios plays an essential role in evaluating the financial performance of the company</w:t>
      </w:r>
      <w:r w:rsidR="00B175AD" w:rsidRPr="00746084">
        <w:rPr>
          <w:rFonts w:ascii="Times New Roman" w:hAnsi="Times New Roman" w:cs="Times New Roman"/>
          <w:color w:val="000000" w:themeColor="text1"/>
          <w:sz w:val="24"/>
          <w:szCs w:val="24"/>
          <w:lang w:val="en-US"/>
        </w:rPr>
        <w:t xml:space="preserve"> across different time period</w:t>
      </w:r>
      <w:r w:rsidR="00C33193" w:rsidRPr="00746084">
        <w:rPr>
          <w:rFonts w:ascii="Times New Roman" w:hAnsi="Times New Roman" w:cs="Times New Roman"/>
          <w:color w:val="000000" w:themeColor="text1"/>
          <w:sz w:val="24"/>
          <w:szCs w:val="24"/>
          <w:lang w:val="en-US"/>
        </w:rPr>
        <w:t xml:space="preserve"> (</w:t>
      </w:r>
      <w:proofErr w:type="spellStart"/>
      <w:r w:rsidR="00C33193" w:rsidRPr="00746084">
        <w:rPr>
          <w:rFonts w:ascii="Times New Roman" w:hAnsi="Times New Roman" w:cs="Times New Roman"/>
          <w:color w:val="000000" w:themeColor="text1"/>
          <w:sz w:val="24"/>
          <w:szCs w:val="24"/>
          <w:shd w:val="clear" w:color="auto" w:fill="FFFFFF"/>
        </w:rPr>
        <w:t>Nuryani</w:t>
      </w:r>
      <w:proofErr w:type="spellEnd"/>
      <w:r w:rsidR="00C33193" w:rsidRPr="00746084">
        <w:rPr>
          <w:rFonts w:ascii="Times New Roman" w:hAnsi="Times New Roman" w:cs="Times New Roman"/>
          <w:color w:val="000000" w:themeColor="text1"/>
          <w:sz w:val="24"/>
          <w:szCs w:val="24"/>
          <w:shd w:val="clear" w:color="auto" w:fill="FFFFFF"/>
        </w:rPr>
        <w:t xml:space="preserve"> and </w:t>
      </w:r>
      <w:proofErr w:type="spellStart"/>
      <w:r w:rsidR="00C33193" w:rsidRPr="00746084">
        <w:rPr>
          <w:rFonts w:ascii="Times New Roman" w:hAnsi="Times New Roman" w:cs="Times New Roman"/>
          <w:color w:val="000000" w:themeColor="text1"/>
          <w:sz w:val="24"/>
          <w:szCs w:val="24"/>
          <w:shd w:val="clear" w:color="auto" w:fill="FFFFFF"/>
        </w:rPr>
        <w:t>Sunarsi</w:t>
      </w:r>
      <w:proofErr w:type="spellEnd"/>
      <w:r w:rsidR="00C33193" w:rsidRPr="00746084">
        <w:rPr>
          <w:rFonts w:ascii="Times New Roman" w:hAnsi="Times New Roman" w:cs="Times New Roman"/>
          <w:color w:val="000000" w:themeColor="text1"/>
          <w:sz w:val="24"/>
          <w:szCs w:val="24"/>
          <w:shd w:val="clear" w:color="auto" w:fill="FFFFFF"/>
        </w:rPr>
        <w:t>, 2020</w:t>
      </w:r>
      <w:r w:rsidR="00C33193" w:rsidRPr="00746084">
        <w:rPr>
          <w:rFonts w:ascii="Times New Roman" w:hAnsi="Times New Roman" w:cs="Times New Roman"/>
          <w:color w:val="000000" w:themeColor="text1"/>
          <w:sz w:val="24"/>
          <w:szCs w:val="24"/>
          <w:lang w:val="en-US"/>
        </w:rPr>
        <w:t xml:space="preserve">). According to </w:t>
      </w:r>
      <w:proofErr w:type="spellStart"/>
      <w:r w:rsidR="00C33193" w:rsidRPr="00746084">
        <w:rPr>
          <w:rFonts w:ascii="Times New Roman" w:hAnsi="Times New Roman" w:cs="Times New Roman"/>
          <w:color w:val="000000" w:themeColor="text1"/>
          <w:sz w:val="24"/>
          <w:szCs w:val="24"/>
          <w:lang w:val="en-US"/>
        </w:rPr>
        <w:t>Bhimani</w:t>
      </w:r>
      <w:proofErr w:type="spellEnd"/>
      <w:r w:rsidR="00C33193" w:rsidRPr="00746084">
        <w:rPr>
          <w:rFonts w:ascii="Times New Roman" w:hAnsi="Times New Roman" w:cs="Times New Roman"/>
          <w:color w:val="000000" w:themeColor="text1"/>
          <w:sz w:val="24"/>
          <w:szCs w:val="24"/>
          <w:lang w:val="en-US"/>
        </w:rPr>
        <w:t xml:space="preserve"> (2017</w:t>
      </w:r>
      <w:r w:rsidR="0010494A" w:rsidRPr="00746084">
        <w:rPr>
          <w:rFonts w:ascii="Times New Roman" w:hAnsi="Times New Roman" w:cs="Times New Roman"/>
          <w:color w:val="000000" w:themeColor="text1"/>
          <w:sz w:val="24"/>
          <w:szCs w:val="24"/>
          <w:lang w:val="en-US"/>
        </w:rPr>
        <w:t xml:space="preserve">) </w:t>
      </w:r>
      <w:r w:rsidR="0010494A" w:rsidRPr="00746084">
        <w:rPr>
          <w:rFonts w:ascii="Times New Roman" w:hAnsi="Times New Roman" w:cs="Times New Roman"/>
          <w:color w:val="000000" w:themeColor="text1"/>
          <w:sz w:val="24"/>
          <w:szCs w:val="24"/>
          <w:lang w:val="en-US"/>
        </w:rPr>
        <w:lastRenderedPageBreak/>
        <w:t xml:space="preserve">financial ratios </w:t>
      </w:r>
      <w:r w:rsidRPr="00746084">
        <w:rPr>
          <w:rFonts w:ascii="Times New Roman" w:hAnsi="Times New Roman" w:cs="Times New Roman"/>
          <w:color w:val="000000" w:themeColor="text1"/>
          <w:sz w:val="24"/>
          <w:szCs w:val="24"/>
          <w:lang w:val="en-US"/>
        </w:rPr>
        <w:t>helps the investigator in determining the strengths and weakness of the company.</w:t>
      </w:r>
      <w:r w:rsidR="00B175AD" w:rsidRPr="00746084">
        <w:rPr>
          <w:rFonts w:ascii="Times New Roman" w:hAnsi="Times New Roman" w:cs="Times New Roman"/>
          <w:color w:val="000000" w:themeColor="text1"/>
          <w:sz w:val="24"/>
          <w:szCs w:val="24"/>
          <w:lang w:val="en-US"/>
        </w:rPr>
        <w:t xml:space="preserve"> The author further added that these financial ratios are created through using numerical data from financial statements of the company.</w:t>
      </w:r>
      <w:r w:rsidRPr="00746084">
        <w:rPr>
          <w:rFonts w:ascii="Times New Roman" w:hAnsi="Times New Roman" w:cs="Times New Roman"/>
          <w:color w:val="000000" w:themeColor="text1"/>
          <w:sz w:val="24"/>
          <w:szCs w:val="24"/>
          <w:lang w:val="en-US"/>
        </w:rPr>
        <w:t xml:space="preserve"> </w:t>
      </w:r>
      <w:r w:rsidR="0010494A" w:rsidRPr="00746084">
        <w:rPr>
          <w:rFonts w:ascii="Times New Roman" w:hAnsi="Times New Roman" w:cs="Times New Roman"/>
          <w:color w:val="000000" w:themeColor="text1"/>
          <w:sz w:val="24"/>
          <w:szCs w:val="24"/>
          <w:lang w:val="en-US"/>
        </w:rPr>
        <w:t xml:space="preserve">However, in the case study of Whitbread Plc profitability, liquidity, gearing, and efficiency ratios have been calculated </w:t>
      </w:r>
      <w:r w:rsidR="0010494A" w:rsidRPr="00746084">
        <w:rPr>
          <w:rFonts w:ascii="Times New Roman" w:hAnsi="Times New Roman" w:cs="Times New Roman"/>
          <w:color w:val="000000" w:themeColor="text1"/>
          <w:sz w:val="24"/>
          <w:szCs w:val="24"/>
        </w:rPr>
        <w:t>covering the period from 2018 to 2022. All financial information has been derived from financial statements (income statement and balance sheet) of the company using Morningstar website, and all information are recorded in £ Million.</w:t>
      </w:r>
      <w:r w:rsidR="0010494A" w:rsidRPr="00746084">
        <w:rPr>
          <w:rFonts w:ascii="Times New Roman" w:hAnsi="Times New Roman" w:cs="Times New Roman"/>
          <w:b/>
          <w:color w:val="000000" w:themeColor="text1"/>
          <w:sz w:val="24"/>
          <w:szCs w:val="24"/>
        </w:rPr>
        <w:t xml:space="preserve"> </w:t>
      </w:r>
    </w:p>
    <w:p w14:paraId="33483A3F" w14:textId="77777777" w:rsidR="00C47D6A" w:rsidRPr="00746084" w:rsidRDefault="00C47D6A" w:rsidP="002361A6">
      <w:pPr>
        <w:pStyle w:val="Heading2"/>
        <w:spacing w:line="240" w:lineRule="auto"/>
        <w:rPr>
          <w:rFonts w:cs="Times New Roman"/>
          <w:szCs w:val="24"/>
          <w:lang w:val="en-US"/>
        </w:rPr>
      </w:pPr>
      <w:bookmarkStart w:id="9" w:name="_Toc121233966"/>
      <w:r w:rsidRPr="00746084">
        <w:rPr>
          <w:rFonts w:cs="Times New Roman"/>
          <w:szCs w:val="24"/>
          <w:lang w:val="en-US"/>
        </w:rPr>
        <w:t>Profitability Ratios</w:t>
      </w:r>
      <w:bookmarkEnd w:id="9"/>
    </w:p>
    <w:p w14:paraId="33483A40" w14:textId="77777777" w:rsidR="00C33193" w:rsidRPr="00746084" w:rsidRDefault="0010494A" w:rsidP="00C25362">
      <w:pPr>
        <w:spacing w:line="360" w:lineRule="auto"/>
        <w:ind w:firstLine="720"/>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 xml:space="preserve">Profitability ratio is one of the vital step in conducting financial analysis of business </w:t>
      </w:r>
      <w:proofErr w:type="spellStart"/>
      <w:r w:rsidRPr="00746084">
        <w:rPr>
          <w:rFonts w:ascii="Times New Roman" w:hAnsi="Times New Roman" w:cs="Times New Roman"/>
          <w:color w:val="000000" w:themeColor="text1"/>
          <w:sz w:val="24"/>
          <w:szCs w:val="24"/>
          <w:lang w:val="en-US"/>
        </w:rPr>
        <w:t>organisation</w:t>
      </w:r>
      <w:proofErr w:type="spellEnd"/>
      <w:r w:rsidRPr="00746084">
        <w:rPr>
          <w:rFonts w:ascii="Times New Roman" w:hAnsi="Times New Roman" w:cs="Times New Roman"/>
          <w:color w:val="000000" w:themeColor="text1"/>
          <w:sz w:val="24"/>
          <w:szCs w:val="24"/>
          <w:lang w:val="en-US"/>
        </w:rPr>
        <w:t>, as it helps in demonstrating the capabilities of the company in generating profit for the shareholders and management (</w:t>
      </w:r>
      <w:proofErr w:type="spellStart"/>
      <w:r w:rsidR="00C33193" w:rsidRPr="00746084">
        <w:rPr>
          <w:rFonts w:ascii="Times New Roman" w:hAnsi="Times New Roman" w:cs="Times New Roman"/>
          <w:color w:val="000000" w:themeColor="text1"/>
          <w:sz w:val="24"/>
          <w:szCs w:val="24"/>
          <w:shd w:val="clear" w:color="auto" w:fill="FFFFFF"/>
        </w:rPr>
        <w:t>Langemeier</w:t>
      </w:r>
      <w:proofErr w:type="spellEnd"/>
      <w:r w:rsidR="00C33193" w:rsidRPr="00746084">
        <w:rPr>
          <w:rFonts w:ascii="Times New Roman" w:hAnsi="Times New Roman" w:cs="Times New Roman"/>
          <w:color w:val="000000" w:themeColor="text1"/>
          <w:sz w:val="24"/>
          <w:szCs w:val="24"/>
          <w:shd w:val="clear" w:color="auto" w:fill="FFFFFF"/>
        </w:rPr>
        <w:t xml:space="preserve"> and Yeager, 2018</w:t>
      </w:r>
      <w:r w:rsidRPr="00746084">
        <w:rPr>
          <w:rFonts w:ascii="Times New Roman" w:hAnsi="Times New Roman" w:cs="Times New Roman"/>
          <w:color w:val="000000" w:themeColor="text1"/>
          <w:sz w:val="24"/>
          <w:szCs w:val="24"/>
          <w:lang w:val="en-US"/>
        </w:rPr>
        <w:t xml:space="preserve">). Generally, </w:t>
      </w:r>
      <w:r w:rsidR="00446EAD" w:rsidRPr="00746084">
        <w:rPr>
          <w:rFonts w:ascii="Times New Roman" w:hAnsi="Times New Roman" w:cs="Times New Roman"/>
          <w:color w:val="000000" w:themeColor="text1"/>
          <w:sz w:val="24"/>
          <w:szCs w:val="24"/>
          <w:lang w:val="en-US"/>
        </w:rPr>
        <w:t xml:space="preserve">the </w:t>
      </w:r>
      <w:r w:rsidRPr="00746084">
        <w:rPr>
          <w:rFonts w:ascii="Times New Roman" w:hAnsi="Times New Roman" w:cs="Times New Roman"/>
          <w:color w:val="000000" w:themeColor="text1"/>
          <w:sz w:val="24"/>
          <w:szCs w:val="24"/>
          <w:lang w:val="en-US"/>
        </w:rPr>
        <w:t xml:space="preserve">higher </w:t>
      </w:r>
      <w:r w:rsidR="00446EAD" w:rsidRPr="00746084">
        <w:rPr>
          <w:rFonts w:ascii="Times New Roman" w:hAnsi="Times New Roman" w:cs="Times New Roman"/>
          <w:color w:val="000000" w:themeColor="text1"/>
          <w:sz w:val="24"/>
          <w:szCs w:val="24"/>
          <w:lang w:val="en-US"/>
        </w:rPr>
        <w:t xml:space="preserve">profitability </w:t>
      </w:r>
      <w:r w:rsidRPr="00746084">
        <w:rPr>
          <w:rFonts w:ascii="Times New Roman" w:hAnsi="Times New Roman" w:cs="Times New Roman"/>
          <w:color w:val="000000" w:themeColor="text1"/>
          <w:sz w:val="24"/>
          <w:szCs w:val="24"/>
          <w:lang w:val="en-US"/>
        </w:rPr>
        <w:t xml:space="preserve">ratio suggested that company has higher capability in </w:t>
      </w:r>
      <w:r w:rsidR="00446EAD" w:rsidRPr="00746084">
        <w:rPr>
          <w:rFonts w:ascii="Times New Roman" w:hAnsi="Times New Roman" w:cs="Times New Roman"/>
          <w:color w:val="000000" w:themeColor="text1"/>
          <w:sz w:val="24"/>
          <w:szCs w:val="24"/>
          <w:lang w:val="en-US"/>
        </w:rPr>
        <w:t>generating</w:t>
      </w:r>
      <w:r w:rsidRPr="00746084">
        <w:rPr>
          <w:rFonts w:ascii="Times New Roman" w:hAnsi="Times New Roman" w:cs="Times New Roman"/>
          <w:color w:val="000000" w:themeColor="text1"/>
          <w:sz w:val="24"/>
          <w:szCs w:val="24"/>
          <w:lang w:val="en-US"/>
        </w:rPr>
        <w:t xml:space="preserve"> profit, or lower profit suggested lower capa</w:t>
      </w:r>
      <w:r w:rsidR="00446EAD" w:rsidRPr="00746084">
        <w:rPr>
          <w:rFonts w:ascii="Times New Roman" w:hAnsi="Times New Roman" w:cs="Times New Roman"/>
          <w:color w:val="000000" w:themeColor="text1"/>
          <w:sz w:val="24"/>
          <w:szCs w:val="24"/>
          <w:lang w:val="en-US"/>
        </w:rPr>
        <w:t>bilities in generating profit. However, there are various measures that can be used for profitability of the company. Among these ratios operating profit margin and net profit margin ratios were calculated through using formulas.</w:t>
      </w:r>
    </w:p>
    <w:p w14:paraId="33483A41" w14:textId="77777777" w:rsidR="00C47D6A" w:rsidRPr="00746084" w:rsidRDefault="00446EAD" w:rsidP="00446EAD">
      <w:pPr>
        <w:pStyle w:val="Heading3"/>
        <w:rPr>
          <w:rFonts w:cs="Times New Roman"/>
          <w:lang w:val="en-US"/>
        </w:rPr>
      </w:pPr>
      <w:r w:rsidRPr="00746084">
        <w:rPr>
          <w:rFonts w:cs="Times New Roman"/>
          <w:lang w:val="en-US"/>
        </w:rPr>
        <w:t xml:space="preserve"> </w:t>
      </w:r>
      <w:bookmarkStart w:id="10" w:name="_Toc121233967"/>
      <w:r w:rsidR="00C47D6A" w:rsidRPr="00746084">
        <w:rPr>
          <w:rFonts w:cs="Times New Roman"/>
          <w:lang w:val="en-US"/>
        </w:rPr>
        <w:t>Operating Profit Margin</w:t>
      </w:r>
      <w:bookmarkEnd w:id="10"/>
    </w:p>
    <w:p w14:paraId="33483A42"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1</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Operating Profit Margin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W w:w="7746" w:type="dxa"/>
        <w:jc w:val="center"/>
        <w:tblLook w:val="04A0" w:firstRow="1" w:lastRow="0" w:firstColumn="1" w:lastColumn="0" w:noHBand="0" w:noVBand="1"/>
      </w:tblPr>
      <w:tblGrid>
        <w:gridCol w:w="794"/>
        <w:gridCol w:w="2411"/>
        <w:gridCol w:w="1295"/>
        <w:gridCol w:w="3246"/>
      </w:tblGrid>
      <w:tr w:rsidR="00746084" w:rsidRPr="00746084" w14:paraId="33483A44" w14:textId="77777777" w:rsidTr="009B0208">
        <w:trPr>
          <w:cnfStyle w:val="100000000000" w:firstRow="1" w:lastRow="0" w:firstColumn="0" w:lastColumn="0" w:oddVBand="0" w:evenVBand="0" w:oddHBand="0"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746" w:type="dxa"/>
            <w:gridSpan w:val="4"/>
            <w:noWrap/>
            <w:hideMark/>
          </w:tcPr>
          <w:p w14:paraId="33483A43"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Operating profit Margin: (Operating Profit / Sales) × 100</w:t>
            </w:r>
          </w:p>
        </w:tc>
      </w:tr>
      <w:tr w:rsidR="00746084" w:rsidRPr="00746084" w14:paraId="33483A49" w14:textId="77777777" w:rsidTr="00817AE7">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45"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2411" w:type="dxa"/>
            <w:noWrap/>
            <w:hideMark/>
          </w:tcPr>
          <w:p w14:paraId="33483A46"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Operating Profit</w:t>
            </w:r>
            <w:r w:rsidR="00817AE7" w:rsidRPr="00746084">
              <w:rPr>
                <w:rFonts w:ascii="Times New Roman" w:eastAsia="Times New Roman" w:hAnsi="Times New Roman" w:cs="Times New Roman"/>
                <w:b/>
                <w:bCs/>
                <w:i/>
                <w:iCs/>
                <w:color w:val="000000" w:themeColor="text1"/>
                <w:sz w:val="24"/>
                <w:szCs w:val="24"/>
                <w:lang w:eastAsia="en-GB"/>
              </w:rPr>
              <w:t xml:space="preserve"> </w:t>
            </w:r>
            <w:r w:rsidR="00817AE7" w:rsidRPr="00746084">
              <w:rPr>
                <w:rFonts w:ascii="Times New Roman" w:hAnsi="Times New Roman" w:cs="Times New Roman"/>
                <w:b/>
                <w:color w:val="000000" w:themeColor="text1"/>
                <w:sz w:val="24"/>
                <w:szCs w:val="24"/>
              </w:rPr>
              <w:t>£m</w:t>
            </w:r>
            <w:r w:rsidRPr="00746084">
              <w:rPr>
                <w:rFonts w:ascii="Times New Roman" w:eastAsia="Times New Roman" w:hAnsi="Times New Roman" w:cs="Times New Roman"/>
                <w:b/>
                <w:bCs/>
                <w:i/>
                <w:iCs/>
                <w:color w:val="000000" w:themeColor="text1"/>
                <w:sz w:val="24"/>
                <w:szCs w:val="24"/>
                <w:lang w:eastAsia="en-GB"/>
              </w:rPr>
              <w:t xml:space="preserve">  </w:t>
            </w:r>
          </w:p>
        </w:tc>
        <w:tc>
          <w:tcPr>
            <w:tcW w:w="1295" w:type="dxa"/>
            <w:noWrap/>
            <w:hideMark/>
          </w:tcPr>
          <w:p w14:paraId="33483A47"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Sales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3246" w:type="dxa"/>
            <w:noWrap/>
            <w:hideMark/>
          </w:tcPr>
          <w:p w14:paraId="33483A48"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Operating Profit Margin </w:t>
            </w:r>
          </w:p>
        </w:tc>
      </w:tr>
      <w:tr w:rsidR="00746084" w:rsidRPr="00746084" w14:paraId="33483A4E" w14:textId="77777777" w:rsidTr="00817AE7">
        <w:trPr>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4A"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2411" w:type="dxa"/>
            <w:hideMark/>
          </w:tcPr>
          <w:p w14:paraId="33483A4B"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903.8</w:t>
            </w:r>
          </w:p>
        </w:tc>
        <w:tc>
          <w:tcPr>
            <w:tcW w:w="1295" w:type="dxa"/>
            <w:noWrap/>
            <w:hideMark/>
          </w:tcPr>
          <w:p w14:paraId="33483A4C"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3295.1</w:t>
            </w:r>
          </w:p>
        </w:tc>
        <w:tc>
          <w:tcPr>
            <w:tcW w:w="3246" w:type="dxa"/>
            <w:noWrap/>
            <w:hideMark/>
          </w:tcPr>
          <w:p w14:paraId="33483A4D"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27.43%</w:t>
            </w:r>
          </w:p>
        </w:tc>
      </w:tr>
      <w:tr w:rsidR="00746084" w:rsidRPr="00746084" w14:paraId="33483A53" w14:textId="77777777" w:rsidTr="00817AE7">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4F"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2411" w:type="dxa"/>
            <w:hideMark/>
          </w:tcPr>
          <w:p w14:paraId="33483A5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534.6</w:t>
            </w:r>
          </w:p>
        </w:tc>
        <w:tc>
          <w:tcPr>
            <w:tcW w:w="1295" w:type="dxa"/>
            <w:noWrap/>
            <w:hideMark/>
          </w:tcPr>
          <w:p w14:paraId="33483A51"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2049.1</w:t>
            </w:r>
          </w:p>
        </w:tc>
        <w:tc>
          <w:tcPr>
            <w:tcW w:w="3246" w:type="dxa"/>
            <w:noWrap/>
            <w:hideMark/>
          </w:tcPr>
          <w:p w14:paraId="33483A52"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26.09%</w:t>
            </w:r>
          </w:p>
        </w:tc>
      </w:tr>
      <w:tr w:rsidR="00746084" w:rsidRPr="00746084" w14:paraId="33483A58" w14:textId="77777777" w:rsidTr="00817AE7">
        <w:trPr>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54"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2411" w:type="dxa"/>
            <w:hideMark/>
          </w:tcPr>
          <w:p w14:paraId="33483A5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479.3</w:t>
            </w:r>
          </w:p>
        </w:tc>
        <w:tc>
          <w:tcPr>
            <w:tcW w:w="1295" w:type="dxa"/>
            <w:noWrap/>
            <w:hideMark/>
          </w:tcPr>
          <w:p w14:paraId="33483A56"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2071.5</w:t>
            </w:r>
          </w:p>
        </w:tc>
        <w:tc>
          <w:tcPr>
            <w:tcW w:w="3246" w:type="dxa"/>
            <w:noWrap/>
            <w:hideMark/>
          </w:tcPr>
          <w:p w14:paraId="33483A57"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23.14%</w:t>
            </w:r>
          </w:p>
        </w:tc>
      </w:tr>
      <w:tr w:rsidR="00746084" w:rsidRPr="00746084" w14:paraId="33483A5D" w14:textId="77777777" w:rsidTr="00817AE7">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59"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2411" w:type="dxa"/>
            <w:hideMark/>
          </w:tcPr>
          <w:p w14:paraId="33483A5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-642.2</w:t>
            </w:r>
          </w:p>
        </w:tc>
        <w:tc>
          <w:tcPr>
            <w:tcW w:w="1295" w:type="dxa"/>
            <w:noWrap/>
            <w:hideMark/>
          </w:tcPr>
          <w:p w14:paraId="33483A5B"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589.4</w:t>
            </w:r>
          </w:p>
        </w:tc>
        <w:tc>
          <w:tcPr>
            <w:tcW w:w="3246" w:type="dxa"/>
            <w:noWrap/>
            <w:hideMark/>
          </w:tcPr>
          <w:p w14:paraId="33483A5C"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-108.96%</w:t>
            </w:r>
          </w:p>
        </w:tc>
      </w:tr>
      <w:tr w:rsidR="00746084" w:rsidRPr="00746084" w14:paraId="33483A62" w14:textId="77777777" w:rsidTr="00817AE7">
        <w:trPr>
          <w:trHeight w:val="237"/>
          <w:jc w:val="center"/>
        </w:trPr>
        <w:tc>
          <w:tcPr>
            <w:cnfStyle w:val="001000000000" w:firstRow="0" w:lastRow="0" w:firstColumn="1" w:lastColumn="0" w:oddVBand="0" w:evenVBand="0" w:oddHBand="0" w:evenHBand="0" w:firstRowFirstColumn="0" w:firstRowLastColumn="0" w:lastRowFirstColumn="0" w:lastRowLastColumn="0"/>
            <w:tcW w:w="794" w:type="dxa"/>
            <w:noWrap/>
            <w:hideMark/>
          </w:tcPr>
          <w:p w14:paraId="33483A5E"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2411" w:type="dxa"/>
            <w:hideMark/>
          </w:tcPr>
          <w:p w14:paraId="33483A5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34.7</w:t>
            </w:r>
          </w:p>
        </w:tc>
        <w:tc>
          <w:tcPr>
            <w:tcW w:w="1295" w:type="dxa"/>
            <w:noWrap/>
            <w:hideMark/>
          </w:tcPr>
          <w:p w14:paraId="33483A60"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1703.4</w:t>
            </w:r>
          </w:p>
        </w:tc>
        <w:tc>
          <w:tcPr>
            <w:tcW w:w="3246" w:type="dxa"/>
            <w:noWrap/>
            <w:hideMark/>
          </w:tcPr>
          <w:p w14:paraId="33483A61"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2.04%</w:t>
            </w:r>
          </w:p>
        </w:tc>
      </w:tr>
    </w:tbl>
    <w:p w14:paraId="33483A63" w14:textId="77777777" w:rsidR="008F6513" w:rsidRPr="00746084" w:rsidRDefault="008F6513" w:rsidP="002361A6">
      <w:pPr>
        <w:spacing w:line="240" w:lineRule="auto"/>
        <w:rPr>
          <w:rFonts w:ascii="Times New Roman" w:hAnsi="Times New Roman" w:cs="Times New Roman"/>
          <w:color w:val="000000" w:themeColor="text1"/>
          <w:sz w:val="24"/>
          <w:szCs w:val="24"/>
          <w:lang w:val="en-US"/>
        </w:rPr>
      </w:pPr>
    </w:p>
    <w:p w14:paraId="33483A64" w14:textId="77777777" w:rsidR="008F6513" w:rsidRPr="00746084" w:rsidRDefault="00983CA7" w:rsidP="00D148CA">
      <w:pPr>
        <w:spacing w:line="360" w:lineRule="auto"/>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Table 1, indicate</w:t>
      </w:r>
      <w:r w:rsidR="008F6513" w:rsidRPr="00746084">
        <w:rPr>
          <w:rFonts w:ascii="Times New Roman" w:hAnsi="Times New Roman" w:cs="Times New Roman"/>
          <w:color w:val="000000" w:themeColor="text1"/>
          <w:sz w:val="24"/>
          <w:szCs w:val="24"/>
          <w:lang w:val="en-US"/>
        </w:rPr>
        <w:t>s</w:t>
      </w:r>
      <w:r w:rsidRPr="00746084">
        <w:rPr>
          <w:rFonts w:ascii="Times New Roman" w:hAnsi="Times New Roman" w:cs="Times New Roman"/>
          <w:color w:val="000000" w:themeColor="text1"/>
          <w:sz w:val="24"/>
          <w:szCs w:val="24"/>
          <w:lang w:val="en-US"/>
        </w:rPr>
        <w:t xml:space="preserve"> profitability of </w:t>
      </w:r>
      <w:r w:rsidR="002361A6" w:rsidRPr="00746084">
        <w:rPr>
          <w:rFonts w:ascii="Times New Roman" w:hAnsi="Times New Roman" w:cs="Times New Roman"/>
          <w:color w:val="000000" w:themeColor="text1"/>
          <w:sz w:val="24"/>
          <w:szCs w:val="24"/>
          <w:lang w:val="en-US"/>
        </w:rPr>
        <w:t>Whitbread</w:t>
      </w:r>
      <w:r w:rsidRPr="00746084">
        <w:rPr>
          <w:rFonts w:ascii="Times New Roman" w:hAnsi="Times New Roman" w:cs="Times New Roman"/>
          <w:color w:val="000000" w:themeColor="text1"/>
          <w:sz w:val="24"/>
          <w:szCs w:val="24"/>
          <w:lang w:val="en-US"/>
        </w:rPr>
        <w:t xml:space="preserve"> Plc over the five years periods from 2018 to 2022. It is imperative to note that company’s profitability is declining overtime, as net profit margi</w:t>
      </w:r>
      <w:r w:rsidR="003D0CB7" w:rsidRPr="00746084">
        <w:rPr>
          <w:rFonts w:ascii="Times New Roman" w:hAnsi="Times New Roman" w:cs="Times New Roman"/>
          <w:color w:val="000000" w:themeColor="text1"/>
          <w:sz w:val="24"/>
          <w:szCs w:val="24"/>
          <w:lang w:val="en-US"/>
        </w:rPr>
        <w:t>n was recorded as 27.43% in 2018, and it change</w:t>
      </w:r>
      <w:r w:rsidR="008F6513" w:rsidRPr="00746084">
        <w:rPr>
          <w:rFonts w:ascii="Times New Roman" w:hAnsi="Times New Roman" w:cs="Times New Roman"/>
          <w:color w:val="000000" w:themeColor="text1"/>
          <w:sz w:val="24"/>
          <w:szCs w:val="24"/>
          <w:lang w:val="en-US"/>
        </w:rPr>
        <w:t>d</w:t>
      </w:r>
      <w:r w:rsidR="003D0CB7" w:rsidRPr="00746084">
        <w:rPr>
          <w:rFonts w:ascii="Times New Roman" w:hAnsi="Times New Roman" w:cs="Times New Roman"/>
          <w:color w:val="000000" w:themeColor="text1"/>
          <w:sz w:val="24"/>
          <w:szCs w:val="24"/>
          <w:lang w:val="en-US"/>
        </w:rPr>
        <w:t xml:space="preserve"> from 27.43% to 26.09% in 2019</w:t>
      </w:r>
      <w:r w:rsidR="008F6513" w:rsidRPr="00746084">
        <w:rPr>
          <w:rFonts w:ascii="Times New Roman" w:hAnsi="Times New Roman" w:cs="Times New Roman"/>
          <w:color w:val="000000" w:themeColor="text1"/>
          <w:sz w:val="24"/>
          <w:szCs w:val="24"/>
          <w:lang w:val="en-US"/>
        </w:rPr>
        <w:t>. Moreover</w:t>
      </w:r>
      <w:r w:rsidR="003D0CB7" w:rsidRPr="00746084">
        <w:rPr>
          <w:rFonts w:ascii="Times New Roman" w:hAnsi="Times New Roman" w:cs="Times New Roman"/>
          <w:color w:val="000000" w:themeColor="text1"/>
          <w:sz w:val="24"/>
          <w:szCs w:val="24"/>
          <w:lang w:val="en-US"/>
        </w:rPr>
        <w:t xml:space="preserve">, it further declined in 2020 up to 23.14%, and significantly decreased in 2021 and recorded as -108.96. The primary reason of decrease in net profit margin was due to the </w:t>
      </w:r>
      <w:r w:rsidR="008F6513" w:rsidRPr="00746084">
        <w:rPr>
          <w:rFonts w:ascii="Times New Roman" w:hAnsi="Times New Roman" w:cs="Times New Roman"/>
          <w:color w:val="000000" w:themeColor="text1"/>
          <w:sz w:val="24"/>
          <w:szCs w:val="24"/>
          <w:lang w:val="en-US"/>
        </w:rPr>
        <w:t>decline in sales of the company</w:t>
      </w:r>
      <w:r w:rsidR="00CB2D79" w:rsidRPr="00746084">
        <w:rPr>
          <w:rFonts w:ascii="Times New Roman" w:hAnsi="Times New Roman" w:cs="Times New Roman"/>
          <w:color w:val="000000" w:themeColor="text1"/>
          <w:sz w:val="24"/>
          <w:szCs w:val="24"/>
          <w:lang w:val="en-US"/>
        </w:rPr>
        <w:t xml:space="preserve"> (</w:t>
      </w:r>
      <w:r w:rsidR="00C25362" w:rsidRPr="00746084">
        <w:rPr>
          <w:rFonts w:ascii="Times New Roman" w:hAnsi="Times New Roman" w:cs="Times New Roman"/>
          <w:color w:val="000000" w:themeColor="text1"/>
          <w:sz w:val="24"/>
          <w:szCs w:val="24"/>
          <w:lang w:val="en-US"/>
        </w:rPr>
        <w:t>See Appendix - A</w:t>
      </w:r>
      <w:r w:rsidR="00CB2D79" w:rsidRPr="00746084">
        <w:rPr>
          <w:rFonts w:ascii="Times New Roman" w:hAnsi="Times New Roman" w:cs="Times New Roman"/>
          <w:color w:val="000000" w:themeColor="text1"/>
          <w:sz w:val="24"/>
          <w:szCs w:val="24"/>
          <w:lang w:val="en-US"/>
        </w:rPr>
        <w:t>)</w:t>
      </w:r>
      <w:r w:rsidR="008F6513" w:rsidRPr="00746084">
        <w:rPr>
          <w:rFonts w:ascii="Times New Roman" w:hAnsi="Times New Roman" w:cs="Times New Roman"/>
          <w:color w:val="000000" w:themeColor="text1"/>
          <w:sz w:val="24"/>
          <w:szCs w:val="24"/>
          <w:lang w:val="en-US"/>
        </w:rPr>
        <w:t>. Further,</w:t>
      </w:r>
      <w:r w:rsidR="00C25362" w:rsidRPr="00746084">
        <w:rPr>
          <w:rFonts w:ascii="Times New Roman" w:hAnsi="Times New Roman" w:cs="Times New Roman"/>
          <w:color w:val="000000" w:themeColor="text1"/>
          <w:sz w:val="24"/>
          <w:szCs w:val="24"/>
          <w:lang w:val="en-US"/>
        </w:rPr>
        <w:t xml:space="preserve"> as per The Guardian Newspaper (2022</w:t>
      </w:r>
      <w:r w:rsidR="008F6513" w:rsidRPr="00746084">
        <w:rPr>
          <w:rFonts w:ascii="Times New Roman" w:hAnsi="Times New Roman" w:cs="Times New Roman"/>
          <w:color w:val="000000" w:themeColor="text1"/>
          <w:sz w:val="24"/>
          <w:szCs w:val="24"/>
          <w:lang w:val="en-US"/>
        </w:rPr>
        <w:t xml:space="preserve">) it has also been reported that </w:t>
      </w:r>
      <w:r w:rsidR="008F6513" w:rsidRPr="00746084">
        <w:rPr>
          <w:rFonts w:ascii="Times New Roman" w:hAnsi="Times New Roman" w:cs="Times New Roman"/>
          <w:color w:val="000000" w:themeColor="text1"/>
          <w:sz w:val="24"/>
          <w:szCs w:val="24"/>
          <w:shd w:val="clear" w:color="auto" w:fill="FFFFFF"/>
        </w:rPr>
        <w:t>Premier Inn owner </w:t>
      </w:r>
      <w:hyperlink r:id="rId8" w:history="1">
        <w:r w:rsidR="008F6513" w:rsidRPr="00746084">
          <w:rPr>
            <w:rStyle w:val="Hyperlink"/>
            <w:rFonts w:ascii="Times New Roman" w:hAnsi="Times New Roman" w:cs="Times New Roman"/>
            <w:color w:val="000000" w:themeColor="text1"/>
            <w:sz w:val="24"/>
            <w:szCs w:val="24"/>
            <w:u w:val="none"/>
            <w:bdr w:val="none" w:sz="0" w:space="0" w:color="auto" w:frame="1"/>
            <w:shd w:val="clear" w:color="auto" w:fill="FFFFFF"/>
          </w:rPr>
          <w:t>Whitbread</w:t>
        </w:r>
      </w:hyperlink>
      <w:r w:rsidR="008F6513" w:rsidRPr="00746084">
        <w:rPr>
          <w:rFonts w:ascii="Times New Roman" w:hAnsi="Times New Roman" w:cs="Times New Roman"/>
          <w:color w:val="000000" w:themeColor="text1"/>
          <w:sz w:val="24"/>
          <w:szCs w:val="24"/>
          <w:shd w:val="clear" w:color="auto" w:fill="FFFFFF"/>
        </w:rPr>
        <w:t xml:space="preserve"> plc has experienced a loss of £1bn sales amid Covid-19 lockdowns. </w:t>
      </w:r>
      <w:r w:rsidR="00C25362" w:rsidRPr="00746084">
        <w:rPr>
          <w:rFonts w:ascii="Times New Roman" w:hAnsi="Times New Roman" w:cs="Times New Roman"/>
          <w:color w:val="000000" w:themeColor="text1"/>
          <w:sz w:val="24"/>
          <w:szCs w:val="24"/>
          <w:shd w:val="clear" w:color="auto" w:fill="FFFFFF"/>
        </w:rPr>
        <w:t xml:space="preserve">It </w:t>
      </w:r>
      <w:r w:rsidR="008F6513" w:rsidRPr="00746084">
        <w:rPr>
          <w:rFonts w:ascii="Times New Roman" w:hAnsi="Times New Roman" w:cs="Times New Roman"/>
          <w:color w:val="000000" w:themeColor="text1"/>
          <w:sz w:val="24"/>
          <w:szCs w:val="24"/>
          <w:shd w:val="clear" w:color="auto" w:fill="FFFFFF"/>
        </w:rPr>
        <w:t xml:space="preserve">further evaluated that it was one of </w:t>
      </w:r>
      <w:r w:rsidR="00CB2D79" w:rsidRPr="00746084">
        <w:rPr>
          <w:rFonts w:ascii="Times New Roman" w:hAnsi="Times New Roman" w:cs="Times New Roman"/>
          <w:color w:val="000000" w:themeColor="text1"/>
          <w:sz w:val="24"/>
          <w:szCs w:val="24"/>
          <w:shd w:val="clear" w:color="auto" w:fill="FFFFFF"/>
        </w:rPr>
        <w:t>the challenging year of company’s</w:t>
      </w:r>
      <w:r w:rsidR="008F6513" w:rsidRPr="00746084">
        <w:rPr>
          <w:rFonts w:ascii="Times New Roman" w:hAnsi="Times New Roman" w:cs="Times New Roman"/>
          <w:color w:val="000000" w:themeColor="text1"/>
          <w:sz w:val="24"/>
          <w:szCs w:val="24"/>
          <w:shd w:val="clear" w:color="auto" w:fill="FFFFFF"/>
        </w:rPr>
        <w:t xml:space="preserve"> history. </w:t>
      </w:r>
      <w:r w:rsidR="008F6513" w:rsidRPr="00746084">
        <w:rPr>
          <w:rFonts w:ascii="Times New Roman" w:hAnsi="Times New Roman" w:cs="Times New Roman"/>
          <w:color w:val="000000" w:themeColor="text1"/>
          <w:sz w:val="24"/>
          <w:szCs w:val="24"/>
          <w:lang w:val="en-US"/>
        </w:rPr>
        <w:t xml:space="preserve">However, </w:t>
      </w:r>
      <w:r w:rsidR="008F6513" w:rsidRPr="00746084">
        <w:rPr>
          <w:rFonts w:ascii="Times New Roman" w:hAnsi="Times New Roman" w:cs="Times New Roman"/>
          <w:color w:val="000000" w:themeColor="text1"/>
          <w:sz w:val="24"/>
          <w:szCs w:val="24"/>
          <w:lang w:val="en-US"/>
        </w:rPr>
        <w:lastRenderedPageBreak/>
        <w:t xml:space="preserve">company has started recovery its sales through </w:t>
      </w:r>
      <w:r w:rsidR="00CB2D79" w:rsidRPr="00746084">
        <w:rPr>
          <w:rFonts w:ascii="Times New Roman" w:hAnsi="Times New Roman" w:cs="Times New Roman"/>
          <w:color w:val="000000" w:themeColor="text1"/>
          <w:sz w:val="24"/>
          <w:szCs w:val="24"/>
          <w:lang w:val="en-US"/>
        </w:rPr>
        <w:t xml:space="preserve">marketing </w:t>
      </w:r>
      <w:r w:rsidR="008F6513" w:rsidRPr="00746084">
        <w:rPr>
          <w:rFonts w:ascii="Times New Roman" w:hAnsi="Times New Roman" w:cs="Times New Roman"/>
          <w:color w:val="000000" w:themeColor="text1"/>
          <w:sz w:val="24"/>
          <w:szCs w:val="24"/>
          <w:lang w:val="en-US"/>
        </w:rPr>
        <w:t>and encouraging its customer</w:t>
      </w:r>
      <w:r w:rsidR="00CB2D79" w:rsidRPr="00746084">
        <w:rPr>
          <w:rFonts w:ascii="Times New Roman" w:hAnsi="Times New Roman" w:cs="Times New Roman"/>
          <w:color w:val="000000" w:themeColor="text1"/>
          <w:sz w:val="24"/>
          <w:szCs w:val="24"/>
          <w:lang w:val="en-US"/>
        </w:rPr>
        <w:t>s</w:t>
      </w:r>
      <w:r w:rsidR="008F6513" w:rsidRPr="00746084">
        <w:rPr>
          <w:rFonts w:ascii="Times New Roman" w:hAnsi="Times New Roman" w:cs="Times New Roman"/>
          <w:color w:val="000000" w:themeColor="text1"/>
          <w:sz w:val="24"/>
          <w:szCs w:val="24"/>
          <w:lang w:val="en-US"/>
        </w:rPr>
        <w:t xml:space="preserve"> back with more perks and benefits </w:t>
      </w:r>
      <w:r w:rsidR="00C25362" w:rsidRPr="00746084">
        <w:rPr>
          <w:rFonts w:ascii="Times New Roman" w:hAnsi="Times New Roman" w:cs="Times New Roman"/>
          <w:color w:val="000000" w:themeColor="text1"/>
          <w:sz w:val="24"/>
          <w:szCs w:val="24"/>
          <w:lang w:val="en-US"/>
        </w:rPr>
        <w:t xml:space="preserve">(The Guardian Newspaper, 2022) </w:t>
      </w:r>
      <w:r w:rsidR="008F6513" w:rsidRPr="00746084">
        <w:rPr>
          <w:rFonts w:ascii="Times New Roman" w:hAnsi="Times New Roman" w:cs="Times New Roman"/>
          <w:color w:val="000000" w:themeColor="text1"/>
          <w:sz w:val="24"/>
          <w:szCs w:val="24"/>
          <w:lang w:val="en-US"/>
        </w:rPr>
        <w:t>which in turn increase</w:t>
      </w:r>
      <w:r w:rsidR="00CB2D79" w:rsidRPr="00746084">
        <w:rPr>
          <w:rFonts w:ascii="Times New Roman" w:hAnsi="Times New Roman" w:cs="Times New Roman"/>
          <w:color w:val="000000" w:themeColor="text1"/>
          <w:sz w:val="24"/>
          <w:szCs w:val="24"/>
          <w:lang w:val="en-US"/>
        </w:rPr>
        <w:t>s</w:t>
      </w:r>
      <w:r w:rsidR="008F6513" w:rsidRPr="00746084">
        <w:rPr>
          <w:rFonts w:ascii="Times New Roman" w:hAnsi="Times New Roman" w:cs="Times New Roman"/>
          <w:color w:val="000000" w:themeColor="text1"/>
          <w:sz w:val="24"/>
          <w:szCs w:val="24"/>
          <w:lang w:val="en-US"/>
        </w:rPr>
        <w:t xml:space="preserve"> </w:t>
      </w:r>
      <w:r w:rsidR="00CB2D79" w:rsidRPr="00746084">
        <w:rPr>
          <w:rFonts w:ascii="Times New Roman" w:hAnsi="Times New Roman" w:cs="Times New Roman"/>
          <w:color w:val="000000" w:themeColor="text1"/>
          <w:sz w:val="24"/>
          <w:szCs w:val="24"/>
          <w:lang w:val="en-US"/>
        </w:rPr>
        <w:t xml:space="preserve">in its profitability in year 2022 by 2.04%. Further, it can also be </w:t>
      </w:r>
      <w:proofErr w:type="spellStart"/>
      <w:r w:rsidR="00CB2D79" w:rsidRPr="00746084">
        <w:rPr>
          <w:rFonts w:ascii="Times New Roman" w:hAnsi="Times New Roman" w:cs="Times New Roman"/>
          <w:color w:val="000000" w:themeColor="text1"/>
          <w:sz w:val="24"/>
          <w:szCs w:val="24"/>
          <w:lang w:val="en-US"/>
        </w:rPr>
        <w:t>visualise</w:t>
      </w:r>
      <w:proofErr w:type="spellEnd"/>
      <w:r w:rsidR="00CB2D79" w:rsidRPr="00746084">
        <w:rPr>
          <w:rFonts w:ascii="Times New Roman" w:hAnsi="Times New Roman" w:cs="Times New Roman"/>
          <w:color w:val="000000" w:themeColor="text1"/>
          <w:sz w:val="24"/>
          <w:szCs w:val="24"/>
          <w:lang w:val="en-US"/>
        </w:rPr>
        <w:t xml:space="preserve"> with the help of graph, as shown below:</w:t>
      </w:r>
    </w:p>
    <w:p w14:paraId="33483A65" w14:textId="77777777" w:rsidR="003D0CB7" w:rsidRPr="00746084" w:rsidRDefault="00C33193" w:rsidP="002361A6">
      <w:pPr>
        <w:spacing w:line="240" w:lineRule="auto"/>
        <w:rPr>
          <w:rFonts w:ascii="Times New Roman" w:hAnsi="Times New Roman" w:cs="Times New Roman"/>
          <w:color w:val="000000" w:themeColor="text1"/>
          <w:sz w:val="24"/>
          <w:szCs w:val="24"/>
          <w:lang w:val="en-US"/>
        </w:rPr>
      </w:pPr>
      <w:r w:rsidRPr="00746084">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3840" behindDoc="1" locked="0" layoutInCell="1" allowOverlap="1" wp14:anchorId="33483D3B" wp14:editId="33483D3C">
                <wp:simplePos x="0" y="0"/>
                <wp:positionH relativeFrom="column">
                  <wp:posOffset>361950</wp:posOffset>
                </wp:positionH>
                <wp:positionV relativeFrom="paragraph">
                  <wp:posOffset>2261235</wp:posOffset>
                </wp:positionV>
                <wp:extent cx="586867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1" w14:textId="77777777" w:rsidR="00604A5F" w:rsidRPr="00D42ACF"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1</w:t>
                              </w:r>
                            </w:fldSimple>
                            <w:r>
                              <w:t xml:space="preserve"> - </w:t>
                            </w:r>
                            <w:r w:rsidRPr="0027289D">
                              <w:t>Operating Profit Margin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3483D3B" id="_x0000_t202" coordsize="21600,21600" o:spt="202" path="m,l,21600r21600,l21600,xe">
                <v:stroke joinstyle="miter"/>
                <v:path gradientshapeok="t" o:connecttype="rect"/>
              </v:shapetype>
              <v:shape id="Text Box 10" o:spid="_x0000_s1026" type="#_x0000_t202" style="position:absolute;margin-left:28.5pt;margin-top:178.05pt;width:462.1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" stroked="f">
                <v:textbox style="mso-fit-shape-to-text:t" inset="0,0,0,0">
                  <w:txbxContent>
                    <w:p w14:paraId="33483D61" w14:textId="77777777" w:rsidR="00604A5F" w:rsidRPr="00D42ACF"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1</w:t>
                        </w:r>
                      </w:fldSimple>
                      <w:r>
                        <w:t xml:space="preserve"> - </w:t>
                      </w:r>
                      <w:r w:rsidRPr="0027289D">
                        <w:t>Operating Profit Margin - Whitbread Plc (2018 to 2022)</w:t>
                      </w:r>
                    </w:p>
                  </w:txbxContent>
                </v:textbox>
                <w10:wrap type="tight"/>
              </v:shape>
            </w:pict>
          </mc:Fallback>
        </mc:AlternateContent>
      </w:r>
      <w:r w:rsidR="003D0CB7" w:rsidRPr="00746084">
        <w:rPr>
          <w:rFonts w:ascii="Times New Roman" w:hAnsi="Times New Roman" w:cs="Times New Roman"/>
          <w:noProof/>
          <w:color w:val="000000" w:themeColor="text1"/>
          <w:sz w:val="24"/>
          <w:szCs w:val="24"/>
          <w:lang w:eastAsia="en-GB"/>
        </w:rPr>
        <w:drawing>
          <wp:anchor distT="0" distB="0" distL="114300" distR="114300" simplePos="0" relativeHeight="251659264" behindDoc="0" locked="0" layoutInCell="1" allowOverlap="1" wp14:anchorId="33483D3D" wp14:editId="33483D3E">
            <wp:simplePos x="0" y="0"/>
            <wp:positionH relativeFrom="margin">
              <wp:posOffset>361950</wp:posOffset>
            </wp:positionH>
            <wp:positionV relativeFrom="paragraph">
              <wp:posOffset>24765</wp:posOffset>
            </wp:positionV>
            <wp:extent cx="5868670" cy="2179320"/>
            <wp:effectExtent l="0" t="0" r="17780" b="11430"/>
            <wp:wrapTight wrapText="bothSides">
              <wp:wrapPolygon edited="0">
                <wp:start x="0" y="0"/>
                <wp:lineTo x="0" y="21524"/>
                <wp:lineTo x="21595" y="21524"/>
                <wp:lineTo x="21595"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33483A66" w14:textId="77777777" w:rsidR="003D0CB7" w:rsidRPr="00746084" w:rsidRDefault="003D0CB7" w:rsidP="002361A6">
      <w:pPr>
        <w:spacing w:line="240" w:lineRule="auto"/>
        <w:rPr>
          <w:rFonts w:ascii="Times New Roman" w:hAnsi="Times New Roman" w:cs="Times New Roman"/>
          <w:color w:val="000000" w:themeColor="text1"/>
          <w:sz w:val="24"/>
          <w:szCs w:val="24"/>
          <w:lang w:val="en-US"/>
        </w:rPr>
      </w:pPr>
    </w:p>
    <w:p w14:paraId="33483A67" w14:textId="77777777" w:rsidR="003D0CB7" w:rsidRPr="00746084" w:rsidRDefault="003D0CB7" w:rsidP="002361A6">
      <w:pPr>
        <w:spacing w:line="240" w:lineRule="auto"/>
        <w:rPr>
          <w:rFonts w:ascii="Times New Roman" w:hAnsi="Times New Roman" w:cs="Times New Roman"/>
          <w:color w:val="000000" w:themeColor="text1"/>
          <w:sz w:val="24"/>
          <w:szCs w:val="24"/>
          <w:lang w:val="en-US"/>
        </w:rPr>
      </w:pPr>
    </w:p>
    <w:p w14:paraId="33483A68" w14:textId="77777777" w:rsidR="003D0CB7" w:rsidRPr="00746084" w:rsidRDefault="003D0CB7" w:rsidP="002361A6">
      <w:pPr>
        <w:spacing w:line="240" w:lineRule="auto"/>
        <w:rPr>
          <w:rFonts w:ascii="Times New Roman" w:hAnsi="Times New Roman" w:cs="Times New Roman"/>
          <w:color w:val="000000" w:themeColor="text1"/>
          <w:sz w:val="24"/>
          <w:szCs w:val="24"/>
          <w:lang w:val="en-US"/>
        </w:rPr>
      </w:pPr>
    </w:p>
    <w:p w14:paraId="33483A69" w14:textId="77777777" w:rsidR="00CB2D79" w:rsidRPr="00746084" w:rsidRDefault="00CB2D79" w:rsidP="002361A6">
      <w:pPr>
        <w:spacing w:line="240" w:lineRule="auto"/>
        <w:rPr>
          <w:rFonts w:ascii="Times New Roman" w:hAnsi="Times New Roman" w:cs="Times New Roman"/>
          <w:color w:val="000000" w:themeColor="text1"/>
          <w:sz w:val="24"/>
          <w:szCs w:val="24"/>
          <w:lang w:val="en-US"/>
        </w:rPr>
      </w:pPr>
    </w:p>
    <w:p w14:paraId="33483A6A" w14:textId="77777777" w:rsidR="00CB2D79" w:rsidRPr="00746084" w:rsidRDefault="00CB2D79" w:rsidP="002361A6">
      <w:pPr>
        <w:spacing w:line="240" w:lineRule="auto"/>
        <w:rPr>
          <w:rFonts w:ascii="Times New Roman" w:hAnsi="Times New Roman" w:cs="Times New Roman"/>
          <w:color w:val="000000" w:themeColor="text1"/>
          <w:sz w:val="24"/>
          <w:szCs w:val="24"/>
          <w:lang w:val="en-US"/>
        </w:rPr>
      </w:pPr>
    </w:p>
    <w:p w14:paraId="33483A6B" w14:textId="77777777" w:rsidR="00CB2D79" w:rsidRPr="00746084" w:rsidRDefault="00CB2D79" w:rsidP="002361A6">
      <w:pPr>
        <w:spacing w:line="240" w:lineRule="auto"/>
        <w:rPr>
          <w:rFonts w:ascii="Times New Roman" w:hAnsi="Times New Roman" w:cs="Times New Roman"/>
          <w:color w:val="000000" w:themeColor="text1"/>
          <w:sz w:val="24"/>
          <w:szCs w:val="24"/>
          <w:lang w:val="en-US"/>
        </w:rPr>
      </w:pPr>
    </w:p>
    <w:p w14:paraId="33483A6C" w14:textId="77777777" w:rsidR="002361A6" w:rsidRPr="00746084" w:rsidRDefault="002361A6" w:rsidP="002361A6">
      <w:pPr>
        <w:spacing w:line="240" w:lineRule="auto"/>
        <w:rPr>
          <w:rFonts w:ascii="Times New Roman" w:hAnsi="Times New Roman" w:cs="Times New Roman"/>
          <w:color w:val="000000" w:themeColor="text1"/>
          <w:sz w:val="24"/>
          <w:szCs w:val="24"/>
          <w:lang w:val="en-US"/>
        </w:rPr>
      </w:pPr>
    </w:p>
    <w:p w14:paraId="33483A6D" w14:textId="77777777" w:rsidR="00C33193" w:rsidRPr="00746084" w:rsidRDefault="00C33193" w:rsidP="002361A6">
      <w:pPr>
        <w:spacing w:line="240" w:lineRule="auto"/>
        <w:rPr>
          <w:rFonts w:ascii="Times New Roman" w:hAnsi="Times New Roman" w:cs="Times New Roman"/>
          <w:color w:val="000000" w:themeColor="text1"/>
          <w:sz w:val="24"/>
          <w:szCs w:val="24"/>
          <w:lang w:val="en-US"/>
        </w:rPr>
      </w:pPr>
    </w:p>
    <w:p w14:paraId="33483A6E" w14:textId="77777777" w:rsidR="00C33193" w:rsidRPr="00746084" w:rsidRDefault="00C33193" w:rsidP="002361A6">
      <w:pPr>
        <w:spacing w:line="240" w:lineRule="auto"/>
        <w:rPr>
          <w:rFonts w:ascii="Times New Roman" w:hAnsi="Times New Roman" w:cs="Times New Roman"/>
          <w:color w:val="000000" w:themeColor="text1"/>
          <w:sz w:val="24"/>
          <w:szCs w:val="24"/>
          <w:lang w:val="en-US"/>
        </w:rPr>
      </w:pPr>
    </w:p>
    <w:p w14:paraId="33483A6F" w14:textId="77777777" w:rsidR="00C47D6A" w:rsidRPr="00746084" w:rsidRDefault="00C47D6A" w:rsidP="002361A6">
      <w:pPr>
        <w:pStyle w:val="Heading3"/>
        <w:spacing w:line="240" w:lineRule="auto"/>
        <w:rPr>
          <w:rFonts w:cs="Times New Roman"/>
          <w:lang w:val="en-US"/>
        </w:rPr>
      </w:pPr>
      <w:bookmarkStart w:id="11" w:name="_Toc121233968"/>
      <w:r w:rsidRPr="00746084">
        <w:rPr>
          <w:rFonts w:cs="Times New Roman"/>
          <w:lang w:val="en-US"/>
        </w:rPr>
        <w:t>Net Profit Margin</w:t>
      </w:r>
      <w:bookmarkEnd w:id="11"/>
      <w:r w:rsidRPr="00746084">
        <w:rPr>
          <w:rFonts w:cs="Times New Roman"/>
          <w:lang w:val="en-US"/>
        </w:rPr>
        <w:t xml:space="preserve"> </w:t>
      </w:r>
    </w:p>
    <w:p w14:paraId="33483A70"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2</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Net Profit Margin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W w:w="7792" w:type="dxa"/>
        <w:jc w:val="center"/>
        <w:tblLook w:val="04A0" w:firstRow="1" w:lastRow="0" w:firstColumn="1" w:lastColumn="0" w:noHBand="0" w:noVBand="1"/>
      </w:tblPr>
      <w:tblGrid>
        <w:gridCol w:w="854"/>
        <w:gridCol w:w="2000"/>
        <w:gridCol w:w="1286"/>
        <w:gridCol w:w="3652"/>
      </w:tblGrid>
      <w:tr w:rsidR="00746084" w:rsidRPr="00746084" w14:paraId="33483A72" w14:textId="77777777" w:rsidTr="009B0208">
        <w:trPr>
          <w:cnfStyle w:val="100000000000" w:firstRow="1" w:lastRow="0" w:firstColumn="0" w:lastColumn="0" w:oddVBand="0" w:evenVBand="0" w:oddHBand="0"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7792" w:type="dxa"/>
            <w:gridSpan w:val="4"/>
            <w:noWrap/>
            <w:hideMark/>
          </w:tcPr>
          <w:p w14:paraId="33483A71"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Net Profit Margin: (Net Profit / Sales)</w:t>
            </w:r>
            <w:r w:rsidRPr="00746084">
              <w:rPr>
                <w:rFonts w:ascii="Times New Roman" w:eastAsia="Times New Roman" w:hAnsi="Times New Roman" w:cs="Times New Roman"/>
                <w:b w:val="0"/>
                <w:bCs w:val="0"/>
                <w:color w:val="000000" w:themeColor="text1"/>
                <w:sz w:val="24"/>
                <w:szCs w:val="24"/>
                <w:lang w:eastAsia="en-GB"/>
              </w:rPr>
              <w:t xml:space="preserve"> </w:t>
            </w:r>
            <w:r w:rsidRPr="00746084">
              <w:rPr>
                <w:rFonts w:ascii="Times New Roman" w:eastAsia="Times New Roman" w:hAnsi="Times New Roman" w:cs="Times New Roman"/>
                <w:color w:val="000000" w:themeColor="text1"/>
                <w:sz w:val="24"/>
                <w:szCs w:val="24"/>
                <w:lang w:eastAsia="en-GB"/>
              </w:rPr>
              <w:t>× 100</w:t>
            </w:r>
          </w:p>
        </w:tc>
      </w:tr>
      <w:tr w:rsidR="00746084" w:rsidRPr="00746084" w14:paraId="33483A77" w14:textId="77777777" w:rsidTr="00817AE7">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73"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2000" w:type="dxa"/>
            <w:noWrap/>
            <w:hideMark/>
          </w:tcPr>
          <w:p w14:paraId="33483A74"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Net Profit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1286" w:type="dxa"/>
            <w:noWrap/>
            <w:hideMark/>
          </w:tcPr>
          <w:p w14:paraId="33483A75"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Sales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3652" w:type="dxa"/>
            <w:noWrap/>
            <w:hideMark/>
          </w:tcPr>
          <w:p w14:paraId="33483A76"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Net Profit Margin </w:t>
            </w:r>
          </w:p>
        </w:tc>
      </w:tr>
      <w:tr w:rsidR="00746084" w:rsidRPr="00746084" w14:paraId="33483A7C" w14:textId="77777777" w:rsidTr="00817AE7">
        <w:trPr>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78"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2000" w:type="dxa"/>
            <w:hideMark/>
          </w:tcPr>
          <w:p w14:paraId="33483A79"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36.4</w:t>
            </w:r>
          </w:p>
        </w:tc>
        <w:tc>
          <w:tcPr>
            <w:tcW w:w="1286" w:type="dxa"/>
            <w:noWrap/>
            <w:hideMark/>
          </w:tcPr>
          <w:p w14:paraId="33483A7A"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3295.1</w:t>
            </w:r>
          </w:p>
        </w:tc>
        <w:tc>
          <w:tcPr>
            <w:tcW w:w="3652" w:type="dxa"/>
            <w:noWrap/>
            <w:hideMark/>
          </w:tcPr>
          <w:p w14:paraId="33483A7B"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1.10%</w:t>
            </w:r>
          </w:p>
        </w:tc>
      </w:tr>
      <w:tr w:rsidR="00746084" w:rsidRPr="00746084" w14:paraId="33483A81" w14:textId="77777777" w:rsidTr="00817AE7">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7D"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2000" w:type="dxa"/>
            <w:hideMark/>
          </w:tcPr>
          <w:p w14:paraId="33483A7E"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176.8</w:t>
            </w:r>
          </w:p>
        </w:tc>
        <w:tc>
          <w:tcPr>
            <w:tcW w:w="1286" w:type="dxa"/>
            <w:noWrap/>
            <w:hideMark/>
          </w:tcPr>
          <w:p w14:paraId="33483A7F"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2049.1</w:t>
            </w:r>
          </w:p>
        </w:tc>
        <w:tc>
          <w:tcPr>
            <w:tcW w:w="3652" w:type="dxa"/>
            <w:noWrap/>
            <w:hideMark/>
          </w:tcPr>
          <w:p w14:paraId="33483A8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8.63%</w:t>
            </w:r>
          </w:p>
        </w:tc>
      </w:tr>
      <w:tr w:rsidR="00746084" w:rsidRPr="00746084" w14:paraId="33483A86" w14:textId="77777777" w:rsidTr="00817AE7">
        <w:trPr>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82"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2000" w:type="dxa"/>
            <w:hideMark/>
          </w:tcPr>
          <w:p w14:paraId="33483A83"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217.9</w:t>
            </w:r>
          </w:p>
        </w:tc>
        <w:tc>
          <w:tcPr>
            <w:tcW w:w="1286" w:type="dxa"/>
            <w:noWrap/>
            <w:hideMark/>
          </w:tcPr>
          <w:p w14:paraId="33483A84"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2071.5</w:t>
            </w:r>
          </w:p>
        </w:tc>
        <w:tc>
          <w:tcPr>
            <w:tcW w:w="3652" w:type="dxa"/>
            <w:noWrap/>
            <w:hideMark/>
          </w:tcPr>
          <w:p w14:paraId="33483A8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10.52%</w:t>
            </w:r>
          </w:p>
        </w:tc>
      </w:tr>
      <w:tr w:rsidR="00746084" w:rsidRPr="00746084" w14:paraId="33483A8B" w14:textId="77777777" w:rsidTr="00817AE7">
        <w:trPr>
          <w:cnfStyle w:val="000000100000" w:firstRow="0" w:lastRow="0" w:firstColumn="0" w:lastColumn="0" w:oddVBand="0" w:evenVBand="0" w:oddHBand="1" w:evenHBand="0" w:firstRowFirstColumn="0" w:firstRowLastColumn="0" w:lastRowFirstColumn="0" w:lastRowLastColumn="0"/>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87"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2000" w:type="dxa"/>
            <w:hideMark/>
          </w:tcPr>
          <w:p w14:paraId="33483A88"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-906.5</w:t>
            </w:r>
          </w:p>
        </w:tc>
        <w:tc>
          <w:tcPr>
            <w:tcW w:w="1286" w:type="dxa"/>
            <w:noWrap/>
            <w:hideMark/>
          </w:tcPr>
          <w:p w14:paraId="33483A89"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589.4</w:t>
            </w:r>
          </w:p>
        </w:tc>
        <w:tc>
          <w:tcPr>
            <w:tcW w:w="3652" w:type="dxa"/>
            <w:noWrap/>
            <w:hideMark/>
          </w:tcPr>
          <w:p w14:paraId="33483A8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-153.80%</w:t>
            </w:r>
          </w:p>
        </w:tc>
      </w:tr>
      <w:tr w:rsidR="00746084" w:rsidRPr="00746084" w14:paraId="33483A90" w14:textId="77777777" w:rsidTr="00817AE7">
        <w:trPr>
          <w:trHeight w:val="243"/>
          <w:jc w:val="center"/>
        </w:trPr>
        <w:tc>
          <w:tcPr>
            <w:cnfStyle w:val="001000000000" w:firstRow="0" w:lastRow="0" w:firstColumn="1" w:lastColumn="0" w:oddVBand="0" w:evenVBand="0" w:oddHBand="0" w:evenHBand="0" w:firstRowFirstColumn="0" w:firstRowLastColumn="0" w:lastRowFirstColumn="0" w:lastRowLastColumn="0"/>
            <w:tcW w:w="854" w:type="dxa"/>
            <w:noWrap/>
            <w:hideMark/>
          </w:tcPr>
          <w:p w14:paraId="33483A8C"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2000" w:type="dxa"/>
            <w:hideMark/>
          </w:tcPr>
          <w:p w14:paraId="33483A8D"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42.5</w:t>
            </w:r>
          </w:p>
        </w:tc>
        <w:tc>
          <w:tcPr>
            <w:tcW w:w="1286" w:type="dxa"/>
            <w:noWrap/>
            <w:hideMark/>
          </w:tcPr>
          <w:p w14:paraId="33483A8E"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1703.4</w:t>
            </w:r>
          </w:p>
        </w:tc>
        <w:tc>
          <w:tcPr>
            <w:tcW w:w="3652" w:type="dxa"/>
            <w:noWrap/>
            <w:hideMark/>
          </w:tcPr>
          <w:p w14:paraId="33483A8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2.50%</w:t>
            </w:r>
          </w:p>
        </w:tc>
      </w:tr>
    </w:tbl>
    <w:p w14:paraId="33483A91" w14:textId="77777777" w:rsidR="00CB2D79" w:rsidRPr="00746084" w:rsidRDefault="00CB2D79" w:rsidP="002361A6">
      <w:pPr>
        <w:spacing w:line="240" w:lineRule="auto"/>
        <w:jc w:val="both"/>
        <w:rPr>
          <w:rFonts w:ascii="Times New Roman" w:hAnsi="Times New Roman" w:cs="Times New Roman"/>
          <w:color w:val="000000" w:themeColor="text1"/>
          <w:sz w:val="24"/>
          <w:szCs w:val="24"/>
          <w:lang w:val="en-US"/>
        </w:rPr>
      </w:pPr>
    </w:p>
    <w:p w14:paraId="33483A92" w14:textId="77777777" w:rsidR="00CB2D79" w:rsidRPr="00746084" w:rsidRDefault="00CB2D79" w:rsidP="00D148CA">
      <w:pPr>
        <w:spacing w:line="360" w:lineRule="auto"/>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 xml:space="preserve">Net profit margin is another measure of profitability that is used to determine the ability of the company in generating profit. It can be observed that there are uncertainties in net profit margin of the company from 2018 to 2022. Although, it has been sharply declined in 2021 up to -153.80% due to reduction in sales of company. As, outbreak of Covid-19 negatively influence on business </w:t>
      </w:r>
      <w:proofErr w:type="spellStart"/>
      <w:r w:rsidRPr="00746084">
        <w:rPr>
          <w:rFonts w:ascii="Times New Roman" w:hAnsi="Times New Roman" w:cs="Times New Roman"/>
          <w:color w:val="000000" w:themeColor="text1"/>
          <w:sz w:val="24"/>
          <w:szCs w:val="24"/>
          <w:lang w:val="en-US"/>
        </w:rPr>
        <w:t>organisations</w:t>
      </w:r>
      <w:proofErr w:type="spellEnd"/>
      <w:r w:rsidRPr="00746084">
        <w:rPr>
          <w:rFonts w:ascii="Times New Roman" w:hAnsi="Times New Roman" w:cs="Times New Roman"/>
          <w:color w:val="000000" w:themeColor="text1"/>
          <w:sz w:val="24"/>
          <w:szCs w:val="24"/>
          <w:lang w:val="en-US"/>
        </w:rPr>
        <w:t>, especially tourism, hotels, and entertainment services sector.</w:t>
      </w:r>
      <w:r w:rsidR="002361A6" w:rsidRPr="00746084">
        <w:rPr>
          <w:rFonts w:ascii="Times New Roman" w:hAnsi="Times New Roman" w:cs="Times New Roman"/>
          <w:color w:val="000000" w:themeColor="text1"/>
          <w:sz w:val="24"/>
          <w:szCs w:val="24"/>
          <w:lang w:val="en-US"/>
        </w:rPr>
        <w:t xml:space="preserve"> Another reason of decline in profitability of the company is due to increasing rate of inflation in utility bills, </w:t>
      </w:r>
      <w:proofErr w:type="spellStart"/>
      <w:r w:rsidR="002361A6" w:rsidRPr="00746084">
        <w:rPr>
          <w:rFonts w:ascii="Times New Roman" w:hAnsi="Times New Roman" w:cs="Times New Roman"/>
          <w:color w:val="000000" w:themeColor="text1"/>
          <w:sz w:val="24"/>
          <w:szCs w:val="24"/>
          <w:lang w:val="en-US"/>
        </w:rPr>
        <w:t>labour</w:t>
      </w:r>
      <w:proofErr w:type="spellEnd"/>
      <w:r w:rsidR="002361A6" w:rsidRPr="00746084">
        <w:rPr>
          <w:rFonts w:ascii="Times New Roman" w:hAnsi="Times New Roman" w:cs="Times New Roman"/>
          <w:color w:val="000000" w:themeColor="text1"/>
          <w:sz w:val="24"/>
          <w:szCs w:val="24"/>
          <w:lang w:val="en-US"/>
        </w:rPr>
        <w:t>, food, energy and beverage costs, and increasing cost of marketing and investment cost (</w:t>
      </w:r>
      <w:r w:rsidR="00C25362" w:rsidRPr="00746084">
        <w:rPr>
          <w:rFonts w:ascii="Times New Roman" w:hAnsi="Times New Roman" w:cs="Times New Roman"/>
          <w:color w:val="000000" w:themeColor="text1"/>
          <w:sz w:val="24"/>
          <w:szCs w:val="24"/>
          <w:lang w:val="en-US"/>
        </w:rPr>
        <w:t>The Guardian Newspaper, 2022</w:t>
      </w:r>
      <w:r w:rsidR="002361A6" w:rsidRPr="00746084">
        <w:rPr>
          <w:rFonts w:ascii="Times New Roman" w:hAnsi="Times New Roman" w:cs="Times New Roman"/>
          <w:color w:val="000000" w:themeColor="text1"/>
          <w:sz w:val="24"/>
          <w:szCs w:val="24"/>
          <w:lang w:val="en-US"/>
        </w:rPr>
        <w:t xml:space="preserve">). </w:t>
      </w:r>
      <w:r w:rsidRPr="00746084">
        <w:rPr>
          <w:rFonts w:ascii="Times New Roman" w:hAnsi="Times New Roman" w:cs="Times New Roman"/>
          <w:color w:val="000000" w:themeColor="text1"/>
          <w:sz w:val="24"/>
          <w:szCs w:val="24"/>
          <w:lang w:val="en-US"/>
        </w:rPr>
        <w:t>However, company’s net profit margin changed into positive from -</w:t>
      </w:r>
      <w:r w:rsidRPr="00746084">
        <w:rPr>
          <w:rFonts w:ascii="Times New Roman" w:hAnsi="Times New Roman" w:cs="Times New Roman"/>
          <w:color w:val="000000" w:themeColor="text1"/>
          <w:sz w:val="24"/>
          <w:szCs w:val="24"/>
          <w:lang w:val="en-US"/>
        </w:rPr>
        <w:lastRenderedPageBreak/>
        <w:t>153.80% in 2021 to 2.50% in 2021</w:t>
      </w:r>
      <w:r w:rsidR="002361A6" w:rsidRPr="00746084">
        <w:rPr>
          <w:rFonts w:ascii="Times New Roman" w:hAnsi="Times New Roman" w:cs="Times New Roman"/>
          <w:color w:val="000000" w:themeColor="text1"/>
          <w:sz w:val="24"/>
          <w:szCs w:val="24"/>
          <w:lang w:val="en-US"/>
        </w:rPr>
        <w:t xml:space="preserve">, as company seen </w:t>
      </w:r>
      <w:r w:rsidR="00BA699B" w:rsidRPr="00746084">
        <w:rPr>
          <w:rFonts w:ascii="Times New Roman" w:hAnsi="Times New Roman" w:cs="Times New Roman"/>
          <w:color w:val="000000" w:themeColor="text1"/>
          <w:sz w:val="24"/>
          <w:szCs w:val="24"/>
          <w:lang w:val="en-US"/>
        </w:rPr>
        <w:t>an increase in demand for accommodations</w:t>
      </w:r>
      <w:r w:rsidR="007E7D13" w:rsidRPr="00746084">
        <w:rPr>
          <w:rFonts w:ascii="Times New Roman" w:hAnsi="Times New Roman" w:cs="Times New Roman"/>
          <w:color w:val="000000" w:themeColor="text1"/>
          <w:sz w:val="24"/>
          <w:szCs w:val="24"/>
          <w:lang w:val="en-US"/>
        </w:rPr>
        <w:t>. Further</w:t>
      </w:r>
      <w:r w:rsidRPr="00746084">
        <w:rPr>
          <w:rFonts w:ascii="Times New Roman" w:hAnsi="Times New Roman" w:cs="Times New Roman"/>
          <w:color w:val="000000" w:themeColor="text1"/>
          <w:sz w:val="24"/>
          <w:szCs w:val="24"/>
          <w:lang w:val="en-US"/>
        </w:rPr>
        <w:t xml:space="preserve">, it can also be </w:t>
      </w:r>
      <w:r w:rsidR="002361A6" w:rsidRPr="00746084">
        <w:rPr>
          <w:rFonts w:ascii="Times New Roman" w:hAnsi="Times New Roman" w:cs="Times New Roman"/>
          <w:color w:val="000000" w:themeColor="text1"/>
          <w:sz w:val="24"/>
          <w:szCs w:val="24"/>
          <w:lang w:val="en-US"/>
        </w:rPr>
        <w:t>illustrated</w:t>
      </w:r>
      <w:r w:rsidRPr="00746084">
        <w:rPr>
          <w:rFonts w:ascii="Times New Roman" w:hAnsi="Times New Roman" w:cs="Times New Roman"/>
          <w:color w:val="000000" w:themeColor="text1"/>
          <w:sz w:val="24"/>
          <w:szCs w:val="24"/>
          <w:lang w:val="en-US"/>
        </w:rPr>
        <w:t xml:space="preserve"> with the help of graph, as shown below:</w:t>
      </w:r>
    </w:p>
    <w:p w14:paraId="33483A93" w14:textId="77777777" w:rsidR="00C47D6A" w:rsidRPr="00746084" w:rsidRDefault="00C33193" w:rsidP="00C33193">
      <w:pPr>
        <w:pStyle w:val="Heading2"/>
        <w:rPr>
          <w:rFonts w:cs="Times New Roman"/>
          <w:szCs w:val="24"/>
          <w:lang w:val="en-US"/>
        </w:rPr>
      </w:pPr>
      <w:bookmarkStart w:id="12" w:name="_Toc121233969"/>
      <w:r w:rsidRPr="00746084">
        <w:rPr>
          <w:rFonts w:cs="Times New Roman"/>
          <w:noProof/>
          <w:szCs w:val="24"/>
          <w:lang w:eastAsia="en-GB"/>
        </w:rPr>
        <mc:AlternateContent>
          <mc:Choice Requires="wps">
            <w:drawing>
              <wp:anchor distT="0" distB="0" distL="114300" distR="114300" simplePos="0" relativeHeight="251685888" behindDoc="1" locked="0" layoutInCell="1" allowOverlap="1" wp14:anchorId="33483D3F" wp14:editId="33483D40">
                <wp:simplePos x="0" y="0"/>
                <wp:positionH relativeFrom="column">
                  <wp:posOffset>0</wp:posOffset>
                </wp:positionH>
                <wp:positionV relativeFrom="paragraph">
                  <wp:posOffset>2407285</wp:posOffset>
                </wp:positionV>
                <wp:extent cx="586867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2" w14:textId="77777777" w:rsidR="00604A5F" w:rsidRPr="0038003B"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2</w:t>
                              </w:r>
                            </w:fldSimple>
                            <w:r>
                              <w:t xml:space="preserve"> - </w:t>
                            </w:r>
                            <w:r w:rsidRPr="00C977E5">
                              <w:t>Net Profit Margin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3F" id="Text Box 11" o:spid="_x0000_s1027" type="#_x0000_t202" style="position:absolute;margin-left:0;margin-top:189.55pt;width:462.1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" stroked="f">
                <v:textbox style="mso-fit-shape-to-text:t" inset="0,0,0,0">
                  <w:txbxContent>
                    <w:p w14:paraId="33483D62" w14:textId="77777777" w:rsidR="00604A5F" w:rsidRPr="0038003B"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2</w:t>
                        </w:r>
                      </w:fldSimple>
                      <w:r>
                        <w:t xml:space="preserve"> - </w:t>
                      </w:r>
                      <w:r w:rsidRPr="00C977E5">
                        <w:t>Net Profit Margin - Whitbread Plc (2018 to 2022)</w:t>
                      </w:r>
                    </w:p>
                  </w:txbxContent>
                </v:textbox>
                <w10:wrap type="tight"/>
              </v:shape>
            </w:pict>
          </mc:Fallback>
        </mc:AlternateContent>
      </w:r>
      <w:r w:rsidR="002A65F7" w:rsidRPr="00746084">
        <w:rPr>
          <w:rFonts w:cs="Times New Roman"/>
          <w:noProof/>
          <w:szCs w:val="24"/>
          <w:lang w:eastAsia="en-GB"/>
        </w:rPr>
        <w:drawing>
          <wp:anchor distT="0" distB="0" distL="114300" distR="114300" simplePos="0" relativeHeight="251673600" behindDoc="0" locked="0" layoutInCell="1" allowOverlap="1" wp14:anchorId="33483D41" wp14:editId="33483D42">
            <wp:simplePos x="0" y="0"/>
            <wp:positionH relativeFrom="margin">
              <wp:align>left</wp:align>
            </wp:positionH>
            <wp:positionV relativeFrom="paragraph">
              <wp:posOffset>171151</wp:posOffset>
            </wp:positionV>
            <wp:extent cx="5868670" cy="2179320"/>
            <wp:effectExtent l="0" t="0" r="17780" b="11430"/>
            <wp:wrapTight wrapText="bothSides">
              <wp:wrapPolygon edited="0">
                <wp:start x="0" y="0"/>
                <wp:lineTo x="0" y="21524"/>
                <wp:lineTo x="21595" y="21524"/>
                <wp:lineTo x="21595" y="0"/>
                <wp:lineTo x="0" y="0"/>
              </wp:wrapPolygon>
            </wp:wrapTight>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C47D6A" w:rsidRPr="00746084">
        <w:rPr>
          <w:rFonts w:cs="Times New Roman"/>
          <w:szCs w:val="24"/>
          <w:lang w:val="en-US"/>
        </w:rPr>
        <w:t>Liquidity Ratios</w:t>
      </w:r>
      <w:bookmarkEnd w:id="12"/>
    </w:p>
    <w:p w14:paraId="33483A94" w14:textId="77777777" w:rsidR="00446EAD" w:rsidRPr="00746084" w:rsidRDefault="00446EAD" w:rsidP="00C33193">
      <w:pPr>
        <w:spacing w:line="360" w:lineRule="auto"/>
        <w:ind w:firstLine="720"/>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Liquidity ratio is another important financial metrics that helps the analyst in assessment of debt mana</w:t>
      </w:r>
      <w:r w:rsidR="00C33193" w:rsidRPr="00746084">
        <w:rPr>
          <w:rFonts w:ascii="Times New Roman" w:hAnsi="Times New Roman" w:cs="Times New Roman"/>
          <w:color w:val="000000" w:themeColor="text1"/>
          <w:sz w:val="24"/>
          <w:szCs w:val="24"/>
          <w:lang w:val="en-US"/>
        </w:rPr>
        <w:t xml:space="preserve">gement of the company. Likely, </w:t>
      </w:r>
      <w:proofErr w:type="spellStart"/>
      <w:r w:rsidR="00C33193" w:rsidRPr="00746084">
        <w:rPr>
          <w:rFonts w:ascii="Times New Roman" w:hAnsi="Times New Roman" w:cs="Times New Roman"/>
          <w:color w:val="000000" w:themeColor="text1"/>
          <w:sz w:val="24"/>
          <w:szCs w:val="24"/>
          <w:shd w:val="clear" w:color="auto" w:fill="FFFFFF"/>
        </w:rPr>
        <w:t>Nuryani</w:t>
      </w:r>
      <w:proofErr w:type="spellEnd"/>
      <w:r w:rsidR="00C33193" w:rsidRPr="00746084">
        <w:rPr>
          <w:rFonts w:ascii="Times New Roman" w:hAnsi="Times New Roman" w:cs="Times New Roman"/>
          <w:color w:val="000000" w:themeColor="text1"/>
          <w:sz w:val="24"/>
          <w:szCs w:val="24"/>
          <w:shd w:val="clear" w:color="auto" w:fill="FFFFFF"/>
        </w:rPr>
        <w:t xml:space="preserve"> and </w:t>
      </w:r>
      <w:proofErr w:type="spellStart"/>
      <w:r w:rsidR="00C33193" w:rsidRPr="00746084">
        <w:rPr>
          <w:rFonts w:ascii="Times New Roman" w:hAnsi="Times New Roman" w:cs="Times New Roman"/>
          <w:color w:val="000000" w:themeColor="text1"/>
          <w:sz w:val="24"/>
          <w:szCs w:val="24"/>
          <w:shd w:val="clear" w:color="auto" w:fill="FFFFFF"/>
        </w:rPr>
        <w:t>Sunarsi</w:t>
      </w:r>
      <w:proofErr w:type="spellEnd"/>
      <w:r w:rsidR="00C33193" w:rsidRPr="00746084">
        <w:rPr>
          <w:rFonts w:ascii="Times New Roman" w:hAnsi="Times New Roman" w:cs="Times New Roman"/>
          <w:color w:val="000000" w:themeColor="text1"/>
          <w:sz w:val="24"/>
          <w:szCs w:val="24"/>
          <w:shd w:val="clear" w:color="auto" w:fill="FFFFFF"/>
        </w:rPr>
        <w:t xml:space="preserve"> (2020</w:t>
      </w:r>
      <w:r w:rsidRPr="00746084">
        <w:rPr>
          <w:rFonts w:ascii="Times New Roman" w:hAnsi="Times New Roman" w:cs="Times New Roman"/>
          <w:color w:val="000000" w:themeColor="text1"/>
          <w:sz w:val="24"/>
          <w:szCs w:val="24"/>
          <w:lang w:val="en-US"/>
        </w:rPr>
        <w:t>) in their study indicated that liquidity ratio is used to demonstrate the ability of the company in covering its current liabilities. In other words it helps in depicting the financial position of company to meet its short terms obligations.</w:t>
      </w:r>
      <w:r w:rsidR="00B175AD" w:rsidRPr="00746084">
        <w:rPr>
          <w:rFonts w:ascii="Times New Roman" w:hAnsi="Times New Roman" w:cs="Times New Roman"/>
          <w:color w:val="000000" w:themeColor="text1"/>
          <w:sz w:val="24"/>
          <w:szCs w:val="24"/>
          <w:lang w:val="en-US"/>
        </w:rPr>
        <w:t xml:space="preserve"> </w:t>
      </w:r>
      <w:r w:rsidR="00B175AD" w:rsidRPr="00746084">
        <w:rPr>
          <w:rFonts w:ascii="Times New Roman" w:hAnsi="Times New Roman" w:cs="Times New Roman"/>
          <w:bCs/>
          <w:color w:val="000000" w:themeColor="text1"/>
          <w:sz w:val="24"/>
          <w:szCs w:val="24"/>
          <w:shd w:val="clear" w:color="auto" w:fill="FFFFFF"/>
        </w:rPr>
        <w:t>Generally, the higher liquidity ratios show greater ability of the company in meeting its obligations.</w:t>
      </w:r>
      <w:r w:rsidRPr="00746084">
        <w:rPr>
          <w:rFonts w:ascii="Times New Roman" w:hAnsi="Times New Roman" w:cs="Times New Roman"/>
          <w:color w:val="000000" w:themeColor="text1"/>
          <w:sz w:val="24"/>
          <w:szCs w:val="24"/>
          <w:lang w:val="en-US"/>
        </w:rPr>
        <w:t xml:space="preserve"> However, there are various measure for liquidity ratio, in the case study of Whitbread Plc, current ratio and quick ratio were used through using formulas. </w:t>
      </w:r>
    </w:p>
    <w:p w14:paraId="33483A95" w14:textId="77777777" w:rsidR="00C47D6A" w:rsidRPr="00746084" w:rsidRDefault="00C47D6A" w:rsidP="002361A6">
      <w:pPr>
        <w:pStyle w:val="Heading3"/>
        <w:spacing w:line="240" w:lineRule="auto"/>
        <w:rPr>
          <w:rFonts w:cs="Times New Roman"/>
          <w:lang w:val="en-US"/>
        </w:rPr>
      </w:pPr>
      <w:bookmarkStart w:id="13" w:name="_Toc121233970"/>
      <w:r w:rsidRPr="00746084">
        <w:rPr>
          <w:rFonts w:cs="Times New Roman"/>
          <w:lang w:val="en-US"/>
        </w:rPr>
        <w:t>Current Ratio</w:t>
      </w:r>
      <w:bookmarkEnd w:id="13"/>
    </w:p>
    <w:p w14:paraId="33483A96"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3</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Current Ratio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pPr w:leftFromText="180" w:rightFromText="180" w:vertAnchor="text" w:horzAnchor="margin" w:tblpXSpec="center" w:tblpY="92"/>
        <w:tblW w:w="7731" w:type="dxa"/>
        <w:tblLook w:val="04A0" w:firstRow="1" w:lastRow="0" w:firstColumn="1" w:lastColumn="0" w:noHBand="0" w:noVBand="1"/>
      </w:tblPr>
      <w:tblGrid>
        <w:gridCol w:w="796"/>
        <w:gridCol w:w="2175"/>
        <w:gridCol w:w="2697"/>
        <w:gridCol w:w="2063"/>
      </w:tblGrid>
      <w:tr w:rsidR="00746084" w:rsidRPr="00FE18B7" w14:paraId="33483A98" w14:textId="77777777" w:rsidTr="002361A6">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7731" w:type="dxa"/>
            <w:gridSpan w:val="4"/>
            <w:noWrap/>
            <w:hideMark/>
          </w:tcPr>
          <w:p w14:paraId="33483A97" w14:textId="77777777" w:rsidR="002361A6" w:rsidRPr="00FE18B7" w:rsidRDefault="002361A6" w:rsidP="002361A6">
            <w:pPr>
              <w:jc w:val="center"/>
              <w:rPr>
                <w:rFonts w:ascii="Times New Roman" w:eastAsia="Times New Roman" w:hAnsi="Times New Roman" w:cs="Times New Roman"/>
                <w:color w:val="000000" w:themeColor="text1"/>
                <w:sz w:val="24"/>
                <w:szCs w:val="24"/>
                <w:lang w:val="fr-FR" w:eastAsia="en-GB"/>
              </w:rPr>
            </w:pPr>
            <w:proofErr w:type="spellStart"/>
            <w:r w:rsidRPr="00FE18B7">
              <w:rPr>
                <w:rFonts w:ascii="Times New Roman" w:eastAsia="Times New Roman" w:hAnsi="Times New Roman" w:cs="Times New Roman"/>
                <w:color w:val="000000" w:themeColor="text1"/>
                <w:sz w:val="24"/>
                <w:szCs w:val="24"/>
                <w:lang w:val="fr-FR" w:eastAsia="en-GB"/>
              </w:rPr>
              <w:t>Current</w:t>
            </w:r>
            <w:proofErr w:type="spellEnd"/>
            <w:r w:rsidRPr="00FE18B7">
              <w:rPr>
                <w:rFonts w:ascii="Times New Roman" w:eastAsia="Times New Roman" w:hAnsi="Times New Roman" w:cs="Times New Roman"/>
                <w:color w:val="000000" w:themeColor="text1"/>
                <w:sz w:val="24"/>
                <w:szCs w:val="24"/>
                <w:lang w:val="fr-FR" w:eastAsia="en-GB"/>
              </w:rPr>
              <w:t xml:space="preserve"> Ratio: </w:t>
            </w:r>
            <w:proofErr w:type="spellStart"/>
            <w:r w:rsidRPr="00FE18B7">
              <w:rPr>
                <w:rFonts w:ascii="Times New Roman" w:eastAsia="Times New Roman" w:hAnsi="Times New Roman" w:cs="Times New Roman"/>
                <w:color w:val="000000" w:themeColor="text1"/>
                <w:sz w:val="24"/>
                <w:szCs w:val="24"/>
                <w:lang w:val="fr-FR" w:eastAsia="en-GB"/>
              </w:rPr>
              <w:t>Current</w:t>
            </w:r>
            <w:proofErr w:type="spellEnd"/>
            <w:r w:rsidRPr="00FE18B7">
              <w:rPr>
                <w:rFonts w:ascii="Times New Roman" w:eastAsia="Times New Roman" w:hAnsi="Times New Roman" w:cs="Times New Roman"/>
                <w:color w:val="000000" w:themeColor="text1"/>
                <w:sz w:val="24"/>
                <w:szCs w:val="24"/>
                <w:lang w:val="fr-FR" w:eastAsia="en-GB"/>
              </w:rPr>
              <w:t xml:space="preserve"> Assets/</w:t>
            </w:r>
            <w:proofErr w:type="spellStart"/>
            <w:r w:rsidRPr="00FE18B7">
              <w:rPr>
                <w:rFonts w:ascii="Times New Roman" w:eastAsia="Times New Roman" w:hAnsi="Times New Roman" w:cs="Times New Roman"/>
                <w:color w:val="000000" w:themeColor="text1"/>
                <w:sz w:val="24"/>
                <w:szCs w:val="24"/>
                <w:lang w:val="fr-FR" w:eastAsia="en-GB"/>
              </w:rPr>
              <w:t>Current</w:t>
            </w:r>
            <w:proofErr w:type="spellEnd"/>
            <w:r w:rsidRPr="00FE18B7">
              <w:rPr>
                <w:rFonts w:ascii="Times New Roman" w:eastAsia="Times New Roman" w:hAnsi="Times New Roman" w:cs="Times New Roman"/>
                <w:color w:val="000000" w:themeColor="text1"/>
                <w:sz w:val="24"/>
                <w:szCs w:val="24"/>
                <w:lang w:val="fr-FR" w:eastAsia="en-GB"/>
              </w:rPr>
              <w:t xml:space="preserve"> </w:t>
            </w:r>
            <w:proofErr w:type="spellStart"/>
            <w:r w:rsidRPr="00FE18B7">
              <w:rPr>
                <w:rFonts w:ascii="Times New Roman" w:eastAsia="Times New Roman" w:hAnsi="Times New Roman" w:cs="Times New Roman"/>
                <w:color w:val="000000" w:themeColor="text1"/>
                <w:sz w:val="24"/>
                <w:szCs w:val="24"/>
                <w:lang w:val="fr-FR" w:eastAsia="en-GB"/>
              </w:rPr>
              <w:t>Liabilities</w:t>
            </w:r>
            <w:proofErr w:type="spellEnd"/>
          </w:p>
        </w:tc>
      </w:tr>
      <w:tr w:rsidR="00746084" w:rsidRPr="00746084" w14:paraId="33483A9D" w14:textId="77777777" w:rsidTr="002361A6">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99" w14:textId="77777777" w:rsidR="002361A6" w:rsidRPr="00746084" w:rsidRDefault="002361A6" w:rsidP="002361A6">
            <w:pPr>
              <w:jc w:val="center"/>
              <w:rPr>
                <w:rFonts w:ascii="Times New Roman" w:eastAsia="Times New Roman" w:hAnsi="Times New Roman" w:cs="Times New Roman"/>
                <w:i/>
                <w:iCs/>
                <w:color w:val="000000" w:themeColor="text1"/>
                <w:sz w:val="24"/>
                <w:szCs w:val="24"/>
                <w:lang w:eastAsia="en-GB"/>
              </w:rPr>
            </w:pPr>
            <w:r w:rsidRPr="00FE18B7">
              <w:rPr>
                <w:rFonts w:ascii="Times New Roman" w:eastAsia="Times New Roman" w:hAnsi="Times New Roman" w:cs="Times New Roman"/>
                <w:i/>
                <w:iCs/>
                <w:color w:val="000000" w:themeColor="text1"/>
                <w:sz w:val="24"/>
                <w:szCs w:val="24"/>
                <w:lang w:val="fr-FR" w:eastAsia="en-GB"/>
              </w:rPr>
              <w:t xml:space="preserve"> </w:t>
            </w:r>
            <w:r w:rsidRPr="00746084">
              <w:rPr>
                <w:rFonts w:ascii="Times New Roman" w:eastAsia="Times New Roman" w:hAnsi="Times New Roman" w:cs="Times New Roman"/>
                <w:i/>
                <w:iCs/>
                <w:color w:val="000000" w:themeColor="text1"/>
                <w:sz w:val="24"/>
                <w:szCs w:val="24"/>
                <w:lang w:eastAsia="en-GB"/>
              </w:rPr>
              <w:t xml:space="preserve">Year </w:t>
            </w:r>
          </w:p>
        </w:tc>
        <w:tc>
          <w:tcPr>
            <w:tcW w:w="2175" w:type="dxa"/>
            <w:noWrap/>
            <w:hideMark/>
          </w:tcPr>
          <w:p w14:paraId="33483A9A"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Current Assets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697" w:type="dxa"/>
            <w:noWrap/>
            <w:hideMark/>
          </w:tcPr>
          <w:p w14:paraId="33483A9B"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Current Liabilities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063" w:type="dxa"/>
            <w:noWrap/>
            <w:hideMark/>
          </w:tcPr>
          <w:p w14:paraId="33483A9C"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Current Ratio </w:t>
            </w:r>
          </w:p>
        </w:tc>
      </w:tr>
      <w:tr w:rsidR="00746084" w:rsidRPr="00746084" w14:paraId="33483AA2" w14:textId="77777777" w:rsidTr="002361A6">
        <w:trPr>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9E" w14:textId="77777777" w:rsidR="002361A6" w:rsidRPr="00746084" w:rsidRDefault="002361A6"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2175" w:type="dxa"/>
            <w:noWrap/>
            <w:hideMark/>
          </w:tcPr>
          <w:p w14:paraId="33483A9F"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332.2</w:t>
            </w:r>
          </w:p>
        </w:tc>
        <w:tc>
          <w:tcPr>
            <w:tcW w:w="2697" w:type="dxa"/>
            <w:noWrap/>
            <w:hideMark/>
          </w:tcPr>
          <w:p w14:paraId="33483AA0"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932</w:t>
            </w:r>
          </w:p>
        </w:tc>
        <w:tc>
          <w:tcPr>
            <w:tcW w:w="2063" w:type="dxa"/>
            <w:noWrap/>
            <w:hideMark/>
          </w:tcPr>
          <w:p w14:paraId="33483AA1"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0.36</w:t>
            </w:r>
          </w:p>
        </w:tc>
      </w:tr>
      <w:tr w:rsidR="00746084" w:rsidRPr="00746084" w14:paraId="33483AA7" w14:textId="77777777" w:rsidTr="002361A6">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A3" w14:textId="77777777" w:rsidR="002361A6" w:rsidRPr="00746084" w:rsidRDefault="002361A6"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2175" w:type="dxa"/>
            <w:noWrap/>
            <w:hideMark/>
          </w:tcPr>
          <w:p w14:paraId="33483AA4"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3543.7</w:t>
            </w:r>
          </w:p>
        </w:tc>
        <w:tc>
          <w:tcPr>
            <w:tcW w:w="2697" w:type="dxa"/>
            <w:noWrap/>
            <w:hideMark/>
          </w:tcPr>
          <w:p w14:paraId="33483AA5"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949.9</w:t>
            </w:r>
          </w:p>
        </w:tc>
        <w:tc>
          <w:tcPr>
            <w:tcW w:w="2063" w:type="dxa"/>
            <w:noWrap/>
            <w:hideMark/>
          </w:tcPr>
          <w:p w14:paraId="33483AA6"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3.73</w:t>
            </w:r>
          </w:p>
        </w:tc>
      </w:tr>
      <w:tr w:rsidR="00746084" w:rsidRPr="00746084" w14:paraId="33483AAC" w14:textId="77777777" w:rsidTr="002361A6">
        <w:trPr>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A8" w14:textId="77777777" w:rsidR="002361A6" w:rsidRPr="00746084" w:rsidRDefault="002361A6"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2175" w:type="dxa"/>
            <w:noWrap/>
            <w:hideMark/>
          </w:tcPr>
          <w:p w14:paraId="33483AA9"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833</w:t>
            </w:r>
          </w:p>
        </w:tc>
        <w:tc>
          <w:tcPr>
            <w:tcW w:w="2697" w:type="dxa"/>
            <w:noWrap/>
            <w:hideMark/>
          </w:tcPr>
          <w:p w14:paraId="33483AAA"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646.9</w:t>
            </w:r>
          </w:p>
        </w:tc>
        <w:tc>
          <w:tcPr>
            <w:tcW w:w="2063" w:type="dxa"/>
            <w:noWrap/>
            <w:hideMark/>
          </w:tcPr>
          <w:p w14:paraId="33483AAB"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1.29</w:t>
            </w:r>
          </w:p>
        </w:tc>
      </w:tr>
      <w:tr w:rsidR="00746084" w:rsidRPr="00746084" w14:paraId="33483AB1" w14:textId="77777777" w:rsidTr="002361A6">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AD" w14:textId="77777777" w:rsidR="002361A6" w:rsidRPr="00746084" w:rsidRDefault="002361A6"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2175" w:type="dxa"/>
            <w:noWrap/>
            <w:hideMark/>
          </w:tcPr>
          <w:p w14:paraId="33483AAE"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1350.5</w:t>
            </w:r>
          </w:p>
        </w:tc>
        <w:tc>
          <w:tcPr>
            <w:tcW w:w="2697" w:type="dxa"/>
            <w:noWrap/>
            <w:hideMark/>
          </w:tcPr>
          <w:p w14:paraId="33483AAF"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775.3</w:t>
            </w:r>
          </w:p>
        </w:tc>
        <w:tc>
          <w:tcPr>
            <w:tcW w:w="2063" w:type="dxa"/>
            <w:noWrap/>
            <w:hideMark/>
          </w:tcPr>
          <w:p w14:paraId="33483AB0" w14:textId="77777777" w:rsidR="002361A6" w:rsidRPr="00746084" w:rsidRDefault="002361A6"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1.74</w:t>
            </w:r>
          </w:p>
        </w:tc>
      </w:tr>
      <w:tr w:rsidR="00746084" w:rsidRPr="00746084" w14:paraId="33483AB6" w14:textId="77777777" w:rsidTr="002361A6">
        <w:trPr>
          <w:trHeight w:val="265"/>
        </w:trPr>
        <w:tc>
          <w:tcPr>
            <w:cnfStyle w:val="001000000000" w:firstRow="0" w:lastRow="0" w:firstColumn="1" w:lastColumn="0" w:oddVBand="0" w:evenVBand="0" w:oddHBand="0" w:evenHBand="0" w:firstRowFirstColumn="0" w:firstRowLastColumn="0" w:lastRowFirstColumn="0" w:lastRowLastColumn="0"/>
            <w:tcW w:w="796" w:type="dxa"/>
            <w:noWrap/>
            <w:hideMark/>
          </w:tcPr>
          <w:p w14:paraId="33483AB2" w14:textId="77777777" w:rsidR="002361A6" w:rsidRPr="00746084" w:rsidRDefault="002361A6"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2175" w:type="dxa"/>
            <w:noWrap/>
            <w:hideMark/>
          </w:tcPr>
          <w:p w14:paraId="33483AB3"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1268.2</w:t>
            </w:r>
          </w:p>
        </w:tc>
        <w:tc>
          <w:tcPr>
            <w:tcW w:w="2697" w:type="dxa"/>
            <w:noWrap/>
            <w:hideMark/>
          </w:tcPr>
          <w:p w14:paraId="33483AB4"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719.6</w:t>
            </w:r>
          </w:p>
        </w:tc>
        <w:tc>
          <w:tcPr>
            <w:tcW w:w="2063" w:type="dxa"/>
            <w:noWrap/>
            <w:hideMark/>
          </w:tcPr>
          <w:p w14:paraId="33483AB5" w14:textId="77777777" w:rsidR="002361A6" w:rsidRPr="00746084" w:rsidRDefault="002361A6"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1.76</w:t>
            </w:r>
          </w:p>
        </w:tc>
      </w:tr>
    </w:tbl>
    <w:p w14:paraId="33483AB7" w14:textId="77777777" w:rsidR="002361A6" w:rsidRPr="00746084" w:rsidRDefault="002361A6" w:rsidP="002361A6">
      <w:pPr>
        <w:rPr>
          <w:rFonts w:ascii="Times New Roman" w:hAnsi="Times New Roman" w:cs="Times New Roman"/>
          <w:color w:val="000000" w:themeColor="text1"/>
          <w:sz w:val="24"/>
          <w:szCs w:val="24"/>
        </w:rPr>
      </w:pPr>
    </w:p>
    <w:p w14:paraId="33483AB8" w14:textId="77777777" w:rsidR="002361A6" w:rsidRPr="00746084" w:rsidRDefault="002361A6" w:rsidP="002361A6">
      <w:pPr>
        <w:rPr>
          <w:rFonts w:ascii="Times New Roman" w:hAnsi="Times New Roman" w:cs="Times New Roman"/>
          <w:color w:val="000000" w:themeColor="text1"/>
          <w:sz w:val="24"/>
          <w:szCs w:val="24"/>
        </w:rPr>
      </w:pPr>
    </w:p>
    <w:p w14:paraId="33483AB9" w14:textId="77777777" w:rsidR="002361A6" w:rsidRPr="00746084" w:rsidRDefault="002361A6" w:rsidP="002361A6">
      <w:pPr>
        <w:rPr>
          <w:rFonts w:ascii="Times New Roman" w:hAnsi="Times New Roman" w:cs="Times New Roman"/>
          <w:color w:val="000000" w:themeColor="text1"/>
          <w:sz w:val="24"/>
          <w:szCs w:val="24"/>
        </w:rPr>
      </w:pPr>
    </w:p>
    <w:p w14:paraId="33483ABA" w14:textId="77777777" w:rsidR="002361A6" w:rsidRPr="00746084" w:rsidRDefault="002361A6" w:rsidP="002361A6">
      <w:pPr>
        <w:rPr>
          <w:rFonts w:ascii="Times New Roman" w:hAnsi="Times New Roman" w:cs="Times New Roman"/>
          <w:color w:val="000000" w:themeColor="text1"/>
          <w:sz w:val="24"/>
          <w:szCs w:val="24"/>
        </w:rPr>
      </w:pPr>
    </w:p>
    <w:p w14:paraId="33483ABB" w14:textId="77777777" w:rsidR="002361A6" w:rsidRPr="00746084" w:rsidRDefault="002361A6" w:rsidP="002361A6">
      <w:pPr>
        <w:rPr>
          <w:rFonts w:ascii="Times New Roman" w:hAnsi="Times New Roman" w:cs="Times New Roman"/>
          <w:color w:val="000000" w:themeColor="text1"/>
          <w:sz w:val="24"/>
          <w:szCs w:val="24"/>
        </w:rPr>
      </w:pPr>
    </w:p>
    <w:p w14:paraId="33483ABC" w14:textId="77777777" w:rsidR="002A65F7" w:rsidRPr="00746084" w:rsidRDefault="002A65F7" w:rsidP="00D148CA">
      <w:pPr>
        <w:spacing w:line="360" w:lineRule="auto"/>
        <w:jc w:val="both"/>
        <w:rPr>
          <w:rFonts w:ascii="Times New Roman" w:hAnsi="Times New Roman" w:cs="Times New Roman"/>
          <w:color w:val="000000" w:themeColor="text1"/>
          <w:sz w:val="24"/>
          <w:szCs w:val="24"/>
        </w:rPr>
      </w:pPr>
    </w:p>
    <w:p w14:paraId="33483ABD" w14:textId="77777777" w:rsidR="009B0208" w:rsidRPr="00746084" w:rsidRDefault="002361A6" w:rsidP="00D148CA">
      <w:pPr>
        <w:spacing w:line="360" w:lineRule="auto"/>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lastRenderedPageBreak/>
        <w:t xml:space="preserve">Table 3, refers to the Whitbread Plc’s </w:t>
      </w:r>
      <w:r w:rsidR="00BA699B" w:rsidRPr="00746084">
        <w:rPr>
          <w:rFonts w:ascii="Times New Roman" w:hAnsi="Times New Roman" w:cs="Times New Roman"/>
          <w:color w:val="000000" w:themeColor="text1"/>
          <w:sz w:val="24"/>
          <w:szCs w:val="24"/>
        </w:rPr>
        <w:t xml:space="preserve">ability in paying its short-term obligations. Notably, company’s </w:t>
      </w:r>
      <w:r w:rsidRPr="00746084">
        <w:rPr>
          <w:rFonts w:ascii="Times New Roman" w:hAnsi="Times New Roman" w:cs="Times New Roman"/>
          <w:color w:val="000000" w:themeColor="text1"/>
          <w:sz w:val="24"/>
          <w:szCs w:val="24"/>
        </w:rPr>
        <w:t xml:space="preserve">current ratio is </w:t>
      </w:r>
      <w:r w:rsidR="00BA699B" w:rsidRPr="00746084">
        <w:rPr>
          <w:rFonts w:ascii="Times New Roman" w:hAnsi="Times New Roman" w:cs="Times New Roman"/>
          <w:color w:val="000000" w:themeColor="text1"/>
          <w:sz w:val="24"/>
          <w:szCs w:val="24"/>
        </w:rPr>
        <w:t xml:space="preserve">calculated to be greater than </w:t>
      </w:r>
      <w:r w:rsidR="00670B9A" w:rsidRPr="00746084">
        <w:rPr>
          <w:rFonts w:ascii="Times New Roman" w:hAnsi="Times New Roman" w:cs="Times New Roman"/>
          <w:color w:val="000000" w:themeColor="text1"/>
          <w:sz w:val="24"/>
          <w:szCs w:val="24"/>
        </w:rPr>
        <w:t xml:space="preserve">one </w:t>
      </w:r>
      <w:r w:rsidR="00BA699B" w:rsidRPr="00746084">
        <w:rPr>
          <w:rFonts w:ascii="Times New Roman" w:hAnsi="Times New Roman" w:cs="Times New Roman"/>
          <w:color w:val="000000" w:themeColor="text1"/>
          <w:sz w:val="24"/>
          <w:szCs w:val="24"/>
        </w:rPr>
        <w:t>over the time period,</w:t>
      </w:r>
      <w:r w:rsidRPr="00746084">
        <w:rPr>
          <w:rFonts w:ascii="Times New Roman" w:hAnsi="Times New Roman" w:cs="Times New Roman"/>
          <w:color w:val="000000" w:themeColor="text1"/>
          <w:sz w:val="24"/>
          <w:szCs w:val="24"/>
        </w:rPr>
        <w:t xml:space="preserve"> which </w:t>
      </w:r>
      <w:r w:rsidR="00BA699B" w:rsidRPr="00746084">
        <w:rPr>
          <w:rFonts w:ascii="Times New Roman" w:hAnsi="Times New Roman" w:cs="Times New Roman"/>
          <w:color w:val="000000" w:themeColor="text1"/>
          <w:sz w:val="24"/>
          <w:szCs w:val="24"/>
        </w:rPr>
        <w:t xml:space="preserve">implies that company can pay its short-term liabilities before its due data </w:t>
      </w:r>
      <w:r w:rsidRPr="00746084">
        <w:rPr>
          <w:rFonts w:ascii="Times New Roman" w:hAnsi="Times New Roman" w:cs="Times New Roman"/>
          <w:color w:val="000000" w:themeColor="text1"/>
          <w:sz w:val="24"/>
          <w:szCs w:val="24"/>
        </w:rPr>
        <w:t>(</w:t>
      </w:r>
      <w:proofErr w:type="spellStart"/>
      <w:r w:rsidRPr="00746084">
        <w:rPr>
          <w:rFonts w:ascii="Times New Roman" w:hAnsi="Times New Roman" w:cs="Times New Roman"/>
          <w:color w:val="000000" w:themeColor="text1"/>
          <w:sz w:val="24"/>
          <w:szCs w:val="24"/>
          <w:shd w:val="clear" w:color="auto" w:fill="FFFFFF"/>
        </w:rPr>
        <w:t>Nuryani</w:t>
      </w:r>
      <w:proofErr w:type="spellEnd"/>
      <w:r w:rsidRPr="00746084">
        <w:rPr>
          <w:rFonts w:ascii="Times New Roman" w:hAnsi="Times New Roman" w:cs="Times New Roman"/>
          <w:color w:val="000000" w:themeColor="text1"/>
          <w:sz w:val="24"/>
          <w:szCs w:val="24"/>
          <w:shd w:val="clear" w:color="auto" w:fill="FFFFFF"/>
        </w:rPr>
        <w:t xml:space="preserve"> and </w:t>
      </w:r>
      <w:proofErr w:type="spellStart"/>
      <w:r w:rsidRPr="00746084">
        <w:rPr>
          <w:rFonts w:ascii="Times New Roman" w:hAnsi="Times New Roman" w:cs="Times New Roman"/>
          <w:color w:val="000000" w:themeColor="text1"/>
          <w:sz w:val="24"/>
          <w:szCs w:val="24"/>
          <w:shd w:val="clear" w:color="auto" w:fill="FFFFFF"/>
        </w:rPr>
        <w:t>Sunarsi</w:t>
      </w:r>
      <w:proofErr w:type="spellEnd"/>
      <w:r w:rsidRPr="00746084">
        <w:rPr>
          <w:rFonts w:ascii="Times New Roman" w:hAnsi="Times New Roman" w:cs="Times New Roman"/>
          <w:color w:val="000000" w:themeColor="text1"/>
          <w:sz w:val="24"/>
          <w:szCs w:val="24"/>
          <w:shd w:val="clear" w:color="auto" w:fill="FFFFFF"/>
        </w:rPr>
        <w:t>, 2020</w:t>
      </w:r>
      <w:r w:rsidRPr="00746084">
        <w:rPr>
          <w:rFonts w:ascii="Times New Roman" w:hAnsi="Times New Roman" w:cs="Times New Roman"/>
          <w:color w:val="000000" w:themeColor="text1"/>
          <w:sz w:val="24"/>
          <w:szCs w:val="24"/>
        </w:rPr>
        <w:t xml:space="preserve">).  However, </w:t>
      </w:r>
      <w:r w:rsidR="00BA699B" w:rsidRPr="00746084">
        <w:rPr>
          <w:rFonts w:ascii="Times New Roman" w:hAnsi="Times New Roman" w:cs="Times New Roman"/>
          <w:color w:val="000000" w:themeColor="text1"/>
          <w:sz w:val="24"/>
          <w:szCs w:val="24"/>
        </w:rPr>
        <w:t>it can be seen that company’s current ratio sharply fell from 3.73 in 2019</w:t>
      </w:r>
      <w:r w:rsidR="000C118B" w:rsidRPr="00746084">
        <w:rPr>
          <w:rFonts w:ascii="Times New Roman" w:hAnsi="Times New Roman" w:cs="Times New Roman"/>
          <w:color w:val="000000" w:themeColor="text1"/>
          <w:sz w:val="24"/>
          <w:szCs w:val="24"/>
        </w:rPr>
        <w:t xml:space="preserve"> to 1.29 in 2020. </w:t>
      </w:r>
      <w:r w:rsidR="00BA699B" w:rsidRPr="00746084">
        <w:rPr>
          <w:rFonts w:ascii="Times New Roman" w:hAnsi="Times New Roman" w:cs="Times New Roman"/>
          <w:color w:val="000000" w:themeColor="text1"/>
          <w:sz w:val="24"/>
          <w:szCs w:val="24"/>
        </w:rPr>
        <w:t xml:space="preserve">The primary reason of fall in </w:t>
      </w:r>
      <w:r w:rsidR="000C118B" w:rsidRPr="00746084">
        <w:rPr>
          <w:rFonts w:ascii="Times New Roman" w:hAnsi="Times New Roman" w:cs="Times New Roman"/>
          <w:color w:val="000000" w:themeColor="text1"/>
          <w:sz w:val="24"/>
          <w:szCs w:val="24"/>
        </w:rPr>
        <w:t>current ratio was due to decline in current assets (cash and securities) of the company (</w:t>
      </w:r>
      <w:r w:rsidR="00C25362" w:rsidRPr="00746084">
        <w:rPr>
          <w:rFonts w:ascii="Times New Roman" w:hAnsi="Times New Roman" w:cs="Times New Roman"/>
          <w:color w:val="000000" w:themeColor="text1"/>
          <w:sz w:val="24"/>
          <w:szCs w:val="24"/>
        </w:rPr>
        <w:t>See Appendix - B</w:t>
      </w:r>
      <w:r w:rsidR="000C118B" w:rsidRPr="00746084">
        <w:rPr>
          <w:rFonts w:ascii="Times New Roman" w:hAnsi="Times New Roman" w:cs="Times New Roman"/>
          <w:color w:val="000000" w:themeColor="text1"/>
          <w:sz w:val="24"/>
          <w:szCs w:val="24"/>
        </w:rPr>
        <w:t xml:space="preserve">). </w:t>
      </w:r>
      <w:r w:rsidR="00C25362" w:rsidRPr="00746084">
        <w:rPr>
          <w:rFonts w:ascii="Times New Roman" w:hAnsi="Times New Roman" w:cs="Times New Roman"/>
          <w:color w:val="000000" w:themeColor="text1"/>
          <w:sz w:val="24"/>
          <w:szCs w:val="24"/>
        </w:rPr>
        <w:t>Moreover, as per the report of Hospitality Insights (2022</w:t>
      </w:r>
      <w:r w:rsidR="000C118B" w:rsidRPr="00746084">
        <w:rPr>
          <w:rFonts w:ascii="Times New Roman" w:hAnsi="Times New Roman" w:cs="Times New Roman"/>
          <w:color w:val="000000" w:themeColor="text1"/>
          <w:sz w:val="24"/>
          <w:szCs w:val="24"/>
        </w:rPr>
        <w:t xml:space="preserve">) it has also found that decline in sales causes decline in net cash availability. </w:t>
      </w:r>
      <w:r w:rsidR="00C22081" w:rsidRPr="00746084">
        <w:rPr>
          <w:rFonts w:ascii="Times New Roman" w:hAnsi="Times New Roman" w:cs="Times New Roman"/>
          <w:color w:val="000000" w:themeColor="text1"/>
          <w:sz w:val="24"/>
          <w:szCs w:val="24"/>
        </w:rPr>
        <w:t>Hence</w:t>
      </w:r>
      <w:r w:rsidR="000C118B" w:rsidRPr="00746084">
        <w:rPr>
          <w:rFonts w:ascii="Times New Roman" w:hAnsi="Times New Roman" w:cs="Times New Roman"/>
          <w:color w:val="000000" w:themeColor="text1"/>
          <w:sz w:val="24"/>
          <w:szCs w:val="24"/>
        </w:rPr>
        <w:t>, company’s careful management of cash has significantly help</w:t>
      </w:r>
      <w:r w:rsidR="00670B9A" w:rsidRPr="00746084">
        <w:rPr>
          <w:rFonts w:ascii="Times New Roman" w:hAnsi="Times New Roman" w:cs="Times New Roman"/>
          <w:color w:val="000000" w:themeColor="text1"/>
          <w:sz w:val="24"/>
          <w:szCs w:val="24"/>
        </w:rPr>
        <w:t>ed</w:t>
      </w:r>
      <w:r w:rsidR="000C118B" w:rsidRPr="00746084">
        <w:rPr>
          <w:rFonts w:ascii="Times New Roman" w:hAnsi="Times New Roman" w:cs="Times New Roman"/>
          <w:color w:val="000000" w:themeColor="text1"/>
          <w:sz w:val="24"/>
          <w:szCs w:val="24"/>
        </w:rPr>
        <w:t xml:space="preserve"> the company in p</w:t>
      </w:r>
      <w:r w:rsidR="00722817" w:rsidRPr="00746084">
        <w:rPr>
          <w:rFonts w:ascii="Times New Roman" w:hAnsi="Times New Roman" w:cs="Times New Roman"/>
          <w:color w:val="000000" w:themeColor="text1"/>
          <w:sz w:val="24"/>
          <w:szCs w:val="24"/>
        </w:rPr>
        <w:t>rotecting its liquidity position (</w:t>
      </w:r>
      <w:r w:rsidR="00C25362" w:rsidRPr="00746084">
        <w:rPr>
          <w:rFonts w:ascii="Times New Roman" w:hAnsi="Times New Roman" w:cs="Times New Roman"/>
          <w:color w:val="000000" w:themeColor="text1"/>
          <w:sz w:val="24"/>
          <w:szCs w:val="24"/>
        </w:rPr>
        <w:t>Hospitality Insights, 2022</w:t>
      </w:r>
      <w:r w:rsidR="00722817" w:rsidRPr="00746084">
        <w:rPr>
          <w:rFonts w:ascii="Times New Roman" w:hAnsi="Times New Roman" w:cs="Times New Roman"/>
          <w:color w:val="000000" w:themeColor="text1"/>
          <w:sz w:val="24"/>
          <w:szCs w:val="24"/>
        </w:rPr>
        <w:t>)</w:t>
      </w:r>
      <w:r w:rsidR="000C118B" w:rsidRPr="00746084">
        <w:rPr>
          <w:rFonts w:ascii="Times New Roman" w:hAnsi="Times New Roman" w:cs="Times New Roman"/>
          <w:color w:val="000000" w:themeColor="text1"/>
          <w:sz w:val="24"/>
          <w:szCs w:val="24"/>
        </w:rPr>
        <w:t xml:space="preserve">, and </w:t>
      </w:r>
      <w:r w:rsidR="00670B9A" w:rsidRPr="00746084">
        <w:rPr>
          <w:rFonts w:ascii="Times New Roman" w:hAnsi="Times New Roman" w:cs="Times New Roman"/>
          <w:color w:val="000000" w:themeColor="text1"/>
          <w:sz w:val="24"/>
          <w:szCs w:val="24"/>
        </w:rPr>
        <w:t>afterwards</w:t>
      </w:r>
      <w:r w:rsidR="00722817" w:rsidRPr="00746084">
        <w:rPr>
          <w:rFonts w:ascii="Times New Roman" w:hAnsi="Times New Roman" w:cs="Times New Roman"/>
          <w:color w:val="000000" w:themeColor="text1"/>
          <w:sz w:val="24"/>
          <w:szCs w:val="24"/>
        </w:rPr>
        <w:t xml:space="preserve"> </w:t>
      </w:r>
      <w:r w:rsidR="000C118B" w:rsidRPr="00746084">
        <w:rPr>
          <w:rFonts w:ascii="Times New Roman" w:hAnsi="Times New Roman" w:cs="Times New Roman"/>
          <w:color w:val="000000" w:themeColor="text1"/>
          <w:sz w:val="24"/>
          <w:szCs w:val="24"/>
        </w:rPr>
        <w:t xml:space="preserve">there is an improvement in </w:t>
      </w:r>
      <w:r w:rsidR="00670B9A" w:rsidRPr="00746084">
        <w:rPr>
          <w:rFonts w:ascii="Times New Roman" w:hAnsi="Times New Roman" w:cs="Times New Roman"/>
          <w:color w:val="000000" w:themeColor="text1"/>
          <w:sz w:val="24"/>
          <w:szCs w:val="24"/>
        </w:rPr>
        <w:t xml:space="preserve">its </w:t>
      </w:r>
      <w:r w:rsidR="000C118B" w:rsidRPr="00746084">
        <w:rPr>
          <w:rFonts w:ascii="Times New Roman" w:hAnsi="Times New Roman" w:cs="Times New Roman"/>
          <w:color w:val="000000" w:themeColor="text1"/>
          <w:sz w:val="24"/>
          <w:szCs w:val="24"/>
        </w:rPr>
        <w:t xml:space="preserve">current </w:t>
      </w:r>
      <w:r w:rsidR="00C25362" w:rsidRPr="00746084">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7936" behindDoc="1" locked="0" layoutInCell="1" allowOverlap="1" wp14:anchorId="33483D43" wp14:editId="33483D44">
                <wp:simplePos x="0" y="0"/>
                <wp:positionH relativeFrom="margin">
                  <wp:align>left</wp:align>
                </wp:positionH>
                <wp:positionV relativeFrom="paragraph">
                  <wp:posOffset>4144446</wp:posOffset>
                </wp:positionV>
                <wp:extent cx="5868670" cy="635"/>
                <wp:effectExtent l="0" t="0" r="0" b="0"/>
                <wp:wrapTight wrapText="bothSides">
                  <wp:wrapPolygon edited="0">
                    <wp:start x="0" y="0"/>
                    <wp:lineTo x="0" y="20057"/>
                    <wp:lineTo x="21525" y="20057"/>
                    <wp:lineTo x="2152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3" w14:textId="77777777" w:rsidR="00604A5F" w:rsidRPr="00177565" w:rsidRDefault="00604A5F" w:rsidP="00C33193">
                            <w:pPr>
                              <w:pStyle w:val="Caption"/>
                              <w:jc w:val="center"/>
                              <w:rPr>
                                <w:rFonts w:ascii="Times New Roman" w:hAnsi="Times New Roman" w:cs="Times New Roman"/>
                                <w:sz w:val="24"/>
                                <w:szCs w:val="24"/>
                              </w:rPr>
                            </w:pPr>
                            <w:r>
                              <w:t xml:space="preserve">Figure </w:t>
                            </w:r>
                            <w:fldSimple w:instr=" SEQ Figure \* ARABIC ">
                              <w:r>
                                <w:rPr>
                                  <w:noProof/>
                                </w:rPr>
                                <w:t>3</w:t>
                              </w:r>
                            </w:fldSimple>
                            <w:r>
                              <w:t xml:space="preserve"> - </w:t>
                            </w:r>
                            <w:r w:rsidRPr="00921163">
                              <w:t>Current Ratio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43" id="Text Box 12" o:spid="_x0000_s1028" type="#_x0000_t202" style="position:absolute;left:0;text-align:left;margin-left:0;margin-top:326.35pt;width:462.1pt;height:.05pt;z-index:-2516285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" stroked="f">
                <v:textbox style="mso-fit-shape-to-text:t" inset="0,0,0,0">
                  <w:txbxContent>
                    <w:p w14:paraId="33483D63" w14:textId="77777777" w:rsidR="00604A5F" w:rsidRPr="00177565" w:rsidRDefault="00604A5F" w:rsidP="00C33193">
                      <w:pPr>
                        <w:pStyle w:val="Caption"/>
                        <w:jc w:val="center"/>
                        <w:rPr>
                          <w:rFonts w:ascii="Times New Roman" w:hAnsi="Times New Roman" w:cs="Times New Roman"/>
                          <w:sz w:val="24"/>
                          <w:szCs w:val="24"/>
                        </w:rPr>
                      </w:pPr>
                      <w:r>
                        <w:t xml:space="preserve">Figure </w:t>
                      </w:r>
                      <w:fldSimple w:instr=" SEQ Figure \* ARABIC ">
                        <w:r>
                          <w:rPr>
                            <w:noProof/>
                          </w:rPr>
                          <w:t>3</w:t>
                        </w:r>
                      </w:fldSimple>
                      <w:r>
                        <w:t xml:space="preserve"> - </w:t>
                      </w:r>
                      <w:r w:rsidRPr="00921163">
                        <w:t>Current Ratio - Whitbread Plc (2018 to 2022)</w:t>
                      </w:r>
                    </w:p>
                  </w:txbxContent>
                </v:textbox>
                <w10:wrap type="tight" anchorx="margin"/>
              </v:shape>
            </w:pict>
          </mc:Fallback>
        </mc:AlternateContent>
      </w:r>
      <w:r w:rsidR="000C118B" w:rsidRPr="00746084">
        <w:rPr>
          <w:rFonts w:ascii="Times New Roman" w:hAnsi="Times New Roman" w:cs="Times New Roman"/>
          <w:color w:val="000000" w:themeColor="text1"/>
          <w:sz w:val="24"/>
          <w:szCs w:val="24"/>
        </w:rPr>
        <w:t xml:space="preserve">ratio, as shown in a </w:t>
      </w:r>
      <w:r w:rsidR="00C25362" w:rsidRPr="00746084">
        <w:rPr>
          <w:rFonts w:ascii="Times New Roman" w:hAnsi="Times New Roman" w:cs="Times New Roman"/>
          <w:noProof/>
          <w:color w:val="000000" w:themeColor="text1"/>
          <w:sz w:val="24"/>
          <w:szCs w:val="24"/>
          <w:lang w:eastAsia="en-GB"/>
        </w:rPr>
        <w:drawing>
          <wp:anchor distT="0" distB="0" distL="114300" distR="114300" simplePos="0" relativeHeight="251675648" behindDoc="0" locked="0" layoutInCell="1" allowOverlap="1" wp14:anchorId="33483D45" wp14:editId="33483D46">
            <wp:simplePos x="0" y="0"/>
            <wp:positionH relativeFrom="margin">
              <wp:posOffset>113696</wp:posOffset>
            </wp:positionH>
            <wp:positionV relativeFrom="paragraph">
              <wp:posOffset>1830858</wp:posOffset>
            </wp:positionV>
            <wp:extent cx="5868670" cy="2179320"/>
            <wp:effectExtent l="0" t="0" r="17780" b="11430"/>
            <wp:wrapTight wrapText="bothSides">
              <wp:wrapPolygon edited="0">
                <wp:start x="0" y="0"/>
                <wp:lineTo x="0" y="21524"/>
                <wp:lineTo x="21595" y="21524"/>
                <wp:lineTo x="21595"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sidR="000C118B" w:rsidRPr="00746084">
        <w:rPr>
          <w:rFonts w:ascii="Times New Roman" w:hAnsi="Times New Roman" w:cs="Times New Roman"/>
          <w:color w:val="000000" w:themeColor="text1"/>
          <w:sz w:val="24"/>
          <w:szCs w:val="24"/>
        </w:rPr>
        <w:t>figure below:</w:t>
      </w:r>
    </w:p>
    <w:p w14:paraId="33483ABE" w14:textId="77777777" w:rsidR="00722817" w:rsidRPr="00746084" w:rsidRDefault="00C47D6A" w:rsidP="00722817">
      <w:pPr>
        <w:pStyle w:val="Heading3"/>
        <w:spacing w:line="240" w:lineRule="auto"/>
        <w:rPr>
          <w:rFonts w:cs="Times New Roman"/>
          <w:lang w:val="en-US"/>
        </w:rPr>
      </w:pPr>
      <w:bookmarkStart w:id="14" w:name="_Toc121233971"/>
      <w:r w:rsidRPr="00746084">
        <w:rPr>
          <w:rFonts w:cs="Times New Roman"/>
          <w:lang w:val="en-US"/>
        </w:rPr>
        <w:t>Quick Ratio</w:t>
      </w:r>
      <w:bookmarkEnd w:id="14"/>
    </w:p>
    <w:p w14:paraId="33483ABF"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4</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Quick Ratio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pPr w:leftFromText="180" w:rightFromText="180" w:vertAnchor="text" w:horzAnchor="margin" w:tblpXSpec="center" w:tblpYSpec="outside"/>
        <w:tblW w:w="8421" w:type="dxa"/>
        <w:tblLook w:val="04A0" w:firstRow="1" w:lastRow="0" w:firstColumn="1" w:lastColumn="0" w:noHBand="0" w:noVBand="1"/>
      </w:tblPr>
      <w:tblGrid>
        <w:gridCol w:w="722"/>
        <w:gridCol w:w="2187"/>
        <w:gridCol w:w="1546"/>
        <w:gridCol w:w="2475"/>
        <w:gridCol w:w="1491"/>
      </w:tblGrid>
      <w:tr w:rsidR="00746084" w:rsidRPr="00746084" w14:paraId="33483AC1" w14:textId="77777777" w:rsidTr="00817AE7">
        <w:trPr>
          <w:cnfStyle w:val="100000000000" w:firstRow="1" w:lastRow="0" w:firstColumn="0" w:lastColumn="0" w:oddVBand="0" w:evenVBand="0" w:oddHBand="0"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8421" w:type="dxa"/>
            <w:gridSpan w:val="5"/>
            <w:noWrap/>
            <w:hideMark/>
          </w:tcPr>
          <w:p w14:paraId="33483AC0"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Quick  Ratio: (Current Assets - Inventory)/Current Liabilities</w:t>
            </w:r>
          </w:p>
        </w:tc>
      </w:tr>
      <w:tr w:rsidR="00746084" w:rsidRPr="00746084" w14:paraId="33483AC7" w14:textId="77777777" w:rsidTr="00817AE7">
        <w:trPr>
          <w:cnfStyle w:val="000000100000" w:firstRow="0" w:lastRow="0" w:firstColumn="0" w:lastColumn="0" w:oddVBand="0" w:evenVBand="0" w:oddHBand="1" w:evenHBand="0" w:firstRowFirstColumn="0" w:firstRowLastColumn="0" w:lastRowFirstColumn="0" w:lastRowLastColumn="0"/>
          <w:trHeight w:val="344"/>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C2" w14:textId="77777777" w:rsidR="00722817" w:rsidRPr="00746084" w:rsidRDefault="00722817" w:rsidP="00722817">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Year </w:t>
            </w:r>
          </w:p>
        </w:tc>
        <w:tc>
          <w:tcPr>
            <w:tcW w:w="2187" w:type="dxa"/>
            <w:noWrap/>
            <w:hideMark/>
          </w:tcPr>
          <w:p w14:paraId="33483AC3"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Current Assets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r w:rsidRPr="00746084">
              <w:rPr>
                <w:rFonts w:ascii="Times New Roman" w:eastAsia="Times New Roman" w:hAnsi="Times New Roman" w:cs="Times New Roman"/>
                <w:b/>
                <w:bCs/>
                <w:i/>
                <w:iCs/>
                <w:color w:val="000000" w:themeColor="text1"/>
                <w:sz w:val="24"/>
                <w:szCs w:val="24"/>
                <w:lang w:eastAsia="en-GB"/>
              </w:rPr>
              <w:t xml:space="preserve"> </w:t>
            </w:r>
          </w:p>
        </w:tc>
        <w:tc>
          <w:tcPr>
            <w:tcW w:w="1546" w:type="dxa"/>
            <w:noWrap/>
            <w:hideMark/>
          </w:tcPr>
          <w:p w14:paraId="33483AC4"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Inventory</w:t>
            </w:r>
            <w:r w:rsidR="00817AE7" w:rsidRPr="00746084">
              <w:rPr>
                <w:rFonts w:ascii="Times New Roman" w:eastAsia="Times New Roman" w:hAnsi="Times New Roman" w:cs="Times New Roman"/>
                <w:b/>
                <w:bCs/>
                <w:i/>
                <w:iCs/>
                <w:color w:val="000000" w:themeColor="text1"/>
                <w:sz w:val="24"/>
                <w:szCs w:val="24"/>
                <w:lang w:eastAsia="en-GB"/>
              </w:rPr>
              <w:t xml:space="preserv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475" w:type="dxa"/>
            <w:noWrap/>
            <w:hideMark/>
          </w:tcPr>
          <w:p w14:paraId="33483AC5"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Current Liabilities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1491" w:type="dxa"/>
            <w:noWrap/>
            <w:hideMark/>
          </w:tcPr>
          <w:p w14:paraId="33483AC6"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Quick Ratio </w:t>
            </w:r>
          </w:p>
        </w:tc>
      </w:tr>
      <w:tr w:rsidR="00746084" w:rsidRPr="00746084" w14:paraId="33483ACD" w14:textId="77777777" w:rsidTr="00817AE7">
        <w:trPr>
          <w:trHeight w:val="188"/>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C8"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2187" w:type="dxa"/>
            <w:noWrap/>
            <w:hideMark/>
          </w:tcPr>
          <w:p w14:paraId="33483AC9"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332.2</w:t>
            </w:r>
          </w:p>
        </w:tc>
        <w:tc>
          <w:tcPr>
            <w:tcW w:w="1546" w:type="dxa"/>
            <w:hideMark/>
          </w:tcPr>
          <w:p w14:paraId="33483ACA"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48.8</w:t>
            </w:r>
          </w:p>
        </w:tc>
        <w:tc>
          <w:tcPr>
            <w:tcW w:w="2475" w:type="dxa"/>
            <w:noWrap/>
            <w:hideMark/>
          </w:tcPr>
          <w:p w14:paraId="33483ACB"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932</w:t>
            </w:r>
          </w:p>
        </w:tc>
        <w:tc>
          <w:tcPr>
            <w:tcW w:w="1491" w:type="dxa"/>
            <w:noWrap/>
            <w:hideMark/>
          </w:tcPr>
          <w:p w14:paraId="33483ACC"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0.30</w:t>
            </w:r>
          </w:p>
        </w:tc>
      </w:tr>
      <w:tr w:rsidR="00746084" w:rsidRPr="00746084" w14:paraId="33483AD3" w14:textId="77777777" w:rsidTr="00817AE7">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CE"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2187" w:type="dxa"/>
            <w:noWrap/>
            <w:hideMark/>
          </w:tcPr>
          <w:p w14:paraId="33483ACF"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3543.7</w:t>
            </w:r>
          </w:p>
        </w:tc>
        <w:tc>
          <w:tcPr>
            <w:tcW w:w="1546" w:type="dxa"/>
            <w:hideMark/>
          </w:tcPr>
          <w:p w14:paraId="33483AD0"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14.5</w:t>
            </w:r>
          </w:p>
        </w:tc>
        <w:tc>
          <w:tcPr>
            <w:tcW w:w="2475" w:type="dxa"/>
            <w:noWrap/>
            <w:hideMark/>
          </w:tcPr>
          <w:p w14:paraId="33483AD1"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949.9</w:t>
            </w:r>
          </w:p>
        </w:tc>
        <w:tc>
          <w:tcPr>
            <w:tcW w:w="1491" w:type="dxa"/>
            <w:noWrap/>
            <w:hideMark/>
          </w:tcPr>
          <w:p w14:paraId="33483AD2"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3.72</w:t>
            </w:r>
          </w:p>
        </w:tc>
      </w:tr>
      <w:tr w:rsidR="00746084" w:rsidRPr="00746084" w14:paraId="33483AD9" w14:textId="77777777" w:rsidTr="00817AE7">
        <w:trPr>
          <w:trHeight w:val="188"/>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D4"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2187" w:type="dxa"/>
            <w:noWrap/>
            <w:hideMark/>
          </w:tcPr>
          <w:p w14:paraId="33483AD5"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833</w:t>
            </w:r>
          </w:p>
        </w:tc>
        <w:tc>
          <w:tcPr>
            <w:tcW w:w="1546" w:type="dxa"/>
            <w:hideMark/>
          </w:tcPr>
          <w:p w14:paraId="33483AD6"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13.7</w:t>
            </w:r>
          </w:p>
        </w:tc>
        <w:tc>
          <w:tcPr>
            <w:tcW w:w="2475" w:type="dxa"/>
            <w:noWrap/>
            <w:hideMark/>
          </w:tcPr>
          <w:p w14:paraId="33483AD7"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646.9</w:t>
            </w:r>
          </w:p>
        </w:tc>
        <w:tc>
          <w:tcPr>
            <w:tcW w:w="1491" w:type="dxa"/>
            <w:noWrap/>
            <w:hideMark/>
          </w:tcPr>
          <w:p w14:paraId="33483AD8"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1.27</w:t>
            </w:r>
          </w:p>
        </w:tc>
      </w:tr>
      <w:tr w:rsidR="00746084" w:rsidRPr="00746084" w14:paraId="33483ADF" w14:textId="77777777" w:rsidTr="00817AE7">
        <w:trPr>
          <w:cnfStyle w:val="000000100000" w:firstRow="0" w:lastRow="0" w:firstColumn="0" w:lastColumn="0" w:oddVBand="0" w:evenVBand="0" w:oddHBand="1" w:evenHBand="0" w:firstRowFirstColumn="0" w:firstRowLastColumn="0" w:lastRowFirstColumn="0" w:lastRowLastColumn="0"/>
          <w:trHeight w:val="188"/>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DA"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2187" w:type="dxa"/>
            <w:noWrap/>
            <w:hideMark/>
          </w:tcPr>
          <w:p w14:paraId="33483ADB"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1350.5</w:t>
            </w:r>
          </w:p>
        </w:tc>
        <w:tc>
          <w:tcPr>
            <w:tcW w:w="1546" w:type="dxa"/>
            <w:hideMark/>
          </w:tcPr>
          <w:p w14:paraId="33483ADC"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12.1</w:t>
            </w:r>
          </w:p>
        </w:tc>
        <w:tc>
          <w:tcPr>
            <w:tcW w:w="2475" w:type="dxa"/>
            <w:noWrap/>
            <w:hideMark/>
          </w:tcPr>
          <w:p w14:paraId="33483ADD"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775.3</w:t>
            </w:r>
          </w:p>
        </w:tc>
        <w:tc>
          <w:tcPr>
            <w:tcW w:w="1491" w:type="dxa"/>
            <w:noWrap/>
            <w:hideMark/>
          </w:tcPr>
          <w:p w14:paraId="33483ADE" w14:textId="77777777" w:rsidR="00722817" w:rsidRPr="00746084" w:rsidRDefault="00722817" w:rsidP="0072281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1.73</w:t>
            </w:r>
          </w:p>
        </w:tc>
      </w:tr>
      <w:tr w:rsidR="00746084" w:rsidRPr="00746084" w14:paraId="33483AE5" w14:textId="77777777" w:rsidTr="00817AE7">
        <w:trPr>
          <w:trHeight w:val="188"/>
        </w:trPr>
        <w:tc>
          <w:tcPr>
            <w:cnfStyle w:val="001000000000" w:firstRow="0" w:lastRow="0" w:firstColumn="1" w:lastColumn="0" w:oddVBand="0" w:evenVBand="0" w:oddHBand="0" w:evenHBand="0" w:firstRowFirstColumn="0" w:firstRowLastColumn="0" w:lastRowFirstColumn="0" w:lastRowLastColumn="0"/>
            <w:tcW w:w="722" w:type="dxa"/>
            <w:noWrap/>
            <w:hideMark/>
          </w:tcPr>
          <w:p w14:paraId="33483AE0" w14:textId="77777777" w:rsidR="00722817" w:rsidRPr="00746084" w:rsidRDefault="00722817" w:rsidP="00722817">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2187" w:type="dxa"/>
            <w:noWrap/>
            <w:hideMark/>
          </w:tcPr>
          <w:p w14:paraId="33483AE1"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1268.2</w:t>
            </w:r>
          </w:p>
        </w:tc>
        <w:tc>
          <w:tcPr>
            <w:tcW w:w="1546" w:type="dxa"/>
            <w:hideMark/>
          </w:tcPr>
          <w:p w14:paraId="33483AE2"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19.4</w:t>
            </w:r>
          </w:p>
        </w:tc>
        <w:tc>
          <w:tcPr>
            <w:tcW w:w="2475" w:type="dxa"/>
            <w:noWrap/>
            <w:hideMark/>
          </w:tcPr>
          <w:p w14:paraId="33483AE3"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719.6</w:t>
            </w:r>
          </w:p>
        </w:tc>
        <w:tc>
          <w:tcPr>
            <w:tcW w:w="1491" w:type="dxa"/>
            <w:noWrap/>
            <w:hideMark/>
          </w:tcPr>
          <w:p w14:paraId="33483AE4" w14:textId="77777777" w:rsidR="00722817" w:rsidRPr="00746084" w:rsidRDefault="00722817" w:rsidP="0072281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1.74</w:t>
            </w:r>
          </w:p>
        </w:tc>
      </w:tr>
    </w:tbl>
    <w:p w14:paraId="33483AE6" w14:textId="77777777" w:rsidR="00817AE7" w:rsidRPr="00746084" w:rsidRDefault="00817AE7" w:rsidP="00670B9A">
      <w:pPr>
        <w:spacing w:line="240" w:lineRule="auto"/>
        <w:jc w:val="both"/>
        <w:rPr>
          <w:rFonts w:ascii="Times New Roman" w:hAnsi="Times New Roman" w:cs="Times New Roman"/>
          <w:color w:val="000000" w:themeColor="text1"/>
          <w:sz w:val="24"/>
          <w:szCs w:val="24"/>
        </w:rPr>
      </w:pPr>
    </w:p>
    <w:p w14:paraId="33483AE7" w14:textId="77777777" w:rsidR="009B0208" w:rsidRPr="00746084" w:rsidRDefault="00670B9A" w:rsidP="00C33193">
      <w:pPr>
        <w:spacing w:line="360" w:lineRule="auto"/>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rPr>
        <w:t xml:space="preserve">Quick ratio is another measure of liquidity position excluding inventories of the company. Similar to the current ratio, company’s quick ratio is also found to be greater than one over the time period, </w:t>
      </w:r>
      <w:r w:rsidRPr="00746084">
        <w:rPr>
          <w:rFonts w:ascii="Times New Roman" w:hAnsi="Times New Roman" w:cs="Times New Roman"/>
          <w:color w:val="000000" w:themeColor="text1"/>
          <w:sz w:val="24"/>
          <w:szCs w:val="24"/>
        </w:rPr>
        <w:lastRenderedPageBreak/>
        <w:t>which indicated that company can pay its short-term liabilities before its due data (</w:t>
      </w:r>
      <w:proofErr w:type="spellStart"/>
      <w:r w:rsidRPr="00746084">
        <w:rPr>
          <w:rFonts w:ascii="Times New Roman" w:hAnsi="Times New Roman" w:cs="Times New Roman"/>
          <w:color w:val="000000" w:themeColor="text1"/>
          <w:sz w:val="24"/>
          <w:szCs w:val="24"/>
          <w:shd w:val="clear" w:color="auto" w:fill="FFFFFF"/>
        </w:rPr>
        <w:t>Nuryani</w:t>
      </w:r>
      <w:proofErr w:type="spellEnd"/>
      <w:r w:rsidRPr="00746084">
        <w:rPr>
          <w:rFonts w:ascii="Times New Roman" w:hAnsi="Times New Roman" w:cs="Times New Roman"/>
          <w:color w:val="000000" w:themeColor="text1"/>
          <w:sz w:val="24"/>
          <w:szCs w:val="24"/>
          <w:shd w:val="clear" w:color="auto" w:fill="FFFFFF"/>
        </w:rPr>
        <w:t xml:space="preserve"> and </w:t>
      </w:r>
      <w:proofErr w:type="spellStart"/>
      <w:r w:rsidRPr="00746084">
        <w:rPr>
          <w:rFonts w:ascii="Times New Roman" w:hAnsi="Times New Roman" w:cs="Times New Roman"/>
          <w:color w:val="000000" w:themeColor="text1"/>
          <w:sz w:val="24"/>
          <w:szCs w:val="24"/>
          <w:shd w:val="clear" w:color="auto" w:fill="FFFFFF"/>
        </w:rPr>
        <w:t>Sunarsi</w:t>
      </w:r>
      <w:proofErr w:type="spellEnd"/>
      <w:r w:rsidRPr="00746084">
        <w:rPr>
          <w:rFonts w:ascii="Times New Roman" w:hAnsi="Times New Roman" w:cs="Times New Roman"/>
          <w:color w:val="000000" w:themeColor="text1"/>
          <w:sz w:val="24"/>
          <w:szCs w:val="24"/>
          <w:shd w:val="clear" w:color="auto" w:fill="FFFFFF"/>
        </w:rPr>
        <w:t>, 2020</w:t>
      </w:r>
      <w:r w:rsidRPr="00746084">
        <w:rPr>
          <w:rFonts w:ascii="Times New Roman" w:hAnsi="Times New Roman" w:cs="Times New Roman"/>
          <w:color w:val="000000" w:themeColor="text1"/>
          <w:sz w:val="24"/>
          <w:szCs w:val="24"/>
        </w:rPr>
        <w:t>). However, quick ratio has also fell in 2020 due to negative influence of Covid-19 which lead to shortage of net cash and securities of the company (</w:t>
      </w:r>
      <w:r w:rsidR="00C25362" w:rsidRPr="00746084">
        <w:rPr>
          <w:rFonts w:ascii="Times New Roman" w:hAnsi="Times New Roman" w:cs="Times New Roman"/>
          <w:color w:val="000000" w:themeColor="text1"/>
          <w:sz w:val="24"/>
          <w:szCs w:val="24"/>
        </w:rPr>
        <w:t>Hospitality Insights, 2022</w:t>
      </w:r>
      <w:r w:rsidRPr="00746084">
        <w:rPr>
          <w:rFonts w:ascii="Times New Roman" w:hAnsi="Times New Roman" w:cs="Times New Roman"/>
          <w:color w:val="000000" w:themeColor="text1"/>
          <w:sz w:val="24"/>
          <w:szCs w:val="24"/>
        </w:rPr>
        <w:t xml:space="preserve">). However, company’s strategies and careful management of cash has helped the company in improving its liquidity position, and </w:t>
      </w:r>
      <w:r w:rsidR="00C33193" w:rsidRPr="00746084">
        <w:rPr>
          <w:rFonts w:ascii="Times New Roman" w:hAnsi="Times New Roman" w:cs="Times New Roman"/>
          <w:noProof/>
          <w:color w:val="000000" w:themeColor="text1"/>
          <w:sz w:val="24"/>
          <w:szCs w:val="24"/>
          <w:lang w:eastAsia="en-GB"/>
        </w:rPr>
        <w:drawing>
          <wp:anchor distT="0" distB="0" distL="114300" distR="114300" simplePos="0" relativeHeight="251665408" behindDoc="0" locked="0" layoutInCell="1" allowOverlap="1" wp14:anchorId="33483D47" wp14:editId="33483D48">
            <wp:simplePos x="0" y="0"/>
            <wp:positionH relativeFrom="margin">
              <wp:posOffset>0</wp:posOffset>
            </wp:positionH>
            <wp:positionV relativeFrom="paragraph">
              <wp:posOffset>628650</wp:posOffset>
            </wp:positionV>
            <wp:extent cx="5868670" cy="2179320"/>
            <wp:effectExtent l="0" t="0" r="17780" b="11430"/>
            <wp:wrapTight wrapText="bothSides">
              <wp:wrapPolygon edited="0">
                <wp:start x="0" y="0"/>
                <wp:lineTo x="0" y="21524"/>
                <wp:lineTo x="21595" y="21524"/>
                <wp:lineTo x="21595" y="0"/>
                <wp:lineTo x="0" y="0"/>
              </wp:wrapPolygon>
            </wp:wrapTight>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C33193" w:rsidRPr="00746084">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89984" behindDoc="1" locked="0" layoutInCell="1" allowOverlap="1" wp14:anchorId="33483D49" wp14:editId="33483D4A">
                <wp:simplePos x="0" y="0"/>
                <wp:positionH relativeFrom="column">
                  <wp:posOffset>0</wp:posOffset>
                </wp:positionH>
                <wp:positionV relativeFrom="paragraph">
                  <wp:posOffset>2865288</wp:posOffset>
                </wp:positionV>
                <wp:extent cx="586867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4" w14:textId="77777777" w:rsidR="00604A5F" w:rsidRPr="00650B7E"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4</w:t>
                              </w:r>
                            </w:fldSimple>
                            <w:r>
                              <w:t xml:space="preserve"> - </w:t>
                            </w:r>
                            <w:r w:rsidRPr="00D26BAE">
                              <w:t>Quick Ratio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49" id="Text Box 13" o:spid="_x0000_s1029" type="#_x0000_t202" style="position:absolute;left:0;text-align:left;margin-left:0;margin-top:225.6pt;width:462.1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" stroked="f">
                <v:textbox style="mso-fit-shape-to-text:t" inset="0,0,0,0">
                  <w:txbxContent>
                    <w:p w14:paraId="33483D64" w14:textId="77777777" w:rsidR="00604A5F" w:rsidRPr="00650B7E"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4</w:t>
                        </w:r>
                      </w:fldSimple>
                      <w:r>
                        <w:t xml:space="preserve"> - </w:t>
                      </w:r>
                      <w:r w:rsidRPr="00D26BAE">
                        <w:t>Quick Ratio - Whitbread Plc (2018 to 2022)</w:t>
                      </w:r>
                    </w:p>
                  </w:txbxContent>
                </v:textbox>
                <w10:wrap type="tight"/>
              </v:shape>
            </w:pict>
          </mc:Fallback>
        </mc:AlternateContent>
      </w:r>
      <w:r w:rsidRPr="00746084">
        <w:rPr>
          <w:rFonts w:ascii="Times New Roman" w:hAnsi="Times New Roman" w:cs="Times New Roman"/>
          <w:color w:val="000000" w:themeColor="text1"/>
          <w:sz w:val="24"/>
          <w:szCs w:val="24"/>
        </w:rPr>
        <w:t>it reached at 1.74 in 2022. Further,</w:t>
      </w:r>
      <w:r w:rsidRPr="00746084">
        <w:rPr>
          <w:rFonts w:ascii="Times New Roman" w:hAnsi="Times New Roman" w:cs="Times New Roman"/>
          <w:color w:val="000000" w:themeColor="text1"/>
          <w:sz w:val="24"/>
          <w:szCs w:val="24"/>
          <w:lang w:val="en-US"/>
        </w:rPr>
        <w:t xml:space="preserve"> it can also be illustrated with the help of graph, as shown below:</w:t>
      </w:r>
    </w:p>
    <w:p w14:paraId="33483AE8" w14:textId="77777777" w:rsidR="00C47D6A" w:rsidRPr="00746084" w:rsidRDefault="00C47D6A" w:rsidP="002A65F7">
      <w:pPr>
        <w:pStyle w:val="Heading2"/>
        <w:rPr>
          <w:rFonts w:cs="Times New Roman"/>
          <w:szCs w:val="24"/>
          <w:lang w:val="en-US"/>
        </w:rPr>
      </w:pPr>
      <w:bookmarkStart w:id="15" w:name="_Toc121233972"/>
      <w:r w:rsidRPr="00746084">
        <w:rPr>
          <w:rFonts w:cs="Times New Roman"/>
          <w:szCs w:val="24"/>
          <w:lang w:val="en-US"/>
        </w:rPr>
        <w:t>Efficiency Ratios</w:t>
      </w:r>
      <w:bookmarkEnd w:id="15"/>
    </w:p>
    <w:p w14:paraId="33483AE9" w14:textId="77777777" w:rsidR="00C33193" w:rsidRPr="00746084" w:rsidRDefault="00B175AD" w:rsidP="00C33193">
      <w:pPr>
        <w:spacing w:line="360" w:lineRule="auto"/>
        <w:ind w:firstLine="720"/>
        <w:jc w:val="both"/>
        <w:rPr>
          <w:rFonts w:ascii="Times New Roman" w:hAnsi="Times New Roman" w:cs="Times New Roman"/>
          <w:color w:val="000000" w:themeColor="text1"/>
          <w:sz w:val="24"/>
          <w:szCs w:val="24"/>
          <w:shd w:val="clear" w:color="auto" w:fill="FFFFFF"/>
        </w:rPr>
      </w:pPr>
      <w:r w:rsidRPr="00746084">
        <w:rPr>
          <w:rFonts w:ascii="Times New Roman" w:hAnsi="Times New Roman" w:cs="Times New Roman"/>
          <w:color w:val="000000" w:themeColor="text1"/>
          <w:sz w:val="24"/>
          <w:szCs w:val="24"/>
          <w:shd w:val="clear" w:color="auto" w:fill="FFFFFF"/>
        </w:rPr>
        <w:t xml:space="preserve">Efficiency ratio is another most essential financial metrics that helps the researcher in evaluating the </w:t>
      </w:r>
      <w:r w:rsidRPr="00746084">
        <w:rPr>
          <w:rFonts w:ascii="Times New Roman" w:hAnsi="Times New Roman" w:cs="Times New Roman"/>
          <w:bCs/>
          <w:color w:val="000000" w:themeColor="text1"/>
          <w:sz w:val="24"/>
          <w:szCs w:val="24"/>
          <w:shd w:val="clear" w:color="auto" w:fill="FFFFFF"/>
        </w:rPr>
        <w:t>ability of company in generating income</w:t>
      </w:r>
      <w:r w:rsidR="00C33193" w:rsidRPr="00746084">
        <w:rPr>
          <w:rFonts w:ascii="Times New Roman" w:hAnsi="Times New Roman" w:cs="Times New Roman"/>
          <w:bCs/>
          <w:color w:val="000000" w:themeColor="text1"/>
          <w:sz w:val="24"/>
          <w:szCs w:val="24"/>
          <w:shd w:val="clear" w:color="auto" w:fill="FFFFFF"/>
        </w:rPr>
        <w:t xml:space="preserve"> (</w:t>
      </w:r>
      <w:proofErr w:type="spellStart"/>
      <w:r w:rsidR="00C33193" w:rsidRPr="00746084">
        <w:rPr>
          <w:rFonts w:ascii="Times New Roman" w:hAnsi="Times New Roman" w:cs="Times New Roman"/>
          <w:color w:val="000000" w:themeColor="text1"/>
          <w:sz w:val="24"/>
          <w:szCs w:val="24"/>
          <w:shd w:val="clear" w:color="auto" w:fill="FFFFFF"/>
        </w:rPr>
        <w:t>Setiany</w:t>
      </w:r>
      <w:proofErr w:type="spellEnd"/>
      <w:r w:rsidR="00C33193" w:rsidRPr="00746084">
        <w:rPr>
          <w:rFonts w:ascii="Times New Roman" w:hAnsi="Times New Roman" w:cs="Times New Roman"/>
          <w:color w:val="000000" w:themeColor="text1"/>
          <w:sz w:val="24"/>
          <w:szCs w:val="24"/>
          <w:shd w:val="clear" w:color="auto" w:fill="FFFFFF"/>
        </w:rPr>
        <w:t>, 2021</w:t>
      </w:r>
      <w:r w:rsidR="00C33193" w:rsidRPr="00746084">
        <w:rPr>
          <w:rFonts w:ascii="Times New Roman" w:hAnsi="Times New Roman" w:cs="Times New Roman"/>
          <w:bCs/>
          <w:color w:val="000000" w:themeColor="text1"/>
          <w:sz w:val="24"/>
          <w:szCs w:val="24"/>
          <w:shd w:val="clear" w:color="auto" w:fill="FFFFFF"/>
        </w:rPr>
        <w:t>)</w:t>
      </w:r>
      <w:r w:rsidRPr="00746084">
        <w:rPr>
          <w:rFonts w:ascii="Times New Roman" w:hAnsi="Times New Roman" w:cs="Times New Roman"/>
          <w:bCs/>
          <w:color w:val="000000" w:themeColor="text1"/>
          <w:sz w:val="24"/>
          <w:szCs w:val="24"/>
          <w:shd w:val="clear" w:color="auto" w:fill="FFFFFF"/>
        </w:rPr>
        <w:t xml:space="preserve">. However, there are various measures that can be used for efficiency ratios of the company that </w:t>
      </w:r>
      <w:r w:rsidRPr="00746084">
        <w:rPr>
          <w:rFonts w:ascii="Times New Roman" w:hAnsi="Times New Roman" w:cs="Times New Roman"/>
          <w:color w:val="000000" w:themeColor="text1"/>
          <w:sz w:val="24"/>
          <w:szCs w:val="24"/>
          <w:shd w:val="clear" w:color="auto" w:fill="FFFFFF"/>
        </w:rPr>
        <w:t xml:space="preserve">looks at various aspects of the company’s efficiency in cash collection, payments, using assets, fixed assets, and converting inventory into cash. In the case study of Whitbread Plc., inventory turnover ratio and assets turnover ratio have been calculated through using formula. </w:t>
      </w:r>
    </w:p>
    <w:p w14:paraId="33483AEA" w14:textId="77777777" w:rsidR="00C47D6A" w:rsidRPr="00746084" w:rsidRDefault="00C47D6A" w:rsidP="002A65F7">
      <w:pPr>
        <w:pStyle w:val="Heading3"/>
        <w:rPr>
          <w:rFonts w:cs="Times New Roman"/>
          <w:lang w:val="en-US"/>
        </w:rPr>
      </w:pPr>
      <w:bookmarkStart w:id="16" w:name="_Toc121233973"/>
      <w:r w:rsidRPr="00746084">
        <w:rPr>
          <w:rFonts w:cs="Times New Roman"/>
          <w:lang w:val="en-US"/>
        </w:rPr>
        <w:t>Inventory Turnover Ratio</w:t>
      </w:r>
      <w:bookmarkEnd w:id="16"/>
    </w:p>
    <w:p w14:paraId="33483AEB" w14:textId="77777777" w:rsidR="00983CA7" w:rsidRPr="00746084" w:rsidRDefault="00983CA7" w:rsidP="002A65F7">
      <w:pPr>
        <w:pStyle w:val="Caption"/>
        <w:keepNext/>
        <w:spacing w:line="360" w:lineRule="auto"/>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5</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Inventory Turnover Ratio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W w:w="7958" w:type="dxa"/>
        <w:jc w:val="center"/>
        <w:tblLook w:val="04A0" w:firstRow="1" w:lastRow="0" w:firstColumn="1" w:lastColumn="0" w:noHBand="0" w:noVBand="1"/>
      </w:tblPr>
      <w:tblGrid>
        <w:gridCol w:w="1002"/>
        <w:gridCol w:w="1315"/>
        <w:gridCol w:w="2333"/>
        <w:gridCol w:w="3308"/>
      </w:tblGrid>
      <w:tr w:rsidR="00746084" w:rsidRPr="00746084" w14:paraId="33483AED" w14:textId="77777777" w:rsidTr="009B0208">
        <w:trPr>
          <w:cnfStyle w:val="100000000000" w:firstRow="1" w:lastRow="0" w:firstColumn="0" w:lastColumn="0" w:oddVBand="0" w:evenVBand="0" w:oddHBand="0"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7958" w:type="dxa"/>
            <w:gridSpan w:val="4"/>
            <w:noWrap/>
            <w:hideMark/>
          </w:tcPr>
          <w:p w14:paraId="33483AEC"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Inventory Turnover Ratio: COGS / Inventory</w:t>
            </w:r>
          </w:p>
        </w:tc>
      </w:tr>
      <w:tr w:rsidR="00746084" w:rsidRPr="00746084" w14:paraId="33483AF2" w14:textId="77777777" w:rsidTr="00983CA7">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AEE"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1315" w:type="dxa"/>
            <w:noWrap/>
            <w:hideMark/>
          </w:tcPr>
          <w:p w14:paraId="33483AEF"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COGS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333" w:type="dxa"/>
            <w:noWrap/>
            <w:hideMark/>
          </w:tcPr>
          <w:p w14:paraId="33483AF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Inventory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3308" w:type="dxa"/>
            <w:hideMark/>
          </w:tcPr>
          <w:p w14:paraId="33483AF1"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Inventory Turnover Ratio</w:t>
            </w:r>
          </w:p>
        </w:tc>
      </w:tr>
      <w:tr w:rsidR="00746084" w:rsidRPr="00746084" w14:paraId="33483AF7" w14:textId="77777777" w:rsidTr="00983CA7">
        <w:trPr>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AF3"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1315" w:type="dxa"/>
            <w:noWrap/>
            <w:hideMark/>
          </w:tcPr>
          <w:p w14:paraId="33483AF4"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2391.3</w:t>
            </w:r>
          </w:p>
        </w:tc>
        <w:tc>
          <w:tcPr>
            <w:tcW w:w="2333" w:type="dxa"/>
            <w:hideMark/>
          </w:tcPr>
          <w:p w14:paraId="33483AF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48.8</w:t>
            </w:r>
          </w:p>
        </w:tc>
        <w:tc>
          <w:tcPr>
            <w:tcW w:w="3308" w:type="dxa"/>
            <w:noWrap/>
            <w:hideMark/>
          </w:tcPr>
          <w:p w14:paraId="33483AF6"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49.00</w:t>
            </w:r>
          </w:p>
        </w:tc>
      </w:tr>
      <w:tr w:rsidR="00746084" w:rsidRPr="00746084" w14:paraId="33483AFC" w14:textId="77777777" w:rsidTr="00983CA7">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AF8"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1315" w:type="dxa"/>
            <w:noWrap/>
            <w:hideMark/>
          </w:tcPr>
          <w:p w14:paraId="33483AF9"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1514.5</w:t>
            </w:r>
          </w:p>
        </w:tc>
        <w:tc>
          <w:tcPr>
            <w:tcW w:w="2333" w:type="dxa"/>
            <w:hideMark/>
          </w:tcPr>
          <w:p w14:paraId="33483AF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14.5</w:t>
            </w:r>
          </w:p>
        </w:tc>
        <w:tc>
          <w:tcPr>
            <w:tcW w:w="3308" w:type="dxa"/>
            <w:noWrap/>
            <w:hideMark/>
          </w:tcPr>
          <w:p w14:paraId="33483AFB"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104.45</w:t>
            </w:r>
          </w:p>
        </w:tc>
      </w:tr>
      <w:tr w:rsidR="00746084" w:rsidRPr="00746084" w14:paraId="33483B01" w14:textId="77777777" w:rsidTr="00983CA7">
        <w:trPr>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AFD"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1315" w:type="dxa"/>
            <w:noWrap/>
            <w:hideMark/>
          </w:tcPr>
          <w:p w14:paraId="33483AFE"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1592.2</w:t>
            </w:r>
          </w:p>
        </w:tc>
        <w:tc>
          <w:tcPr>
            <w:tcW w:w="2333" w:type="dxa"/>
            <w:hideMark/>
          </w:tcPr>
          <w:p w14:paraId="33483AF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13.7</w:t>
            </w:r>
          </w:p>
        </w:tc>
        <w:tc>
          <w:tcPr>
            <w:tcW w:w="3308" w:type="dxa"/>
            <w:noWrap/>
            <w:hideMark/>
          </w:tcPr>
          <w:p w14:paraId="33483B00"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116.22</w:t>
            </w:r>
          </w:p>
        </w:tc>
      </w:tr>
      <w:tr w:rsidR="00746084" w:rsidRPr="00746084" w14:paraId="33483B06" w14:textId="77777777" w:rsidTr="00983CA7">
        <w:trPr>
          <w:cnfStyle w:val="000000100000" w:firstRow="0" w:lastRow="0" w:firstColumn="0" w:lastColumn="0" w:oddVBand="0" w:evenVBand="0" w:oddHBand="1" w:evenHBand="0" w:firstRowFirstColumn="0" w:firstRowLastColumn="0" w:lastRowFirstColumn="0" w:lastRowLastColumn="0"/>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B02"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1315" w:type="dxa"/>
            <w:noWrap/>
            <w:hideMark/>
          </w:tcPr>
          <w:p w14:paraId="33483B03"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1231.6</w:t>
            </w:r>
          </w:p>
        </w:tc>
        <w:tc>
          <w:tcPr>
            <w:tcW w:w="2333" w:type="dxa"/>
            <w:hideMark/>
          </w:tcPr>
          <w:p w14:paraId="33483B04"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12.1</w:t>
            </w:r>
          </w:p>
        </w:tc>
        <w:tc>
          <w:tcPr>
            <w:tcW w:w="3308" w:type="dxa"/>
            <w:noWrap/>
            <w:hideMark/>
          </w:tcPr>
          <w:p w14:paraId="33483B05"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101.79</w:t>
            </w:r>
          </w:p>
        </w:tc>
      </w:tr>
      <w:tr w:rsidR="00746084" w:rsidRPr="00746084" w14:paraId="33483B0B" w14:textId="77777777" w:rsidTr="00983CA7">
        <w:trPr>
          <w:trHeight w:val="248"/>
          <w:jc w:val="center"/>
        </w:trPr>
        <w:tc>
          <w:tcPr>
            <w:cnfStyle w:val="001000000000" w:firstRow="0" w:lastRow="0" w:firstColumn="1" w:lastColumn="0" w:oddVBand="0" w:evenVBand="0" w:oddHBand="0" w:evenHBand="0" w:firstRowFirstColumn="0" w:firstRowLastColumn="0" w:lastRowFirstColumn="0" w:lastRowLastColumn="0"/>
            <w:tcW w:w="1002" w:type="dxa"/>
            <w:noWrap/>
            <w:hideMark/>
          </w:tcPr>
          <w:p w14:paraId="33483B07"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1315" w:type="dxa"/>
            <w:noWrap/>
            <w:hideMark/>
          </w:tcPr>
          <w:p w14:paraId="33483B08"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1668.7</w:t>
            </w:r>
          </w:p>
        </w:tc>
        <w:tc>
          <w:tcPr>
            <w:tcW w:w="2333" w:type="dxa"/>
            <w:hideMark/>
          </w:tcPr>
          <w:p w14:paraId="33483B09"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19.4</w:t>
            </w:r>
          </w:p>
        </w:tc>
        <w:tc>
          <w:tcPr>
            <w:tcW w:w="3308" w:type="dxa"/>
            <w:noWrap/>
            <w:hideMark/>
          </w:tcPr>
          <w:p w14:paraId="33483B0A"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86.02</w:t>
            </w:r>
          </w:p>
        </w:tc>
      </w:tr>
    </w:tbl>
    <w:p w14:paraId="33483B0C" w14:textId="77777777" w:rsidR="007E7D13" w:rsidRPr="00746084" w:rsidRDefault="007E7D13" w:rsidP="00670B9A">
      <w:pPr>
        <w:jc w:val="both"/>
        <w:rPr>
          <w:rFonts w:ascii="Times New Roman" w:hAnsi="Times New Roman" w:cs="Times New Roman"/>
          <w:color w:val="000000" w:themeColor="text1"/>
          <w:sz w:val="24"/>
          <w:szCs w:val="24"/>
          <w:lang w:val="en-US"/>
        </w:rPr>
      </w:pPr>
    </w:p>
    <w:p w14:paraId="33483B0D" w14:textId="77777777" w:rsidR="00D148CA" w:rsidRPr="00746084" w:rsidRDefault="00670B9A" w:rsidP="002A65F7">
      <w:pPr>
        <w:spacing w:line="360" w:lineRule="auto"/>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 xml:space="preserve">Table 5 refers to the inventory turnover ratios of the Whitbread Plc, over the past five years. It is imperative to note that </w:t>
      </w:r>
      <w:r w:rsidR="00367B3E" w:rsidRPr="00746084">
        <w:rPr>
          <w:rFonts w:ascii="Times New Roman" w:hAnsi="Times New Roman" w:cs="Times New Roman"/>
          <w:color w:val="000000" w:themeColor="text1"/>
          <w:sz w:val="24"/>
          <w:szCs w:val="24"/>
          <w:lang w:val="en-US"/>
        </w:rPr>
        <w:t>there is an increasing trend, and then declining trend. As inventory turnover days was recorded 49 days in 2018, and it increased up to 116 days in 2020. The primary reason of increase in inventory turnover was due to fell in sales of the company. However, then again there is a bouncing back, and company’s inventory turnover ratio was recorded 86 days in 2022. Thus, it demonstrated that company’s efficiency in delivering its product has been increased after demand crises in 2019, tri</w:t>
      </w:r>
      <w:r w:rsidR="007E7D13" w:rsidRPr="00746084">
        <w:rPr>
          <w:rFonts w:ascii="Times New Roman" w:hAnsi="Times New Roman" w:cs="Times New Roman"/>
          <w:color w:val="000000" w:themeColor="text1"/>
          <w:sz w:val="24"/>
          <w:szCs w:val="24"/>
          <w:lang w:val="en-US"/>
        </w:rPr>
        <w:t>ggered by Covid-19 pandemic (</w:t>
      </w:r>
      <w:r w:rsidR="00C25362" w:rsidRPr="00746084">
        <w:rPr>
          <w:rFonts w:ascii="Times New Roman" w:hAnsi="Times New Roman" w:cs="Times New Roman"/>
          <w:color w:val="000000" w:themeColor="text1"/>
          <w:sz w:val="24"/>
          <w:szCs w:val="24"/>
        </w:rPr>
        <w:t>Hospitality Insights, 2022</w:t>
      </w:r>
      <w:r w:rsidR="007E7D13" w:rsidRPr="00746084">
        <w:rPr>
          <w:rFonts w:ascii="Times New Roman" w:hAnsi="Times New Roman" w:cs="Times New Roman"/>
          <w:color w:val="000000" w:themeColor="text1"/>
          <w:sz w:val="24"/>
          <w:szCs w:val="24"/>
          <w:lang w:val="en-US"/>
        </w:rPr>
        <w:t>). These increasing and declining trend can also be explained with graphical representations, as shown in a figure below:</w:t>
      </w:r>
    </w:p>
    <w:p w14:paraId="33483B0E" w14:textId="77777777" w:rsidR="00670B9A" w:rsidRPr="00746084" w:rsidRDefault="00C33193" w:rsidP="00670B9A">
      <w:pPr>
        <w:rPr>
          <w:rFonts w:ascii="Times New Roman" w:hAnsi="Times New Roman" w:cs="Times New Roman"/>
          <w:color w:val="000000" w:themeColor="text1"/>
          <w:sz w:val="24"/>
          <w:szCs w:val="24"/>
          <w:lang w:val="en-US"/>
        </w:rPr>
      </w:pPr>
      <w:r w:rsidRPr="00746084">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2032" behindDoc="1" locked="0" layoutInCell="1" allowOverlap="1" wp14:anchorId="33483D4B" wp14:editId="33483D4C">
                <wp:simplePos x="0" y="0"/>
                <wp:positionH relativeFrom="column">
                  <wp:posOffset>57150</wp:posOffset>
                </wp:positionH>
                <wp:positionV relativeFrom="paragraph">
                  <wp:posOffset>2236470</wp:posOffset>
                </wp:positionV>
                <wp:extent cx="5868670"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5" w14:textId="77777777" w:rsidR="00604A5F" w:rsidRPr="0088011C"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5</w:t>
                              </w:r>
                            </w:fldSimple>
                            <w:r>
                              <w:t xml:space="preserve"> - </w:t>
                            </w:r>
                            <w:r w:rsidRPr="00707050">
                              <w:t>Inventory Turnover Ratio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4B" id="Text Box 14" o:spid="_x0000_s1030" type="#_x0000_t202" style="position:absolute;margin-left:4.5pt;margin-top:176.1pt;width:462.1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" stroked="f">
                <v:textbox style="mso-fit-shape-to-text:t" inset="0,0,0,0">
                  <w:txbxContent>
                    <w:p w14:paraId="33483D65" w14:textId="77777777" w:rsidR="00604A5F" w:rsidRPr="0088011C"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5</w:t>
                        </w:r>
                      </w:fldSimple>
                      <w:r>
                        <w:t xml:space="preserve"> - </w:t>
                      </w:r>
                      <w:r w:rsidRPr="00707050">
                        <w:t>Inventory Turnover Ratio - Whitbread Plc (2018 to 2022)</w:t>
                      </w:r>
                    </w:p>
                  </w:txbxContent>
                </v:textbox>
                <w10:wrap type="tight"/>
              </v:shape>
            </w:pict>
          </mc:Fallback>
        </mc:AlternateContent>
      </w:r>
      <w:r w:rsidR="00D148CA" w:rsidRPr="00746084">
        <w:rPr>
          <w:rFonts w:ascii="Times New Roman" w:hAnsi="Times New Roman" w:cs="Times New Roman"/>
          <w:noProof/>
          <w:color w:val="000000" w:themeColor="text1"/>
          <w:sz w:val="24"/>
          <w:szCs w:val="24"/>
          <w:lang w:eastAsia="en-GB"/>
        </w:rPr>
        <w:drawing>
          <wp:anchor distT="0" distB="0" distL="114300" distR="114300" simplePos="0" relativeHeight="251669504" behindDoc="0" locked="0" layoutInCell="1" allowOverlap="1" wp14:anchorId="33483D4D" wp14:editId="33483D4E">
            <wp:simplePos x="0" y="0"/>
            <wp:positionH relativeFrom="margin">
              <wp:align>right</wp:align>
            </wp:positionH>
            <wp:positionV relativeFrom="paragraph">
              <wp:posOffset>261</wp:posOffset>
            </wp:positionV>
            <wp:extent cx="5868670" cy="2179320"/>
            <wp:effectExtent l="0" t="0" r="17780" b="11430"/>
            <wp:wrapTight wrapText="bothSides">
              <wp:wrapPolygon edited="0">
                <wp:start x="0" y="0"/>
                <wp:lineTo x="0" y="21524"/>
                <wp:lineTo x="21595" y="21524"/>
                <wp:lineTo x="21595" y="0"/>
                <wp:lineTo x="0" y="0"/>
              </wp:wrapPolygon>
            </wp:wrapTight>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3483B0F" w14:textId="77777777" w:rsidR="00C47D6A" w:rsidRPr="00746084" w:rsidRDefault="00C47D6A" w:rsidP="002361A6">
      <w:pPr>
        <w:pStyle w:val="Heading3"/>
        <w:spacing w:line="240" w:lineRule="auto"/>
        <w:rPr>
          <w:rFonts w:cs="Times New Roman"/>
          <w:lang w:val="en-US"/>
        </w:rPr>
      </w:pPr>
      <w:bookmarkStart w:id="17" w:name="_Toc121233974"/>
      <w:r w:rsidRPr="00746084">
        <w:rPr>
          <w:rFonts w:cs="Times New Roman"/>
          <w:lang w:val="en-US"/>
        </w:rPr>
        <w:t>Assets Turnover Ratio</w:t>
      </w:r>
      <w:bookmarkEnd w:id="17"/>
    </w:p>
    <w:p w14:paraId="33483B10"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6</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Asset Turnover Ratio</w:t>
      </w:r>
      <w:r w:rsidR="00C33193" w:rsidRPr="00746084">
        <w:rPr>
          <w:rFonts w:ascii="Times New Roman" w:hAnsi="Times New Roman" w:cs="Times New Roman"/>
          <w:color w:val="000000" w:themeColor="text1"/>
          <w:sz w:val="24"/>
          <w:szCs w:val="24"/>
        </w:rPr>
        <w:t xml:space="preserve"> – Whitbread (2018 to 2022)</w:t>
      </w:r>
    </w:p>
    <w:tbl>
      <w:tblPr>
        <w:tblStyle w:val="PlainTable2"/>
        <w:tblW w:w="7838" w:type="dxa"/>
        <w:jc w:val="center"/>
        <w:tblLook w:val="04A0" w:firstRow="1" w:lastRow="0" w:firstColumn="1" w:lastColumn="0" w:noHBand="0" w:noVBand="1"/>
      </w:tblPr>
      <w:tblGrid>
        <w:gridCol w:w="994"/>
        <w:gridCol w:w="1686"/>
        <w:gridCol w:w="2293"/>
        <w:gridCol w:w="2865"/>
      </w:tblGrid>
      <w:tr w:rsidR="00746084" w:rsidRPr="00746084" w14:paraId="33483B12" w14:textId="77777777" w:rsidTr="009B0208">
        <w:trPr>
          <w:cnfStyle w:val="100000000000" w:firstRow="1" w:lastRow="0" w:firstColumn="0" w:lastColumn="0" w:oddVBand="0" w:evenVBand="0" w:oddHBand="0"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7838" w:type="dxa"/>
            <w:gridSpan w:val="4"/>
            <w:noWrap/>
            <w:hideMark/>
          </w:tcPr>
          <w:p w14:paraId="33483B11"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Asset Turnover: Revenue/Total Assets</w:t>
            </w:r>
          </w:p>
        </w:tc>
      </w:tr>
      <w:tr w:rsidR="00746084" w:rsidRPr="00746084" w14:paraId="33483B17"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13"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1686" w:type="dxa"/>
            <w:noWrap/>
            <w:hideMark/>
          </w:tcPr>
          <w:p w14:paraId="33483B14"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Revenue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293" w:type="dxa"/>
            <w:noWrap/>
            <w:hideMark/>
          </w:tcPr>
          <w:p w14:paraId="33483B15"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Total Assets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865" w:type="dxa"/>
            <w:noWrap/>
            <w:hideMark/>
          </w:tcPr>
          <w:p w14:paraId="33483B16"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Asset Turnover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r>
      <w:tr w:rsidR="00746084" w:rsidRPr="00746084" w14:paraId="33483B1C"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18"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1686" w:type="dxa"/>
            <w:noWrap/>
            <w:hideMark/>
          </w:tcPr>
          <w:p w14:paraId="33483B19"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3295.1</w:t>
            </w:r>
          </w:p>
        </w:tc>
        <w:tc>
          <w:tcPr>
            <w:tcW w:w="2293" w:type="dxa"/>
            <w:noWrap/>
            <w:hideMark/>
          </w:tcPr>
          <w:p w14:paraId="33483B1A"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7398.9</w:t>
            </w:r>
          </w:p>
        </w:tc>
        <w:tc>
          <w:tcPr>
            <w:tcW w:w="2865" w:type="dxa"/>
            <w:noWrap/>
            <w:hideMark/>
          </w:tcPr>
          <w:p w14:paraId="33483B1B"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0.45</w:t>
            </w:r>
          </w:p>
        </w:tc>
      </w:tr>
      <w:tr w:rsidR="00746084" w:rsidRPr="00746084" w14:paraId="33483B21"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1D"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1686" w:type="dxa"/>
            <w:noWrap/>
            <w:hideMark/>
          </w:tcPr>
          <w:p w14:paraId="33483B1E"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2049.1</w:t>
            </w:r>
          </w:p>
        </w:tc>
        <w:tc>
          <w:tcPr>
            <w:tcW w:w="2293" w:type="dxa"/>
            <w:noWrap/>
            <w:hideMark/>
          </w:tcPr>
          <w:p w14:paraId="33483B1F"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10034.3</w:t>
            </w:r>
          </w:p>
        </w:tc>
        <w:tc>
          <w:tcPr>
            <w:tcW w:w="2865" w:type="dxa"/>
            <w:noWrap/>
            <w:hideMark/>
          </w:tcPr>
          <w:p w14:paraId="33483B2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0.20</w:t>
            </w:r>
          </w:p>
        </w:tc>
      </w:tr>
      <w:tr w:rsidR="00746084" w:rsidRPr="00746084" w14:paraId="33483B26"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22"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1686" w:type="dxa"/>
            <w:noWrap/>
            <w:hideMark/>
          </w:tcPr>
          <w:p w14:paraId="33483B23"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2071.5</w:t>
            </w:r>
          </w:p>
        </w:tc>
        <w:tc>
          <w:tcPr>
            <w:tcW w:w="2293" w:type="dxa"/>
            <w:noWrap/>
            <w:hideMark/>
          </w:tcPr>
          <w:p w14:paraId="33483B24"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7825.5</w:t>
            </w:r>
          </w:p>
        </w:tc>
        <w:tc>
          <w:tcPr>
            <w:tcW w:w="2865" w:type="dxa"/>
            <w:noWrap/>
            <w:hideMark/>
          </w:tcPr>
          <w:p w14:paraId="33483B2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0.26</w:t>
            </w:r>
          </w:p>
        </w:tc>
      </w:tr>
      <w:tr w:rsidR="00746084" w:rsidRPr="00746084" w14:paraId="33483B2B"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27"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1686" w:type="dxa"/>
            <w:noWrap/>
            <w:hideMark/>
          </w:tcPr>
          <w:p w14:paraId="33483B28"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589.4</w:t>
            </w:r>
          </w:p>
        </w:tc>
        <w:tc>
          <w:tcPr>
            <w:tcW w:w="2293" w:type="dxa"/>
            <w:noWrap/>
            <w:hideMark/>
          </w:tcPr>
          <w:p w14:paraId="33483B29"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8798.6</w:t>
            </w:r>
          </w:p>
        </w:tc>
        <w:tc>
          <w:tcPr>
            <w:tcW w:w="2865" w:type="dxa"/>
            <w:noWrap/>
            <w:hideMark/>
          </w:tcPr>
          <w:p w14:paraId="33483B2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0.07</w:t>
            </w:r>
          </w:p>
        </w:tc>
      </w:tr>
      <w:tr w:rsidR="00746084" w:rsidRPr="00746084" w14:paraId="33483B30"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994" w:type="dxa"/>
            <w:noWrap/>
            <w:hideMark/>
          </w:tcPr>
          <w:p w14:paraId="33483B2C"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1686" w:type="dxa"/>
            <w:noWrap/>
            <w:hideMark/>
          </w:tcPr>
          <w:p w14:paraId="33483B2D"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1703.4</w:t>
            </w:r>
          </w:p>
        </w:tc>
        <w:tc>
          <w:tcPr>
            <w:tcW w:w="2293" w:type="dxa"/>
            <w:noWrap/>
            <w:hideMark/>
          </w:tcPr>
          <w:p w14:paraId="33483B2E"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9566.5</w:t>
            </w:r>
          </w:p>
        </w:tc>
        <w:tc>
          <w:tcPr>
            <w:tcW w:w="2865" w:type="dxa"/>
            <w:noWrap/>
            <w:hideMark/>
          </w:tcPr>
          <w:p w14:paraId="33483B2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0.18</w:t>
            </w:r>
          </w:p>
        </w:tc>
      </w:tr>
    </w:tbl>
    <w:p w14:paraId="33483B31" w14:textId="77777777" w:rsidR="007E7D13" w:rsidRPr="00746084" w:rsidRDefault="007E7D13" w:rsidP="007E7D13">
      <w:pPr>
        <w:jc w:val="both"/>
        <w:rPr>
          <w:rFonts w:ascii="Times New Roman" w:hAnsi="Times New Roman" w:cs="Times New Roman"/>
          <w:color w:val="000000" w:themeColor="text1"/>
          <w:sz w:val="24"/>
          <w:szCs w:val="24"/>
          <w:lang w:val="en-US"/>
        </w:rPr>
      </w:pPr>
    </w:p>
    <w:p w14:paraId="33483B32" w14:textId="77777777" w:rsidR="009B0208" w:rsidRPr="00746084" w:rsidRDefault="007E7D13" w:rsidP="00B175AD">
      <w:pPr>
        <w:spacing w:line="360" w:lineRule="auto"/>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 xml:space="preserve">Table 6, also refers to the efficiency of company in using assets to generate revenues. Again referring to above table, it can be seen that there are uncertainties in asset turnover ratio, but it </w:t>
      </w:r>
      <w:r w:rsidRPr="00746084">
        <w:rPr>
          <w:rFonts w:ascii="Times New Roman" w:hAnsi="Times New Roman" w:cs="Times New Roman"/>
          <w:color w:val="000000" w:themeColor="text1"/>
          <w:sz w:val="24"/>
          <w:szCs w:val="24"/>
          <w:lang w:val="en-US"/>
        </w:rPr>
        <w:lastRenderedPageBreak/>
        <w:t xml:space="preserve">overall fell up to 0.18 in 2022 from 0.45. The reason for decline in asset turnover was primarily due to the fell in revenue of the company. Thus, it is an alarming situation for the company, and it suggested that company’s efficiency in generating revenue has been decreased with time. These </w:t>
      </w:r>
      <w:r w:rsidR="00817AE7" w:rsidRPr="00746084">
        <w:rPr>
          <w:rFonts w:ascii="Times New Roman" w:hAnsi="Times New Roman" w:cs="Times New Roman"/>
          <w:color w:val="000000" w:themeColor="text1"/>
          <w:sz w:val="24"/>
          <w:szCs w:val="24"/>
          <w:lang w:val="en-US"/>
        </w:rPr>
        <w:t>trends in asset turnover ratio</w:t>
      </w:r>
      <w:r w:rsidRPr="00746084">
        <w:rPr>
          <w:rFonts w:ascii="Times New Roman" w:hAnsi="Times New Roman" w:cs="Times New Roman"/>
          <w:color w:val="000000" w:themeColor="text1"/>
          <w:sz w:val="24"/>
          <w:szCs w:val="24"/>
          <w:lang w:val="en-US"/>
        </w:rPr>
        <w:t xml:space="preserve"> can also be explained with </w:t>
      </w:r>
      <w:r w:rsidR="00817AE7" w:rsidRPr="00746084">
        <w:rPr>
          <w:rFonts w:ascii="Times New Roman" w:hAnsi="Times New Roman" w:cs="Times New Roman"/>
          <w:color w:val="000000" w:themeColor="text1"/>
          <w:sz w:val="24"/>
          <w:szCs w:val="24"/>
          <w:lang w:val="en-US"/>
        </w:rPr>
        <w:t xml:space="preserve">the help of </w:t>
      </w:r>
      <w:r w:rsidRPr="00746084">
        <w:rPr>
          <w:rFonts w:ascii="Times New Roman" w:hAnsi="Times New Roman" w:cs="Times New Roman"/>
          <w:color w:val="000000" w:themeColor="text1"/>
          <w:sz w:val="24"/>
          <w:szCs w:val="24"/>
          <w:lang w:val="en-US"/>
        </w:rPr>
        <w:t xml:space="preserve">graphical representations, as </w:t>
      </w:r>
      <w:r w:rsidR="00C25362" w:rsidRPr="00746084">
        <w:rPr>
          <w:rFonts w:ascii="Times New Roman" w:hAnsi="Times New Roman" w:cs="Times New Roman"/>
          <w:noProof/>
          <w:color w:val="000000" w:themeColor="text1"/>
          <w:sz w:val="24"/>
          <w:szCs w:val="24"/>
          <w:lang w:eastAsia="en-GB"/>
        </w:rPr>
        <mc:AlternateContent>
          <mc:Choice Requires="wps">
            <w:drawing>
              <wp:anchor distT="0" distB="0" distL="114300" distR="114300" simplePos="0" relativeHeight="251694080" behindDoc="1" locked="0" layoutInCell="1" allowOverlap="1" wp14:anchorId="33483D4F" wp14:editId="33483D50">
                <wp:simplePos x="0" y="0"/>
                <wp:positionH relativeFrom="margin">
                  <wp:align>left</wp:align>
                </wp:positionH>
                <wp:positionV relativeFrom="paragraph">
                  <wp:posOffset>2878976</wp:posOffset>
                </wp:positionV>
                <wp:extent cx="5868670" cy="635"/>
                <wp:effectExtent l="0" t="0" r="0" b="0"/>
                <wp:wrapTight wrapText="bothSides">
                  <wp:wrapPolygon edited="0">
                    <wp:start x="0" y="0"/>
                    <wp:lineTo x="0" y="20057"/>
                    <wp:lineTo x="21525" y="20057"/>
                    <wp:lineTo x="2152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6" w14:textId="77777777" w:rsidR="00604A5F" w:rsidRPr="00986856"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6</w:t>
                              </w:r>
                            </w:fldSimple>
                            <w:r>
                              <w:t xml:space="preserve"> - </w:t>
                            </w:r>
                            <w:r w:rsidRPr="00F90995">
                              <w:t>Asset Turnover Ratio – Whitbread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4F" id="Text Box 15" o:spid="_x0000_s1031" type="#_x0000_t202" style="position:absolute;left:0;text-align:left;margin-left:0;margin-top:226.7pt;width:462.1pt;height:.05pt;z-index:-2516224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" stroked="f">
                <v:textbox style="mso-fit-shape-to-text:t" inset="0,0,0,0">
                  <w:txbxContent>
                    <w:p w14:paraId="33483D66" w14:textId="77777777" w:rsidR="00604A5F" w:rsidRPr="00986856"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6</w:t>
                        </w:r>
                      </w:fldSimple>
                      <w:r>
                        <w:t xml:space="preserve"> - </w:t>
                      </w:r>
                      <w:r w:rsidRPr="00F90995">
                        <w:t>Asset Turnover Ratio – Whitbread (2018 to 2022)</w:t>
                      </w:r>
                    </w:p>
                  </w:txbxContent>
                </v:textbox>
                <w10:wrap type="tight" anchorx="margin"/>
              </v:shape>
            </w:pict>
          </mc:Fallback>
        </mc:AlternateContent>
      </w:r>
      <w:r w:rsidR="00C25362" w:rsidRPr="00746084">
        <w:rPr>
          <w:rFonts w:ascii="Times New Roman" w:hAnsi="Times New Roman" w:cs="Times New Roman"/>
          <w:noProof/>
          <w:color w:val="000000" w:themeColor="text1"/>
          <w:sz w:val="24"/>
          <w:szCs w:val="24"/>
          <w:lang w:eastAsia="en-GB"/>
        </w:rPr>
        <w:drawing>
          <wp:anchor distT="0" distB="0" distL="114300" distR="114300" simplePos="0" relativeHeight="251681792" behindDoc="0" locked="0" layoutInCell="1" allowOverlap="1" wp14:anchorId="33483D51" wp14:editId="33483D52">
            <wp:simplePos x="0" y="0"/>
            <wp:positionH relativeFrom="margin">
              <wp:align>left</wp:align>
            </wp:positionH>
            <wp:positionV relativeFrom="paragraph">
              <wp:posOffset>565380</wp:posOffset>
            </wp:positionV>
            <wp:extent cx="5868670" cy="2179320"/>
            <wp:effectExtent l="0" t="0" r="17780" b="11430"/>
            <wp:wrapTight wrapText="bothSides">
              <wp:wrapPolygon edited="0">
                <wp:start x="0" y="0"/>
                <wp:lineTo x="0" y="21524"/>
                <wp:lineTo x="21595" y="21524"/>
                <wp:lineTo x="21595" y="0"/>
                <wp:lineTo x="0" y="0"/>
              </wp:wrapPolygon>
            </wp:wrapTight>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746084">
        <w:rPr>
          <w:rFonts w:ascii="Times New Roman" w:hAnsi="Times New Roman" w:cs="Times New Roman"/>
          <w:color w:val="000000" w:themeColor="text1"/>
          <w:sz w:val="24"/>
          <w:szCs w:val="24"/>
          <w:lang w:val="en-US"/>
        </w:rPr>
        <w:t>shown in a figure below:</w:t>
      </w:r>
    </w:p>
    <w:p w14:paraId="33483B33" w14:textId="77777777" w:rsidR="00C47D6A" w:rsidRPr="00746084" w:rsidRDefault="009B0208" w:rsidP="00C25362">
      <w:pPr>
        <w:pStyle w:val="Heading2"/>
        <w:rPr>
          <w:rFonts w:cs="Times New Roman"/>
          <w:szCs w:val="24"/>
          <w:lang w:val="en-US"/>
        </w:rPr>
      </w:pPr>
      <w:bookmarkStart w:id="18" w:name="_Toc121233975"/>
      <w:r w:rsidRPr="00746084">
        <w:rPr>
          <w:rFonts w:cs="Times New Roman"/>
          <w:szCs w:val="24"/>
          <w:lang w:val="en-US"/>
        </w:rPr>
        <w:t>Gearing Ratios</w:t>
      </w:r>
      <w:bookmarkEnd w:id="18"/>
    </w:p>
    <w:p w14:paraId="33483B34" w14:textId="77777777" w:rsidR="00B175AD" w:rsidRPr="00746084" w:rsidRDefault="00B175AD" w:rsidP="00C25362">
      <w:pPr>
        <w:spacing w:line="360" w:lineRule="auto"/>
        <w:ind w:firstLine="720"/>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Gearing ratios is also used as a financial metrics to compare the company debt and shareholders’ equity in different ways to determine the financial stability and leverage of the company</w:t>
      </w:r>
      <w:r w:rsidR="0094091B" w:rsidRPr="00746084">
        <w:rPr>
          <w:rFonts w:ascii="Times New Roman" w:hAnsi="Times New Roman" w:cs="Times New Roman"/>
          <w:color w:val="000000" w:themeColor="text1"/>
          <w:sz w:val="24"/>
          <w:szCs w:val="24"/>
          <w:lang w:val="en-US"/>
        </w:rPr>
        <w:t xml:space="preserve"> (</w:t>
      </w:r>
      <w:proofErr w:type="spellStart"/>
      <w:r w:rsidR="00C33193" w:rsidRPr="00746084">
        <w:rPr>
          <w:rFonts w:ascii="Times New Roman" w:hAnsi="Times New Roman" w:cs="Times New Roman"/>
          <w:color w:val="000000" w:themeColor="text1"/>
          <w:sz w:val="24"/>
          <w:szCs w:val="24"/>
          <w:lang w:val="en-US"/>
        </w:rPr>
        <w:t>Bhimani</w:t>
      </w:r>
      <w:proofErr w:type="spellEnd"/>
      <w:r w:rsidR="00C33193" w:rsidRPr="00746084">
        <w:rPr>
          <w:rFonts w:ascii="Times New Roman" w:hAnsi="Times New Roman" w:cs="Times New Roman"/>
          <w:color w:val="000000" w:themeColor="text1"/>
          <w:sz w:val="24"/>
          <w:szCs w:val="24"/>
          <w:lang w:val="en-US"/>
        </w:rPr>
        <w:t>, 2017</w:t>
      </w:r>
      <w:r w:rsidR="0094091B" w:rsidRPr="00746084">
        <w:rPr>
          <w:rFonts w:ascii="Times New Roman" w:hAnsi="Times New Roman" w:cs="Times New Roman"/>
          <w:color w:val="000000" w:themeColor="text1"/>
          <w:sz w:val="24"/>
          <w:szCs w:val="24"/>
          <w:lang w:val="en-US"/>
        </w:rPr>
        <w:t>)</w:t>
      </w:r>
      <w:r w:rsidRPr="00746084">
        <w:rPr>
          <w:rFonts w:ascii="Times New Roman" w:hAnsi="Times New Roman" w:cs="Times New Roman"/>
          <w:color w:val="000000" w:themeColor="text1"/>
          <w:sz w:val="24"/>
          <w:szCs w:val="24"/>
          <w:lang w:val="en-US"/>
        </w:rPr>
        <w:t xml:space="preserve">. In </w:t>
      </w:r>
      <w:r w:rsidR="0094091B" w:rsidRPr="00746084">
        <w:rPr>
          <w:rFonts w:ascii="Times New Roman" w:hAnsi="Times New Roman" w:cs="Times New Roman"/>
          <w:color w:val="000000" w:themeColor="text1"/>
          <w:sz w:val="24"/>
          <w:szCs w:val="24"/>
          <w:lang w:val="en-US"/>
        </w:rPr>
        <w:t>simple</w:t>
      </w:r>
      <w:r w:rsidRPr="00746084">
        <w:rPr>
          <w:rFonts w:ascii="Times New Roman" w:hAnsi="Times New Roman" w:cs="Times New Roman"/>
          <w:color w:val="000000" w:themeColor="text1"/>
          <w:sz w:val="24"/>
          <w:szCs w:val="24"/>
          <w:lang w:val="en-US"/>
        </w:rPr>
        <w:t xml:space="preserve"> words, it helps in determining </w:t>
      </w:r>
      <w:r w:rsidR="0094091B" w:rsidRPr="00746084">
        <w:rPr>
          <w:rFonts w:ascii="Times New Roman" w:hAnsi="Times New Roman" w:cs="Times New Roman"/>
          <w:color w:val="000000" w:themeColor="text1"/>
          <w:sz w:val="24"/>
          <w:szCs w:val="24"/>
          <w:lang w:val="en-US"/>
        </w:rPr>
        <w:t xml:space="preserve">how much </w:t>
      </w:r>
      <w:r w:rsidRPr="00746084">
        <w:rPr>
          <w:rFonts w:ascii="Times New Roman" w:hAnsi="Times New Roman" w:cs="Times New Roman"/>
          <w:color w:val="000000" w:themeColor="text1"/>
          <w:sz w:val="24"/>
          <w:szCs w:val="24"/>
          <w:lang w:val="en-US"/>
        </w:rPr>
        <w:t>company's operations are funded</w:t>
      </w:r>
      <w:r w:rsidR="0094091B" w:rsidRPr="00746084">
        <w:rPr>
          <w:rFonts w:ascii="Times New Roman" w:hAnsi="Times New Roman" w:cs="Times New Roman"/>
          <w:color w:val="000000" w:themeColor="text1"/>
          <w:sz w:val="24"/>
          <w:szCs w:val="24"/>
          <w:lang w:val="en-US"/>
        </w:rPr>
        <w:t xml:space="preserve"> by debt, as compared to shareholders’ equity. </w:t>
      </w:r>
      <w:r w:rsidRPr="00746084">
        <w:rPr>
          <w:rFonts w:ascii="Times New Roman" w:hAnsi="Times New Roman" w:cs="Times New Roman"/>
          <w:color w:val="000000" w:themeColor="text1"/>
          <w:sz w:val="24"/>
          <w:szCs w:val="24"/>
          <w:lang w:val="en-US"/>
        </w:rPr>
        <w:t xml:space="preserve"> </w:t>
      </w:r>
      <w:r w:rsidR="0094091B" w:rsidRPr="00746084">
        <w:rPr>
          <w:rFonts w:ascii="Times New Roman" w:hAnsi="Times New Roman" w:cs="Times New Roman"/>
          <w:color w:val="000000" w:themeColor="text1"/>
          <w:sz w:val="24"/>
          <w:szCs w:val="24"/>
          <w:lang w:val="en-US"/>
        </w:rPr>
        <w:t xml:space="preserve">However, in the case study of Whitbread Plc., interest coverage ratio and debt to equity ratio were identified, as shown below: </w:t>
      </w:r>
    </w:p>
    <w:p w14:paraId="33483B35" w14:textId="77777777" w:rsidR="009B0208" w:rsidRPr="00746084" w:rsidRDefault="009B0208" w:rsidP="002A65F7">
      <w:pPr>
        <w:pStyle w:val="Heading3"/>
        <w:rPr>
          <w:rFonts w:cs="Times New Roman"/>
          <w:lang w:val="en-US"/>
        </w:rPr>
      </w:pPr>
      <w:bookmarkStart w:id="19" w:name="_Toc121233976"/>
      <w:r w:rsidRPr="00746084">
        <w:rPr>
          <w:rFonts w:cs="Times New Roman"/>
          <w:lang w:val="en-US"/>
        </w:rPr>
        <w:t>Interest Coverage Ratio</w:t>
      </w:r>
      <w:bookmarkEnd w:id="19"/>
    </w:p>
    <w:p w14:paraId="33483B36" w14:textId="77777777" w:rsidR="00983CA7" w:rsidRPr="00746084" w:rsidRDefault="00983CA7" w:rsidP="002A65F7">
      <w:pPr>
        <w:pStyle w:val="Caption"/>
        <w:keepNext/>
        <w:spacing w:line="360" w:lineRule="auto"/>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7</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Interest Coverage Ratio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W w:w="7792" w:type="dxa"/>
        <w:jc w:val="center"/>
        <w:tblLook w:val="04A0" w:firstRow="1" w:lastRow="0" w:firstColumn="1" w:lastColumn="0" w:noHBand="0" w:noVBand="1"/>
      </w:tblPr>
      <w:tblGrid>
        <w:gridCol w:w="869"/>
        <w:gridCol w:w="1291"/>
        <w:gridCol w:w="2457"/>
        <w:gridCol w:w="3175"/>
      </w:tblGrid>
      <w:tr w:rsidR="00746084" w:rsidRPr="00746084" w14:paraId="33483B38" w14:textId="77777777" w:rsidTr="009B0208">
        <w:trPr>
          <w:cnfStyle w:val="100000000000" w:firstRow="1" w:lastRow="0" w:firstColumn="0" w:lastColumn="0" w:oddVBand="0" w:evenVBand="0" w:oddHBand="0"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7792" w:type="dxa"/>
            <w:gridSpan w:val="4"/>
            <w:noWrap/>
            <w:hideMark/>
          </w:tcPr>
          <w:p w14:paraId="33483B37"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Interest Coverage Ratio: EBIT/Interest Expense</w:t>
            </w:r>
          </w:p>
        </w:tc>
      </w:tr>
      <w:tr w:rsidR="00746084" w:rsidRPr="00746084" w14:paraId="33483B3D" w14:textId="77777777" w:rsidTr="00817AE7">
        <w:trPr>
          <w:cnfStyle w:val="000000100000" w:firstRow="0" w:lastRow="0" w:firstColumn="0" w:lastColumn="0" w:oddVBand="0" w:evenVBand="0" w:oddHBand="1"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39"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1291" w:type="dxa"/>
            <w:noWrap/>
            <w:hideMark/>
          </w:tcPr>
          <w:p w14:paraId="33483B3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EBIT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2457" w:type="dxa"/>
            <w:noWrap/>
            <w:hideMark/>
          </w:tcPr>
          <w:p w14:paraId="33483B3B"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Interest Expense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3175" w:type="dxa"/>
            <w:noWrap/>
            <w:hideMark/>
          </w:tcPr>
          <w:p w14:paraId="33483B3C"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Interest Cover Ratio</w:t>
            </w:r>
            <w:r w:rsidR="00817AE7" w:rsidRPr="00746084">
              <w:rPr>
                <w:rFonts w:ascii="Times New Roman" w:eastAsia="Times New Roman" w:hAnsi="Times New Roman" w:cs="Times New Roman"/>
                <w:b/>
                <w:bCs/>
                <w:i/>
                <w:iCs/>
                <w:color w:val="000000" w:themeColor="text1"/>
                <w:sz w:val="24"/>
                <w:szCs w:val="24"/>
                <w:lang w:eastAsia="en-GB"/>
              </w:rPr>
              <w:t xml:space="preserv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r>
      <w:tr w:rsidR="00746084" w:rsidRPr="00746084" w14:paraId="33483B42" w14:textId="77777777" w:rsidTr="00817AE7">
        <w:trPr>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3E"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1291" w:type="dxa"/>
            <w:noWrap/>
            <w:hideMark/>
          </w:tcPr>
          <w:p w14:paraId="33483B3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580.1</w:t>
            </w:r>
          </w:p>
        </w:tc>
        <w:tc>
          <w:tcPr>
            <w:tcW w:w="2457" w:type="dxa"/>
            <w:noWrap/>
            <w:hideMark/>
          </w:tcPr>
          <w:p w14:paraId="33483B40"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40.9</w:t>
            </w:r>
          </w:p>
        </w:tc>
        <w:tc>
          <w:tcPr>
            <w:tcW w:w="3175" w:type="dxa"/>
            <w:noWrap/>
            <w:hideMark/>
          </w:tcPr>
          <w:p w14:paraId="33483B41"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14.18</w:t>
            </w:r>
          </w:p>
        </w:tc>
      </w:tr>
      <w:tr w:rsidR="00746084" w:rsidRPr="00746084" w14:paraId="33483B47" w14:textId="77777777" w:rsidTr="00817AE7">
        <w:trPr>
          <w:cnfStyle w:val="000000100000" w:firstRow="0" w:lastRow="0" w:firstColumn="0" w:lastColumn="0" w:oddVBand="0" w:evenVBand="0" w:oddHBand="1"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43"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1291" w:type="dxa"/>
            <w:noWrap/>
            <w:hideMark/>
          </w:tcPr>
          <w:p w14:paraId="33483B44"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364.2</w:t>
            </w:r>
          </w:p>
        </w:tc>
        <w:tc>
          <w:tcPr>
            <w:tcW w:w="2457" w:type="dxa"/>
            <w:noWrap/>
            <w:hideMark/>
          </w:tcPr>
          <w:p w14:paraId="33483B45"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147.3</w:t>
            </w:r>
          </w:p>
        </w:tc>
        <w:tc>
          <w:tcPr>
            <w:tcW w:w="3175" w:type="dxa"/>
            <w:noWrap/>
            <w:hideMark/>
          </w:tcPr>
          <w:p w14:paraId="33483B46"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2.47</w:t>
            </w:r>
          </w:p>
        </w:tc>
      </w:tr>
      <w:tr w:rsidR="00746084" w:rsidRPr="00746084" w14:paraId="33483B4C" w14:textId="77777777" w:rsidTr="00817AE7">
        <w:trPr>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48"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1291" w:type="dxa"/>
            <w:noWrap/>
            <w:hideMark/>
          </w:tcPr>
          <w:p w14:paraId="33483B49"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424.2</w:t>
            </w:r>
          </w:p>
        </w:tc>
        <w:tc>
          <w:tcPr>
            <w:tcW w:w="2457" w:type="dxa"/>
            <w:noWrap/>
            <w:hideMark/>
          </w:tcPr>
          <w:p w14:paraId="33483B4A"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128.3</w:t>
            </w:r>
          </w:p>
        </w:tc>
        <w:tc>
          <w:tcPr>
            <w:tcW w:w="3175" w:type="dxa"/>
            <w:noWrap/>
            <w:hideMark/>
          </w:tcPr>
          <w:p w14:paraId="33483B4B"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3.31</w:t>
            </w:r>
          </w:p>
        </w:tc>
      </w:tr>
      <w:tr w:rsidR="00746084" w:rsidRPr="00746084" w14:paraId="33483B51" w14:textId="77777777" w:rsidTr="00817AE7">
        <w:trPr>
          <w:cnfStyle w:val="000000100000" w:firstRow="0" w:lastRow="0" w:firstColumn="0" w:lastColumn="0" w:oddVBand="0" w:evenVBand="0" w:oddHBand="1" w:evenHBand="0" w:firstRowFirstColumn="0" w:firstRowLastColumn="0" w:lastRowFirstColumn="0" w:lastRowLastColumn="0"/>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4D"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1291" w:type="dxa"/>
            <w:noWrap/>
            <w:hideMark/>
          </w:tcPr>
          <w:p w14:paraId="33483B4E"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-853.6</w:t>
            </w:r>
          </w:p>
        </w:tc>
        <w:tc>
          <w:tcPr>
            <w:tcW w:w="2457" w:type="dxa"/>
            <w:noWrap/>
            <w:hideMark/>
          </w:tcPr>
          <w:p w14:paraId="33483B4F"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147.5</w:t>
            </w:r>
          </w:p>
        </w:tc>
        <w:tc>
          <w:tcPr>
            <w:tcW w:w="3175" w:type="dxa"/>
            <w:noWrap/>
            <w:hideMark/>
          </w:tcPr>
          <w:p w14:paraId="33483B5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-5.79</w:t>
            </w:r>
          </w:p>
        </w:tc>
      </w:tr>
      <w:tr w:rsidR="00746084" w:rsidRPr="00746084" w14:paraId="33483B56" w14:textId="77777777" w:rsidTr="00817AE7">
        <w:trPr>
          <w:trHeight w:val="271"/>
          <w:jc w:val="center"/>
        </w:trPr>
        <w:tc>
          <w:tcPr>
            <w:cnfStyle w:val="001000000000" w:firstRow="0" w:lastRow="0" w:firstColumn="1" w:lastColumn="0" w:oddVBand="0" w:evenVBand="0" w:oddHBand="0" w:evenHBand="0" w:firstRowFirstColumn="0" w:firstRowLastColumn="0" w:lastRowFirstColumn="0" w:lastRowLastColumn="0"/>
            <w:tcW w:w="869" w:type="dxa"/>
            <w:noWrap/>
            <w:hideMark/>
          </w:tcPr>
          <w:p w14:paraId="33483B52"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1291" w:type="dxa"/>
            <w:noWrap/>
            <w:hideMark/>
          </w:tcPr>
          <w:p w14:paraId="33483B53"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229.3</w:t>
            </w:r>
          </w:p>
        </w:tc>
        <w:tc>
          <w:tcPr>
            <w:tcW w:w="2457" w:type="dxa"/>
            <w:noWrap/>
            <w:hideMark/>
          </w:tcPr>
          <w:p w14:paraId="33483B54"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166.6</w:t>
            </w:r>
          </w:p>
        </w:tc>
        <w:tc>
          <w:tcPr>
            <w:tcW w:w="3175" w:type="dxa"/>
            <w:noWrap/>
            <w:hideMark/>
          </w:tcPr>
          <w:p w14:paraId="33483B5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1.38</w:t>
            </w:r>
          </w:p>
        </w:tc>
      </w:tr>
    </w:tbl>
    <w:p w14:paraId="33483B57" w14:textId="77777777" w:rsidR="00817AE7" w:rsidRPr="00746084" w:rsidRDefault="00817AE7" w:rsidP="002361A6">
      <w:pPr>
        <w:spacing w:line="240" w:lineRule="auto"/>
        <w:rPr>
          <w:rFonts w:ascii="Times New Roman" w:hAnsi="Times New Roman" w:cs="Times New Roman"/>
          <w:color w:val="000000" w:themeColor="text1"/>
          <w:sz w:val="24"/>
          <w:szCs w:val="24"/>
          <w:shd w:val="clear" w:color="auto" w:fill="FFFFFF"/>
        </w:rPr>
      </w:pPr>
    </w:p>
    <w:p w14:paraId="33483B58" w14:textId="77777777" w:rsidR="00817AE7" w:rsidRPr="00746084" w:rsidRDefault="00C33193" w:rsidP="00D148CA">
      <w:pPr>
        <w:spacing w:line="360" w:lineRule="auto"/>
        <w:jc w:val="both"/>
        <w:rPr>
          <w:rFonts w:ascii="Times New Roman" w:hAnsi="Times New Roman" w:cs="Times New Roman"/>
          <w:color w:val="000000" w:themeColor="text1"/>
          <w:sz w:val="24"/>
          <w:szCs w:val="24"/>
          <w:shd w:val="clear" w:color="auto" w:fill="FFFFFF"/>
        </w:rPr>
      </w:pPr>
      <w:r w:rsidRPr="00746084">
        <w:rPr>
          <w:rFonts w:ascii="Times New Roman" w:hAnsi="Times New Roman" w:cs="Times New Roman"/>
          <w:noProof/>
          <w:color w:val="000000" w:themeColor="text1"/>
          <w:sz w:val="24"/>
          <w:szCs w:val="24"/>
          <w:lang w:eastAsia="en-GB"/>
        </w:rPr>
        <w:lastRenderedPageBreak/>
        <mc:AlternateContent>
          <mc:Choice Requires="wps">
            <w:drawing>
              <wp:anchor distT="0" distB="0" distL="114300" distR="114300" simplePos="0" relativeHeight="251696128" behindDoc="1" locked="0" layoutInCell="1" allowOverlap="1" wp14:anchorId="33483D53" wp14:editId="33483D54">
                <wp:simplePos x="0" y="0"/>
                <wp:positionH relativeFrom="column">
                  <wp:posOffset>28575</wp:posOffset>
                </wp:positionH>
                <wp:positionV relativeFrom="paragraph">
                  <wp:posOffset>4620260</wp:posOffset>
                </wp:positionV>
                <wp:extent cx="586867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7" w14:textId="77777777" w:rsidR="00604A5F" w:rsidRPr="005C5D91"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7</w:t>
                              </w:r>
                            </w:fldSimple>
                            <w:r>
                              <w:t xml:space="preserve"> - </w:t>
                            </w:r>
                            <w:r w:rsidRPr="00537E13">
                              <w:t>Interest Coverage Ratio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53" id="Text Box 16" o:spid="_x0000_s1032" type="#_x0000_t202" style="position:absolute;left:0;text-align:left;margin-left:2.25pt;margin-top:363.8pt;width:462.1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" stroked="f">
                <v:textbox style="mso-fit-shape-to-text:t" inset="0,0,0,0">
                  <w:txbxContent>
                    <w:p w14:paraId="33483D67" w14:textId="77777777" w:rsidR="00604A5F" w:rsidRPr="005C5D91"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7</w:t>
                        </w:r>
                      </w:fldSimple>
                      <w:r>
                        <w:t xml:space="preserve"> - </w:t>
                      </w:r>
                      <w:r w:rsidRPr="00537E13">
                        <w:t>Interest Coverage Ratio - Whitbread Plc (2018 to 2022)</w:t>
                      </w:r>
                    </w:p>
                  </w:txbxContent>
                </v:textbox>
                <w10:wrap type="tight"/>
              </v:shape>
            </w:pict>
          </mc:Fallback>
        </mc:AlternateContent>
      </w:r>
      <w:r w:rsidR="00D148CA" w:rsidRPr="00746084">
        <w:rPr>
          <w:rFonts w:ascii="Times New Roman" w:hAnsi="Times New Roman" w:cs="Times New Roman"/>
          <w:noProof/>
          <w:color w:val="000000" w:themeColor="text1"/>
          <w:sz w:val="24"/>
          <w:szCs w:val="24"/>
          <w:lang w:eastAsia="en-GB"/>
        </w:rPr>
        <w:drawing>
          <wp:anchor distT="0" distB="0" distL="114300" distR="114300" simplePos="0" relativeHeight="251667456" behindDoc="0" locked="0" layoutInCell="1" allowOverlap="1" wp14:anchorId="33483D55" wp14:editId="33483D56">
            <wp:simplePos x="0" y="0"/>
            <wp:positionH relativeFrom="margin">
              <wp:align>center</wp:align>
            </wp:positionH>
            <wp:positionV relativeFrom="paragraph">
              <wp:posOffset>2384051</wp:posOffset>
            </wp:positionV>
            <wp:extent cx="5868670" cy="2179320"/>
            <wp:effectExtent l="0" t="0" r="17780" b="11430"/>
            <wp:wrapTight wrapText="bothSides">
              <wp:wrapPolygon edited="0">
                <wp:start x="0" y="0"/>
                <wp:lineTo x="0" y="21524"/>
                <wp:lineTo x="21595" y="21524"/>
                <wp:lineTo x="21595"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817AE7" w:rsidRPr="00746084">
        <w:rPr>
          <w:rFonts w:ascii="Times New Roman" w:hAnsi="Times New Roman" w:cs="Times New Roman"/>
          <w:color w:val="000000" w:themeColor="text1"/>
          <w:sz w:val="24"/>
          <w:szCs w:val="24"/>
          <w:shd w:val="clear" w:color="auto" w:fill="FFFFFF"/>
        </w:rPr>
        <w:t>Interest coverage ratio is </w:t>
      </w:r>
      <w:r w:rsidR="00817AE7" w:rsidRPr="00746084">
        <w:rPr>
          <w:rStyle w:val="Emphasis"/>
          <w:rFonts w:ascii="Times New Roman" w:hAnsi="Times New Roman" w:cs="Times New Roman"/>
          <w:bCs/>
          <w:i w:val="0"/>
          <w:iCs w:val="0"/>
          <w:color w:val="000000" w:themeColor="text1"/>
          <w:sz w:val="24"/>
          <w:szCs w:val="24"/>
          <w:shd w:val="clear" w:color="auto" w:fill="FFFFFF"/>
        </w:rPr>
        <w:t>another financial metrics that refers to the ability of the company in paying interest on its outstanding debt</w:t>
      </w:r>
      <w:r w:rsidR="00817AE7" w:rsidRPr="00746084">
        <w:rPr>
          <w:rFonts w:ascii="Times New Roman" w:hAnsi="Times New Roman" w:cs="Times New Roman"/>
          <w:color w:val="000000" w:themeColor="text1"/>
          <w:sz w:val="24"/>
          <w:szCs w:val="24"/>
          <w:shd w:val="clear" w:color="auto" w:fill="FFFFFF"/>
        </w:rPr>
        <w:t xml:space="preserve">. Generally, the higher ratio </w:t>
      </w:r>
      <w:r w:rsidR="00C22081" w:rsidRPr="00746084">
        <w:rPr>
          <w:rFonts w:ascii="Times New Roman" w:hAnsi="Times New Roman" w:cs="Times New Roman"/>
          <w:color w:val="000000" w:themeColor="text1"/>
          <w:sz w:val="24"/>
          <w:szCs w:val="24"/>
          <w:shd w:val="clear" w:color="auto" w:fill="FFFFFF"/>
        </w:rPr>
        <w:t xml:space="preserve">(i.e. greater than two) </w:t>
      </w:r>
      <w:r w:rsidR="00817AE7" w:rsidRPr="00746084">
        <w:rPr>
          <w:rFonts w:ascii="Times New Roman" w:hAnsi="Times New Roman" w:cs="Times New Roman"/>
          <w:color w:val="000000" w:themeColor="text1"/>
          <w:sz w:val="24"/>
          <w:szCs w:val="24"/>
          <w:shd w:val="clear" w:color="auto" w:fill="FFFFFF"/>
        </w:rPr>
        <w:t>is more attractive for the investors, and it implies that company can easily pay its interest expense, or vice-versa. However, in the case study of Whitbread Plc, its interest covering ratio has been fell with time</w:t>
      </w:r>
      <w:r w:rsidR="00C22081" w:rsidRPr="00746084">
        <w:rPr>
          <w:rFonts w:ascii="Times New Roman" w:hAnsi="Times New Roman" w:cs="Times New Roman"/>
          <w:color w:val="000000" w:themeColor="text1"/>
          <w:sz w:val="24"/>
          <w:szCs w:val="24"/>
          <w:shd w:val="clear" w:color="auto" w:fill="FFFFFF"/>
        </w:rPr>
        <w:t>, and it recorded a negative in 2021. The decrease in interest rate attributed to increase rate of interest rate, and other costs which tends to decrease in EBIT and interest coverage ratio (</w:t>
      </w:r>
      <w:r w:rsidR="00C25362" w:rsidRPr="00746084">
        <w:rPr>
          <w:rFonts w:ascii="Times New Roman" w:hAnsi="Times New Roman" w:cs="Times New Roman"/>
          <w:color w:val="000000" w:themeColor="text1"/>
          <w:sz w:val="24"/>
          <w:szCs w:val="24"/>
          <w:shd w:val="clear" w:color="auto" w:fill="FFFFFF"/>
        </w:rPr>
        <w:t>The Guardian Newspaper, 2022</w:t>
      </w:r>
      <w:r w:rsidR="00C22081" w:rsidRPr="00746084">
        <w:rPr>
          <w:rFonts w:ascii="Times New Roman" w:hAnsi="Times New Roman" w:cs="Times New Roman"/>
          <w:color w:val="000000" w:themeColor="text1"/>
          <w:sz w:val="24"/>
          <w:szCs w:val="24"/>
          <w:shd w:val="clear" w:color="auto" w:fill="FFFFFF"/>
        </w:rPr>
        <w:t>). Thus, it is essential for company to seek alternative ways, and strategic decisions making to overall improve its financial stability. These trends in interest coverage ratio can also be explained with the graph line, as shown below:</w:t>
      </w:r>
    </w:p>
    <w:p w14:paraId="33483B59" w14:textId="77777777" w:rsidR="009B0208" w:rsidRPr="00746084" w:rsidRDefault="009B0208" w:rsidP="002361A6">
      <w:pPr>
        <w:spacing w:line="240" w:lineRule="auto"/>
        <w:rPr>
          <w:rFonts w:ascii="Times New Roman" w:hAnsi="Times New Roman" w:cs="Times New Roman"/>
          <w:color w:val="000000" w:themeColor="text1"/>
          <w:sz w:val="24"/>
          <w:szCs w:val="24"/>
          <w:lang w:val="en-US"/>
        </w:rPr>
      </w:pPr>
    </w:p>
    <w:p w14:paraId="33483B5A" w14:textId="77777777" w:rsidR="009B0208" w:rsidRPr="00746084" w:rsidRDefault="009B0208" w:rsidP="002361A6">
      <w:pPr>
        <w:pStyle w:val="Heading3"/>
        <w:spacing w:line="240" w:lineRule="auto"/>
        <w:rPr>
          <w:rFonts w:cs="Times New Roman"/>
          <w:lang w:val="en-US"/>
        </w:rPr>
      </w:pPr>
      <w:bookmarkStart w:id="20" w:name="_Toc121233977"/>
      <w:r w:rsidRPr="00746084">
        <w:rPr>
          <w:rFonts w:cs="Times New Roman"/>
          <w:lang w:val="en-US"/>
        </w:rPr>
        <w:t>Debt to Equity Ratio</w:t>
      </w:r>
      <w:bookmarkEnd w:id="20"/>
    </w:p>
    <w:p w14:paraId="33483B5B" w14:textId="77777777" w:rsidR="00983CA7" w:rsidRPr="00746084" w:rsidRDefault="00983CA7" w:rsidP="002361A6">
      <w:pPr>
        <w:pStyle w:val="Caption"/>
        <w:keepNext/>
        <w:jc w:val="center"/>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Table </w:t>
      </w:r>
      <w:r w:rsidRPr="00746084">
        <w:rPr>
          <w:rFonts w:ascii="Times New Roman" w:hAnsi="Times New Roman" w:cs="Times New Roman"/>
          <w:color w:val="000000" w:themeColor="text1"/>
          <w:sz w:val="24"/>
          <w:szCs w:val="24"/>
        </w:rPr>
        <w:fldChar w:fldCharType="begin"/>
      </w:r>
      <w:r w:rsidRPr="00746084">
        <w:rPr>
          <w:rFonts w:ascii="Times New Roman" w:hAnsi="Times New Roman" w:cs="Times New Roman"/>
          <w:color w:val="000000" w:themeColor="text1"/>
          <w:sz w:val="24"/>
          <w:szCs w:val="24"/>
        </w:rPr>
        <w:instrText xml:space="preserve"> SEQ Table \* ARABIC </w:instrText>
      </w:r>
      <w:r w:rsidRPr="00746084">
        <w:rPr>
          <w:rFonts w:ascii="Times New Roman" w:hAnsi="Times New Roman" w:cs="Times New Roman"/>
          <w:color w:val="000000" w:themeColor="text1"/>
          <w:sz w:val="24"/>
          <w:szCs w:val="24"/>
        </w:rPr>
        <w:fldChar w:fldCharType="separate"/>
      </w:r>
      <w:r w:rsidRPr="00746084">
        <w:rPr>
          <w:rFonts w:ascii="Times New Roman" w:hAnsi="Times New Roman" w:cs="Times New Roman"/>
          <w:noProof/>
          <w:color w:val="000000" w:themeColor="text1"/>
          <w:sz w:val="24"/>
          <w:szCs w:val="24"/>
        </w:rPr>
        <w:t>8</w:t>
      </w:r>
      <w:r w:rsidRPr="00746084">
        <w:rPr>
          <w:rFonts w:ascii="Times New Roman" w:hAnsi="Times New Roman" w:cs="Times New Roman"/>
          <w:color w:val="000000" w:themeColor="text1"/>
          <w:sz w:val="24"/>
          <w:szCs w:val="24"/>
        </w:rPr>
        <w:fldChar w:fldCharType="end"/>
      </w:r>
      <w:r w:rsidRPr="00746084">
        <w:rPr>
          <w:rFonts w:ascii="Times New Roman" w:hAnsi="Times New Roman" w:cs="Times New Roman"/>
          <w:color w:val="000000" w:themeColor="text1"/>
          <w:sz w:val="24"/>
          <w:szCs w:val="24"/>
        </w:rPr>
        <w:t xml:space="preserve"> – Debt to Equity Ratio - </w:t>
      </w:r>
      <w:r w:rsidR="002361A6" w:rsidRPr="00746084">
        <w:rPr>
          <w:rFonts w:ascii="Times New Roman" w:hAnsi="Times New Roman" w:cs="Times New Roman"/>
          <w:color w:val="000000" w:themeColor="text1"/>
          <w:sz w:val="24"/>
          <w:szCs w:val="24"/>
        </w:rPr>
        <w:t>Whitbread</w:t>
      </w:r>
      <w:r w:rsidRPr="00746084">
        <w:rPr>
          <w:rFonts w:ascii="Times New Roman" w:hAnsi="Times New Roman" w:cs="Times New Roman"/>
          <w:color w:val="000000" w:themeColor="text1"/>
          <w:sz w:val="24"/>
          <w:szCs w:val="24"/>
        </w:rPr>
        <w:t xml:space="preserve"> Plc (2018 to 2022)</w:t>
      </w:r>
    </w:p>
    <w:tbl>
      <w:tblPr>
        <w:tblStyle w:val="PlainTable2"/>
        <w:tblW w:w="7552" w:type="dxa"/>
        <w:jc w:val="center"/>
        <w:tblLook w:val="04A0" w:firstRow="1" w:lastRow="0" w:firstColumn="1" w:lastColumn="0" w:noHBand="0" w:noVBand="1"/>
      </w:tblPr>
      <w:tblGrid>
        <w:gridCol w:w="1020"/>
        <w:gridCol w:w="2084"/>
        <w:gridCol w:w="1363"/>
        <w:gridCol w:w="3085"/>
      </w:tblGrid>
      <w:tr w:rsidR="00746084" w:rsidRPr="00746084" w14:paraId="33483B5D" w14:textId="77777777" w:rsidTr="009B0208">
        <w:trPr>
          <w:cnfStyle w:val="100000000000" w:firstRow="1" w:lastRow="0" w:firstColumn="0" w:lastColumn="0" w:oddVBand="0" w:evenVBand="0" w:oddHBand="0"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7552" w:type="dxa"/>
            <w:gridSpan w:val="4"/>
            <w:noWrap/>
            <w:hideMark/>
          </w:tcPr>
          <w:p w14:paraId="33483B5C"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Debt/Equity Ratio: Total Debt/Total Equity</w:t>
            </w:r>
          </w:p>
        </w:tc>
      </w:tr>
      <w:tr w:rsidR="00746084" w:rsidRPr="00746084" w14:paraId="33483B62"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5E" w14:textId="77777777" w:rsidR="009B0208" w:rsidRPr="00746084" w:rsidRDefault="009B0208" w:rsidP="002361A6">
            <w:pPr>
              <w:jc w:val="center"/>
              <w:rPr>
                <w:rFonts w:ascii="Times New Roman" w:eastAsia="Times New Roman" w:hAnsi="Times New Roman" w:cs="Times New Roman"/>
                <w:i/>
                <w:iCs/>
                <w:color w:val="000000" w:themeColor="text1"/>
                <w:sz w:val="24"/>
                <w:szCs w:val="24"/>
                <w:lang w:eastAsia="en-GB"/>
              </w:rPr>
            </w:pPr>
            <w:r w:rsidRPr="00746084">
              <w:rPr>
                <w:rFonts w:ascii="Times New Roman" w:eastAsia="Times New Roman" w:hAnsi="Times New Roman" w:cs="Times New Roman"/>
                <w:i/>
                <w:iCs/>
                <w:color w:val="000000" w:themeColor="text1"/>
                <w:sz w:val="24"/>
                <w:szCs w:val="24"/>
                <w:lang w:eastAsia="en-GB"/>
              </w:rPr>
              <w:t xml:space="preserve"> Year </w:t>
            </w:r>
          </w:p>
        </w:tc>
        <w:tc>
          <w:tcPr>
            <w:tcW w:w="2084" w:type="dxa"/>
            <w:noWrap/>
            <w:hideMark/>
          </w:tcPr>
          <w:p w14:paraId="33483B5F"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Total Debt</w:t>
            </w:r>
            <w:r w:rsidR="00817AE7" w:rsidRPr="00746084">
              <w:rPr>
                <w:rFonts w:ascii="Times New Roman" w:eastAsia="Times New Roman" w:hAnsi="Times New Roman" w:cs="Times New Roman"/>
                <w:b/>
                <w:bCs/>
                <w:i/>
                <w:iCs/>
                <w:color w:val="000000" w:themeColor="text1"/>
                <w:sz w:val="24"/>
                <w:szCs w:val="24"/>
                <w:lang w:eastAsia="en-GB"/>
              </w:rPr>
              <w:t xml:space="preserv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1363" w:type="dxa"/>
            <w:noWrap/>
            <w:hideMark/>
          </w:tcPr>
          <w:p w14:paraId="33483B60"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 xml:space="preserve"> Equity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c>
          <w:tcPr>
            <w:tcW w:w="3085" w:type="dxa"/>
            <w:hideMark/>
          </w:tcPr>
          <w:p w14:paraId="33483B61"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i/>
                <w:iCs/>
                <w:color w:val="000000" w:themeColor="text1"/>
                <w:sz w:val="24"/>
                <w:szCs w:val="24"/>
                <w:lang w:eastAsia="en-GB"/>
              </w:rPr>
            </w:pPr>
            <w:r w:rsidRPr="00746084">
              <w:rPr>
                <w:rFonts w:ascii="Times New Roman" w:eastAsia="Times New Roman" w:hAnsi="Times New Roman" w:cs="Times New Roman"/>
                <w:b/>
                <w:bCs/>
                <w:i/>
                <w:iCs/>
                <w:color w:val="000000" w:themeColor="text1"/>
                <w:sz w:val="24"/>
                <w:szCs w:val="24"/>
                <w:lang w:eastAsia="en-GB"/>
              </w:rPr>
              <w:t>Debt to Equity Ratio</w:t>
            </w:r>
            <w:r w:rsidR="00817AE7" w:rsidRPr="00746084">
              <w:rPr>
                <w:rFonts w:ascii="Times New Roman" w:eastAsia="Times New Roman" w:hAnsi="Times New Roman" w:cs="Times New Roman"/>
                <w:b/>
                <w:bCs/>
                <w:i/>
                <w:iCs/>
                <w:color w:val="000000" w:themeColor="text1"/>
                <w:sz w:val="24"/>
                <w:szCs w:val="24"/>
                <w:lang w:eastAsia="en-GB"/>
              </w:rPr>
              <w:t xml:space="preserve"> </w:t>
            </w:r>
            <w:r w:rsidR="00817AE7" w:rsidRPr="00746084">
              <w:rPr>
                <w:rFonts w:ascii="Times New Roman" w:hAnsi="Times New Roman" w:cs="Times New Roman"/>
                <w:b/>
                <w:color w:val="000000" w:themeColor="text1"/>
                <w:sz w:val="24"/>
                <w:szCs w:val="24"/>
              </w:rPr>
              <w:t>£m</w:t>
            </w:r>
            <w:r w:rsidR="00817AE7" w:rsidRPr="00746084">
              <w:rPr>
                <w:rFonts w:ascii="Times New Roman" w:eastAsia="Times New Roman" w:hAnsi="Times New Roman" w:cs="Times New Roman"/>
                <w:b/>
                <w:bCs/>
                <w:i/>
                <w:iCs/>
                <w:color w:val="000000" w:themeColor="text1"/>
                <w:sz w:val="24"/>
                <w:szCs w:val="24"/>
                <w:lang w:eastAsia="en-GB"/>
              </w:rPr>
              <w:t xml:space="preserve">  </w:t>
            </w:r>
          </w:p>
        </w:tc>
      </w:tr>
      <w:tr w:rsidR="00746084" w:rsidRPr="00746084" w14:paraId="33483B67"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63"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2084" w:type="dxa"/>
            <w:noWrap/>
            <w:hideMark/>
          </w:tcPr>
          <w:p w14:paraId="33483B64"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4816.8</w:t>
            </w:r>
          </w:p>
        </w:tc>
        <w:tc>
          <w:tcPr>
            <w:tcW w:w="1363" w:type="dxa"/>
            <w:noWrap/>
            <w:hideMark/>
          </w:tcPr>
          <w:p w14:paraId="33483B65"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2582.1</w:t>
            </w:r>
          </w:p>
        </w:tc>
        <w:tc>
          <w:tcPr>
            <w:tcW w:w="3085" w:type="dxa"/>
            <w:noWrap/>
            <w:hideMark/>
          </w:tcPr>
          <w:p w14:paraId="33483B66"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1.87</w:t>
            </w:r>
          </w:p>
        </w:tc>
      </w:tr>
      <w:tr w:rsidR="00746084" w:rsidRPr="00746084" w14:paraId="33483B6C"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68"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2084" w:type="dxa"/>
            <w:noWrap/>
            <w:hideMark/>
          </w:tcPr>
          <w:p w14:paraId="33483B69"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4381.6</w:t>
            </w:r>
          </w:p>
        </w:tc>
        <w:tc>
          <w:tcPr>
            <w:tcW w:w="1363" w:type="dxa"/>
            <w:noWrap/>
            <w:hideMark/>
          </w:tcPr>
          <w:p w14:paraId="33483B6A"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5652.7</w:t>
            </w:r>
          </w:p>
        </w:tc>
        <w:tc>
          <w:tcPr>
            <w:tcW w:w="3085" w:type="dxa"/>
            <w:noWrap/>
            <w:hideMark/>
          </w:tcPr>
          <w:p w14:paraId="33483B6B"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0.78</w:t>
            </w:r>
          </w:p>
        </w:tc>
      </w:tr>
      <w:tr w:rsidR="00746084" w:rsidRPr="00746084" w14:paraId="33483B71"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6D"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2084" w:type="dxa"/>
            <w:noWrap/>
            <w:hideMark/>
          </w:tcPr>
          <w:p w14:paraId="33483B6E"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4076.7</w:t>
            </w:r>
          </w:p>
        </w:tc>
        <w:tc>
          <w:tcPr>
            <w:tcW w:w="1363" w:type="dxa"/>
            <w:noWrap/>
            <w:hideMark/>
          </w:tcPr>
          <w:p w14:paraId="33483B6F"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3748.8</w:t>
            </w:r>
          </w:p>
        </w:tc>
        <w:tc>
          <w:tcPr>
            <w:tcW w:w="3085" w:type="dxa"/>
            <w:noWrap/>
            <w:hideMark/>
          </w:tcPr>
          <w:p w14:paraId="33483B70"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1.09</w:t>
            </w:r>
          </w:p>
        </w:tc>
      </w:tr>
      <w:tr w:rsidR="00746084" w:rsidRPr="00746084" w14:paraId="33483B76" w14:textId="77777777" w:rsidTr="00983CA7">
        <w:trPr>
          <w:cnfStyle w:val="000000100000" w:firstRow="0" w:lastRow="0" w:firstColumn="0" w:lastColumn="0" w:oddVBand="0" w:evenVBand="0" w:oddHBand="1" w:evenHBand="0" w:firstRowFirstColumn="0" w:firstRowLastColumn="0" w:lastRowFirstColumn="0" w:lastRowLastColumn="0"/>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72"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2084" w:type="dxa"/>
            <w:noWrap/>
            <w:hideMark/>
          </w:tcPr>
          <w:p w14:paraId="33483B73"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4964.5</w:t>
            </w:r>
          </w:p>
        </w:tc>
        <w:tc>
          <w:tcPr>
            <w:tcW w:w="1363" w:type="dxa"/>
            <w:noWrap/>
            <w:hideMark/>
          </w:tcPr>
          <w:p w14:paraId="33483B74"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3834.1</w:t>
            </w:r>
          </w:p>
        </w:tc>
        <w:tc>
          <w:tcPr>
            <w:tcW w:w="3085" w:type="dxa"/>
            <w:noWrap/>
            <w:hideMark/>
          </w:tcPr>
          <w:p w14:paraId="33483B75" w14:textId="77777777" w:rsidR="009B0208" w:rsidRPr="00746084" w:rsidRDefault="009B0208" w:rsidP="002361A6">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1.29</w:t>
            </w:r>
          </w:p>
        </w:tc>
      </w:tr>
      <w:tr w:rsidR="00746084" w:rsidRPr="00746084" w14:paraId="33483B7B" w14:textId="77777777" w:rsidTr="00983CA7">
        <w:trPr>
          <w:trHeight w:val="262"/>
          <w:jc w:val="center"/>
        </w:trPr>
        <w:tc>
          <w:tcPr>
            <w:cnfStyle w:val="001000000000" w:firstRow="0" w:lastRow="0" w:firstColumn="1" w:lastColumn="0" w:oddVBand="0" w:evenVBand="0" w:oddHBand="0" w:evenHBand="0" w:firstRowFirstColumn="0" w:firstRowLastColumn="0" w:lastRowFirstColumn="0" w:lastRowLastColumn="0"/>
            <w:tcW w:w="1020" w:type="dxa"/>
            <w:noWrap/>
            <w:hideMark/>
          </w:tcPr>
          <w:p w14:paraId="33483B77" w14:textId="77777777" w:rsidR="009B0208" w:rsidRPr="00746084" w:rsidRDefault="009B0208" w:rsidP="002361A6">
            <w:pPr>
              <w:jc w:val="cente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c>
          <w:tcPr>
            <w:tcW w:w="2084" w:type="dxa"/>
            <w:noWrap/>
            <w:hideMark/>
          </w:tcPr>
          <w:p w14:paraId="33483B78"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5447.5</w:t>
            </w:r>
          </w:p>
        </w:tc>
        <w:tc>
          <w:tcPr>
            <w:tcW w:w="1363" w:type="dxa"/>
            <w:noWrap/>
            <w:hideMark/>
          </w:tcPr>
          <w:p w14:paraId="33483B79"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4119</w:t>
            </w:r>
          </w:p>
        </w:tc>
        <w:tc>
          <w:tcPr>
            <w:tcW w:w="3085" w:type="dxa"/>
            <w:noWrap/>
            <w:hideMark/>
          </w:tcPr>
          <w:p w14:paraId="33483B7A" w14:textId="77777777" w:rsidR="009B0208" w:rsidRPr="00746084" w:rsidRDefault="009B0208" w:rsidP="002361A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1.32</w:t>
            </w:r>
          </w:p>
        </w:tc>
      </w:tr>
    </w:tbl>
    <w:p w14:paraId="33483B7C" w14:textId="77777777" w:rsidR="00C22081" w:rsidRPr="00746084" w:rsidRDefault="00C22081" w:rsidP="002361A6">
      <w:pPr>
        <w:spacing w:line="240" w:lineRule="auto"/>
        <w:rPr>
          <w:rFonts w:ascii="Times New Roman" w:hAnsi="Times New Roman" w:cs="Times New Roman"/>
          <w:color w:val="000000" w:themeColor="text1"/>
          <w:sz w:val="24"/>
          <w:szCs w:val="24"/>
          <w:lang w:val="en-US"/>
        </w:rPr>
      </w:pPr>
    </w:p>
    <w:p w14:paraId="33483B7D" w14:textId="77777777" w:rsidR="00983CA7" w:rsidRPr="00746084" w:rsidRDefault="00C33193" w:rsidP="00D148CA">
      <w:pPr>
        <w:spacing w:line="360" w:lineRule="auto"/>
        <w:jc w:val="both"/>
        <w:rPr>
          <w:rFonts w:ascii="Times New Roman" w:hAnsi="Times New Roman" w:cs="Times New Roman"/>
          <w:color w:val="000000" w:themeColor="text1"/>
          <w:sz w:val="24"/>
          <w:szCs w:val="24"/>
        </w:rPr>
      </w:pPr>
      <w:r w:rsidRPr="00746084">
        <w:rPr>
          <w:rFonts w:ascii="Times New Roman" w:hAnsi="Times New Roman" w:cs="Times New Roman"/>
          <w:noProof/>
          <w:color w:val="000000" w:themeColor="text1"/>
          <w:sz w:val="24"/>
          <w:szCs w:val="24"/>
          <w:lang w:eastAsia="en-GB"/>
        </w:rPr>
        <w:lastRenderedPageBreak/>
        <mc:AlternateContent>
          <mc:Choice Requires="wps">
            <w:drawing>
              <wp:anchor distT="0" distB="0" distL="114300" distR="114300" simplePos="0" relativeHeight="251698176" behindDoc="1" locked="0" layoutInCell="1" allowOverlap="1" wp14:anchorId="33483D57" wp14:editId="33483D58">
                <wp:simplePos x="0" y="0"/>
                <wp:positionH relativeFrom="column">
                  <wp:posOffset>0</wp:posOffset>
                </wp:positionH>
                <wp:positionV relativeFrom="paragraph">
                  <wp:posOffset>4358005</wp:posOffset>
                </wp:positionV>
                <wp:extent cx="586867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a:effectLst/>
                      </wps:spPr>
                      <wps:txbx>
                        <w:txbxContent>
                          <w:p w14:paraId="33483D68" w14:textId="77777777" w:rsidR="00604A5F" w:rsidRPr="00243C4C"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8</w:t>
                              </w:r>
                            </w:fldSimple>
                            <w:r>
                              <w:t xml:space="preserve"> - </w:t>
                            </w:r>
                            <w:r w:rsidRPr="005C0577">
                              <w:t>Debt to Equity Ratio - Whitbread Plc (2018 to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483D57" id="Text Box 17" o:spid="_x0000_s1033" type="#_x0000_t202" style="position:absolute;left:0;text-align:left;margin-left:0;margin-top:343.15pt;width:462.1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" stroked="f">
                <v:textbox style="mso-fit-shape-to-text:t" inset="0,0,0,0">
                  <w:txbxContent>
                    <w:p w14:paraId="33483D68" w14:textId="77777777" w:rsidR="00604A5F" w:rsidRPr="00243C4C" w:rsidRDefault="00604A5F" w:rsidP="00C33193">
                      <w:pPr>
                        <w:pStyle w:val="Caption"/>
                        <w:jc w:val="center"/>
                        <w:rPr>
                          <w:rFonts w:ascii="Times New Roman" w:hAnsi="Times New Roman" w:cs="Times New Roman"/>
                          <w:noProof/>
                          <w:sz w:val="24"/>
                          <w:szCs w:val="24"/>
                        </w:rPr>
                      </w:pPr>
                      <w:r>
                        <w:t xml:space="preserve">Figure </w:t>
                      </w:r>
                      <w:fldSimple w:instr=" SEQ Figure \* ARABIC ">
                        <w:r>
                          <w:rPr>
                            <w:noProof/>
                          </w:rPr>
                          <w:t>8</w:t>
                        </w:r>
                      </w:fldSimple>
                      <w:r>
                        <w:t xml:space="preserve"> - </w:t>
                      </w:r>
                      <w:r w:rsidRPr="005C0577">
                        <w:t>Debt to Equity Ratio - Whitbread Plc (2018 to 2022)</w:t>
                      </w:r>
                    </w:p>
                  </w:txbxContent>
                </v:textbox>
                <w10:wrap type="tight"/>
              </v:shape>
            </w:pict>
          </mc:Fallback>
        </mc:AlternateContent>
      </w:r>
      <w:r w:rsidR="00D148CA" w:rsidRPr="00746084">
        <w:rPr>
          <w:rFonts w:ascii="Times New Roman" w:hAnsi="Times New Roman" w:cs="Times New Roman"/>
          <w:noProof/>
          <w:color w:val="000000" w:themeColor="text1"/>
          <w:sz w:val="24"/>
          <w:szCs w:val="24"/>
          <w:lang w:eastAsia="en-GB"/>
        </w:rPr>
        <w:drawing>
          <wp:anchor distT="0" distB="0" distL="114300" distR="114300" simplePos="0" relativeHeight="251679744" behindDoc="0" locked="0" layoutInCell="1" allowOverlap="1" wp14:anchorId="33483D59" wp14:editId="33483D5A">
            <wp:simplePos x="0" y="0"/>
            <wp:positionH relativeFrom="margin">
              <wp:align>left</wp:align>
            </wp:positionH>
            <wp:positionV relativeFrom="paragraph">
              <wp:posOffset>2122114</wp:posOffset>
            </wp:positionV>
            <wp:extent cx="5868670" cy="2179320"/>
            <wp:effectExtent l="0" t="0" r="17780" b="11430"/>
            <wp:wrapTight wrapText="bothSides">
              <wp:wrapPolygon edited="0">
                <wp:start x="0" y="0"/>
                <wp:lineTo x="0" y="21524"/>
                <wp:lineTo x="21595" y="21524"/>
                <wp:lineTo x="21595" y="0"/>
                <wp:lineTo x="0" y="0"/>
              </wp:wrapPolygon>
            </wp:wrapTight>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00C22081" w:rsidRPr="00746084">
        <w:rPr>
          <w:rFonts w:ascii="Times New Roman" w:hAnsi="Times New Roman" w:cs="Times New Roman"/>
          <w:color w:val="000000" w:themeColor="text1"/>
          <w:sz w:val="24"/>
          <w:szCs w:val="24"/>
          <w:lang w:val="en-US"/>
        </w:rPr>
        <w:t xml:space="preserve">Debt to equity is another financial metric, and it is generally considered good lower than </w:t>
      </w:r>
      <w:r w:rsidR="00D148CA" w:rsidRPr="00746084">
        <w:rPr>
          <w:rFonts w:ascii="Times New Roman" w:hAnsi="Times New Roman" w:cs="Times New Roman"/>
          <w:color w:val="000000" w:themeColor="text1"/>
          <w:sz w:val="24"/>
          <w:szCs w:val="24"/>
          <w:lang w:val="en-US"/>
        </w:rPr>
        <w:t>1</w:t>
      </w:r>
      <w:r w:rsidR="00C22081" w:rsidRPr="00746084">
        <w:rPr>
          <w:rFonts w:ascii="Times New Roman" w:hAnsi="Times New Roman" w:cs="Times New Roman"/>
          <w:color w:val="000000" w:themeColor="text1"/>
          <w:sz w:val="24"/>
          <w:szCs w:val="24"/>
          <w:lang w:val="en-US"/>
        </w:rPr>
        <w:t xml:space="preserve"> (</w:t>
      </w:r>
      <w:proofErr w:type="spellStart"/>
      <w:r w:rsidR="00C25362" w:rsidRPr="00746084">
        <w:rPr>
          <w:rFonts w:ascii="Times New Roman" w:hAnsi="Times New Roman" w:cs="Times New Roman"/>
          <w:color w:val="000000" w:themeColor="text1"/>
          <w:sz w:val="24"/>
          <w:szCs w:val="24"/>
          <w:lang w:val="en-US"/>
        </w:rPr>
        <w:t>Bhimani</w:t>
      </w:r>
      <w:proofErr w:type="spellEnd"/>
      <w:r w:rsidR="00C25362" w:rsidRPr="00746084">
        <w:rPr>
          <w:rFonts w:ascii="Times New Roman" w:hAnsi="Times New Roman" w:cs="Times New Roman"/>
          <w:color w:val="000000" w:themeColor="text1"/>
          <w:sz w:val="24"/>
          <w:szCs w:val="24"/>
          <w:lang w:val="en-US"/>
        </w:rPr>
        <w:t>, 2017</w:t>
      </w:r>
      <w:r w:rsidR="00C22081" w:rsidRPr="00746084">
        <w:rPr>
          <w:rFonts w:ascii="Times New Roman" w:hAnsi="Times New Roman" w:cs="Times New Roman"/>
          <w:color w:val="000000" w:themeColor="text1"/>
          <w:sz w:val="24"/>
          <w:szCs w:val="24"/>
          <w:lang w:val="en-US"/>
        </w:rPr>
        <w:t xml:space="preserve">). Referring to the above table, it can be seen that company’s debt to equity is found to </w:t>
      </w:r>
      <w:r w:rsidR="00D148CA" w:rsidRPr="00746084">
        <w:rPr>
          <w:rFonts w:ascii="Times New Roman" w:hAnsi="Times New Roman" w:cs="Times New Roman"/>
          <w:color w:val="000000" w:themeColor="text1"/>
          <w:sz w:val="24"/>
          <w:szCs w:val="24"/>
          <w:lang w:val="en-US"/>
        </w:rPr>
        <w:t xml:space="preserve">be greater than 1 </w:t>
      </w:r>
      <w:r w:rsidR="00C22081" w:rsidRPr="00746084">
        <w:rPr>
          <w:rFonts w:ascii="Times New Roman" w:hAnsi="Times New Roman" w:cs="Times New Roman"/>
          <w:color w:val="000000" w:themeColor="text1"/>
          <w:sz w:val="24"/>
          <w:szCs w:val="24"/>
          <w:lang w:val="en-US"/>
        </w:rPr>
        <w:t xml:space="preserve">over the time period, which implies that </w:t>
      </w:r>
      <w:r w:rsidR="00C22081" w:rsidRPr="00746084">
        <w:rPr>
          <w:rFonts w:ascii="Times New Roman" w:hAnsi="Times New Roman" w:cs="Times New Roman"/>
          <w:color w:val="000000" w:themeColor="text1"/>
          <w:sz w:val="24"/>
          <w:szCs w:val="24"/>
        </w:rPr>
        <w:t xml:space="preserve">that </w:t>
      </w:r>
      <w:r w:rsidR="00D148CA" w:rsidRPr="00746084">
        <w:rPr>
          <w:rFonts w:ascii="Times New Roman" w:hAnsi="Times New Roman" w:cs="Times New Roman"/>
          <w:color w:val="000000" w:themeColor="text1"/>
          <w:sz w:val="24"/>
          <w:szCs w:val="24"/>
        </w:rPr>
        <w:t xml:space="preserve">company’s higher amount of assets are financed through using debt than equities. As it can be seen that it was recorded as 1.87 in 2018, 0.78 in 2019, 1.09 in 2020, 1.29 in 2021, and 1.32 in 2022. Thus, it is essential for company to restructure its debt, and pay-off loans to attract the investors, and overall maintain their position at market place. </w:t>
      </w:r>
      <w:r w:rsidR="00A66119" w:rsidRPr="00746084">
        <w:rPr>
          <w:rFonts w:ascii="Times New Roman" w:hAnsi="Times New Roman" w:cs="Times New Roman"/>
          <w:color w:val="000000" w:themeColor="text1"/>
          <w:sz w:val="24"/>
          <w:szCs w:val="24"/>
        </w:rPr>
        <w:t xml:space="preserve">These trends in debt to equity ratio can also be explained with the help of graph line, shown below: </w:t>
      </w:r>
    </w:p>
    <w:p w14:paraId="33483B7E" w14:textId="77777777" w:rsidR="00D148CA" w:rsidRPr="00746084" w:rsidRDefault="00D148CA" w:rsidP="00D148CA">
      <w:pPr>
        <w:spacing w:line="240" w:lineRule="auto"/>
        <w:jc w:val="both"/>
        <w:rPr>
          <w:rFonts w:ascii="Times New Roman" w:hAnsi="Times New Roman" w:cs="Times New Roman"/>
          <w:color w:val="000000" w:themeColor="text1"/>
          <w:sz w:val="24"/>
          <w:szCs w:val="24"/>
          <w:lang w:val="en-US"/>
        </w:rPr>
      </w:pPr>
    </w:p>
    <w:p w14:paraId="33483B7F" w14:textId="77777777" w:rsidR="00913EAE" w:rsidRPr="00746084" w:rsidRDefault="00913EAE" w:rsidP="00746084">
      <w:pPr>
        <w:pStyle w:val="Heading1"/>
        <w:rPr>
          <w:rFonts w:cs="Times New Roman"/>
          <w:szCs w:val="24"/>
          <w:lang w:val="en-US"/>
        </w:rPr>
      </w:pPr>
      <w:bookmarkStart w:id="21" w:name="_Toc121233978"/>
      <w:r w:rsidRPr="00746084">
        <w:rPr>
          <w:rFonts w:cs="Times New Roman"/>
          <w:szCs w:val="24"/>
          <w:lang w:val="en-US"/>
        </w:rPr>
        <w:t>Conclusion</w:t>
      </w:r>
      <w:bookmarkEnd w:id="21"/>
      <w:r w:rsidRPr="00746084">
        <w:rPr>
          <w:rFonts w:cs="Times New Roman"/>
          <w:szCs w:val="24"/>
          <w:lang w:val="en-US"/>
        </w:rPr>
        <w:t xml:space="preserve"> </w:t>
      </w:r>
    </w:p>
    <w:p w14:paraId="33483B80" w14:textId="77777777" w:rsidR="0094091B" w:rsidRPr="00746084" w:rsidRDefault="0094091B" w:rsidP="00C33193">
      <w:pPr>
        <w:spacing w:line="360" w:lineRule="auto"/>
        <w:ind w:firstLine="720"/>
        <w:jc w:val="both"/>
        <w:rPr>
          <w:rFonts w:ascii="Times New Roman" w:hAnsi="Times New Roman" w:cs="Times New Roman"/>
          <w:color w:val="000000" w:themeColor="text1"/>
          <w:sz w:val="24"/>
          <w:szCs w:val="24"/>
          <w:lang w:val="en-US"/>
        </w:rPr>
      </w:pPr>
      <w:r w:rsidRPr="00746084">
        <w:rPr>
          <w:rFonts w:ascii="Times New Roman" w:hAnsi="Times New Roman" w:cs="Times New Roman"/>
          <w:color w:val="000000" w:themeColor="text1"/>
          <w:sz w:val="24"/>
          <w:szCs w:val="24"/>
          <w:lang w:val="en-US"/>
        </w:rPr>
        <w:t xml:space="preserve">The main emphasis of this assessment was to </w:t>
      </w:r>
      <w:proofErr w:type="spellStart"/>
      <w:r w:rsidRPr="00746084">
        <w:rPr>
          <w:rFonts w:ascii="Times New Roman" w:hAnsi="Times New Roman" w:cs="Times New Roman"/>
          <w:color w:val="000000" w:themeColor="text1"/>
          <w:sz w:val="24"/>
          <w:szCs w:val="24"/>
          <w:lang w:val="en-US"/>
        </w:rPr>
        <w:t>analyse</w:t>
      </w:r>
      <w:proofErr w:type="spellEnd"/>
      <w:r w:rsidRPr="00746084">
        <w:rPr>
          <w:rFonts w:ascii="Times New Roman" w:hAnsi="Times New Roman" w:cs="Times New Roman"/>
          <w:color w:val="000000" w:themeColor="text1"/>
          <w:sz w:val="24"/>
          <w:szCs w:val="24"/>
          <w:lang w:val="en-US"/>
        </w:rPr>
        <w:t xml:space="preserve"> the</w:t>
      </w:r>
      <w:r w:rsidRPr="00746084">
        <w:rPr>
          <w:rFonts w:ascii="Times New Roman" w:hAnsi="Times New Roman" w:cs="Times New Roman"/>
          <w:color w:val="000000" w:themeColor="text1"/>
          <w:sz w:val="24"/>
          <w:szCs w:val="24"/>
        </w:rPr>
        <w:t xml:space="preserve"> financial performance of the company operate in Hotels and Entertainment sector from the FTSE 350 listing companies, and for the purpose of this Whitbread Plc WBD was chosen. Hence finding revealed that company’s profitability, liquidity, gearing, and efficiency ratios have been significantly declined from 2019 to 2021. The primary reason of decline in these ratio was due to negative influence of Covid-19 and increasing rate of inflation. However, </w:t>
      </w:r>
      <w:r w:rsidRPr="00746084">
        <w:rPr>
          <w:rFonts w:ascii="Times New Roman" w:hAnsi="Times New Roman" w:cs="Times New Roman"/>
          <w:color w:val="000000" w:themeColor="text1"/>
          <w:sz w:val="24"/>
          <w:szCs w:val="24"/>
          <w:lang w:val="en-US"/>
        </w:rPr>
        <w:t>in 2022 there is a slight improvement in financial position of Whitbread, as company used different strategies, perks, and benefits to target back its customers</w:t>
      </w:r>
      <w:r w:rsidR="00181CDF" w:rsidRPr="00746084">
        <w:rPr>
          <w:rFonts w:ascii="Times New Roman" w:hAnsi="Times New Roman" w:cs="Times New Roman"/>
          <w:color w:val="000000" w:themeColor="text1"/>
          <w:sz w:val="24"/>
          <w:szCs w:val="24"/>
          <w:lang w:val="en-US"/>
        </w:rPr>
        <w:t>.</w:t>
      </w:r>
    </w:p>
    <w:p w14:paraId="33483B81" w14:textId="77777777" w:rsidR="0094091B" w:rsidRPr="00746084" w:rsidRDefault="0094091B">
      <w:pPr>
        <w:rPr>
          <w:rFonts w:ascii="Times New Roman" w:eastAsiaTheme="majorEastAsia" w:hAnsi="Times New Roman" w:cs="Times New Roman"/>
          <w:b/>
          <w:color w:val="000000" w:themeColor="text1"/>
          <w:sz w:val="24"/>
          <w:szCs w:val="24"/>
          <w:lang w:val="en-US"/>
        </w:rPr>
      </w:pPr>
      <w:r w:rsidRPr="00746084">
        <w:rPr>
          <w:rFonts w:ascii="Times New Roman" w:hAnsi="Times New Roman" w:cs="Times New Roman"/>
          <w:color w:val="000000" w:themeColor="text1"/>
          <w:sz w:val="24"/>
          <w:szCs w:val="24"/>
          <w:lang w:val="en-US"/>
        </w:rPr>
        <w:br w:type="page"/>
      </w:r>
    </w:p>
    <w:p w14:paraId="33483B82" w14:textId="77777777" w:rsidR="00B175AD" w:rsidRPr="00746084" w:rsidRDefault="00B175AD" w:rsidP="00746084">
      <w:pPr>
        <w:pStyle w:val="Heading1"/>
        <w:rPr>
          <w:rFonts w:cs="Times New Roman"/>
          <w:szCs w:val="24"/>
          <w:lang w:val="en-US"/>
        </w:rPr>
      </w:pPr>
      <w:bookmarkStart w:id="22" w:name="_Toc121233979"/>
      <w:r w:rsidRPr="00746084">
        <w:rPr>
          <w:rFonts w:cs="Times New Roman"/>
          <w:szCs w:val="24"/>
          <w:lang w:val="en-US"/>
        </w:rPr>
        <w:lastRenderedPageBreak/>
        <w:t>References</w:t>
      </w:r>
      <w:bookmarkEnd w:id="22"/>
    </w:p>
    <w:p w14:paraId="33483B83" w14:textId="77777777" w:rsidR="0006263A" w:rsidRPr="00746084" w:rsidRDefault="0006263A" w:rsidP="0006263A">
      <w:pPr>
        <w:spacing w:line="360" w:lineRule="auto"/>
        <w:jc w:val="both"/>
        <w:rPr>
          <w:rFonts w:ascii="Times New Roman" w:hAnsi="Times New Roman" w:cs="Times New Roman"/>
          <w:color w:val="000000" w:themeColor="text1"/>
          <w:sz w:val="24"/>
          <w:szCs w:val="24"/>
          <w:lang w:val="en-US"/>
        </w:rPr>
      </w:pPr>
      <w:proofErr w:type="spellStart"/>
      <w:r w:rsidRPr="00746084">
        <w:rPr>
          <w:rFonts w:ascii="Times New Roman" w:hAnsi="Times New Roman" w:cs="Times New Roman"/>
          <w:color w:val="000000" w:themeColor="text1"/>
          <w:sz w:val="24"/>
          <w:szCs w:val="24"/>
          <w:lang w:val="en-US"/>
        </w:rPr>
        <w:t>Atrill</w:t>
      </w:r>
      <w:proofErr w:type="spellEnd"/>
      <w:r w:rsidRPr="00746084">
        <w:rPr>
          <w:rFonts w:ascii="Times New Roman" w:hAnsi="Times New Roman" w:cs="Times New Roman"/>
          <w:color w:val="000000" w:themeColor="text1"/>
          <w:sz w:val="24"/>
          <w:szCs w:val="24"/>
          <w:lang w:val="en-US"/>
        </w:rPr>
        <w:t xml:space="preserve">, P., 2017. </w:t>
      </w:r>
      <w:r w:rsidRPr="00746084">
        <w:rPr>
          <w:rFonts w:ascii="Times New Roman" w:hAnsi="Times New Roman" w:cs="Times New Roman"/>
          <w:i/>
          <w:color w:val="000000" w:themeColor="text1"/>
          <w:sz w:val="24"/>
          <w:szCs w:val="24"/>
          <w:lang w:val="en-US"/>
        </w:rPr>
        <w:t>Financial Management for Decision Makers</w:t>
      </w:r>
      <w:r w:rsidRPr="00746084">
        <w:rPr>
          <w:rFonts w:ascii="Times New Roman" w:hAnsi="Times New Roman" w:cs="Times New Roman"/>
          <w:color w:val="000000" w:themeColor="text1"/>
          <w:sz w:val="24"/>
          <w:szCs w:val="24"/>
          <w:lang w:val="en-US"/>
        </w:rPr>
        <w:t xml:space="preserve">. 8th </w:t>
      </w:r>
      <w:proofErr w:type="spellStart"/>
      <w:r w:rsidRPr="00746084">
        <w:rPr>
          <w:rFonts w:ascii="Times New Roman" w:hAnsi="Times New Roman" w:cs="Times New Roman"/>
          <w:bCs/>
          <w:color w:val="000000" w:themeColor="text1"/>
          <w:sz w:val="24"/>
          <w:szCs w:val="24"/>
          <w:lang w:val="en-US" w:eastAsia="en-GB"/>
        </w:rPr>
        <w:t>edn</w:t>
      </w:r>
      <w:proofErr w:type="spellEnd"/>
      <w:r w:rsidRPr="00746084">
        <w:rPr>
          <w:rFonts w:ascii="Times New Roman" w:hAnsi="Times New Roman" w:cs="Times New Roman"/>
          <w:bCs/>
          <w:color w:val="000000" w:themeColor="text1"/>
          <w:sz w:val="24"/>
          <w:szCs w:val="24"/>
          <w:lang w:val="en-US" w:eastAsia="en-GB"/>
        </w:rPr>
        <w:t>.</w:t>
      </w:r>
      <w:r w:rsidRPr="00746084">
        <w:rPr>
          <w:rFonts w:ascii="Times New Roman" w:hAnsi="Times New Roman" w:cs="Times New Roman"/>
          <w:color w:val="000000" w:themeColor="text1"/>
          <w:sz w:val="24"/>
          <w:szCs w:val="24"/>
          <w:lang w:val="en-US"/>
        </w:rPr>
        <w:t xml:space="preserve"> Pearson.</w:t>
      </w:r>
    </w:p>
    <w:p w14:paraId="33483B84"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bookmarkStart w:id="23" w:name="_Hlk121161388"/>
      <w:proofErr w:type="spellStart"/>
      <w:r w:rsidRPr="00746084">
        <w:rPr>
          <w:rFonts w:ascii="Times New Roman" w:hAnsi="Times New Roman" w:cs="Times New Roman"/>
          <w:color w:val="000000" w:themeColor="text1"/>
        </w:rPr>
        <w:t>Bazot</w:t>
      </w:r>
      <w:proofErr w:type="spellEnd"/>
      <w:r w:rsidRPr="00746084">
        <w:rPr>
          <w:rFonts w:ascii="Times New Roman" w:hAnsi="Times New Roman" w:cs="Times New Roman"/>
          <w:color w:val="000000" w:themeColor="text1"/>
        </w:rPr>
        <w:t>, G., 2018</w:t>
      </w:r>
      <w:bookmarkEnd w:id="23"/>
      <w:r w:rsidRPr="00746084">
        <w:rPr>
          <w:rFonts w:ascii="Times New Roman" w:hAnsi="Times New Roman" w:cs="Times New Roman"/>
          <w:color w:val="000000" w:themeColor="text1"/>
        </w:rPr>
        <w:t>. Financial consumption and the cost of finance: Measuring financial efficiency in Europe (1950–2007). </w:t>
      </w:r>
      <w:r w:rsidRPr="00746084">
        <w:rPr>
          <w:rFonts w:ascii="Times New Roman" w:hAnsi="Times New Roman" w:cs="Times New Roman"/>
          <w:i/>
          <w:iCs/>
          <w:color w:val="000000" w:themeColor="text1"/>
        </w:rPr>
        <w:t>Journal of the European Economic Association</w:t>
      </w:r>
      <w:r w:rsidRPr="00746084">
        <w:rPr>
          <w:rFonts w:ascii="Times New Roman" w:hAnsi="Times New Roman" w:cs="Times New Roman"/>
          <w:color w:val="000000" w:themeColor="text1"/>
        </w:rPr>
        <w:t>, </w:t>
      </w:r>
      <w:r w:rsidRPr="00746084">
        <w:rPr>
          <w:rFonts w:ascii="Times New Roman" w:hAnsi="Times New Roman" w:cs="Times New Roman"/>
          <w:i/>
          <w:iCs/>
          <w:color w:val="000000" w:themeColor="text1"/>
        </w:rPr>
        <w:t>16</w:t>
      </w:r>
      <w:r w:rsidRPr="00746084">
        <w:rPr>
          <w:rFonts w:ascii="Times New Roman" w:hAnsi="Times New Roman" w:cs="Times New Roman"/>
          <w:color w:val="000000" w:themeColor="text1"/>
        </w:rPr>
        <w:t>(1), pp.123-160.</w:t>
      </w:r>
    </w:p>
    <w:p w14:paraId="33483B85"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lang w:val="en-US"/>
        </w:rPr>
      </w:pPr>
      <w:proofErr w:type="spellStart"/>
      <w:r w:rsidRPr="00746084">
        <w:rPr>
          <w:rFonts w:ascii="Times New Roman" w:hAnsi="Times New Roman" w:cs="Times New Roman"/>
          <w:color w:val="000000" w:themeColor="text1"/>
          <w:sz w:val="24"/>
          <w:szCs w:val="24"/>
          <w:lang w:val="en-US"/>
        </w:rPr>
        <w:t>Bhimani</w:t>
      </w:r>
      <w:proofErr w:type="spellEnd"/>
      <w:r w:rsidRPr="00746084">
        <w:rPr>
          <w:rFonts w:ascii="Times New Roman" w:hAnsi="Times New Roman" w:cs="Times New Roman"/>
          <w:color w:val="000000" w:themeColor="text1"/>
          <w:sz w:val="24"/>
          <w:szCs w:val="24"/>
          <w:lang w:val="en-US"/>
        </w:rPr>
        <w:t xml:space="preserve">, A., 2017. </w:t>
      </w:r>
      <w:r w:rsidRPr="00746084">
        <w:rPr>
          <w:rFonts w:ascii="Times New Roman" w:hAnsi="Times New Roman" w:cs="Times New Roman"/>
          <w:i/>
          <w:color w:val="000000" w:themeColor="text1"/>
          <w:sz w:val="24"/>
          <w:szCs w:val="24"/>
          <w:lang w:val="en-US"/>
        </w:rPr>
        <w:t>Financial Management for technology Start-ups: A Handbook for Growth</w:t>
      </w:r>
      <w:r w:rsidRPr="00746084">
        <w:rPr>
          <w:rFonts w:ascii="Times New Roman" w:hAnsi="Times New Roman" w:cs="Times New Roman"/>
          <w:color w:val="000000" w:themeColor="text1"/>
          <w:sz w:val="24"/>
          <w:szCs w:val="24"/>
          <w:lang w:val="en-US"/>
        </w:rPr>
        <w:t>. Kogan Page.</w:t>
      </w:r>
    </w:p>
    <w:p w14:paraId="33483B86"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bookmarkStart w:id="24" w:name="_Hlk121161428"/>
      <w:proofErr w:type="spellStart"/>
      <w:r w:rsidRPr="00746084">
        <w:rPr>
          <w:rFonts w:ascii="Times New Roman" w:hAnsi="Times New Roman" w:cs="Times New Roman"/>
          <w:color w:val="000000" w:themeColor="text1"/>
        </w:rPr>
        <w:t>Fajaria</w:t>
      </w:r>
      <w:proofErr w:type="spellEnd"/>
      <w:r w:rsidRPr="00746084">
        <w:rPr>
          <w:rFonts w:ascii="Times New Roman" w:hAnsi="Times New Roman" w:cs="Times New Roman"/>
          <w:color w:val="000000" w:themeColor="text1"/>
        </w:rPr>
        <w:t xml:space="preserve">, A.Z. and </w:t>
      </w:r>
      <w:proofErr w:type="spellStart"/>
      <w:r w:rsidRPr="00746084">
        <w:rPr>
          <w:rFonts w:ascii="Times New Roman" w:hAnsi="Times New Roman" w:cs="Times New Roman"/>
          <w:color w:val="000000" w:themeColor="text1"/>
        </w:rPr>
        <w:t>Isnalita</w:t>
      </w:r>
      <w:proofErr w:type="spellEnd"/>
      <w:r w:rsidRPr="00746084">
        <w:rPr>
          <w:rFonts w:ascii="Times New Roman" w:hAnsi="Times New Roman" w:cs="Times New Roman"/>
          <w:color w:val="000000" w:themeColor="text1"/>
        </w:rPr>
        <w:t>, N.I.D.N., 2018</w:t>
      </w:r>
      <w:bookmarkEnd w:id="24"/>
      <w:r w:rsidRPr="00746084">
        <w:rPr>
          <w:rFonts w:ascii="Times New Roman" w:hAnsi="Times New Roman" w:cs="Times New Roman"/>
          <w:color w:val="000000" w:themeColor="text1"/>
        </w:rPr>
        <w:t>. The effect of profitability, liquidity, leverage and firm growth of firm value with its dividend policy as a moderating variable. </w:t>
      </w:r>
      <w:r w:rsidRPr="00746084">
        <w:rPr>
          <w:rFonts w:ascii="Times New Roman" w:hAnsi="Times New Roman" w:cs="Times New Roman"/>
          <w:i/>
          <w:iCs/>
          <w:color w:val="000000" w:themeColor="text1"/>
        </w:rPr>
        <w:t>International Journal of Managerial Studies and Research (IJMSR)</w:t>
      </w:r>
      <w:r w:rsidRPr="00746084">
        <w:rPr>
          <w:rFonts w:ascii="Times New Roman" w:hAnsi="Times New Roman" w:cs="Times New Roman"/>
          <w:color w:val="000000" w:themeColor="text1"/>
        </w:rPr>
        <w:t>, </w:t>
      </w:r>
      <w:r w:rsidRPr="00746084">
        <w:rPr>
          <w:rFonts w:ascii="Times New Roman" w:hAnsi="Times New Roman" w:cs="Times New Roman"/>
          <w:i/>
          <w:iCs/>
          <w:color w:val="000000" w:themeColor="text1"/>
        </w:rPr>
        <w:t>6</w:t>
      </w:r>
      <w:r w:rsidRPr="00746084">
        <w:rPr>
          <w:rFonts w:ascii="Times New Roman" w:hAnsi="Times New Roman" w:cs="Times New Roman"/>
          <w:color w:val="000000" w:themeColor="text1"/>
        </w:rPr>
        <w:t>(10), pp.55-69.</w:t>
      </w:r>
    </w:p>
    <w:p w14:paraId="33483B87"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 xml:space="preserve">Hospitality Insights, 2022. Available at: </w:t>
      </w:r>
      <w:hyperlink r:id="rId17" w:history="1">
        <w:r w:rsidRPr="00746084">
          <w:rPr>
            <w:rStyle w:val="Hyperlink"/>
            <w:rFonts w:ascii="Times New Roman" w:hAnsi="Times New Roman" w:cs="Times New Roman"/>
            <w:color w:val="000000" w:themeColor="text1"/>
            <w:sz w:val="24"/>
            <w:szCs w:val="24"/>
          </w:rPr>
          <w:t>https://www.hospitalityinsights.com/content/whitbread-protects-its-liquidity</w:t>
        </w:r>
      </w:hyperlink>
    </w:p>
    <w:p w14:paraId="33483B88"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bookmarkStart w:id="25" w:name="_Hlk121161306"/>
      <w:proofErr w:type="spellStart"/>
      <w:r w:rsidRPr="00746084">
        <w:rPr>
          <w:rFonts w:ascii="Times New Roman" w:hAnsi="Times New Roman" w:cs="Times New Roman"/>
          <w:color w:val="000000" w:themeColor="text1"/>
        </w:rPr>
        <w:t>Kadim</w:t>
      </w:r>
      <w:bookmarkEnd w:id="25"/>
      <w:proofErr w:type="spellEnd"/>
      <w:r w:rsidRPr="00746084">
        <w:rPr>
          <w:rFonts w:ascii="Times New Roman" w:hAnsi="Times New Roman" w:cs="Times New Roman"/>
          <w:color w:val="000000" w:themeColor="text1"/>
        </w:rPr>
        <w:t xml:space="preserve">, A., </w:t>
      </w:r>
      <w:proofErr w:type="spellStart"/>
      <w:r w:rsidRPr="00746084">
        <w:rPr>
          <w:rFonts w:ascii="Times New Roman" w:hAnsi="Times New Roman" w:cs="Times New Roman"/>
          <w:color w:val="000000" w:themeColor="text1"/>
        </w:rPr>
        <w:t>Sunardi</w:t>
      </w:r>
      <w:proofErr w:type="spellEnd"/>
      <w:r w:rsidRPr="00746084">
        <w:rPr>
          <w:rFonts w:ascii="Times New Roman" w:hAnsi="Times New Roman" w:cs="Times New Roman"/>
          <w:color w:val="000000" w:themeColor="text1"/>
        </w:rPr>
        <w:t xml:space="preserve">, N. and Husain, T., 2020. The </w:t>
      </w:r>
      <w:proofErr w:type="spellStart"/>
      <w:r w:rsidRPr="00746084">
        <w:rPr>
          <w:rFonts w:ascii="Times New Roman" w:hAnsi="Times New Roman" w:cs="Times New Roman"/>
          <w:color w:val="000000" w:themeColor="text1"/>
        </w:rPr>
        <w:t>modeling</w:t>
      </w:r>
      <w:proofErr w:type="spellEnd"/>
      <w:r w:rsidRPr="00746084">
        <w:rPr>
          <w:rFonts w:ascii="Times New Roman" w:hAnsi="Times New Roman" w:cs="Times New Roman"/>
          <w:color w:val="000000" w:themeColor="text1"/>
        </w:rPr>
        <w:t xml:space="preserve"> firm's value based on financial ratios, intellectual capital and dividend policy. </w:t>
      </w:r>
      <w:r w:rsidRPr="00746084">
        <w:rPr>
          <w:rFonts w:ascii="Times New Roman" w:hAnsi="Times New Roman" w:cs="Times New Roman"/>
          <w:i/>
          <w:iCs/>
          <w:color w:val="000000" w:themeColor="text1"/>
        </w:rPr>
        <w:t>Accounting</w:t>
      </w:r>
      <w:r w:rsidRPr="00746084">
        <w:rPr>
          <w:rFonts w:ascii="Times New Roman" w:hAnsi="Times New Roman" w:cs="Times New Roman"/>
          <w:color w:val="000000" w:themeColor="text1"/>
        </w:rPr>
        <w:t>, </w:t>
      </w:r>
      <w:r w:rsidRPr="00746084">
        <w:rPr>
          <w:rFonts w:ascii="Times New Roman" w:hAnsi="Times New Roman" w:cs="Times New Roman"/>
          <w:i/>
          <w:iCs/>
          <w:color w:val="000000" w:themeColor="text1"/>
        </w:rPr>
        <w:t>6</w:t>
      </w:r>
      <w:r w:rsidRPr="00746084">
        <w:rPr>
          <w:rFonts w:ascii="Times New Roman" w:hAnsi="Times New Roman" w:cs="Times New Roman"/>
          <w:color w:val="000000" w:themeColor="text1"/>
        </w:rPr>
        <w:t>(5), pp.859-870.</w:t>
      </w:r>
    </w:p>
    <w:p w14:paraId="33483B89"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46084">
        <w:rPr>
          <w:rFonts w:ascii="Times New Roman" w:hAnsi="Times New Roman" w:cs="Times New Roman"/>
          <w:color w:val="000000" w:themeColor="text1"/>
          <w:sz w:val="24"/>
          <w:szCs w:val="24"/>
          <w:shd w:val="clear" w:color="auto" w:fill="FFFFFF"/>
        </w:rPr>
        <w:t>Langemeier</w:t>
      </w:r>
      <w:proofErr w:type="spellEnd"/>
      <w:r w:rsidRPr="00746084">
        <w:rPr>
          <w:rFonts w:ascii="Times New Roman" w:hAnsi="Times New Roman" w:cs="Times New Roman"/>
          <w:color w:val="000000" w:themeColor="text1"/>
          <w:sz w:val="24"/>
          <w:szCs w:val="24"/>
          <w:shd w:val="clear" w:color="auto" w:fill="FFFFFF"/>
        </w:rPr>
        <w:t>, M. and Yeager, E., 2018. Operating profit margin benchmarks. </w:t>
      </w:r>
      <w:proofErr w:type="spellStart"/>
      <w:r w:rsidRPr="00746084">
        <w:rPr>
          <w:rFonts w:ascii="Times New Roman" w:hAnsi="Times New Roman" w:cs="Times New Roman"/>
          <w:i/>
          <w:iCs/>
          <w:color w:val="000000" w:themeColor="text1"/>
          <w:sz w:val="24"/>
          <w:szCs w:val="24"/>
          <w:shd w:val="clear" w:color="auto" w:fill="FFFFFF"/>
        </w:rPr>
        <w:t>farmdoc</w:t>
      </w:r>
      <w:proofErr w:type="spellEnd"/>
      <w:r w:rsidRPr="00746084">
        <w:rPr>
          <w:rFonts w:ascii="Times New Roman" w:hAnsi="Times New Roman" w:cs="Times New Roman"/>
          <w:i/>
          <w:iCs/>
          <w:color w:val="000000" w:themeColor="text1"/>
          <w:sz w:val="24"/>
          <w:szCs w:val="24"/>
          <w:shd w:val="clear" w:color="auto" w:fill="FFFFFF"/>
        </w:rPr>
        <w:t xml:space="preserve"> daily</w:t>
      </w:r>
      <w:r w:rsidRPr="00746084">
        <w:rPr>
          <w:rFonts w:ascii="Times New Roman" w:hAnsi="Times New Roman" w:cs="Times New Roman"/>
          <w:color w:val="000000" w:themeColor="text1"/>
          <w:sz w:val="24"/>
          <w:szCs w:val="24"/>
          <w:shd w:val="clear" w:color="auto" w:fill="FFFFFF"/>
        </w:rPr>
        <w:t>, </w:t>
      </w:r>
      <w:r w:rsidRPr="00746084">
        <w:rPr>
          <w:rFonts w:ascii="Times New Roman" w:hAnsi="Times New Roman" w:cs="Times New Roman"/>
          <w:i/>
          <w:iCs/>
          <w:color w:val="000000" w:themeColor="text1"/>
          <w:sz w:val="24"/>
          <w:szCs w:val="24"/>
          <w:shd w:val="clear" w:color="auto" w:fill="FFFFFF"/>
        </w:rPr>
        <w:t>8</w:t>
      </w:r>
      <w:r w:rsidRPr="00746084">
        <w:rPr>
          <w:rFonts w:ascii="Times New Roman" w:hAnsi="Times New Roman" w:cs="Times New Roman"/>
          <w:color w:val="000000" w:themeColor="text1"/>
          <w:sz w:val="24"/>
          <w:szCs w:val="24"/>
          <w:shd w:val="clear" w:color="auto" w:fill="FFFFFF"/>
        </w:rPr>
        <w:t>.</w:t>
      </w:r>
    </w:p>
    <w:p w14:paraId="33483B8A"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bookmarkStart w:id="26" w:name="_Hlk121161265"/>
      <w:proofErr w:type="spellStart"/>
      <w:r w:rsidRPr="00746084">
        <w:rPr>
          <w:rFonts w:ascii="Times New Roman" w:hAnsi="Times New Roman" w:cs="Times New Roman"/>
          <w:color w:val="000000" w:themeColor="text1"/>
        </w:rPr>
        <w:t>Madushanka</w:t>
      </w:r>
      <w:proofErr w:type="spellEnd"/>
      <w:r w:rsidRPr="00746084">
        <w:rPr>
          <w:rFonts w:ascii="Times New Roman" w:hAnsi="Times New Roman" w:cs="Times New Roman"/>
          <w:color w:val="000000" w:themeColor="text1"/>
        </w:rPr>
        <w:t xml:space="preserve">, K.H.I. and </w:t>
      </w:r>
      <w:proofErr w:type="spellStart"/>
      <w:r w:rsidRPr="00746084">
        <w:rPr>
          <w:rFonts w:ascii="Times New Roman" w:hAnsi="Times New Roman" w:cs="Times New Roman"/>
          <w:color w:val="000000" w:themeColor="text1"/>
        </w:rPr>
        <w:t>Jathurika</w:t>
      </w:r>
      <w:proofErr w:type="spellEnd"/>
      <w:r w:rsidRPr="00746084">
        <w:rPr>
          <w:rFonts w:ascii="Times New Roman" w:hAnsi="Times New Roman" w:cs="Times New Roman"/>
          <w:color w:val="000000" w:themeColor="text1"/>
        </w:rPr>
        <w:t>, M., 2018</w:t>
      </w:r>
      <w:bookmarkEnd w:id="26"/>
      <w:r w:rsidRPr="00746084">
        <w:rPr>
          <w:rFonts w:ascii="Times New Roman" w:hAnsi="Times New Roman" w:cs="Times New Roman"/>
          <w:color w:val="000000" w:themeColor="text1"/>
        </w:rPr>
        <w:t>. The impact of liquidity ratios on profitability. </w:t>
      </w:r>
      <w:r w:rsidRPr="00746084">
        <w:rPr>
          <w:rFonts w:ascii="Times New Roman" w:hAnsi="Times New Roman" w:cs="Times New Roman"/>
          <w:i/>
          <w:iCs/>
          <w:color w:val="000000" w:themeColor="text1"/>
        </w:rPr>
        <w:t>International Research Journal of Advanced Engineering and Science</w:t>
      </w:r>
      <w:r w:rsidRPr="00746084">
        <w:rPr>
          <w:rFonts w:ascii="Times New Roman" w:hAnsi="Times New Roman" w:cs="Times New Roman"/>
          <w:color w:val="000000" w:themeColor="text1"/>
        </w:rPr>
        <w:t>, </w:t>
      </w:r>
      <w:r w:rsidRPr="00746084">
        <w:rPr>
          <w:rFonts w:ascii="Times New Roman" w:hAnsi="Times New Roman" w:cs="Times New Roman"/>
          <w:i/>
          <w:iCs/>
          <w:color w:val="000000" w:themeColor="text1"/>
        </w:rPr>
        <w:t>3</w:t>
      </w:r>
      <w:r w:rsidRPr="00746084">
        <w:rPr>
          <w:rFonts w:ascii="Times New Roman" w:hAnsi="Times New Roman" w:cs="Times New Roman"/>
          <w:color w:val="000000" w:themeColor="text1"/>
        </w:rPr>
        <w:t>(4), pp.157-161.</w:t>
      </w:r>
    </w:p>
    <w:p w14:paraId="33483B8B"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rPr>
        <w:t>Morning star. Available at: https://tools.morningstar.co.uk/uk/stockreport/default.aspx?tab=10&amp;vw=bs&amp;SecurityToken=0P000080E9%5D3%5D0%5DE0WWE%24%24ALL&amp;Id=0P000080E9&amp;ClientFund=0&amp;CurrencyId=BAS</w:t>
      </w:r>
    </w:p>
    <w:p w14:paraId="33483B8C"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bookmarkStart w:id="27" w:name="_Hlk121161347"/>
      <w:proofErr w:type="spellStart"/>
      <w:r w:rsidRPr="00746084">
        <w:rPr>
          <w:rFonts w:ascii="Times New Roman" w:hAnsi="Times New Roman" w:cs="Times New Roman"/>
          <w:color w:val="000000" w:themeColor="text1"/>
        </w:rPr>
        <w:t>Mukhtarov</w:t>
      </w:r>
      <w:bookmarkEnd w:id="27"/>
      <w:proofErr w:type="spellEnd"/>
      <w:r w:rsidRPr="00746084">
        <w:rPr>
          <w:rFonts w:ascii="Times New Roman" w:hAnsi="Times New Roman" w:cs="Times New Roman"/>
          <w:color w:val="000000" w:themeColor="text1"/>
        </w:rPr>
        <w:t xml:space="preserve">, S., </w:t>
      </w:r>
      <w:proofErr w:type="spellStart"/>
      <w:r w:rsidRPr="00746084">
        <w:rPr>
          <w:rFonts w:ascii="Times New Roman" w:hAnsi="Times New Roman" w:cs="Times New Roman"/>
          <w:color w:val="000000" w:themeColor="text1"/>
        </w:rPr>
        <w:t>Schoute</w:t>
      </w:r>
      <w:proofErr w:type="spellEnd"/>
      <w:r w:rsidRPr="00746084">
        <w:rPr>
          <w:rFonts w:ascii="Times New Roman" w:hAnsi="Times New Roman" w:cs="Times New Roman"/>
          <w:color w:val="000000" w:themeColor="text1"/>
        </w:rPr>
        <w:t xml:space="preserve">, M. and </w:t>
      </w:r>
      <w:proofErr w:type="spellStart"/>
      <w:r w:rsidRPr="00746084">
        <w:rPr>
          <w:rFonts w:ascii="Times New Roman" w:hAnsi="Times New Roman" w:cs="Times New Roman"/>
          <w:color w:val="000000" w:themeColor="text1"/>
        </w:rPr>
        <w:t>Wielhouwer</w:t>
      </w:r>
      <w:proofErr w:type="spellEnd"/>
      <w:r w:rsidRPr="00746084">
        <w:rPr>
          <w:rFonts w:ascii="Times New Roman" w:hAnsi="Times New Roman" w:cs="Times New Roman"/>
          <w:color w:val="000000" w:themeColor="text1"/>
        </w:rPr>
        <w:t>, J.L., 2022. The information content of the Solvency II ratio relative to earnings. </w:t>
      </w:r>
      <w:r w:rsidRPr="00746084">
        <w:rPr>
          <w:rFonts w:ascii="Times New Roman" w:hAnsi="Times New Roman" w:cs="Times New Roman"/>
          <w:i/>
          <w:iCs/>
          <w:color w:val="000000" w:themeColor="text1"/>
        </w:rPr>
        <w:t>Journal of Risk and Insurance</w:t>
      </w:r>
      <w:r w:rsidRPr="00746084">
        <w:rPr>
          <w:rFonts w:ascii="Times New Roman" w:hAnsi="Times New Roman" w:cs="Times New Roman"/>
          <w:color w:val="000000" w:themeColor="text1"/>
        </w:rPr>
        <w:t>, </w:t>
      </w:r>
      <w:r w:rsidRPr="00746084">
        <w:rPr>
          <w:rFonts w:ascii="Times New Roman" w:hAnsi="Times New Roman" w:cs="Times New Roman"/>
          <w:i/>
          <w:iCs/>
          <w:color w:val="000000" w:themeColor="text1"/>
        </w:rPr>
        <w:t>89</w:t>
      </w:r>
      <w:r w:rsidRPr="00746084">
        <w:rPr>
          <w:rFonts w:ascii="Times New Roman" w:hAnsi="Times New Roman" w:cs="Times New Roman"/>
          <w:color w:val="000000" w:themeColor="text1"/>
        </w:rPr>
        <w:t>(1), pp.237-266.</w:t>
      </w:r>
    </w:p>
    <w:p w14:paraId="33483B8D"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46084">
        <w:rPr>
          <w:rFonts w:ascii="Times New Roman" w:hAnsi="Times New Roman" w:cs="Times New Roman"/>
          <w:color w:val="000000" w:themeColor="text1"/>
          <w:sz w:val="24"/>
          <w:szCs w:val="24"/>
          <w:shd w:val="clear" w:color="auto" w:fill="FFFFFF"/>
        </w:rPr>
        <w:t>Nuryani</w:t>
      </w:r>
      <w:proofErr w:type="spellEnd"/>
      <w:r w:rsidRPr="00746084">
        <w:rPr>
          <w:rFonts w:ascii="Times New Roman" w:hAnsi="Times New Roman" w:cs="Times New Roman"/>
          <w:color w:val="000000" w:themeColor="text1"/>
          <w:sz w:val="24"/>
          <w:szCs w:val="24"/>
          <w:shd w:val="clear" w:color="auto" w:fill="FFFFFF"/>
        </w:rPr>
        <w:t xml:space="preserve">, Y. and </w:t>
      </w:r>
      <w:proofErr w:type="spellStart"/>
      <w:r w:rsidRPr="00746084">
        <w:rPr>
          <w:rFonts w:ascii="Times New Roman" w:hAnsi="Times New Roman" w:cs="Times New Roman"/>
          <w:color w:val="000000" w:themeColor="text1"/>
          <w:sz w:val="24"/>
          <w:szCs w:val="24"/>
          <w:shd w:val="clear" w:color="auto" w:fill="FFFFFF"/>
        </w:rPr>
        <w:t>Sunarsi</w:t>
      </w:r>
      <w:proofErr w:type="spellEnd"/>
      <w:r w:rsidRPr="00746084">
        <w:rPr>
          <w:rFonts w:ascii="Times New Roman" w:hAnsi="Times New Roman" w:cs="Times New Roman"/>
          <w:color w:val="000000" w:themeColor="text1"/>
          <w:sz w:val="24"/>
          <w:szCs w:val="24"/>
          <w:shd w:val="clear" w:color="auto" w:fill="FFFFFF"/>
        </w:rPr>
        <w:t xml:space="preserve">, D., 2020. The Effect of Current Ratio and Debt to Equity Ratio on </w:t>
      </w:r>
      <w:proofErr w:type="spellStart"/>
      <w:r w:rsidRPr="00746084">
        <w:rPr>
          <w:rFonts w:ascii="Times New Roman" w:hAnsi="Times New Roman" w:cs="Times New Roman"/>
          <w:color w:val="000000" w:themeColor="text1"/>
          <w:sz w:val="24"/>
          <w:szCs w:val="24"/>
          <w:shd w:val="clear" w:color="auto" w:fill="FFFFFF"/>
        </w:rPr>
        <w:t>Deviding</w:t>
      </w:r>
      <w:proofErr w:type="spellEnd"/>
      <w:r w:rsidRPr="00746084">
        <w:rPr>
          <w:rFonts w:ascii="Times New Roman" w:hAnsi="Times New Roman" w:cs="Times New Roman"/>
          <w:color w:val="000000" w:themeColor="text1"/>
          <w:sz w:val="24"/>
          <w:szCs w:val="24"/>
          <w:shd w:val="clear" w:color="auto" w:fill="FFFFFF"/>
        </w:rPr>
        <w:t xml:space="preserve"> Growth. </w:t>
      </w:r>
      <w:proofErr w:type="spellStart"/>
      <w:r w:rsidRPr="00746084">
        <w:rPr>
          <w:rFonts w:ascii="Times New Roman" w:hAnsi="Times New Roman" w:cs="Times New Roman"/>
          <w:i/>
          <w:iCs/>
          <w:color w:val="000000" w:themeColor="text1"/>
          <w:sz w:val="24"/>
          <w:szCs w:val="24"/>
          <w:shd w:val="clear" w:color="auto" w:fill="FFFFFF"/>
        </w:rPr>
        <w:t>JASa</w:t>
      </w:r>
      <w:proofErr w:type="spellEnd"/>
      <w:r w:rsidRPr="00746084">
        <w:rPr>
          <w:rFonts w:ascii="Times New Roman" w:hAnsi="Times New Roman" w:cs="Times New Roman"/>
          <w:i/>
          <w:iCs/>
          <w:color w:val="000000" w:themeColor="text1"/>
          <w:sz w:val="24"/>
          <w:szCs w:val="24"/>
          <w:shd w:val="clear" w:color="auto" w:fill="FFFFFF"/>
        </w:rPr>
        <w:t xml:space="preserve"> (</w:t>
      </w:r>
      <w:proofErr w:type="spellStart"/>
      <w:r w:rsidRPr="00746084">
        <w:rPr>
          <w:rFonts w:ascii="Times New Roman" w:hAnsi="Times New Roman" w:cs="Times New Roman"/>
          <w:i/>
          <w:iCs/>
          <w:color w:val="000000" w:themeColor="text1"/>
          <w:sz w:val="24"/>
          <w:szCs w:val="24"/>
          <w:shd w:val="clear" w:color="auto" w:fill="FFFFFF"/>
        </w:rPr>
        <w:t>Jurnal</w:t>
      </w:r>
      <w:proofErr w:type="spellEnd"/>
      <w:r w:rsidRPr="00746084">
        <w:rPr>
          <w:rFonts w:ascii="Times New Roman" w:hAnsi="Times New Roman" w:cs="Times New Roman"/>
          <w:i/>
          <w:iCs/>
          <w:color w:val="000000" w:themeColor="text1"/>
          <w:sz w:val="24"/>
          <w:szCs w:val="24"/>
          <w:shd w:val="clear" w:color="auto" w:fill="FFFFFF"/>
        </w:rPr>
        <w:t xml:space="preserve"> </w:t>
      </w:r>
      <w:proofErr w:type="spellStart"/>
      <w:r w:rsidRPr="00746084">
        <w:rPr>
          <w:rFonts w:ascii="Times New Roman" w:hAnsi="Times New Roman" w:cs="Times New Roman"/>
          <w:i/>
          <w:iCs/>
          <w:color w:val="000000" w:themeColor="text1"/>
          <w:sz w:val="24"/>
          <w:szCs w:val="24"/>
          <w:shd w:val="clear" w:color="auto" w:fill="FFFFFF"/>
        </w:rPr>
        <w:t>Akuntansi</w:t>
      </w:r>
      <w:proofErr w:type="spellEnd"/>
      <w:r w:rsidRPr="00746084">
        <w:rPr>
          <w:rFonts w:ascii="Times New Roman" w:hAnsi="Times New Roman" w:cs="Times New Roman"/>
          <w:i/>
          <w:iCs/>
          <w:color w:val="000000" w:themeColor="text1"/>
          <w:sz w:val="24"/>
          <w:szCs w:val="24"/>
          <w:shd w:val="clear" w:color="auto" w:fill="FFFFFF"/>
        </w:rPr>
        <w:t xml:space="preserve">, Audit dan </w:t>
      </w:r>
      <w:proofErr w:type="spellStart"/>
      <w:r w:rsidRPr="00746084">
        <w:rPr>
          <w:rFonts w:ascii="Times New Roman" w:hAnsi="Times New Roman" w:cs="Times New Roman"/>
          <w:i/>
          <w:iCs/>
          <w:color w:val="000000" w:themeColor="text1"/>
          <w:sz w:val="24"/>
          <w:szCs w:val="24"/>
          <w:shd w:val="clear" w:color="auto" w:fill="FFFFFF"/>
        </w:rPr>
        <w:t>Sistem</w:t>
      </w:r>
      <w:proofErr w:type="spellEnd"/>
      <w:r w:rsidRPr="00746084">
        <w:rPr>
          <w:rFonts w:ascii="Times New Roman" w:hAnsi="Times New Roman" w:cs="Times New Roman"/>
          <w:i/>
          <w:iCs/>
          <w:color w:val="000000" w:themeColor="text1"/>
          <w:sz w:val="24"/>
          <w:szCs w:val="24"/>
          <w:shd w:val="clear" w:color="auto" w:fill="FFFFFF"/>
        </w:rPr>
        <w:t xml:space="preserve"> </w:t>
      </w:r>
      <w:proofErr w:type="spellStart"/>
      <w:r w:rsidRPr="00746084">
        <w:rPr>
          <w:rFonts w:ascii="Times New Roman" w:hAnsi="Times New Roman" w:cs="Times New Roman"/>
          <w:i/>
          <w:iCs/>
          <w:color w:val="000000" w:themeColor="text1"/>
          <w:sz w:val="24"/>
          <w:szCs w:val="24"/>
          <w:shd w:val="clear" w:color="auto" w:fill="FFFFFF"/>
        </w:rPr>
        <w:t>Informasi</w:t>
      </w:r>
      <w:proofErr w:type="spellEnd"/>
      <w:r w:rsidRPr="00746084">
        <w:rPr>
          <w:rFonts w:ascii="Times New Roman" w:hAnsi="Times New Roman" w:cs="Times New Roman"/>
          <w:i/>
          <w:iCs/>
          <w:color w:val="000000" w:themeColor="text1"/>
          <w:sz w:val="24"/>
          <w:szCs w:val="24"/>
          <w:shd w:val="clear" w:color="auto" w:fill="FFFFFF"/>
        </w:rPr>
        <w:t xml:space="preserve"> </w:t>
      </w:r>
      <w:proofErr w:type="spellStart"/>
      <w:r w:rsidRPr="00746084">
        <w:rPr>
          <w:rFonts w:ascii="Times New Roman" w:hAnsi="Times New Roman" w:cs="Times New Roman"/>
          <w:i/>
          <w:iCs/>
          <w:color w:val="000000" w:themeColor="text1"/>
          <w:sz w:val="24"/>
          <w:szCs w:val="24"/>
          <w:shd w:val="clear" w:color="auto" w:fill="FFFFFF"/>
        </w:rPr>
        <w:t>Akuntansi</w:t>
      </w:r>
      <w:proofErr w:type="spellEnd"/>
      <w:r w:rsidRPr="00746084">
        <w:rPr>
          <w:rFonts w:ascii="Times New Roman" w:hAnsi="Times New Roman" w:cs="Times New Roman"/>
          <w:i/>
          <w:iCs/>
          <w:color w:val="000000" w:themeColor="text1"/>
          <w:sz w:val="24"/>
          <w:szCs w:val="24"/>
          <w:shd w:val="clear" w:color="auto" w:fill="FFFFFF"/>
        </w:rPr>
        <w:t>)</w:t>
      </w:r>
      <w:r w:rsidRPr="00746084">
        <w:rPr>
          <w:rFonts w:ascii="Times New Roman" w:hAnsi="Times New Roman" w:cs="Times New Roman"/>
          <w:color w:val="000000" w:themeColor="text1"/>
          <w:sz w:val="24"/>
          <w:szCs w:val="24"/>
          <w:shd w:val="clear" w:color="auto" w:fill="FFFFFF"/>
        </w:rPr>
        <w:t>, </w:t>
      </w:r>
      <w:r w:rsidRPr="00746084">
        <w:rPr>
          <w:rFonts w:ascii="Times New Roman" w:hAnsi="Times New Roman" w:cs="Times New Roman"/>
          <w:i/>
          <w:iCs/>
          <w:color w:val="000000" w:themeColor="text1"/>
          <w:sz w:val="24"/>
          <w:szCs w:val="24"/>
          <w:shd w:val="clear" w:color="auto" w:fill="FFFFFF"/>
        </w:rPr>
        <w:t>4</w:t>
      </w:r>
      <w:r w:rsidRPr="00746084">
        <w:rPr>
          <w:rFonts w:ascii="Times New Roman" w:hAnsi="Times New Roman" w:cs="Times New Roman"/>
          <w:color w:val="000000" w:themeColor="text1"/>
          <w:sz w:val="24"/>
          <w:szCs w:val="24"/>
          <w:shd w:val="clear" w:color="auto" w:fill="FFFFFF"/>
        </w:rPr>
        <w:t>(2), pp.304-312.</w:t>
      </w:r>
    </w:p>
    <w:p w14:paraId="33483B8E"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746084">
        <w:rPr>
          <w:rFonts w:ascii="Times New Roman" w:hAnsi="Times New Roman" w:cs="Times New Roman"/>
          <w:color w:val="000000" w:themeColor="text1"/>
          <w:sz w:val="24"/>
          <w:szCs w:val="24"/>
          <w:shd w:val="clear" w:color="auto" w:fill="FFFFFF"/>
        </w:rPr>
        <w:t>Setiany</w:t>
      </w:r>
      <w:proofErr w:type="spellEnd"/>
      <w:r w:rsidRPr="00746084">
        <w:rPr>
          <w:rFonts w:ascii="Times New Roman" w:hAnsi="Times New Roman" w:cs="Times New Roman"/>
          <w:color w:val="000000" w:themeColor="text1"/>
          <w:sz w:val="24"/>
          <w:szCs w:val="24"/>
          <w:shd w:val="clear" w:color="auto" w:fill="FFFFFF"/>
        </w:rPr>
        <w:t>, E., 2021. The Effect of Investment, Free Cash Flow, Earnings Management, and Interest Coverage Ratio on Financial Distress. </w:t>
      </w:r>
      <w:r w:rsidRPr="00746084">
        <w:rPr>
          <w:rFonts w:ascii="Times New Roman" w:hAnsi="Times New Roman" w:cs="Times New Roman"/>
          <w:i/>
          <w:iCs/>
          <w:color w:val="000000" w:themeColor="text1"/>
          <w:sz w:val="24"/>
          <w:szCs w:val="24"/>
          <w:shd w:val="clear" w:color="auto" w:fill="FFFFFF"/>
        </w:rPr>
        <w:t>Journal of Sosial Science</w:t>
      </w:r>
      <w:r w:rsidRPr="00746084">
        <w:rPr>
          <w:rFonts w:ascii="Times New Roman" w:hAnsi="Times New Roman" w:cs="Times New Roman"/>
          <w:color w:val="000000" w:themeColor="text1"/>
          <w:sz w:val="24"/>
          <w:szCs w:val="24"/>
          <w:shd w:val="clear" w:color="auto" w:fill="FFFFFF"/>
        </w:rPr>
        <w:t>, </w:t>
      </w:r>
      <w:r w:rsidRPr="00746084">
        <w:rPr>
          <w:rFonts w:ascii="Times New Roman" w:hAnsi="Times New Roman" w:cs="Times New Roman"/>
          <w:i/>
          <w:iCs/>
          <w:color w:val="000000" w:themeColor="text1"/>
          <w:sz w:val="24"/>
          <w:szCs w:val="24"/>
          <w:shd w:val="clear" w:color="auto" w:fill="FFFFFF"/>
        </w:rPr>
        <w:t>2</w:t>
      </w:r>
      <w:r w:rsidRPr="00746084">
        <w:rPr>
          <w:rFonts w:ascii="Times New Roman" w:hAnsi="Times New Roman" w:cs="Times New Roman"/>
          <w:color w:val="000000" w:themeColor="text1"/>
          <w:sz w:val="24"/>
          <w:szCs w:val="24"/>
          <w:shd w:val="clear" w:color="auto" w:fill="FFFFFF"/>
        </w:rPr>
        <w:t>(1), pp.64-69.</w:t>
      </w:r>
    </w:p>
    <w:p w14:paraId="33483B8F" w14:textId="77777777" w:rsidR="0006263A" w:rsidRPr="00746084" w:rsidRDefault="0006263A" w:rsidP="0006263A">
      <w:pPr>
        <w:spacing w:line="360" w:lineRule="auto"/>
        <w:ind w:left="720" w:hanging="720"/>
        <w:jc w:val="both"/>
        <w:rPr>
          <w:rFonts w:ascii="Times New Roman" w:hAnsi="Times New Roman" w:cs="Times New Roman"/>
          <w:color w:val="000000" w:themeColor="text1"/>
          <w:sz w:val="24"/>
          <w:szCs w:val="24"/>
        </w:rPr>
      </w:pPr>
      <w:r w:rsidRPr="00746084">
        <w:rPr>
          <w:rFonts w:ascii="Times New Roman" w:hAnsi="Times New Roman" w:cs="Times New Roman"/>
          <w:color w:val="000000" w:themeColor="text1"/>
          <w:sz w:val="24"/>
          <w:szCs w:val="24"/>
          <w:lang w:val="en-US"/>
        </w:rPr>
        <w:lastRenderedPageBreak/>
        <w:t xml:space="preserve">The Guardian Newspaper (2022). Available at: </w:t>
      </w:r>
      <w:r w:rsidRPr="00746084">
        <w:rPr>
          <w:rFonts w:ascii="Times New Roman" w:hAnsi="Times New Roman" w:cs="Times New Roman"/>
          <w:color w:val="000000" w:themeColor="text1"/>
          <w:sz w:val="24"/>
          <w:szCs w:val="24"/>
        </w:rPr>
        <w:t>https://www.theguardian.com/business/2022/oct/25/whitbread-costs-increase-inflation</w:t>
      </w:r>
    </w:p>
    <w:p w14:paraId="33483B90" w14:textId="77777777" w:rsidR="00C33193" w:rsidRPr="00746084" w:rsidRDefault="0006263A" w:rsidP="0006263A">
      <w:pPr>
        <w:pStyle w:val="Default"/>
        <w:spacing w:line="360" w:lineRule="auto"/>
        <w:ind w:left="720" w:hanging="720"/>
        <w:jc w:val="both"/>
        <w:rPr>
          <w:rFonts w:ascii="Times New Roman" w:hAnsi="Times New Roman" w:cs="Times New Roman"/>
          <w:color w:val="000000" w:themeColor="text1"/>
        </w:rPr>
      </w:pPr>
      <w:r w:rsidRPr="00746084">
        <w:rPr>
          <w:rFonts w:ascii="Times New Roman" w:hAnsi="Times New Roman" w:cs="Times New Roman"/>
          <w:color w:val="000000" w:themeColor="text1"/>
        </w:rPr>
        <w:t xml:space="preserve">Whitbread Plc., Annual report (2021/2022). Available at: </w:t>
      </w:r>
      <w:hyperlink r:id="rId18" w:history="1">
        <w:r w:rsidRPr="00746084">
          <w:rPr>
            <w:rStyle w:val="Hyperlink"/>
            <w:rFonts w:ascii="Times New Roman" w:hAnsi="Times New Roman" w:cs="Times New Roman"/>
            <w:color w:val="000000" w:themeColor="text1"/>
          </w:rPr>
          <w:t>https://cdn.whitbread.co.uk/media/2021/05/05141427/23076_Whitbread_AR2020_web.pdf</w:t>
        </w:r>
      </w:hyperlink>
    </w:p>
    <w:p w14:paraId="33483B91" w14:textId="77777777" w:rsidR="0006263A" w:rsidRPr="00746084" w:rsidRDefault="0006263A" w:rsidP="0006263A">
      <w:pPr>
        <w:pStyle w:val="Default"/>
        <w:spacing w:line="360" w:lineRule="auto"/>
        <w:ind w:left="720" w:hanging="720"/>
        <w:jc w:val="both"/>
        <w:rPr>
          <w:rFonts w:ascii="Times New Roman" w:hAnsi="Times New Roman" w:cs="Times New Roman"/>
          <w:color w:val="000000" w:themeColor="text1"/>
        </w:rPr>
      </w:pPr>
    </w:p>
    <w:p w14:paraId="33483B92" w14:textId="77777777" w:rsidR="00C25362" w:rsidRPr="00746084" w:rsidRDefault="00C25362">
      <w:pPr>
        <w:rPr>
          <w:rFonts w:ascii="Times New Roman" w:eastAsiaTheme="majorEastAsia" w:hAnsi="Times New Roman" w:cs="Times New Roman"/>
          <w:b/>
          <w:color w:val="000000" w:themeColor="text1"/>
          <w:sz w:val="24"/>
          <w:szCs w:val="24"/>
          <w:lang w:val="en-US"/>
        </w:rPr>
      </w:pPr>
      <w:r w:rsidRPr="00746084">
        <w:rPr>
          <w:rFonts w:ascii="Times New Roman" w:hAnsi="Times New Roman" w:cs="Times New Roman"/>
          <w:color w:val="000000" w:themeColor="text1"/>
          <w:sz w:val="24"/>
          <w:szCs w:val="24"/>
          <w:lang w:val="en-US"/>
        </w:rPr>
        <w:br w:type="page"/>
      </w:r>
    </w:p>
    <w:p w14:paraId="33483B93" w14:textId="77777777" w:rsidR="00C33193" w:rsidRPr="00746084" w:rsidRDefault="00C33193" w:rsidP="00746084">
      <w:pPr>
        <w:pStyle w:val="Heading1"/>
        <w:rPr>
          <w:rFonts w:cs="Times New Roman"/>
          <w:szCs w:val="24"/>
          <w:lang w:val="en-US"/>
        </w:rPr>
      </w:pPr>
      <w:bookmarkStart w:id="28" w:name="_Toc121233980"/>
      <w:r w:rsidRPr="00746084">
        <w:rPr>
          <w:rFonts w:cs="Times New Roman"/>
          <w:szCs w:val="24"/>
          <w:lang w:val="en-US"/>
        </w:rPr>
        <w:lastRenderedPageBreak/>
        <w:t>Appendices</w:t>
      </w:r>
      <w:bookmarkEnd w:id="28"/>
    </w:p>
    <w:p w14:paraId="33483B94" w14:textId="77777777" w:rsidR="00C33193" w:rsidRPr="00746084" w:rsidRDefault="00C33193" w:rsidP="00C33193">
      <w:pPr>
        <w:pStyle w:val="Heading2"/>
        <w:rPr>
          <w:rFonts w:cs="Times New Roman"/>
          <w:szCs w:val="24"/>
          <w:lang w:val="en-US"/>
        </w:rPr>
      </w:pPr>
      <w:bookmarkStart w:id="29" w:name="_Toc121233981"/>
      <w:r w:rsidRPr="00746084">
        <w:rPr>
          <w:rFonts w:cs="Times New Roman"/>
          <w:szCs w:val="24"/>
          <w:lang w:val="en-US"/>
        </w:rPr>
        <w:t>Appendix – A (Income Statement)</w:t>
      </w:r>
      <w:bookmarkEnd w:id="29"/>
    </w:p>
    <w:tbl>
      <w:tblPr>
        <w:tblStyle w:val="PlainTable2"/>
        <w:tblW w:w="9562" w:type="dxa"/>
        <w:tblLook w:val="04A0" w:firstRow="1" w:lastRow="0" w:firstColumn="1" w:lastColumn="0" w:noHBand="0" w:noVBand="1"/>
      </w:tblPr>
      <w:tblGrid>
        <w:gridCol w:w="3087"/>
        <w:gridCol w:w="1295"/>
        <w:gridCol w:w="1295"/>
        <w:gridCol w:w="1295"/>
        <w:gridCol w:w="1295"/>
        <w:gridCol w:w="1295"/>
      </w:tblGrid>
      <w:tr w:rsidR="00746084" w:rsidRPr="00746084" w14:paraId="33483B9B" w14:textId="77777777" w:rsidTr="00C33193">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95"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Income Statement</w:t>
            </w:r>
          </w:p>
        </w:tc>
        <w:tc>
          <w:tcPr>
            <w:tcW w:w="1295" w:type="dxa"/>
            <w:noWrap/>
            <w:hideMark/>
          </w:tcPr>
          <w:p w14:paraId="33483B96" w14:textId="77777777" w:rsidR="00C33193" w:rsidRPr="00746084" w:rsidRDefault="00C33193" w:rsidP="00C3319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97" w14:textId="77777777" w:rsidR="00C33193" w:rsidRPr="00746084" w:rsidRDefault="00C33193" w:rsidP="00C3319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98" w14:textId="77777777" w:rsidR="00C33193" w:rsidRPr="00746084" w:rsidRDefault="00C33193" w:rsidP="00C3319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99" w14:textId="77777777" w:rsidR="00C33193" w:rsidRPr="00746084" w:rsidRDefault="00C33193" w:rsidP="00C3319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9A" w14:textId="77777777" w:rsidR="00C33193" w:rsidRPr="00746084" w:rsidRDefault="00C33193" w:rsidP="00C33193">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BA2"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9C"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p>
        </w:tc>
        <w:tc>
          <w:tcPr>
            <w:tcW w:w="1295" w:type="dxa"/>
            <w:noWrap/>
            <w:hideMark/>
          </w:tcPr>
          <w:p w14:paraId="33483B9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2018</w:t>
            </w:r>
          </w:p>
        </w:tc>
        <w:tc>
          <w:tcPr>
            <w:tcW w:w="1295" w:type="dxa"/>
            <w:noWrap/>
            <w:hideMark/>
          </w:tcPr>
          <w:p w14:paraId="33483B9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2019</w:t>
            </w:r>
          </w:p>
        </w:tc>
        <w:tc>
          <w:tcPr>
            <w:tcW w:w="1295" w:type="dxa"/>
            <w:noWrap/>
            <w:hideMark/>
          </w:tcPr>
          <w:p w14:paraId="33483B9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2020</w:t>
            </w:r>
          </w:p>
        </w:tc>
        <w:tc>
          <w:tcPr>
            <w:tcW w:w="1295" w:type="dxa"/>
            <w:noWrap/>
            <w:hideMark/>
          </w:tcPr>
          <w:p w14:paraId="33483BA0"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2021</w:t>
            </w:r>
          </w:p>
        </w:tc>
        <w:tc>
          <w:tcPr>
            <w:tcW w:w="1295" w:type="dxa"/>
            <w:noWrap/>
            <w:hideMark/>
          </w:tcPr>
          <w:p w14:paraId="33483BA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2022</w:t>
            </w:r>
          </w:p>
        </w:tc>
      </w:tr>
      <w:tr w:rsidR="00746084" w:rsidRPr="00746084" w14:paraId="33483BA9"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A3"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Fiscal Year Ends</w:t>
            </w:r>
          </w:p>
        </w:tc>
        <w:tc>
          <w:tcPr>
            <w:tcW w:w="1295" w:type="dxa"/>
            <w:noWrap/>
            <w:hideMark/>
          </w:tcPr>
          <w:p w14:paraId="33483BA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2/28/2018</w:t>
            </w:r>
          </w:p>
        </w:tc>
        <w:tc>
          <w:tcPr>
            <w:tcW w:w="1295" w:type="dxa"/>
            <w:noWrap/>
            <w:hideMark/>
          </w:tcPr>
          <w:p w14:paraId="33483BA5"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2/28/2019</w:t>
            </w:r>
          </w:p>
        </w:tc>
        <w:tc>
          <w:tcPr>
            <w:tcW w:w="1295" w:type="dxa"/>
            <w:noWrap/>
            <w:hideMark/>
          </w:tcPr>
          <w:p w14:paraId="33483BA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2/29/2020</w:t>
            </w:r>
          </w:p>
        </w:tc>
        <w:tc>
          <w:tcPr>
            <w:tcW w:w="1295" w:type="dxa"/>
            <w:noWrap/>
            <w:hideMark/>
          </w:tcPr>
          <w:p w14:paraId="33483BA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2/28/2021</w:t>
            </w:r>
          </w:p>
        </w:tc>
        <w:tc>
          <w:tcPr>
            <w:tcW w:w="1295" w:type="dxa"/>
            <w:noWrap/>
            <w:hideMark/>
          </w:tcPr>
          <w:p w14:paraId="33483BA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2/28/2022</w:t>
            </w:r>
          </w:p>
        </w:tc>
      </w:tr>
      <w:tr w:rsidR="00746084" w:rsidRPr="00746084" w14:paraId="33483BB0"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AA"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Turnover</w:t>
            </w:r>
          </w:p>
        </w:tc>
        <w:tc>
          <w:tcPr>
            <w:tcW w:w="1295" w:type="dxa"/>
            <w:noWrap/>
            <w:hideMark/>
          </w:tcPr>
          <w:p w14:paraId="33483BA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3295.1</w:t>
            </w:r>
          </w:p>
        </w:tc>
        <w:tc>
          <w:tcPr>
            <w:tcW w:w="1295" w:type="dxa"/>
            <w:noWrap/>
            <w:hideMark/>
          </w:tcPr>
          <w:p w14:paraId="33483BA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2049.1</w:t>
            </w:r>
          </w:p>
        </w:tc>
        <w:tc>
          <w:tcPr>
            <w:tcW w:w="1295" w:type="dxa"/>
            <w:noWrap/>
            <w:hideMark/>
          </w:tcPr>
          <w:p w14:paraId="33483BA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2071.5</w:t>
            </w:r>
          </w:p>
        </w:tc>
        <w:tc>
          <w:tcPr>
            <w:tcW w:w="1295" w:type="dxa"/>
            <w:noWrap/>
            <w:hideMark/>
          </w:tcPr>
          <w:p w14:paraId="33483BA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589.4</w:t>
            </w:r>
          </w:p>
        </w:tc>
        <w:tc>
          <w:tcPr>
            <w:tcW w:w="1295" w:type="dxa"/>
            <w:noWrap/>
            <w:hideMark/>
          </w:tcPr>
          <w:p w14:paraId="33483BA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1703.4</w:t>
            </w:r>
          </w:p>
        </w:tc>
      </w:tr>
      <w:tr w:rsidR="00746084" w:rsidRPr="00746084" w14:paraId="33483BB7"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B1"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Expenses</w:t>
            </w:r>
          </w:p>
        </w:tc>
        <w:tc>
          <w:tcPr>
            <w:tcW w:w="1295" w:type="dxa"/>
            <w:noWrap/>
            <w:hideMark/>
          </w:tcPr>
          <w:p w14:paraId="33483BB2"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2391.3</w:t>
            </w:r>
          </w:p>
        </w:tc>
        <w:tc>
          <w:tcPr>
            <w:tcW w:w="1295" w:type="dxa"/>
            <w:noWrap/>
            <w:hideMark/>
          </w:tcPr>
          <w:p w14:paraId="33483BB3"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1514.5</w:t>
            </w:r>
          </w:p>
        </w:tc>
        <w:tc>
          <w:tcPr>
            <w:tcW w:w="1295" w:type="dxa"/>
            <w:noWrap/>
            <w:hideMark/>
          </w:tcPr>
          <w:p w14:paraId="33483BB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1592.2</w:t>
            </w:r>
          </w:p>
        </w:tc>
        <w:tc>
          <w:tcPr>
            <w:tcW w:w="1295" w:type="dxa"/>
            <w:noWrap/>
            <w:hideMark/>
          </w:tcPr>
          <w:p w14:paraId="33483BB5"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1231.6</w:t>
            </w:r>
          </w:p>
        </w:tc>
        <w:tc>
          <w:tcPr>
            <w:tcW w:w="1295" w:type="dxa"/>
            <w:noWrap/>
            <w:hideMark/>
          </w:tcPr>
          <w:p w14:paraId="33483BB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1668.7</w:t>
            </w:r>
          </w:p>
        </w:tc>
      </w:tr>
      <w:tr w:rsidR="00746084" w:rsidRPr="00746084" w14:paraId="33483BBE"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B8"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EBITDA</w:t>
            </w:r>
          </w:p>
        </w:tc>
        <w:tc>
          <w:tcPr>
            <w:tcW w:w="1295" w:type="dxa"/>
            <w:noWrap/>
            <w:hideMark/>
          </w:tcPr>
          <w:p w14:paraId="33483BB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812.3</w:t>
            </w:r>
          </w:p>
        </w:tc>
        <w:tc>
          <w:tcPr>
            <w:tcW w:w="1295" w:type="dxa"/>
            <w:noWrap/>
            <w:hideMark/>
          </w:tcPr>
          <w:p w14:paraId="33483BBA"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727.9</w:t>
            </w:r>
          </w:p>
        </w:tc>
        <w:tc>
          <w:tcPr>
            <w:tcW w:w="1295" w:type="dxa"/>
            <w:noWrap/>
            <w:hideMark/>
          </w:tcPr>
          <w:p w14:paraId="33483BB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693</w:t>
            </w:r>
          </w:p>
        </w:tc>
        <w:tc>
          <w:tcPr>
            <w:tcW w:w="1295" w:type="dxa"/>
            <w:noWrap/>
            <w:hideMark/>
          </w:tcPr>
          <w:p w14:paraId="33483BB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-553.4</w:t>
            </w:r>
          </w:p>
        </w:tc>
        <w:tc>
          <w:tcPr>
            <w:tcW w:w="1295" w:type="dxa"/>
            <w:noWrap/>
            <w:hideMark/>
          </w:tcPr>
          <w:p w14:paraId="33483BB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556.2</w:t>
            </w:r>
          </w:p>
        </w:tc>
      </w:tr>
      <w:tr w:rsidR="00746084" w:rsidRPr="00746084" w14:paraId="33483BC5"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BF"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EBIT</w:t>
            </w:r>
          </w:p>
        </w:tc>
        <w:tc>
          <w:tcPr>
            <w:tcW w:w="1295" w:type="dxa"/>
            <w:noWrap/>
            <w:hideMark/>
          </w:tcPr>
          <w:p w14:paraId="33483BC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580.1</w:t>
            </w:r>
          </w:p>
        </w:tc>
        <w:tc>
          <w:tcPr>
            <w:tcW w:w="1295" w:type="dxa"/>
            <w:noWrap/>
            <w:hideMark/>
          </w:tcPr>
          <w:p w14:paraId="33483BC1"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364.2</w:t>
            </w:r>
          </w:p>
        </w:tc>
        <w:tc>
          <w:tcPr>
            <w:tcW w:w="1295" w:type="dxa"/>
            <w:noWrap/>
            <w:hideMark/>
          </w:tcPr>
          <w:p w14:paraId="33483BC2"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424.2</w:t>
            </w:r>
          </w:p>
        </w:tc>
        <w:tc>
          <w:tcPr>
            <w:tcW w:w="1295" w:type="dxa"/>
            <w:noWrap/>
            <w:hideMark/>
          </w:tcPr>
          <w:p w14:paraId="33483BC3"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-853.6</w:t>
            </w:r>
          </w:p>
        </w:tc>
        <w:tc>
          <w:tcPr>
            <w:tcW w:w="1295" w:type="dxa"/>
            <w:noWrap/>
            <w:hideMark/>
          </w:tcPr>
          <w:p w14:paraId="33483BC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229.3</w:t>
            </w:r>
          </w:p>
        </w:tc>
      </w:tr>
      <w:tr w:rsidR="00746084" w:rsidRPr="00746084" w14:paraId="33483BCC"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C6"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Operating Profit (reported)</w:t>
            </w:r>
          </w:p>
        </w:tc>
        <w:tc>
          <w:tcPr>
            <w:tcW w:w="1295" w:type="dxa"/>
            <w:noWrap/>
            <w:hideMark/>
          </w:tcPr>
          <w:p w14:paraId="33483BC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903.8</w:t>
            </w:r>
          </w:p>
        </w:tc>
        <w:tc>
          <w:tcPr>
            <w:tcW w:w="1295" w:type="dxa"/>
            <w:noWrap/>
            <w:hideMark/>
          </w:tcPr>
          <w:p w14:paraId="33483BC8"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534.6</w:t>
            </w:r>
          </w:p>
        </w:tc>
        <w:tc>
          <w:tcPr>
            <w:tcW w:w="1295" w:type="dxa"/>
            <w:noWrap/>
            <w:hideMark/>
          </w:tcPr>
          <w:p w14:paraId="33483BC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479.3</w:t>
            </w:r>
          </w:p>
        </w:tc>
        <w:tc>
          <w:tcPr>
            <w:tcW w:w="1295" w:type="dxa"/>
            <w:noWrap/>
            <w:hideMark/>
          </w:tcPr>
          <w:p w14:paraId="33483BCA"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-642.2</w:t>
            </w:r>
          </w:p>
        </w:tc>
        <w:tc>
          <w:tcPr>
            <w:tcW w:w="1295" w:type="dxa"/>
            <w:noWrap/>
            <w:hideMark/>
          </w:tcPr>
          <w:p w14:paraId="33483BC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34.7</w:t>
            </w:r>
          </w:p>
        </w:tc>
      </w:tr>
      <w:tr w:rsidR="00746084" w:rsidRPr="00746084" w14:paraId="33483BD3"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CD"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Operating Profit (adjusted)</w:t>
            </w:r>
          </w:p>
        </w:tc>
        <w:tc>
          <w:tcPr>
            <w:tcW w:w="1295" w:type="dxa"/>
            <w:noWrap/>
            <w:hideMark/>
          </w:tcPr>
          <w:p w14:paraId="33483BC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CF"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D0"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D1"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BD2"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BDA"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D4"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Investment Income</w:t>
            </w:r>
          </w:p>
        </w:tc>
        <w:tc>
          <w:tcPr>
            <w:tcW w:w="1295" w:type="dxa"/>
            <w:noWrap/>
            <w:hideMark/>
          </w:tcPr>
          <w:p w14:paraId="33483BD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1.8</w:t>
            </w:r>
          </w:p>
        </w:tc>
        <w:tc>
          <w:tcPr>
            <w:tcW w:w="1295" w:type="dxa"/>
            <w:noWrap/>
            <w:hideMark/>
          </w:tcPr>
          <w:p w14:paraId="33483BD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-0.7</w:t>
            </w:r>
          </w:p>
        </w:tc>
        <w:tc>
          <w:tcPr>
            <w:tcW w:w="1295" w:type="dxa"/>
            <w:noWrap/>
            <w:hideMark/>
          </w:tcPr>
          <w:p w14:paraId="33483BD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w:t>
            </w:r>
          </w:p>
        </w:tc>
        <w:tc>
          <w:tcPr>
            <w:tcW w:w="1295" w:type="dxa"/>
            <w:noWrap/>
            <w:hideMark/>
          </w:tcPr>
          <w:p w14:paraId="33483BD8"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-8.5</w:t>
            </w:r>
          </w:p>
        </w:tc>
        <w:tc>
          <w:tcPr>
            <w:tcW w:w="1295" w:type="dxa"/>
            <w:noWrap/>
            <w:hideMark/>
          </w:tcPr>
          <w:p w14:paraId="33483BD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w:t>
            </w:r>
          </w:p>
        </w:tc>
      </w:tr>
      <w:tr w:rsidR="00746084" w:rsidRPr="00746084" w14:paraId="33483BE1"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DB"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Exceptional Items</w:t>
            </w:r>
          </w:p>
        </w:tc>
        <w:tc>
          <w:tcPr>
            <w:tcW w:w="1295" w:type="dxa"/>
            <w:noWrap/>
            <w:hideMark/>
          </w:tcPr>
          <w:p w14:paraId="33483BD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-21.4</w:t>
            </w:r>
          </w:p>
        </w:tc>
        <w:tc>
          <w:tcPr>
            <w:tcW w:w="1295" w:type="dxa"/>
            <w:noWrap/>
            <w:hideMark/>
          </w:tcPr>
          <w:p w14:paraId="33483BD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-172.6</w:t>
            </w:r>
          </w:p>
        </w:tc>
        <w:tc>
          <w:tcPr>
            <w:tcW w:w="1295" w:type="dxa"/>
            <w:noWrap/>
            <w:hideMark/>
          </w:tcPr>
          <w:p w14:paraId="33483BDE"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-73.9</w:t>
            </w:r>
          </w:p>
        </w:tc>
        <w:tc>
          <w:tcPr>
            <w:tcW w:w="1295" w:type="dxa"/>
            <w:noWrap/>
            <w:hideMark/>
          </w:tcPr>
          <w:p w14:paraId="33483BDF"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12.2</w:t>
            </w:r>
          </w:p>
        </w:tc>
        <w:tc>
          <w:tcPr>
            <w:tcW w:w="1295" w:type="dxa"/>
            <w:noWrap/>
            <w:hideMark/>
          </w:tcPr>
          <w:p w14:paraId="33483BE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174.8</w:t>
            </w:r>
          </w:p>
        </w:tc>
      </w:tr>
      <w:tr w:rsidR="00746084" w:rsidRPr="00746084" w14:paraId="33483BE8"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E2"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Net Interest</w:t>
            </w:r>
          </w:p>
        </w:tc>
        <w:tc>
          <w:tcPr>
            <w:tcW w:w="1295" w:type="dxa"/>
            <w:noWrap/>
            <w:hideMark/>
          </w:tcPr>
          <w:p w14:paraId="33483BE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-40.9</w:t>
            </w:r>
          </w:p>
        </w:tc>
        <w:tc>
          <w:tcPr>
            <w:tcW w:w="1295" w:type="dxa"/>
            <w:noWrap/>
            <w:hideMark/>
          </w:tcPr>
          <w:p w14:paraId="33483BE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-147.3</w:t>
            </w:r>
          </w:p>
        </w:tc>
        <w:tc>
          <w:tcPr>
            <w:tcW w:w="1295" w:type="dxa"/>
            <w:noWrap/>
            <w:hideMark/>
          </w:tcPr>
          <w:p w14:paraId="33483BE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-128.3</w:t>
            </w:r>
          </w:p>
        </w:tc>
        <w:tc>
          <w:tcPr>
            <w:tcW w:w="1295" w:type="dxa"/>
            <w:noWrap/>
            <w:hideMark/>
          </w:tcPr>
          <w:p w14:paraId="33483BE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-147.5</w:t>
            </w:r>
          </w:p>
        </w:tc>
        <w:tc>
          <w:tcPr>
            <w:tcW w:w="1295" w:type="dxa"/>
            <w:noWrap/>
            <w:hideMark/>
          </w:tcPr>
          <w:p w14:paraId="33483BE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-166.6</w:t>
            </w:r>
          </w:p>
        </w:tc>
      </w:tr>
      <w:tr w:rsidR="00746084" w:rsidRPr="00746084" w14:paraId="33483BEF"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E9"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Pre-tax Profit</w:t>
            </w:r>
          </w:p>
        </w:tc>
        <w:tc>
          <w:tcPr>
            <w:tcW w:w="1295" w:type="dxa"/>
            <w:noWrap/>
            <w:hideMark/>
          </w:tcPr>
          <w:p w14:paraId="33483BE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548.4</w:t>
            </w:r>
          </w:p>
        </w:tc>
        <w:tc>
          <w:tcPr>
            <w:tcW w:w="1295" w:type="dxa"/>
            <w:noWrap/>
            <w:hideMark/>
          </w:tcPr>
          <w:p w14:paraId="33483BE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218.1</w:t>
            </w:r>
          </w:p>
        </w:tc>
        <w:tc>
          <w:tcPr>
            <w:tcW w:w="1295" w:type="dxa"/>
            <w:noWrap/>
            <w:hideMark/>
          </w:tcPr>
          <w:p w14:paraId="33483BE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280</w:t>
            </w:r>
          </w:p>
        </w:tc>
        <w:tc>
          <w:tcPr>
            <w:tcW w:w="1295" w:type="dxa"/>
            <w:noWrap/>
            <w:hideMark/>
          </w:tcPr>
          <w:p w14:paraId="33483BE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-1007.4</w:t>
            </w:r>
          </w:p>
        </w:tc>
        <w:tc>
          <w:tcPr>
            <w:tcW w:w="1295" w:type="dxa"/>
            <w:noWrap/>
            <w:hideMark/>
          </w:tcPr>
          <w:p w14:paraId="33483BEE"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58.2</w:t>
            </w:r>
          </w:p>
        </w:tc>
      </w:tr>
      <w:tr w:rsidR="00746084" w:rsidRPr="00746084" w14:paraId="33483BF6"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F0"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Tax</w:t>
            </w:r>
          </w:p>
        </w:tc>
        <w:tc>
          <w:tcPr>
            <w:tcW w:w="1295" w:type="dxa"/>
            <w:noWrap/>
            <w:hideMark/>
          </w:tcPr>
          <w:p w14:paraId="33483BF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112</w:t>
            </w:r>
          </w:p>
        </w:tc>
        <w:tc>
          <w:tcPr>
            <w:tcW w:w="1295" w:type="dxa"/>
            <w:noWrap/>
            <w:hideMark/>
          </w:tcPr>
          <w:p w14:paraId="33483BF2"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41.3</w:t>
            </w:r>
          </w:p>
        </w:tc>
        <w:tc>
          <w:tcPr>
            <w:tcW w:w="1295" w:type="dxa"/>
            <w:noWrap/>
            <w:hideMark/>
          </w:tcPr>
          <w:p w14:paraId="33483BF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62.1</w:t>
            </w:r>
          </w:p>
        </w:tc>
        <w:tc>
          <w:tcPr>
            <w:tcW w:w="1295" w:type="dxa"/>
            <w:noWrap/>
            <w:hideMark/>
          </w:tcPr>
          <w:p w14:paraId="33483BF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-100.9</w:t>
            </w:r>
          </w:p>
        </w:tc>
        <w:tc>
          <w:tcPr>
            <w:tcW w:w="1295" w:type="dxa"/>
            <w:noWrap/>
            <w:hideMark/>
          </w:tcPr>
          <w:p w14:paraId="33483BF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15.7</w:t>
            </w:r>
          </w:p>
        </w:tc>
      </w:tr>
      <w:tr w:rsidR="00746084" w:rsidRPr="00746084" w14:paraId="33483BFD"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F7"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Profit After Tax</w:t>
            </w:r>
          </w:p>
        </w:tc>
        <w:tc>
          <w:tcPr>
            <w:tcW w:w="1295" w:type="dxa"/>
            <w:noWrap/>
            <w:hideMark/>
          </w:tcPr>
          <w:p w14:paraId="33483BF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436.4</w:t>
            </w:r>
          </w:p>
        </w:tc>
        <w:tc>
          <w:tcPr>
            <w:tcW w:w="1295" w:type="dxa"/>
            <w:noWrap/>
            <w:hideMark/>
          </w:tcPr>
          <w:p w14:paraId="33483BF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176.8</w:t>
            </w:r>
          </w:p>
        </w:tc>
        <w:tc>
          <w:tcPr>
            <w:tcW w:w="1295" w:type="dxa"/>
            <w:noWrap/>
            <w:hideMark/>
          </w:tcPr>
          <w:p w14:paraId="33483BF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217.9</w:t>
            </w:r>
          </w:p>
        </w:tc>
        <w:tc>
          <w:tcPr>
            <w:tcW w:w="1295" w:type="dxa"/>
            <w:noWrap/>
            <w:hideMark/>
          </w:tcPr>
          <w:p w14:paraId="33483BF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-906.5</w:t>
            </w:r>
          </w:p>
        </w:tc>
        <w:tc>
          <w:tcPr>
            <w:tcW w:w="1295" w:type="dxa"/>
            <w:noWrap/>
            <w:hideMark/>
          </w:tcPr>
          <w:p w14:paraId="33483BF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42.5</w:t>
            </w:r>
          </w:p>
        </w:tc>
      </w:tr>
      <w:tr w:rsidR="00746084" w:rsidRPr="00746084" w14:paraId="33483C04"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BFE"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Minority Interests</w:t>
            </w:r>
          </w:p>
        </w:tc>
        <w:tc>
          <w:tcPr>
            <w:tcW w:w="1295" w:type="dxa"/>
            <w:noWrap/>
            <w:hideMark/>
          </w:tcPr>
          <w:p w14:paraId="33483BF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1.6</w:t>
            </w:r>
          </w:p>
        </w:tc>
        <w:tc>
          <w:tcPr>
            <w:tcW w:w="1295" w:type="dxa"/>
            <w:noWrap/>
            <w:hideMark/>
          </w:tcPr>
          <w:p w14:paraId="33483C00"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01"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02"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03"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0B"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05"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Profit For Financial Year</w:t>
            </w:r>
          </w:p>
        </w:tc>
        <w:tc>
          <w:tcPr>
            <w:tcW w:w="1295" w:type="dxa"/>
            <w:noWrap/>
            <w:hideMark/>
          </w:tcPr>
          <w:p w14:paraId="33483C0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438</w:t>
            </w:r>
          </w:p>
        </w:tc>
        <w:tc>
          <w:tcPr>
            <w:tcW w:w="1295" w:type="dxa"/>
            <w:noWrap/>
            <w:hideMark/>
          </w:tcPr>
          <w:p w14:paraId="33483C0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3731.4</w:t>
            </w:r>
          </w:p>
        </w:tc>
        <w:tc>
          <w:tcPr>
            <w:tcW w:w="1295" w:type="dxa"/>
            <w:noWrap/>
            <w:hideMark/>
          </w:tcPr>
          <w:p w14:paraId="33483C0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217.9</w:t>
            </w:r>
          </w:p>
        </w:tc>
        <w:tc>
          <w:tcPr>
            <w:tcW w:w="1295" w:type="dxa"/>
            <w:noWrap/>
            <w:hideMark/>
          </w:tcPr>
          <w:p w14:paraId="33483C0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-906.5</w:t>
            </w:r>
          </w:p>
        </w:tc>
        <w:tc>
          <w:tcPr>
            <w:tcW w:w="1295" w:type="dxa"/>
            <w:noWrap/>
            <w:hideMark/>
          </w:tcPr>
          <w:p w14:paraId="33483C0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42.5</w:t>
            </w:r>
          </w:p>
        </w:tc>
      </w:tr>
      <w:tr w:rsidR="00746084" w:rsidRPr="00746084" w14:paraId="33483C12"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0C"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Ordinary Dividends</w:t>
            </w:r>
          </w:p>
        </w:tc>
        <w:tc>
          <w:tcPr>
            <w:tcW w:w="1295" w:type="dxa"/>
            <w:noWrap/>
            <w:hideMark/>
          </w:tcPr>
          <w:p w14:paraId="33483C0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-177.6</w:t>
            </w:r>
          </w:p>
        </w:tc>
        <w:tc>
          <w:tcPr>
            <w:tcW w:w="1295" w:type="dxa"/>
            <w:noWrap/>
            <w:hideMark/>
          </w:tcPr>
          <w:p w14:paraId="33483C0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-187.4</w:t>
            </w:r>
          </w:p>
        </w:tc>
        <w:tc>
          <w:tcPr>
            <w:tcW w:w="1295" w:type="dxa"/>
            <w:noWrap/>
            <w:hideMark/>
          </w:tcPr>
          <w:p w14:paraId="33483C0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-159.9</w:t>
            </w:r>
          </w:p>
        </w:tc>
        <w:tc>
          <w:tcPr>
            <w:tcW w:w="1295" w:type="dxa"/>
            <w:noWrap/>
            <w:hideMark/>
          </w:tcPr>
          <w:p w14:paraId="33483C10"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11"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19"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13" w14:textId="77777777" w:rsidR="00C33193" w:rsidRPr="00746084" w:rsidRDefault="00C25362"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Non-Equity</w:t>
            </w:r>
            <w:r w:rsidR="00C33193" w:rsidRPr="00746084">
              <w:rPr>
                <w:rFonts w:ascii="Times New Roman" w:eastAsia="Times New Roman" w:hAnsi="Times New Roman" w:cs="Times New Roman"/>
                <w:color w:val="000000" w:themeColor="text1"/>
                <w:sz w:val="24"/>
                <w:szCs w:val="24"/>
                <w:lang w:eastAsia="en-GB"/>
              </w:rPr>
              <w:t xml:space="preserve"> Dividends</w:t>
            </w:r>
          </w:p>
        </w:tc>
        <w:tc>
          <w:tcPr>
            <w:tcW w:w="1295" w:type="dxa"/>
            <w:noWrap/>
            <w:hideMark/>
          </w:tcPr>
          <w:p w14:paraId="33483C14"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15"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16"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17"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18"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20"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1A"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Retained Profit</w:t>
            </w:r>
          </w:p>
        </w:tc>
        <w:tc>
          <w:tcPr>
            <w:tcW w:w="1295" w:type="dxa"/>
            <w:noWrap/>
            <w:hideMark/>
          </w:tcPr>
          <w:p w14:paraId="33483C1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260.4</w:t>
            </w:r>
          </w:p>
        </w:tc>
        <w:tc>
          <w:tcPr>
            <w:tcW w:w="1295" w:type="dxa"/>
            <w:noWrap/>
            <w:hideMark/>
          </w:tcPr>
          <w:p w14:paraId="33483C1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3544</w:t>
            </w:r>
          </w:p>
        </w:tc>
        <w:tc>
          <w:tcPr>
            <w:tcW w:w="1295" w:type="dxa"/>
            <w:noWrap/>
            <w:hideMark/>
          </w:tcPr>
          <w:p w14:paraId="33483C1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58</w:t>
            </w:r>
          </w:p>
        </w:tc>
        <w:tc>
          <w:tcPr>
            <w:tcW w:w="1295" w:type="dxa"/>
            <w:noWrap/>
            <w:hideMark/>
          </w:tcPr>
          <w:p w14:paraId="33483C1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-906.5</w:t>
            </w:r>
          </w:p>
        </w:tc>
        <w:tc>
          <w:tcPr>
            <w:tcW w:w="1295" w:type="dxa"/>
            <w:noWrap/>
            <w:hideMark/>
          </w:tcPr>
          <w:p w14:paraId="33483C1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42.5</w:t>
            </w:r>
          </w:p>
        </w:tc>
      </w:tr>
      <w:tr w:rsidR="00746084" w:rsidRPr="00746084" w14:paraId="33483C27"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21"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Per Share Data</w:t>
            </w:r>
          </w:p>
        </w:tc>
        <w:tc>
          <w:tcPr>
            <w:tcW w:w="1295" w:type="dxa"/>
            <w:noWrap/>
            <w:hideMark/>
          </w:tcPr>
          <w:p w14:paraId="33483C22"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23"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24"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25"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26"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2E"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28"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Dividend per Share</w:t>
            </w:r>
          </w:p>
        </w:tc>
        <w:tc>
          <w:tcPr>
            <w:tcW w:w="1295" w:type="dxa"/>
            <w:noWrap/>
            <w:hideMark/>
          </w:tcPr>
          <w:p w14:paraId="33483C2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83.59</w:t>
            </w:r>
          </w:p>
        </w:tc>
        <w:tc>
          <w:tcPr>
            <w:tcW w:w="1295" w:type="dxa"/>
            <w:noWrap/>
            <w:hideMark/>
          </w:tcPr>
          <w:p w14:paraId="33483C2A"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88.02</w:t>
            </w:r>
          </w:p>
        </w:tc>
        <w:tc>
          <w:tcPr>
            <w:tcW w:w="1295" w:type="dxa"/>
            <w:noWrap/>
            <w:hideMark/>
          </w:tcPr>
          <w:p w14:paraId="33483C2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85.66</w:t>
            </w:r>
          </w:p>
        </w:tc>
        <w:tc>
          <w:tcPr>
            <w:tcW w:w="1295" w:type="dxa"/>
            <w:noWrap/>
            <w:hideMark/>
          </w:tcPr>
          <w:p w14:paraId="33483C2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w:t>
            </w:r>
          </w:p>
        </w:tc>
        <w:tc>
          <w:tcPr>
            <w:tcW w:w="1295" w:type="dxa"/>
            <w:noWrap/>
            <w:hideMark/>
          </w:tcPr>
          <w:p w14:paraId="33483C2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w:t>
            </w:r>
          </w:p>
        </w:tc>
      </w:tr>
      <w:tr w:rsidR="00746084" w:rsidRPr="00746084" w14:paraId="33483C35"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2F"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Normalized EPS</w:t>
            </w:r>
          </w:p>
        </w:tc>
        <w:tc>
          <w:tcPr>
            <w:tcW w:w="1295" w:type="dxa"/>
            <w:noWrap/>
            <w:hideMark/>
          </w:tcPr>
          <w:p w14:paraId="33483C3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213.45</w:t>
            </w:r>
          </w:p>
        </w:tc>
        <w:tc>
          <w:tcPr>
            <w:tcW w:w="1295" w:type="dxa"/>
            <w:noWrap/>
            <w:hideMark/>
          </w:tcPr>
          <w:p w14:paraId="33483C31"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147.71</w:t>
            </w:r>
          </w:p>
        </w:tc>
        <w:tc>
          <w:tcPr>
            <w:tcW w:w="1295" w:type="dxa"/>
            <w:noWrap/>
            <w:hideMark/>
          </w:tcPr>
          <w:p w14:paraId="33483C32"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157.6</w:t>
            </w:r>
          </w:p>
        </w:tc>
        <w:tc>
          <w:tcPr>
            <w:tcW w:w="1295" w:type="dxa"/>
            <w:noWrap/>
            <w:hideMark/>
          </w:tcPr>
          <w:p w14:paraId="33483C33"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-500.43</w:t>
            </w:r>
          </w:p>
        </w:tc>
        <w:tc>
          <w:tcPr>
            <w:tcW w:w="1295" w:type="dxa"/>
            <w:noWrap/>
            <w:hideMark/>
          </w:tcPr>
          <w:p w14:paraId="33483C3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-41.99</w:t>
            </w:r>
          </w:p>
        </w:tc>
      </w:tr>
      <w:tr w:rsidR="00746084" w:rsidRPr="00746084" w14:paraId="33483C3C"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36"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Reported EPS</w:t>
            </w:r>
          </w:p>
        </w:tc>
        <w:tc>
          <w:tcPr>
            <w:tcW w:w="1295" w:type="dxa"/>
            <w:noWrap/>
            <w:hideMark/>
          </w:tcPr>
          <w:p w14:paraId="33483C3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205.4</w:t>
            </w:r>
          </w:p>
        </w:tc>
        <w:tc>
          <w:tcPr>
            <w:tcW w:w="1295" w:type="dxa"/>
            <w:noWrap/>
            <w:hideMark/>
          </w:tcPr>
          <w:p w14:paraId="33483C38"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82.65</w:t>
            </w:r>
          </w:p>
        </w:tc>
        <w:tc>
          <w:tcPr>
            <w:tcW w:w="1295" w:type="dxa"/>
            <w:noWrap/>
            <w:hideMark/>
          </w:tcPr>
          <w:p w14:paraId="33483C3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124.7</w:t>
            </w:r>
          </w:p>
        </w:tc>
        <w:tc>
          <w:tcPr>
            <w:tcW w:w="1295" w:type="dxa"/>
            <w:noWrap/>
            <w:hideMark/>
          </w:tcPr>
          <w:p w14:paraId="33483C3A"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-481.9</w:t>
            </w:r>
          </w:p>
        </w:tc>
        <w:tc>
          <w:tcPr>
            <w:tcW w:w="1295" w:type="dxa"/>
            <w:noWrap/>
            <w:hideMark/>
          </w:tcPr>
          <w:p w14:paraId="33483C3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20.9</w:t>
            </w:r>
          </w:p>
        </w:tc>
      </w:tr>
      <w:tr w:rsidR="00746084" w:rsidRPr="00746084" w14:paraId="33483C43"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3D"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Norm Discontinued EPS</w:t>
            </w:r>
          </w:p>
        </w:tc>
        <w:tc>
          <w:tcPr>
            <w:tcW w:w="1295" w:type="dxa"/>
            <w:noWrap/>
            <w:hideMark/>
          </w:tcPr>
          <w:p w14:paraId="33483C3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3F"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0"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1"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2"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4A"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44"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Investment Ratios</w:t>
            </w:r>
          </w:p>
        </w:tc>
        <w:tc>
          <w:tcPr>
            <w:tcW w:w="1295" w:type="dxa"/>
            <w:noWrap/>
            <w:hideMark/>
          </w:tcPr>
          <w:p w14:paraId="33483C45"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6"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7"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8"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49"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51"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4B"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Profit Margin</w:t>
            </w:r>
          </w:p>
        </w:tc>
        <w:tc>
          <w:tcPr>
            <w:tcW w:w="1295" w:type="dxa"/>
            <w:noWrap/>
            <w:hideMark/>
          </w:tcPr>
          <w:p w14:paraId="33483C4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0.27</w:t>
            </w:r>
          </w:p>
        </w:tc>
        <w:tc>
          <w:tcPr>
            <w:tcW w:w="1295" w:type="dxa"/>
            <w:noWrap/>
            <w:hideMark/>
          </w:tcPr>
          <w:p w14:paraId="33483C4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0.26</w:t>
            </w:r>
          </w:p>
        </w:tc>
        <w:tc>
          <w:tcPr>
            <w:tcW w:w="1295" w:type="dxa"/>
            <w:noWrap/>
            <w:hideMark/>
          </w:tcPr>
          <w:p w14:paraId="33483C4E"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0.23</w:t>
            </w:r>
          </w:p>
        </w:tc>
        <w:tc>
          <w:tcPr>
            <w:tcW w:w="1295" w:type="dxa"/>
            <w:noWrap/>
            <w:hideMark/>
          </w:tcPr>
          <w:p w14:paraId="33483C4F"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-1.09</w:t>
            </w:r>
          </w:p>
        </w:tc>
        <w:tc>
          <w:tcPr>
            <w:tcW w:w="1295" w:type="dxa"/>
            <w:noWrap/>
            <w:hideMark/>
          </w:tcPr>
          <w:p w14:paraId="33483C5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0.02</w:t>
            </w:r>
          </w:p>
        </w:tc>
      </w:tr>
      <w:tr w:rsidR="00746084" w:rsidRPr="00746084" w14:paraId="33483C58"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52"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DPS Growth</w:t>
            </w:r>
          </w:p>
        </w:tc>
        <w:tc>
          <w:tcPr>
            <w:tcW w:w="1295" w:type="dxa"/>
            <w:noWrap/>
            <w:hideMark/>
          </w:tcPr>
          <w:p w14:paraId="33483C5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0.06</w:t>
            </w:r>
          </w:p>
        </w:tc>
        <w:tc>
          <w:tcPr>
            <w:tcW w:w="1295" w:type="dxa"/>
            <w:noWrap/>
            <w:hideMark/>
          </w:tcPr>
          <w:p w14:paraId="33483C5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0.05</w:t>
            </w:r>
          </w:p>
        </w:tc>
        <w:tc>
          <w:tcPr>
            <w:tcW w:w="1295" w:type="dxa"/>
            <w:noWrap/>
            <w:hideMark/>
          </w:tcPr>
          <w:p w14:paraId="33483C5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-0.03</w:t>
            </w:r>
          </w:p>
        </w:tc>
        <w:tc>
          <w:tcPr>
            <w:tcW w:w="1295" w:type="dxa"/>
            <w:noWrap/>
            <w:hideMark/>
          </w:tcPr>
          <w:p w14:paraId="33483C5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57"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5F"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59"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Dividend Cover</w:t>
            </w:r>
          </w:p>
        </w:tc>
        <w:tc>
          <w:tcPr>
            <w:tcW w:w="1295" w:type="dxa"/>
            <w:noWrap/>
            <w:hideMark/>
          </w:tcPr>
          <w:p w14:paraId="33483C5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2.68</w:t>
            </w:r>
          </w:p>
        </w:tc>
        <w:tc>
          <w:tcPr>
            <w:tcW w:w="1295" w:type="dxa"/>
            <w:noWrap/>
            <w:hideMark/>
          </w:tcPr>
          <w:p w14:paraId="33483C5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2.36</w:t>
            </w:r>
          </w:p>
        </w:tc>
        <w:tc>
          <w:tcPr>
            <w:tcW w:w="1295" w:type="dxa"/>
            <w:noWrap/>
            <w:hideMark/>
          </w:tcPr>
          <w:p w14:paraId="33483C5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0.98</w:t>
            </w:r>
          </w:p>
        </w:tc>
        <w:tc>
          <w:tcPr>
            <w:tcW w:w="1295" w:type="dxa"/>
            <w:noWrap/>
            <w:hideMark/>
          </w:tcPr>
          <w:p w14:paraId="33483C5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5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66"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60"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Norm EPS Growth</w:t>
            </w:r>
          </w:p>
        </w:tc>
        <w:tc>
          <w:tcPr>
            <w:tcW w:w="1295" w:type="dxa"/>
            <w:noWrap/>
            <w:hideMark/>
          </w:tcPr>
          <w:p w14:paraId="33483C6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-0.02</w:t>
            </w:r>
          </w:p>
        </w:tc>
        <w:tc>
          <w:tcPr>
            <w:tcW w:w="1295" w:type="dxa"/>
            <w:noWrap/>
            <w:hideMark/>
          </w:tcPr>
          <w:p w14:paraId="33483C62"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-0.31</w:t>
            </w:r>
          </w:p>
        </w:tc>
        <w:tc>
          <w:tcPr>
            <w:tcW w:w="1295" w:type="dxa"/>
            <w:noWrap/>
            <w:hideMark/>
          </w:tcPr>
          <w:p w14:paraId="33483C6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0.07</w:t>
            </w:r>
          </w:p>
        </w:tc>
        <w:tc>
          <w:tcPr>
            <w:tcW w:w="1295" w:type="dxa"/>
            <w:noWrap/>
            <w:hideMark/>
          </w:tcPr>
          <w:p w14:paraId="33483C6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65"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6D"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67"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Reported EPS Growth</w:t>
            </w:r>
          </w:p>
        </w:tc>
        <w:tc>
          <w:tcPr>
            <w:tcW w:w="1295" w:type="dxa"/>
            <w:noWrap/>
            <w:hideMark/>
          </w:tcPr>
          <w:p w14:paraId="33483C6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0.04</w:t>
            </w:r>
          </w:p>
        </w:tc>
        <w:tc>
          <w:tcPr>
            <w:tcW w:w="1295" w:type="dxa"/>
            <w:noWrap/>
            <w:hideMark/>
          </w:tcPr>
          <w:p w14:paraId="33483C6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7.5</w:t>
            </w:r>
          </w:p>
        </w:tc>
        <w:tc>
          <w:tcPr>
            <w:tcW w:w="1295" w:type="dxa"/>
            <w:noWrap/>
            <w:hideMark/>
          </w:tcPr>
          <w:p w14:paraId="33483C6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-0.93</w:t>
            </w:r>
          </w:p>
        </w:tc>
        <w:tc>
          <w:tcPr>
            <w:tcW w:w="1295" w:type="dxa"/>
            <w:noWrap/>
            <w:hideMark/>
          </w:tcPr>
          <w:p w14:paraId="33483C6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6C"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74" w14:textId="77777777" w:rsidTr="00C33193">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6E"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Others</w:t>
            </w:r>
          </w:p>
        </w:tc>
        <w:tc>
          <w:tcPr>
            <w:tcW w:w="1295" w:type="dxa"/>
            <w:noWrap/>
            <w:hideMark/>
          </w:tcPr>
          <w:p w14:paraId="33483C6F"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70"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71"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72"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95" w:type="dxa"/>
            <w:noWrap/>
            <w:hideMark/>
          </w:tcPr>
          <w:p w14:paraId="33483C73"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7B" w14:textId="77777777" w:rsidTr="00C33193">
        <w:trPr>
          <w:trHeight w:val="356"/>
        </w:trPr>
        <w:tc>
          <w:tcPr>
            <w:cnfStyle w:val="001000000000" w:firstRow="0" w:lastRow="0" w:firstColumn="1" w:lastColumn="0" w:oddVBand="0" w:evenVBand="0" w:oddHBand="0" w:evenHBand="0" w:firstRowFirstColumn="0" w:firstRowLastColumn="0" w:lastRowFirstColumn="0" w:lastRowLastColumn="0"/>
            <w:tcW w:w="3087" w:type="dxa"/>
            <w:noWrap/>
            <w:hideMark/>
          </w:tcPr>
          <w:p w14:paraId="33483C75"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Market Cap at B/S Date</w:t>
            </w:r>
          </w:p>
        </w:tc>
        <w:tc>
          <w:tcPr>
            <w:tcW w:w="1295" w:type="dxa"/>
            <w:noWrap/>
            <w:hideMark/>
          </w:tcPr>
          <w:p w14:paraId="33483C7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7126.97</w:t>
            </w:r>
          </w:p>
        </w:tc>
        <w:tc>
          <w:tcPr>
            <w:tcW w:w="1295" w:type="dxa"/>
            <w:noWrap/>
            <w:hideMark/>
          </w:tcPr>
          <w:p w14:paraId="33483C7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8758.86</w:t>
            </w:r>
          </w:p>
        </w:tc>
        <w:tc>
          <w:tcPr>
            <w:tcW w:w="1295" w:type="dxa"/>
            <w:noWrap/>
            <w:hideMark/>
          </w:tcPr>
          <w:p w14:paraId="33483C7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5724.55</w:t>
            </w:r>
          </w:p>
        </w:tc>
        <w:tc>
          <w:tcPr>
            <w:tcW w:w="1295" w:type="dxa"/>
            <w:noWrap/>
            <w:hideMark/>
          </w:tcPr>
          <w:p w14:paraId="33483C7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6855.6</w:t>
            </w:r>
          </w:p>
        </w:tc>
        <w:tc>
          <w:tcPr>
            <w:tcW w:w="1295" w:type="dxa"/>
            <w:noWrap/>
            <w:hideMark/>
          </w:tcPr>
          <w:p w14:paraId="33483C7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5906.88</w:t>
            </w:r>
          </w:p>
        </w:tc>
      </w:tr>
    </w:tbl>
    <w:p w14:paraId="33483C7C" w14:textId="77777777" w:rsidR="00C33193" w:rsidRPr="00746084" w:rsidRDefault="00C33193" w:rsidP="00C33193">
      <w:pPr>
        <w:pStyle w:val="Heading2"/>
        <w:rPr>
          <w:rFonts w:cs="Times New Roman"/>
          <w:szCs w:val="24"/>
          <w:lang w:val="en-US"/>
        </w:rPr>
      </w:pPr>
      <w:bookmarkStart w:id="30" w:name="_Toc121233982"/>
      <w:r w:rsidRPr="00746084">
        <w:rPr>
          <w:rFonts w:cs="Times New Roman"/>
          <w:szCs w:val="24"/>
          <w:lang w:val="en-US"/>
        </w:rPr>
        <w:lastRenderedPageBreak/>
        <w:t xml:space="preserve">Appendix </w:t>
      </w:r>
      <w:r w:rsidR="00C25362" w:rsidRPr="00746084">
        <w:rPr>
          <w:rFonts w:cs="Times New Roman"/>
          <w:szCs w:val="24"/>
          <w:lang w:val="en-US"/>
        </w:rPr>
        <w:t xml:space="preserve">- </w:t>
      </w:r>
      <w:r w:rsidRPr="00746084">
        <w:rPr>
          <w:rFonts w:cs="Times New Roman"/>
          <w:szCs w:val="24"/>
          <w:lang w:val="en-US"/>
        </w:rPr>
        <w:t>B (Balance Sheet)</w:t>
      </w:r>
      <w:bookmarkEnd w:id="30"/>
    </w:p>
    <w:tbl>
      <w:tblPr>
        <w:tblStyle w:val="PlainTable2"/>
        <w:tblW w:w="9403" w:type="dxa"/>
        <w:tblLook w:val="04A0" w:firstRow="1" w:lastRow="0" w:firstColumn="1" w:lastColumn="0" w:noHBand="0" w:noVBand="1"/>
      </w:tblPr>
      <w:tblGrid>
        <w:gridCol w:w="3378"/>
        <w:gridCol w:w="1205"/>
        <w:gridCol w:w="1205"/>
        <w:gridCol w:w="1205"/>
        <w:gridCol w:w="1205"/>
        <w:gridCol w:w="1205"/>
      </w:tblGrid>
      <w:tr w:rsidR="00746084" w:rsidRPr="00746084" w14:paraId="33483C83" w14:textId="77777777" w:rsidTr="00C25362">
        <w:trPr>
          <w:cnfStyle w:val="100000000000" w:firstRow="1" w:lastRow="0" w:firstColumn="0" w:lastColumn="0" w:oddVBand="0" w:evenVBand="0" w:oddHBand="0"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7D"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p>
        </w:tc>
        <w:tc>
          <w:tcPr>
            <w:tcW w:w="1205" w:type="dxa"/>
            <w:noWrap/>
            <w:hideMark/>
          </w:tcPr>
          <w:p w14:paraId="33483C7E" w14:textId="77777777" w:rsidR="00C33193" w:rsidRPr="00746084" w:rsidRDefault="00C33193" w:rsidP="00C33193">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2018</w:t>
            </w:r>
          </w:p>
        </w:tc>
        <w:tc>
          <w:tcPr>
            <w:tcW w:w="1205" w:type="dxa"/>
            <w:noWrap/>
            <w:hideMark/>
          </w:tcPr>
          <w:p w14:paraId="33483C7F" w14:textId="77777777" w:rsidR="00C33193" w:rsidRPr="00746084" w:rsidRDefault="00C33193" w:rsidP="00C33193">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2019</w:t>
            </w:r>
          </w:p>
        </w:tc>
        <w:tc>
          <w:tcPr>
            <w:tcW w:w="1205" w:type="dxa"/>
            <w:noWrap/>
            <w:hideMark/>
          </w:tcPr>
          <w:p w14:paraId="33483C80" w14:textId="77777777" w:rsidR="00C33193" w:rsidRPr="00746084" w:rsidRDefault="00C33193" w:rsidP="00C33193">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2020</w:t>
            </w:r>
          </w:p>
        </w:tc>
        <w:tc>
          <w:tcPr>
            <w:tcW w:w="1205" w:type="dxa"/>
            <w:noWrap/>
            <w:hideMark/>
          </w:tcPr>
          <w:p w14:paraId="33483C81" w14:textId="77777777" w:rsidR="00C33193" w:rsidRPr="00746084" w:rsidRDefault="00C33193" w:rsidP="00C33193">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2021</w:t>
            </w:r>
          </w:p>
        </w:tc>
        <w:tc>
          <w:tcPr>
            <w:tcW w:w="1205" w:type="dxa"/>
            <w:noWrap/>
            <w:hideMark/>
          </w:tcPr>
          <w:p w14:paraId="33483C82" w14:textId="77777777" w:rsidR="00C33193" w:rsidRPr="00746084" w:rsidRDefault="00C33193" w:rsidP="00C33193">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2022</w:t>
            </w:r>
          </w:p>
        </w:tc>
      </w:tr>
      <w:tr w:rsidR="00746084" w:rsidRPr="00746084" w14:paraId="33483C8A"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84"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Fiscal Year Ends</w:t>
            </w:r>
          </w:p>
        </w:tc>
        <w:tc>
          <w:tcPr>
            <w:tcW w:w="1205" w:type="dxa"/>
            <w:noWrap/>
            <w:hideMark/>
          </w:tcPr>
          <w:p w14:paraId="33483C8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2/28/2018</w:t>
            </w:r>
          </w:p>
        </w:tc>
        <w:tc>
          <w:tcPr>
            <w:tcW w:w="1205" w:type="dxa"/>
            <w:noWrap/>
            <w:hideMark/>
          </w:tcPr>
          <w:p w14:paraId="33483C8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2/28/2019</w:t>
            </w:r>
          </w:p>
        </w:tc>
        <w:tc>
          <w:tcPr>
            <w:tcW w:w="1205" w:type="dxa"/>
            <w:noWrap/>
            <w:hideMark/>
          </w:tcPr>
          <w:p w14:paraId="33483C8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2/29/2020</w:t>
            </w:r>
          </w:p>
        </w:tc>
        <w:tc>
          <w:tcPr>
            <w:tcW w:w="1205" w:type="dxa"/>
            <w:noWrap/>
            <w:hideMark/>
          </w:tcPr>
          <w:p w14:paraId="33483C88"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2/28/2021</w:t>
            </w:r>
          </w:p>
        </w:tc>
        <w:tc>
          <w:tcPr>
            <w:tcW w:w="1205" w:type="dxa"/>
            <w:noWrap/>
            <w:hideMark/>
          </w:tcPr>
          <w:p w14:paraId="33483C8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2/28/2022</w:t>
            </w:r>
          </w:p>
        </w:tc>
      </w:tr>
      <w:tr w:rsidR="00746084" w:rsidRPr="00746084" w14:paraId="33483C91"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8B"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Assets</w:t>
            </w:r>
          </w:p>
        </w:tc>
        <w:tc>
          <w:tcPr>
            <w:tcW w:w="1205" w:type="dxa"/>
            <w:noWrap/>
            <w:hideMark/>
          </w:tcPr>
          <w:p w14:paraId="33483C8C"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8D"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8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8F"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90"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98"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92"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Non-Current Assets</w:t>
            </w:r>
          </w:p>
        </w:tc>
        <w:tc>
          <w:tcPr>
            <w:tcW w:w="1205" w:type="dxa"/>
            <w:noWrap/>
            <w:hideMark/>
          </w:tcPr>
          <w:p w14:paraId="33483C93"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94"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95"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96"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97"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9F"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99"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Intangible</w:t>
            </w:r>
          </w:p>
        </w:tc>
        <w:tc>
          <w:tcPr>
            <w:tcW w:w="1205" w:type="dxa"/>
            <w:noWrap/>
            <w:hideMark/>
          </w:tcPr>
          <w:p w14:paraId="33483C9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300.7</w:t>
            </w:r>
          </w:p>
        </w:tc>
        <w:tc>
          <w:tcPr>
            <w:tcW w:w="1205" w:type="dxa"/>
            <w:noWrap/>
            <w:hideMark/>
          </w:tcPr>
          <w:p w14:paraId="33483C9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175.6</w:t>
            </w:r>
          </w:p>
        </w:tc>
        <w:tc>
          <w:tcPr>
            <w:tcW w:w="1205" w:type="dxa"/>
            <w:noWrap/>
            <w:hideMark/>
          </w:tcPr>
          <w:p w14:paraId="33483C9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172.8</w:t>
            </w:r>
          </w:p>
        </w:tc>
        <w:tc>
          <w:tcPr>
            <w:tcW w:w="1205" w:type="dxa"/>
            <w:noWrap/>
            <w:hideMark/>
          </w:tcPr>
          <w:p w14:paraId="33483C9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159.1</w:t>
            </w:r>
          </w:p>
        </w:tc>
        <w:tc>
          <w:tcPr>
            <w:tcW w:w="1205" w:type="dxa"/>
            <w:noWrap/>
            <w:hideMark/>
          </w:tcPr>
          <w:p w14:paraId="33483C9E"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159.3</w:t>
            </w:r>
          </w:p>
        </w:tc>
      </w:tr>
      <w:tr w:rsidR="00746084" w:rsidRPr="00746084" w14:paraId="33483CA6"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A0"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Tangible</w:t>
            </w:r>
          </w:p>
        </w:tc>
        <w:tc>
          <w:tcPr>
            <w:tcW w:w="1205" w:type="dxa"/>
            <w:noWrap/>
            <w:hideMark/>
          </w:tcPr>
          <w:p w14:paraId="33483CA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6693.3</w:t>
            </w:r>
          </w:p>
        </w:tc>
        <w:tc>
          <w:tcPr>
            <w:tcW w:w="1205" w:type="dxa"/>
            <w:noWrap/>
            <w:hideMark/>
          </w:tcPr>
          <w:p w14:paraId="33483CA2"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6231.7</w:t>
            </w:r>
          </w:p>
        </w:tc>
        <w:tc>
          <w:tcPr>
            <w:tcW w:w="1205" w:type="dxa"/>
            <w:noWrap/>
            <w:hideMark/>
          </w:tcPr>
          <w:p w14:paraId="33483CA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6505.7</w:t>
            </w:r>
          </w:p>
        </w:tc>
        <w:tc>
          <w:tcPr>
            <w:tcW w:w="1205" w:type="dxa"/>
            <w:noWrap/>
            <w:hideMark/>
          </w:tcPr>
          <w:p w14:paraId="33483CA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6951.5</w:t>
            </w:r>
          </w:p>
        </w:tc>
        <w:tc>
          <w:tcPr>
            <w:tcW w:w="1205" w:type="dxa"/>
            <w:noWrap/>
            <w:hideMark/>
          </w:tcPr>
          <w:p w14:paraId="33483CA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7494.7</w:t>
            </w:r>
          </w:p>
        </w:tc>
      </w:tr>
      <w:tr w:rsidR="00746084" w:rsidRPr="00746084" w14:paraId="33483CAD"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A7"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Investments</w:t>
            </w:r>
          </w:p>
        </w:tc>
        <w:tc>
          <w:tcPr>
            <w:tcW w:w="1205" w:type="dxa"/>
            <w:noWrap/>
            <w:hideMark/>
          </w:tcPr>
          <w:p w14:paraId="33483CA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50.4</w:t>
            </w:r>
          </w:p>
        </w:tc>
        <w:tc>
          <w:tcPr>
            <w:tcW w:w="1205" w:type="dxa"/>
            <w:noWrap/>
            <w:hideMark/>
          </w:tcPr>
          <w:p w14:paraId="33483CA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56.6</w:t>
            </w:r>
          </w:p>
        </w:tc>
        <w:tc>
          <w:tcPr>
            <w:tcW w:w="1205" w:type="dxa"/>
            <w:noWrap/>
            <w:hideMark/>
          </w:tcPr>
          <w:p w14:paraId="33483CA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54.8</w:t>
            </w:r>
          </w:p>
        </w:tc>
        <w:tc>
          <w:tcPr>
            <w:tcW w:w="1205" w:type="dxa"/>
            <w:noWrap/>
            <w:hideMark/>
          </w:tcPr>
          <w:p w14:paraId="33483CA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37.3</w:t>
            </w:r>
          </w:p>
        </w:tc>
        <w:tc>
          <w:tcPr>
            <w:tcW w:w="1205" w:type="dxa"/>
            <w:noWrap/>
            <w:hideMark/>
          </w:tcPr>
          <w:p w14:paraId="33483CA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41.1</w:t>
            </w:r>
          </w:p>
        </w:tc>
      </w:tr>
      <w:tr w:rsidR="00746084" w:rsidRPr="00746084" w14:paraId="33483CB4"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AE"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Other</w:t>
            </w:r>
          </w:p>
        </w:tc>
        <w:tc>
          <w:tcPr>
            <w:tcW w:w="1205" w:type="dxa"/>
            <w:noWrap/>
            <w:hideMark/>
          </w:tcPr>
          <w:p w14:paraId="33483CA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15</w:t>
            </w:r>
          </w:p>
        </w:tc>
        <w:tc>
          <w:tcPr>
            <w:tcW w:w="1205" w:type="dxa"/>
            <w:noWrap/>
            <w:hideMark/>
          </w:tcPr>
          <w:p w14:paraId="33483CB0"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14.5</w:t>
            </w:r>
          </w:p>
        </w:tc>
        <w:tc>
          <w:tcPr>
            <w:tcW w:w="1205" w:type="dxa"/>
            <w:noWrap/>
            <w:hideMark/>
          </w:tcPr>
          <w:p w14:paraId="33483CB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244.3</w:t>
            </w:r>
          </w:p>
        </w:tc>
        <w:tc>
          <w:tcPr>
            <w:tcW w:w="1205" w:type="dxa"/>
            <w:noWrap/>
            <w:hideMark/>
          </w:tcPr>
          <w:p w14:paraId="33483CB2"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281.2</w:t>
            </w:r>
          </w:p>
        </w:tc>
        <w:tc>
          <w:tcPr>
            <w:tcW w:w="1205" w:type="dxa"/>
            <w:noWrap/>
            <w:hideMark/>
          </w:tcPr>
          <w:p w14:paraId="33483CB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538.4</w:t>
            </w:r>
          </w:p>
        </w:tc>
      </w:tr>
      <w:tr w:rsidR="00746084" w:rsidRPr="00746084" w14:paraId="33483CBB"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B5"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non-current assets</w:t>
            </w:r>
          </w:p>
        </w:tc>
        <w:tc>
          <w:tcPr>
            <w:tcW w:w="1205" w:type="dxa"/>
            <w:noWrap/>
            <w:hideMark/>
          </w:tcPr>
          <w:p w14:paraId="33483CB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7059.4</w:t>
            </w:r>
          </w:p>
        </w:tc>
        <w:tc>
          <w:tcPr>
            <w:tcW w:w="1205" w:type="dxa"/>
            <w:noWrap/>
            <w:hideMark/>
          </w:tcPr>
          <w:p w14:paraId="33483CB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6478.4</w:t>
            </w:r>
          </w:p>
        </w:tc>
        <w:tc>
          <w:tcPr>
            <w:tcW w:w="1205" w:type="dxa"/>
            <w:noWrap/>
            <w:hideMark/>
          </w:tcPr>
          <w:p w14:paraId="33483CB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6977.6</w:t>
            </w:r>
          </w:p>
        </w:tc>
        <w:tc>
          <w:tcPr>
            <w:tcW w:w="1205" w:type="dxa"/>
            <w:noWrap/>
            <w:hideMark/>
          </w:tcPr>
          <w:p w14:paraId="33483CB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7429.1</w:t>
            </w:r>
          </w:p>
        </w:tc>
        <w:tc>
          <w:tcPr>
            <w:tcW w:w="1205" w:type="dxa"/>
            <w:noWrap/>
            <w:hideMark/>
          </w:tcPr>
          <w:p w14:paraId="33483CB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8233.5</w:t>
            </w:r>
          </w:p>
        </w:tc>
      </w:tr>
      <w:tr w:rsidR="00746084" w:rsidRPr="00746084" w14:paraId="33483CC2"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BC"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Current Assets</w:t>
            </w:r>
          </w:p>
        </w:tc>
        <w:tc>
          <w:tcPr>
            <w:tcW w:w="1205" w:type="dxa"/>
            <w:noWrap/>
            <w:hideMark/>
          </w:tcPr>
          <w:p w14:paraId="33483CBD"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BE"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BF"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C0"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C1"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C9"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C3"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Stock</w:t>
            </w:r>
          </w:p>
        </w:tc>
        <w:tc>
          <w:tcPr>
            <w:tcW w:w="1205" w:type="dxa"/>
            <w:noWrap/>
            <w:hideMark/>
          </w:tcPr>
          <w:p w14:paraId="33483CC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48.8</w:t>
            </w:r>
          </w:p>
        </w:tc>
        <w:tc>
          <w:tcPr>
            <w:tcW w:w="1205" w:type="dxa"/>
            <w:noWrap/>
            <w:hideMark/>
          </w:tcPr>
          <w:p w14:paraId="33483CC5"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14.5</w:t>
            </w:r>
          </w:p>
        </w:tc>
        <w:tc>
          <w:tcPr>
            <w:tcW w:w="1205" w:type="dxa"/>
            <w:noWrap/>
            <w:hideMark/>
          </w:tcPr>
          <w:p w14:paraId="33483CC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13.7</w:t>
            </w:r>
          </w:p>
        </w:tc>
        <w:tc>
          <w:tcPr>
            <w:tcW w:w="1205" w:type="dxa"/>
            <w:noWrap/>
            <w:hideMark/>
          </w:tcPr>
          <w:p w14:paraId="33483CC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12.1</w:t>
            </w:r>
          </w:p>
        </w:tc>
        <w:tc>
          <w:tcPr>
            <w:tcW w:w="1205" w:type="dxa"/>
            <w:noWrap/>
            <w:hideMark/>
          </w:tcPr>
          <w:p w14:paraId="33483CC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19.4</w:t>
            </w:r>
          </w:p>
        </w:tc>
      </w:tr>
      <w:tr w:rsidR="00746084" w:rsidRPr="00746084" w14:paraId="33483CD0"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CA"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Debtors</w:t>
            </w:r>
          </w:p>
        </w:tc>
        <w:tc>
          <w:tcPr>
            <w:tcW w:w="1205" w:type="dxa"/>
            <w:noWrap/>
            <w:hideMark/>
          </w:tcPr>
          <w:p w14:paraId="33483CC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180.3</w:t>
            </w:r>
          </w:p>
        </w:tc>
        <w:tc>
          <w:tcPr>
            <w:tcW w:w="1205" w:type="dxa"/>
            <w:noWrap/>
            <w:hideMark/>
          </w:tcPr>
          <w:p w14:paraId="33483CC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111.5</w:t>
            </w:r>
          </w:p>
        </w:tc>
        <w:tc>
          <w:tcPr>
            <w:tcW w:w="1205" w:type="dxa"/>
            <w:noWrap/>
            <w:hideMark/>
          </w:tcPr>
          <w:p w14:paraId="33483CC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292.8</w:t>
            </w:r>
          </w:p>
        </w:tc>
        <w:tc>
          <w:tcPr>
            <w:tcW w:w="1205" w:type="dxa"/>
            <w:noWrap/>
            <w:hideMark/>
          </w:tcPr>
          <w:p w14:paraId="33483CC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74.2</w:t>
            </w:r>
          </w:p>
        </w:tc>
        <w:tc>
          <w:tcPr>
            <w:tcW w:w="1205" w:type="dxa"/>
            <w:noWrap/>
            <w:hideMark/>
          </w:tcPr>
          <w:p w14:paraId="33483CC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116.4</w:t>
            </w:r>
          </w:p>
        </w:tc>
      </w:tr>
      <w:tr w:rsidR="00746084" w:rsidRPr="00746084" w14:paraId="33483CD7"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D1"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Cash and Securities</w:t>
            </w:r>
          </w:p>
        </w:tc>
        <w:tc>
          <w:tcPr>
            <w:tcW w:w="1205" w:type="dxa"/>
            <w:noWrap/>
            <w:hideMark/>
          </w:tcPr>
          <w:p w14:paraId="33483CD2"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90.6</w:t>
            </w:r>
          </w:p>
        </w:tc>
        <w:tc>
          <w:tcPr>
            <w:tcW w:w="1205" w:type="dxa"/>
            <w:noWrap/>
            <w:hideMark/>
          </w:tcPr>
          <w:p w14:paraId="33483CD3"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3403.2</w:t>
            </w:r>
          </w:p>
        </w:tc>
        <w:tc>
          <w:tcPr>
            <w:tcW w:w="1205" w:type="dxa"/>
            <w:noWrap/>
            <w:hideMark/>
          </w:tcPr>
          <w:p w14:paraId="33483CD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502.6</w:t>
            </w:r>
          </w:p>
        </w:tc>
        <w:tc>
          <w:tcPr>
            <w:tcW w:w="1205" w:type="dxa"/>
            <w:noWrap/>
            <w:hideMark/>
          </w:tcPr>
          <w:p w14:paraId="33483CD5"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1256</w:t>
            </w:r>
          </w:p>
        </w:tc>
        <w:tc>
          <w:tcPr>
            <w:tcW w:w="1205" w:type="dxa"/>
            <w:noWrap/>
            <w:hideMark/>
          </w:tcPr>
          <w:p w14:paraId="33483CD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1132.4</w:t>
            </w:r>
          </w:p>
        </w:tc>
      </w:tr>
      <w:tr w:rsidR="00746084" w:rsidRPr="00746084" w14:paraId="33483CDE"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D8"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current assets</w:t>
            </w:r>
          </w:p>
        </w:tc>
        <w:tc>
          <w:tcPr>
            <w:tcW w:w="1205" w:type="dxa"/>
            <w:noWrap/>
            <w:hideMark/>
          </w:tcPr>
          <w:p w14:paraId="33483CD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332.2</w:t>
            </w:r>
          </w:p>
        </w:tc>
        <w:tc>
          <w:tcPr>
            <w:tcW w:w="1205" w:type="dxa"/>
            <w:noWrap/>
            <w:hideMark/>
          </w:tcPr>
          <w:p w14:paraId="33483CDA"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3543.7</w:t>
            </w:r>
          </w:p>
        </w:tc>
        <w:tc>
          <w:tcPr>
            <w:tcW w:w="1205" w:type="dxa"/>
            <w:noWrap/>
            <w:hideMark/>
          </w:tcPr>
          <w:p w14:paraId="33483CDB"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833</w:t>
            </w:r>
          </w:p>
        </w:tc>
        <w:tc>
          <w:tcPr>
            <w:tcW w:w="1205" w:type="dxa"/>
            <w:noWrap/>
            <w:hideMark/>
          </w:tcPr>
          <w:p w14:paraId="33483CDC"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1350.5</w:t>
            </w:r>
          </w:p>
        </w:tc>
        <w:tc>
          <w:tcPr>
            <w:tcW w:w="1205" w:type="dxa"/>
            <w:noWrap/>
            <w:hideMark/>
          </w:tcPr>
          <w:p w14:paraId="33483CD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1268.2</w:t>
            </w:r>
          </w:p>
        </w:tc>
      </w:tr>
      <w:tr w:rsidR="00746084" w:rsidRPr="00746084" w14:paraId="33483CE5"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DF"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Assets</w:t>
            </w:r>
          </w:p>
        </w:tc>
        <w:tc>
          <w:tcPr>
            <w:tcW w:w="1205" w:type="dxa"/>
            <w:noWrap/>
            <w:hideMark/>
          </w:tcPr>
          <w:p w14:paraId="33483CE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7398.9</w:t>
            </w:r>
          </w:p>
        </w:tc>
        <w:tc>
          <w:tcPr>
            <w:tcW w:w="1205" w:type="dxa"/>
            <w:noWrap/>
            <w:hideMark/>
          </w:tcPr>
          <w:p w14:paraId="33483CE1"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10034.3</w:t>
            </w:r>
          </w:p>
        </w:tc>
        <w:tc>
          <w:tcPr>
            <w:tcW w:w="1205" w:type="dxa"/>
            <w:noWrap/>
            <w:hideMark/>
          </w:tcPr>
          <w:p w14:paraId="33483CE2"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7825.5</w:t>
            </w:r>
          </w:p>
        </w:tc>
        <w:tc>
          <w:tcPr>
            <w:tcW w:w="1205" w:type="dxa"/>
            <w:noWrap/>
            <w:hideMark/>
          </w:tcPr>
          <w:p w14:paraId="33483CE3"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8798.6</w:t>
            </w:r>
          </w:p>
        </w:tc>
        <w:tc>
          <w:tcPr>
            <w:tcW w:w="1205" w:type="dxa"/>
            <w:noWrap/>
            <w:hideMark/>
          </w:tcPr>
          <w:p w14:paraId="33483CE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9566.5</w:t>
            </w:r>
          </w:p>
        </w:tc>
      </w:tr>
      <w:tr w:rsidR="00746084" w:rsidRPr="00746084" w14:paraId="33483CEC"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E6"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Liabilities and Equity</w:t>
            </w:r>
          </w:p>
        </w:tc>
        <w:tc>
          <w:tcPr>
            <w:tcW w:w="1205" w:type="dxa"/>
            <w:noWrap/>
            <w:hideMark/>
          </w:tcPr>
          <w:p w14:paraId="33483CE7"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E8"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E9"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EA"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EB"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F3"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ED"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Liabilities</w:t>
            </w:r>
          </w:p>
        </w:tc>
        <w:tc>
          <w:tcPr>
            <w:tcW w:w="1205" w:type="dxa"/>
            <w:noWrap/>
            <w:hideMark/>
          </w:tcPr>
          <w:p w14:paraId="33483CE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EF"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F0"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F1"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CF2"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CFA"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F4"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Current</w:t>
            </w:r>
          </w:p>
        </w:tc>
        <w:tc>
          <w:tcPr>
            <w:tcW w:w="1205" w:type="dxa"/>
            <w:noWrap/>
            <w:hideMark/>
          </w:tcPr>
          <w:p w14:paraId="33483CF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932</w:t>
            </w:r>
          </w:p>
        </w:tc>
        <w:tc>
          <w:tcPr>
            <w:tcW w:w="1205" w:type="dxa"/>
            <w:noWrap/>
            <w:hideMark/>
          </w:tcPr>
          <w:p w14:paraId="33483CF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949.9</w:t>
            </w:r>
          </w:p>
        </w:tc>
        <w:tc>
          <w:tcPr>
            <w:tcW w:w="1205" w:type="dxa"/>
            <w:noWrap/>
            <w:hideMark/>
          </w:tcPr>
          <w:p w14:paraId="33483CF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646.9</w:t>
            </w:r>
          </w:p>
        </w:tc>
        <w:tc>
          <w:tcPr>
            <w:tcW w:w="1205" w:type="dxa"/>
            <w:noWrap/>
            <w:hideMark/>
          </w:tcPr>
          <w:p w14:paraId="33483CF8"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775.3</w:t>
            </w:r>
          </w:p>
        </w:tc>
        <w:tc>
          <w:tcPr>
            <w:tcW w:w="1205" w:type="dxa"/>
            <w:noWrap/>
            <w:hideMark/>
          </w:tcPr>
          <w:p w14:paraId="33483CF9"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themeColor="text1"/>
                <w:sz w:val="24"/>
                <w:szCs w:val="24"/>
                <w:lang w:eastAsia="en-GB"/>
              </w:rPr>
            </w:pPr>
            <w:r w:rsidRPr="00746084">
              <w:rPr>
                <w:rFonts w:ascii="Times New Roman" w:eastAsia="Times New Roman" w:hAnsi="Times New Roman" w:cs="Times New Roman"/>
                <w:b/>
                <w:bCs/>
                <w:color w:val="000000" w:themeColor="text1"/>
                <w:sz w:val="24"/>
                <w:szCs w:val="24"/>
                <w:lang w:eastAsia="en-GB"/>
              </w:rPr>
              <w:t>719.6</w:t>
            </w:r>
          </w:p>
        </w:tc>
      </w:tr>
      <w:tr w:rsidR="00746084" w:rsidRPr="00746084" w14:paraId="33483D01"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CFB"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Non-Current</w:t>
            </w:r>
          </w:p>
        </w:tc>
        <w:tc>
          <w:tcPr>
            <w:tcW w:w="1205" w:type="dxa"/>
            <w:noWrap/>
            <w:hideMark/>
          </w:tcPr>
          <w:p w14:paraId="33483CF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3884.8</w:t>
            </w:r>
          </w:p>
        </w:tc>
        <w:tc>
          <w:tcPr>
            <w:tcW w:w="1205" w:type="dxa"/>
            <w:noWrap/>
            <w:hideMark/>
          </w:tcPr>
          <w:p w14:paraId="33483CFD"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3431.7</w:t>
            </w:r>
          </w:p>
        </w:tc>
        <w:tc>
          <w:tcPr>
            <w:tcW w:w="1205" w:type="dxa"/>
            <w:noWrap/>
            <w:hideMark/>
          </w:tcPr>
          <w:p w14:paraId="33483CFE"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3429.8</w:t>
            </w:r>
          </w:p>
        </w:tc>
        <w:tc>
          <w:tcPr>
            <w:tcW w:w="1205" w:type="dxa"/>
            <w:noWrap/>
            <w:hideMark/>
          </w:tcPr>
          <w:p w14:paraId="33483CFF"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4189.2</w:t>
            </w:r>
          </w:p>
        </w:tc>
        <w:tc>
          <w:tcPr>
            <w:tcW w:w="1205" w:type="dxa"/>
            <w:noWrap/>
            <w:hideMark/>
          </w:tcPr>
          <w:p w14:paraId="33483D00"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4727.9</w:t>
            </w:r>
          </w:p>
        </w:tc>
      </w:tr>
      <w:tr w:rsidR="00746084" w:rsidRPr="00746084" w14:paraId="33483D08"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02"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Liabilities</w:t>
            </w:r>
          </w:p>
        </w:tc>
        <w:tc>
          <w:tcPr>
            <w:tcW w:w="1205" w:type="dxa"/>
            <w:noWrap/>
            <w:hideMark/>
          </w:tcPr>
          <w:p w14:paraId="33483D0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4816.8</w:t>
            </w:r>
          </w:p>
        </w:tc>
        <w:tc>
          <w:tcPr>
            <w:tcW w:w="1205" w:type="dxa"/>
            <w:noWrap/>
            <w:hideMark/>
          </w:tcPr>
          <w:p w14:paraId="33483D0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4381.6</w:t>
            </w:r>
          </w:p>
        </w:tc>
        <w:tc>
          <w:tcPr>
            <w:tcW w:w="1205" w:type="dxa"/>
            <w:noWrap/>
            <w:hideMark/>
          </w:tcPr>
          <w:p w14:paraId="33483D0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4076.7</w:t>
            </w:r>
          </w:p>
        </w:tc>
        <w:tc>
          <w:tcPr>
            <w:tcW w:w="1205" w:type="dxa"/>
            <w:noWrap/>
            <w:hideMark/>
          </w:tcPr>
          <w:p w14:paraId="33483D06"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4964.5</w:t>
            </w:r>
          </w:p>
        </w:tc>
        <w:tc>
          <w:tcPr>
            <w:tcW w:w="1205" w:type="dxa"/>
            <w:noWrap/>
            <w:hideMark/>
          </w:tcPr>
          <w:p w14:paraId="33483D07"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5447.5</w:t>
            </w:r>
          </w:p>
        </w:tc>
      </w:tr>
      <w:tr w:rsidR="00746084" w:rsidRPr="00746084" w14:paraId="33483D0F"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09"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Equity</w:t>
            </w:r>
          </w:p>
        </w:tc>
        <w:tc>
          <w:tcPr>
            <w:tcW w:w="1205" w:type="dxa"/>
            <w:noWrap/>
            <w:hideMark/>
          </w:tcPr>
          <w:p w14:paraId="33483D0A"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0B"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0C"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0D"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0E"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D16"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10"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Share Capital</w:t>
            </w:r>
          </w:p>
        </w:tc>
        <w:tc>
          <w:tcPr>
            <w:tcW w:w="1205" w:type="dxa"/>
            <w:noWrap/>
            <w:hideMark/>
          </w:tcPr>
          <w:p w14:paraId="33483D1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235.9</w:t>
            </w:r>
          </w:p>
        </w:tc>
        <w:tc>
          <w:tcPr>
            <w:tcW w:w="1205" w:type="dxa"/>
            <w:noWrap/>
            <w:hideMark/>
          </w:tcPr>
          <w:p w14:paraId="33483D12"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244.4</w:t>
            </w:r>
          </w:p>
        </w:tc>
        <w:tc>
          <w:tcPr>
            <w:tcW w:w="1205" w:type="dxa"/>
            <w:noWrap/>
            <w:hideMark/>
          </w:tcPr>
          <w:p w14:paraId="33483D13"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253.9</w:t>
            </w:r>
          </w:p>
        </w:tc>
        <w:tc>
          <w:tcPr>
            <w:tcW w:w="1205" w:type="dxa"/>
            <w:noWrap/>
            <w:hideMark/>
          </w:tcPr>
          <w:p w14:paraId="33483D14"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1237.8</w:t>
            </w:r>
          </w:p>
        </w:tc>
        <w:tc>
          <w:tcPr>
            <w:tcW w:w="1205" w:type="dxa"/>
            <w:noWrap/>
            <w:hideMark/>
          </w:tcPr>
          <w:p w14:paraId="33483D15"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1239.7</w:t>
            </w:r>
          </w:p>
        </w:tc>
      </w:tr>
      <w:tr w:rsidR="00746084" w:rsidRPr="00746084" w14:paraId="33483D1D"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17"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Reserves</w:t>
            </w:r>
          </w:p>
        </w:tc>
        <w:tc>
          <w:tcPr>
            <w:tcW w:w="1205" w:type="dxa"/>
            <w:noWrap/>
            <w:hideMark/>
          </w:tcPr>
          <w:p w14:paraId="33483D1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2346.2</w:t>
            </w:r>
          </w:p>
        </w:tc>
        <w:tc>
          <w:tcPr>
            <w:tcW w:w="1205" w:type="dxa"/>
            <w:noWrap/>
            <w:hideMark/>
          </w:tcPr>
          <w:p w14:paraId="33483D19"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5408.3</w:t>
            </w:r>
          </w:p>
        </w:tc>
        <w:tc>
          <w:tcPr>
            <w:tcW w:w="1205" w:type="dxa"/>
            <w:noWrap/>
            <w:hideMark/>
          </w:tcPr>
          <w:p w14:paraId="33483D1A"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4021.9</w:t>
            </w:r>
          </w:p>
        </w:tc>
        <w:tc>
          <w:tcPr>
            <w:tcW w:w="1205" w:type="dxa"/>
            <w:noWrap/>
            <w:hideMark/>
          </w:tcPr>
          <w:p w14:paraId="33483D1B"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3116.6</w:t>
            </w:r>
          </w:p>
        </w:tc>
        <w:tc>
          <w:tcPr>
            <w:tcW w:w="1205" w:type="dxa"/>
            <w:noWrap/>
            <w:hideMark/>
          </w:tcPr>
          <w:p w14:paraId="33483D1C"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3396.4</w:t>
            </w:r>
          </w:p>
        </w:tc>
      </w:tr>
      <w:tr w:rsidR="00746084" w:rsidRPr="00746084" w14:paraId="33483D24"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1E" w14:textId="77777777" w:rsidR="00C33193" w:rsidRPr="00746084" w:rsidRDefault="00C25362"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Shareholders’</w:t>
            </w:r>
            <w:r w:rsidR="00C33193" w:rsidRPr="00746084">
              <w:rPr>
                <w:rFonts w:ascii="Times New Roman" w:eastAsia="Times New Roman" w:hAnsi="Times New Roman" w:cs="Times New Roman"/>
                <w:color w:val="000000" w:themeColor="text1"/>
                <w:sz w:val="24"/>
                <w:szCs w:val="24"/>
                <w:lang w:eastAsia="en-GB"/>
              </w:rPr>
              <w:t xml:space="preserve"> Funds</w:t>
            </w:r>
          </w:p>
        </w:tc>
        <w:tc>
          <w:tcPr>
            <w:tcW w:w="1205" w:type="dxa"/>
            <w:noWrap/>
            <w:hideMark/>
          </w:tcPr>
          <w:p w14:paraId="33483D1F"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0"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1"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2"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3" w14:textId="77777777" w:rsidR="00C33193" w:rsidRPr="00746084" w:rsidRDefault="00C33193" w:rsidP="00C3319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D2B"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25"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Minorities</w:t>
            </w:r>
          </w:p>
        </w:tc>
        <w:tc>
          <w:tcPr>
            <w:tcW w:w="1205" w:type="dxa"/>
            <w:noWrap/>
            <w:hideMark/>
          </w:tcPr>
          <w:p w14:paraId="33483D26"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7"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8"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9"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c>
          <w:tcPr>
            <w:tcW w:w="1205" w:type="dxa"/>
            <w:noWrap/>
            <w:hideMark/>
          </w:tcPr>
          <w:p w14:paraId="33483D2A" w14:textId="77777777" w:rsidR="00C33193" w:rsidRPr="00746084" w:rsidRDefault="00C33193" w:rsidP="00C3319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p>
        </w:tc>
      </w:tr>
      <w:tr w:rsidR="00746084" w:rsidRPr="00746084" w14:paraId="33483D32" w14:textId="77777777" w:rsidTr="00C25362">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2C"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Equity</w:t>
            </w:r>
          </w:p>
        </w:tc>
        <w:tc>
          <w:tcPr>
            <w:tcW w:w="1205" w:type="dxa"/>
            <w:noWrap/>
            <w:hideMark/>
          </w:tcPr>
          <w:p w14:paraId="33483D2D"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2582.1</w:t>
            </w:r>
          </w:p>
        </w:tc>
        <w:tc>
          <w:tcPr>
            <w:tcW w:w="1205" w:type="dxa"/>
            <w:noWrap/>
            <w:hideMark/>
          </w:tcPr>
          <w:p w14:paraId="33483D2E"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5652.7</w:t>
            </w:r>
          </w:p>
        </w:tc>
        <w:tc>
          <w:tcPr>
            <w:tcW w:w="1205" w:type="dxa"/>
            <w:noWrap/>
            <w:hideMark/>
          </w:tcPr>
          <w:p w14:paraId="33483D2F"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3748.8</w:t>
            </w:r>
          </w:p>
        </w:tc>
        <w:tc>
          <w:tcPr>
            <w:tcW w:w="1205" w:type="dxa"/>
            <w:noWrap/>
            <w:hideMark/>
          </w:tcPr>
          <w:p w14:paraId="33483D30"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3834.1</w:t>
            </w:r>
          </w:p>
        </w:tc>
        <w:tc>
          <w:tcPr>
            <w:tcW w:w="1205" w:type="dxa"/>
            <w:noWrap/>
            <w:hideMark/>
          </w:tcPr>
          <w:p w14:paraId="33483D31" w14:textId="77777777" w:rsidR="00C33193" w:rsidRPr="00746084" w:rsidRDefault="00C33193" w:rsidP="00C33193">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4119</w:t>
            </w:r>
          </w:p>
        </w:tc>
      </w:tr>
      <w:tr w:rsidR="00746084" w:rsidRPr="00746084" w14:paraId="33483D39" w14:textId="77777777" w:rsidTr="00C25362">
        <w:trPr>
          <w:trHeight w:val="418"/>
        </w:trPr>
        <w:tc>
          <w:tcPr>
            <w:cnfStyle w:val="001000000000" w:firstRow="0" w:lastRow="0" w:firstColumn="1" w:lastColumn="0" w:oddVBand="0" w:evenVBand="0" w:oddHBand="0" w:evenHBand="0" w:firstRowFirstColumn="0" w:firstRowLastColumn="0" w:lastRowFirstColumn="0" w:lastRowLastColumn="0"/>
            <w:tcW w:w="3378" w:type="dxa"/>
            <w:noWrap/>
            <w:hideMark/>
          </w:tcPr>
          <w:p w14:paraId="33483D33" w14:textId="77777777" w:rsidR="00C33193" w:rsidRPr="00746084" w:rsidRDefault="00C33193" w:rsidP="00C33193">
            <w:pPr>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Total Liabilities and Equity</w:t>
            </w:r>
          </w:p>
        </w:tc>
        <w:tc>
          <w:tcPr>
            <w:tcW w:w="1205" w:type="dxa"/>
            <w:noWrap/>
            <w:hideMark/>
          </w:tcPr>
          <w:p w14:paraId="33483D34"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7398.9</w:t>
            </w:r>
          </w:p>
        </w:tc>
        <w:tc>
          <w:tcPr>
            <w:tcW w:w="1205" w:type="dxa"/>
            <w:noWrap/>
            <w:hideMark/>
          </w:tcPr>
          <w:p w14:paraId="33483D35"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10034.3</w:t>
            </w:r>
          </w:p>
        </w:tc>
        <w:tc>
          <w:tcPr>
            <w:tcW w:w="1205" w:type="dxa"/>
            <w:noWrap/>
            <w:hideMark/>
          </w:tcPr>
          <w:p w14:paraId="33483D36"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7825.5</w:t>
            </w:r>
          </w:p>
        </w:tc>
        <w:tc>
          <w:tcPr>
            <w:tcW w:w="1205" w:type="dxa"/>
            <w:noWrap/>
            <w:hideMark/>
          </w:tcPr>
          <w:p w14:paraId="33483D37"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8798.6</w:t>
            </w:r>
          </w:p>
        </w:tc>
        <w:tc>
          <w:tcPr>
            <w:tcW w:w="1205" w:type="dxa"/>
            <w:noWrap/>
            <w:hideMark/>
          </w:tcPr>
          <w:p w14:paraId="33483D38" w14:textId="77777777" w:rsidR="00C33193" w:rsidRPr="00746084" w:rsidRDefault="00C33193" w:rsidP="00C33193">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4"/>
                <w:szCs w:val="24"/>
                <w:lang w:eastAsia="en-GB"/>
              </w:rPr>
            </w:pPr>
            <w:r w:rsidRPr="00746084">
              <w:rPr>
                <w:rFonts w:ascii="Times New Roman" w:eastAsia="Times New Roman" w:hAnsi="Times New Roman" w:cs="Times New Roman"/>
                <w:color w:val="000000" w:themeColor="text1"/>
                <w:sz w:val="24"/>
                <w:szCs w:val="24"/>
                <w:lang w:eastAsia="en-GB"/>
              </w:rPr>
              <w:t>9566.5</w:t>
            </w:r>
          </w:p>
        </w:tc>
      </w:tr>
    </w:tbl>
    <w:p w14:paraId="33483D3A" w14:textId="77777777" w:rsidR="00C33193" w:rsidRPr="00746084" w:rsidRDefault="00C33193" w:rsidP="00C33193">
      <w:pPr>
        <w:rPr>
          <w:rFonts w:ascii="Times New Roman" w:hAnsi="Times New Roman" w:cs="Times New Roman"/>
          <w:color w:val="000000" w:themeColor="text1"/>
          <w:sz w:val="24"/>
          <w:szCs w:val="24"/>
          <w:lang w:val="en-US"/>
        </w:rPr>
      </w:pPr>
    </w:p>
    <w:sectPr w:rsidR="00C33193" w:rsidRPr="00746084" w:rsidSect="00746084">
      <w:head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18803" w14:textId="77777777" w:rsidR="00B1631A" w:rsidRDefault="00B1631A" w:rsidP="00746084">
      <w:pPr>
        <w:spacing w:after="0" w:line="240" w:lineRule="auto"/>
      </w:pPr>
      <w:r>
        <w:separator/>
      </w:r>
    </w:p>
  </w:endnote>
  <w:endnote w:type="continuationSeparator" w:id="0">
    <w:p w14:paraId="298640A7" w14:textId="77777777" w:rsidR="00B1631A" w:rsidRDefault="00B1631A" w:rsidP="00746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38FD8" w14:textId="77777777" w:rsidR="00B1631A" w:rsidRDefault="00B1631A" w:rsidP="00746084">
      <w:pPr>
        <w:spacing w:after="0" w:line="240" w:lineRule="auto"/>
      </w:pPr>
      <w:r>
        <w:separator/>
      </w:r>
    </w:p>
  </w:footnote>
  <w:footnote w:type="continuationSeparator" w:id="0">
    <w:p w14:paraId="5E5E72D3" w14:textId="77777777" w:rsidR="00B1631A" w:rsidRDefault="00B1631A" w:rsidP="007460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0168614"/>
      <w:docPartObj>
        <w:docPartGallery w:val="Page Numbers (Top of Page)"/>
        <w:docPartUnique/>
      </w:docPartObj>
    </w:sdtPr>
    <w:sdtEndPr>
      <w:rPr>
        <w:noProof/>
      </w:rPr>
    </w:sdtEndPr>
    <w:sdtContent>
      <w:p w14:paraId="33483D5F" w14:textId="77777777" w:rsidR="00746084" w:rsidRDefault="00746084">
        <w:pPr>
          <w:pStyle w:val="Header"/>
          <w:jc w:val="right"/>
        </w:pPr>
        <w:r>
          <w:fldChar w:fldCharType="begin"/>
        </w:r>
        <w:r>
          <w:instrText xml:space="preserve"> PAGE   \* MERGEFORMAT </w:instrText>
        </w:r>
        <w:r>
          <w:fldChar w:fldCharType="separate"/>
        </w:r>
        <w:r w:rsidR="00D86858">
          <w:rPr>
            <w:noProof/>
          </w:rPr>
          <w:t>2</w:t>
        </w:r>
        <w:r>
          <w:rPr>
            <w:noProof/>
          </w:rPr>
          <w:fldChar w:fldCharType="end"/>
        </w:r>
      </w:p>
    </w:sdtContent>
  </w:sdt>
  <w:p w14:paraId="33483D60" w14:textId="77777777" w:rsidR="00746084" w:rsidRDefault="007460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7E16"/>
    <w:multiLevelType w:val="multilevel"/>
    <w:tmpl w:val="18388CC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887DDE"/>
    <w:multiLevelType w:val="hybridMultilevel"/>
    <w:tmpl w:val="0F9C1F7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DDA1363"/>
    <w:multiLevelType w:val="multilevel"/>
    <w:tmpl w:val="E34EB104"/>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A5777E"/>
    <w:multiLevelType w:val="multilevel"/>
    <w:tmpl w:val="07468366"/>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B74F39"/>
    <w:multiLevelType w:val="multilevel"/>
    <w:tmpl w:val="717651BC"/>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AD5D3C"/>
    <w:multiLevelType w:val="multilevel"/>
    <w:tmpl w:val="0AF4AA2A"/>
    <w:lvl w:ilvl="0">
      <w:start w:val="1"/>
      <w:numFmt w:val="decimal"/>
      <w:lvlText w:val="%1."/>
      <w:lvlJc w:val="left"/>
      <w:pPr>
        <w:tabs>
          <w:tab w:val="num" w:pos="720"/>
        </w:tabs>
        <w:ind w:left="720" w:hanging="360"/>
      </w:pPr>
      <w:rPr>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0126902">
    <w:abstractNumId w:val="5"/>
  </w:num>
  <w:num w:numId="2" w16cid:durableId="1620407002">
    <w:abstractNumId w:val="3"/>
  </w:num>
  <w:num w:numId="3" w16cid:durableId="166677805">
    <w:abstractNumId w:val="0"/>
  </w:num>
  <w:num w:numId="4" w16cid:durableId="1865240183">
    <w:abstractNumId w:val="2"/>
  </w:num>
  <w:num w:numId="5" w16cid:durableId="1273442100">
    <w:abstractNumId w:val="4"/>
  </w:num>
  <w:num w:numId="6" w16cid:durableId="1085686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EAE"/>
    <w:rsid w:val="000469DE"/>
    <w:rsid w:val="000552BD"/>
    <w:rsid w:val="0006263A"/>
    <w:rsid w:val="000C118B"/>
    <w:rsid w:val="0010494A"/>
    <w:rsid w:val="001374C5"/>
    <w:rsid w:val="00181CDF"/>
    <w:rsid w:val="002361A6"/>
    <w:rsid w:val="00252574"/>
    <w:rsid w:val="002816B7"/>
    <w:rsid w:val="002A65F7"/>
    <w:rsid w:val="00312358"/>
    <w:rsid w:val="00367B3E"/>
    <w:rsid w:val="003C0789"/>
    <w:rsid w:val="003D0CB7"/>
    <w:rsid w:val="00427365"/>
    <w:rsid w:val="00446EAD"/>
    <w:rsid w:val="00493E53"/>
    <w:rsid w:val="005A6374"/>
    <w:rsid w:val="005A72E2"/>
    <w:rsid w:val="005F1AE4"/>
    <w:rsid w:val="00604A5F"/>
    <w:rsid w:val="00615048"/>
    <w:rsid w:val="00633F5A"/>
    <w:rsid w:val="00670B9A"/>
    <w:rsid w:val="00691321"/>
    <w:rsid w:val="006A29FF"/>
    <w:rsid w:val="00722817"/>
    <w:rsid w:val="00746084"/>
    <w:rsid w:val="007E7D13"/>
    <w:rsid w:val="0081345A"/>
    <w:rsid w:val="00817AE7"/>
    <w:rsid w:val="00862062"/>
    <w:rsid w:val="0088726F"/>
    <w:rsid w:val="008A3231"/>
    <w:rsid w:val="008F6513"/>
    <w:rsid w:val="00913EAE"/>
    <w:rsid w:val="0094091B"/>
    <w:rsid w:val="00983CA7"/>
    <w:rsid w:val="009B0208"/>
    <w:rsid w:val="00A073A6"/>
    <w:rsid w:val="00A21133"/>
    <w:rsid w:val="00A52FE6"/>
    <w:rsid w:val="00A66119"/>
    <w:rsid w:val="00B1631A"/>
    <w:rsid w:val="00B175AD"/>
    <w:rsid w:val="00B72EA0"/>
    <w:rsid w:val="00BA699B"/>
    <w:rsid w:val="00BF0181"/>
    <w:rsid w:val="00C22081"/>
    <w:rsid w:val="00C25362"/>
    <w:rsid w:val="00C33193"/>
    <w:rsid w:val="00C47D6A"/>
    <w:rsid w:val="00CB2D79"/>
    <w:rsid w:val="00CD139B"/>
    <w:rsid w:val="00D12CC4"/>
    <w:rsid w:val="00D148CA"/>
    <w:rsid w:val="00D86858"/>
    <w:rsid w:val="00E43336"/>
    <w:rsid w:val="00E43ED5"/>
    <w:rsid w:val="00FE18B7"/>
    <w:rsid w:val="00FE4F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839EB"/>
  <w15:chartTrackingRefBased/>
  <w15:docId w15:val="{E1348817-4DD3-4942-9FD6-25AF4C63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46084"/>
    <w:pPr>
      <w:keepNext/>
      <w:keepLines/>
      <w:spacing w:before="240" w:after="0" w:line="360" w:lineRule="auto"/>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autoRedefine/>
    <w:uiPriority w:val="9"/>
    <w:unhideWhenUsed/>
    <w:qFormat/>
    <w:rsid w:val="00746084"/>
    <w:pPr>
      <w:keepNext/>
      <w:keepLines/>
      <w:spacing w:before="40" w:after="0" w:line="360" w:lineRule="auto"/>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autoRedefine/>
    <w:uiPriority w:val="9"/>
    <w:unhideWhenUsed/>
    <w:qFormat/>
    <w:rsid w:val="00746084"/>
    <w:pPr>
      <w:keepNext/>
      <w:keepLines/>
      <w:spacing w:before="40" w:after="0" w:line="360" w:lineRule="auto"/>
      <w:ind w:left="720"/>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084"/>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746084"/>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746084"/>
    <w:rPr>
      <w:rFonts w:ascii="Times New Roman" w:eastAsiaTheme="majorEastAsia" w:hAnsi="Times New Roman" w:cstheme="majorBidi"/>
      <w:color w:val="000000" w:themeColor="text1"/>
      <w:sz w:val="24"/>
      <w:szCs w:val="24"/>
    </w:rPr>
  </w:style>
  <w:style w:type="table" w:styleId="PlainTable2">
    <w:name w:val="Plain Table 2"/>
    <w:basedOn w:val="TableNormal"/>
    <w:uiPriority w:val="42"/>
    <w:rsid w:val="009B02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983CA7"/>
    <w:pPr>
      <w:spacing w:after="200" w:line="240" w:lineRule="auto"/>
    </w:pPr>
    <w:rPr>
      <w:i/>
      <w:iCs/>
      <w:color w:val="44546A" w:themeColor="text2"/>
      <w:sz w:val="18"/>
      <w:szCs w:val="18"/>
    </w:rPr>
  </w:style>
  <w:style w:type="character" w:styleId="Hyperlink">
    <w:name w:val="Hyperlink"/>
    <w:basedOn w:val="DefaultParagraphFont"/>
    <w:uiPriority w:val="99"/>
    <w:unhideWhenUsed/>
    <w:rsid w:val="008F6513"/>
    <w:rPr>
      <w:color w:val="0000FF"/>
      <w:u w:val="single"/>
    </w:rPr>
  </w:style>
  <w:style w:type="character" w:styleId="Emphasis">
    <w:name w:val="Emphasis"/>
    <w:basedOn w:val="DefaultParagraphFont"/>
    <w:uiPriority w:val="20"/>
    <w:qFormat/>
    <w:rsid w:val="00817AE7"/>
    <w:rPr>
      <w:i/>
      <w:iCs/>
    </w:rPr>
  </w:style>
  <w:style w:type="paragraph" w:customStyle="1" w:styleId="Default">
    <w:name w:val="Default"/>
    <w:rsid w:val="00C25362"/>
    <w:pPr>
      <w:autoSpaceDE w:val="0"/>
      <w:autoSpaceDN w:val="0"/>
      <w:adjustRightInd w:val="0"/>
      <w:spacing w:after="0" w:line="240" w:lineRule="auto"/>
    </w:pPr>
    <w:rPr>
      <w:rFonts w:ascii="Comic Sans MS" w:eastAsia="Calibri" w:hAnsi="Comic Sans MS" w:cs="Comic Sans MS"/>
      <w:color w:val="000000"/>
      <w:sz w:val="24"/>
      <w:szCs w:val="24"/>
    </w:rPr>
  </w:style>
  <w:style w:type="paragraph" w:styleId="TOCHeading">
    <w:name w:val="TOC Heading"/>
    <w:basedOn w:val="Heading1"/>
    <w:next w:val="Normal"/>
    <w:uiPriority w:val="39"/>
    <w:unhideWhenUsed/>
    <w:qFormat/>
    <w:rsid w:val="005A72E2"/>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A72E2"/>
    <w:pPr>
      <w:spacing w:after="100"/>
    </w:pPr>
  </w:style>
  <w:style w:type="paragraph" w:styleId="TOC2">
    <w:name w:val="toc 2"/>
    <w:basedOn w:val="Normal"/>
    <w:next w:val="Normal"/>
    <w:autoRedefine/>
    <w:uiPriority w:val="39"/>
    <w:unhideWhenUsed/>
    <w:rsid w:val="005A72E2"/>
    <w:pPr>
      <w:spacing w:after="100"/>
      <w:ind w:left="220"/>
    </w:pPr>
  </w:style>
  <w:style w:type="paragraph" w:styleId="TOC3">
    <w:name w:val="toc 3"/>
    <w:basedOn w:val="Normal"/>
    <w:next w:val="Normal"/>
    <w:autoRedefine/>
    <w:uiPriority w:val="39"/>
    <w:unhideWhenUsed/>
    <w:rsid w:val="005A72E2"/>
    <w:pPr>
      <w:spacing w:after="100"/>
      <w:ind w:left="440"/>
    </w:pPr>
  </w:style>
  <w:style w:type="paragraph" w:styleId="Header">
    <w:name w:val="header"/>
    <w:basedOn w:val="Normal"/>
    <w:link w:val="HeaderChar"/>
    <w:uiPriority w:val="99"/>
    <w:unhideWhenUsed/>
    <w:rsid w:val="007460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6084"/>
  </w:style>
  <w:style w:type="paragraph" w:styleId="Footer">
    <w:name w:val="footer"/>
    <w:basedOn w:val="Normal"/>
    <w:link w:val="FooterChar"/>
    <w:uiPriority w:val="99"/>
    <w:unhideWhenUsed/>
    <w:rsid w:val="00746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6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3205">
      <w:bodyDiv w:val="1"/>
      <w:marLeft w:val="0"/>
      <w:marRight w:val="0"/>
      <w:marTop w:val="0"/>
      <w:marBottom w:val="0"/>
      <w:divBdr>
        <w:top w:val="none" w:sz="0" w:space="0" w:color="auto"/>
        <w:left w:val="none" w:sz="0" w:space="0" w:color="auto"/>
        <w:bottom w:val="none" w:sz="0" w:space="0" w:color="auto"/>
        <w:right w:val="none" w:sz="0" w:space="0" w:color="auto"/>
      </w:divBdr>
    </w:div>
    <w:div w:id="255404079">
      <w:bodyDiv w:val="1"/>
      <w:marLeft w:val="0"/>
      <w:marRight w:val="0"/>
      <w:marTop w:val="0"/>
      <w:marBottom w:val="0"/>
      <w:divBdr>
        <w:top w:val="none" w:sz="0" w:space="0" w:color="auto"/>
        <w:left w:val="none" w:sz="0" w:space="0" w:color="auto"/>
        <w:bottom w:val="none" w:sz="0" w:space="0" w:color="auto"/>
        <w:right w:val="none" w:sz="0" w:space="0" w:color="auto"/>
      </w:divBdr>
    </w:div>
    <w:div w:id="383992984">
      <w:bodyDiv w:val="1"/>
      <w:marLeft w:val="0"/>
      <w:marRight w:val="0"/>
      <w:marTop w:val="0"/>
      <w:marBottom w:val="0"/>
      <w:divBdr>
        <w:top w:val="none" w:sz="0" w:space="0" w:color="auto"/>
        <w:left w:val="none" w:sz="0" w:space="0" w:color="auto"/>
        <w:bottom w:val="none" w:sz="0" w:space="0" w:color="auto"/>
        <w:right w:val="none" w:sz="0" w:space="0" w:color="auto"/>
      </w:divBdr>
    </w:div>
    <w:div w:id="598608685">
      <w:bodyDiv w:val="1"/>
      <w:marLeft w:val="0"/>
      <w:marRight w:val="0"/>
      <w:marTop w:val="0"/>
      <w:marBottom w:val="0"/>
      <w:divBdr>
        <w:top w:val="none" w:sz="0" w:space="0" w:color="auto"/>
        <w:left w:val="none" w:sz="0" w:space="0" w:color="auto"/>
        <w:bottom w:val="none" w:sz="0" w:space="0" w:color="auto"/>
        <w:right w:val="none" w:sz="0" w:space="0" w:color="auto"/>
      </w:divBdr>
    </w:div>
    <w:div w:id="939488460">
      <w:bodyDiv w:val="1"/>
      <w:marLeft w:val="0"/>
      <w:marRight w:val="0"/>
      <w:marTop w:val="0"/>
      <w:marBottom w:val="0"/>
      <w:divBdr>
        <w:top w:val="none" w:sz="0" w:space="0" w:color="auto"/>
        <w:left w:val="none" w:sz="0" w:space="0" w:color="auto"/>
        <w:bottom w:val="none" w:sz="0" w:space="0" w:color="auto"/>
        <w:right w:val="none" w:sz="0" w:space="0" w:color="auto"/>
      </w:divBdr>
    </w:div>
    <w:div w:id="1568102176">
      <w:bodyDiv w:val="1"/>
      <w:marLeft w:val="0"/>
      <w:marRight w:val="0"/>
      <w:marTop w:val="0"/>
      <w:marBottom w:val="0"/>
      <w:divBdr>
        <w:top w:val="none" w:sz="0" w:space="0" w:color="auto"/>
        <w:left w:val="none" w:sz="0" w:space="0" w:color="auto"/>
        <w:bottom w:val="none" w:sz="0" w:space="0" w:color="auto"/>
        <w:right w:val="none" w:sz="0" w:space="0" w:color="auto"/>
      </w:divBdr>
    </w:div>
    <w:div w:id="1604531606">
      <w:bodyDiv w:val="1"/>
      <w:marLeft w:val="0"/>
      <w:marRight w:val="0"/>
      <w:marTop w:val="0"/>
      <w:marBottom w:val="0"/>
      <w:divBdr>
        <w:top w:val="none" w:sz="0" w:space="0" w:color="auto"/>
        <w:left w:val="none" w:sz="0" w:space="0" w:color="auto"/>
        <w:bottom w:val="none" w:sz="0" w:space="0" w:color="auto"/>
        <w:right w:val="none" w:sz="0" w:space="0" w:color="auto"/>
      </w:divBdr>
    </w:div>
    <w:div w:id="1608584623">
      <w:bodyDiv w:val="1"/>
      <w:marLeft w:val="0"/>
      <w:marRight w:val="0"/>
      <w:marTop w:val="0"/>
      <w:marBottom w:val="0"/>
      <w:divBdr>
        <w:top w:val="none" w:sz="0" w:space="0" w:color="auto"/>
        <w:left w:val="none" w:sz="0" w:space="0" w:color="auto"/>
        <w:bottom w:val="none" w:sz="0" w:space="0" w:color="auto"/>
        <w:right w:val="none" w:sz="0" w:space="0" w:color="auto"/>
      </w:divBdr>
    </w:div>
    <w:div w:id="1661738331">
      <w:bodyDiv w:val="1"/>
      <w:marLeft w:val="0"/>
      <w:marRight w:val="0"/>
      <w:marTop w:val="0"/>
      <w:marBottom w:val="0"/>
      <w:divBdr>
        <w:top w:val="none" w:sz="0" w:space="0" w:color="auto"/>
        <w:left w:val="none" w:sz="0" w:space="0" w:color="auto"/>
        <w:bottom w:val="none" w:sz="0" w:space="0" w:color="auto"/>
        <w:right w:val="none" w:sz="0" w:space="0" w:color="auto"/>
      </w:divBdr>
    </w:div>
    <w:div w:id="1859586048">
      <w:bodyDiv w:val="1"/>
      <w:marLeft w:val="0"/>
      <w:marRight w:val="0"/>
      <w:marTop w:val="0"/>
      <w:marBottom w:val="0"/>
      <w:divBdr>
        <w:top w:val="none" w:sz="0" w:space="0" w:color="auto"/>
        <w:left w:val="none" w:sz="0" w:space="0" w:color="auto"/>
        <w:bottom w:val="none" w:sz="0" w:space="0" w:color="auto"/>
        <w:right w:val="none" w:sz="0" w:space="0" w:color="auto"/>
      </w:divBdr>
    </w:div>
    <w:div w:id="1940872083">
      <w:bodyDiv w:val="1"/>
      <w:marLeft w:val="0"/>
      <w:marRight w:val="0"/>
      <w:marTop w:val="0"/>
      <w:marBottom w:val="0"/>
      <w:divBdr>
        <w:top w:val="none" w:sz="0" w:space="0" w:color="auto"/>
        <w:left w:val="none" w:sz="0" w:space="0" w:color="auto"/>
        <w:bottom w:val="none" w:sz="0" w:space="0" w:color="auto"/>
        <w:right w:val="none" w:sz="0" w:space="0" w:color="auto"/>
      </w:divBdr>
    </w:div>
    <w:div w:id="201020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whitbread" TargetMode="External"/><Relationship Id="rId13" Type="http://schemas.openxmlformats.org/officeDocument/2006/relationships/chart" Target="charts/chart5.xml"/><Relationship Id="rId18" Type="http://schemas.openxmlformats.org/officeDocument/2006/relationships/hyperlink" Target="https://cdn.whitbread.co.uk/media/2021/05/05141427/23076_Whitbread_AR2020_web.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hospitalityinsights.com/content/whitbread-protects-its-liquidity"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Operating Profit Margin</c:v>
                </c:pt>
              </c:strCache>
            </c:strRef>
          </c:tx>
          <c:spPr>
            <a:ln w="38100" cap="flat" cmpd="dbl" algn="ctr">
              <a:solidFill>
                <a:schemeClr val="accent2"/>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0.27428606112105852</c:v>
                </c:pt>
                <c:pt idx="1">
                  <c:v>0.26089502708506174</c:v>
                </c:pt>
                <c:pt idx="2">
                  <c:v>0.2313782283369539</c:v>
                </c:pt>
                <c:pt idx="3">
                  <c:v>-1.0895826263997286</c:v>
                </c:pt>
                <c:pt idx="4">
                  <c:v>2.037102266056123E-2</c:v>
                </c:pt>
              </c:numCache>
            </c:numRef>
          </c:val>
          <c:smooth val="0"/>
          <c:extLst>
            <c:ext xmlns:c16="http://schemas.microsoft.com/office/drawing/2014/chart" uri="{C3380CC4-5D6E-409C-BE32-E72D297353CC}">
              <c16:uniqueId val="{00000000-A2D4-490C-A929-A0F89CA23611}"/>
            </c:ext>
          </c:extLst>
        </c:ser>
        <c:dLbls>
          <c:dLblPos val="t"/>
          <c:showLegendKey val="0"/>
          <c:showVal val="1"/>
          <c:showCatName val="0"/>
          <c:showSerName val="0"/>
          <c:showPercent val="0"/>
          <c:showBubbleSize val="0"/>
        </c:dLbls>
        <c:smooth val="0"/>
        <c:axId val="1495570464"/>
        <c:axId val="1495568288"/>
      </c:lineChart>
      <c:catAx>
        <c:axId val="149557046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5568288"/>
        <c:crosses val="autoZero"/>
        <c:auto val="1"/>
        <c:lblAlgn val="ctr"/>
        <c:lblOffset val="100"/>
        <c:noMultiLvlLbl val="0"/>
      </c:catAx>
      <c:valAx>
        <c:axId val="1495568288"/>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5570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Net Profit Margin</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1.1046705714545841E-2</c:v>
                </c:pt>
                <c:pt idx="1">
                  <c:v>8.6281782245864053E-2</c:v>
                </c:pt>
                <c:pt idx="2">
                  <c:v>0.10518947622495776</c:v>
                </c:pt>
                <c:pt idx="3">
                  <c:v>-1.5380047505938244</c:v>
                </c:pt>
                <c:pt idx="4">
                  <c:v>2.4950099800399202E-2</c:v>
                </c:pt>
              </c:numCache>
            </c:numRef>
          </c:val>
          <c:smooth val="0"/>
          <c:extLst>
            <c:ext xmlns:c16="http://schemas.microsoft.com/office/drawing/2014/chart" uri="{C3380CC4-5D6E-409C-BE32-E72D297353CC}">
              <c16:uniqueId val="{00000000-C719-408C-91D7-3E2FEE4D0DFF}"/>
            </c:ext>
          </c:extLst>
        </c:ser>
        <c:dLbls>
          <c:dLblPos val="t"/>
          <c:showLegendKey val="0"/>
          <c:showVal val="1"/>
          <c:showCatName val="0"/>
          <c:showSerName val="0"/>
          <c:showPercent val="0"/>
          <c:showBubbleSize val="0"/>
        </c:dLbls>
        <c:smooth val="0"/>
        <c:axId val="1495573728"/>
        <c:axId val="1366204816"/>
      </c:lineChart>
      <c:catAx>
        <c:axId val="1495573728"/>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204816"/>
        <c:crosses val="autoZero"/>
        <c:auto val="1"/>
        <c:lblAlgn val="ctr"/>
        <c:lblOffset val="100"/>
        <c:noMultiLvlLbl val="0"/>
      </c:catAx>
      <c:valAx>
        <c:axId val="1366204816"/>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55737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Current Ratio</c:v>
                </c:pt>
              </c:strCache>
            </c:strRef>
          </c:tx>
          <c:spPr>
            <a:ln w="38100" cap="flat" cmpd="dbl" algn="ctr">
              <a:solidFill>
                <a:schemeClr val="accent4"/>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0.35643776824034334</c:v>
                </c:pt>
                <c:pt idx="1">
                  <c:v>3.7306032213917253</c:v>
                </c:pt>
                <c:pt idx="2">
                  <c:v>1.2876797031998763</c:v>
                </c:pt>
                <c:pt idx="3">
                  <c:v>1.7419063588288406</c:v>
                </c:pt>
                <c:pt idx="4">
                  <c:v>1.7623679822123401</c:v>
                </c:pt>
              </c:numCache>
            </c:numRef>
          </c:val>
          <c:smooth val="0"/>
          <c:extLst>
            <c:ext xmlns:c16="http://schemas.microsoft.com/office/drawing/2014/chart" uri="{C3380CC4-5D6E-409C-BE32-E72D297353CC}">
              <c16:uniqueId val="{00000000-9041-4E87-98A6-92BF1A84FFC0}"/>
            </c:ext>
          </c:extLst>
        </c:ser>
        <c:dLbls>
          <c:dLblPos val="t"/>
          <c:showLegendKey val="0"/>
          <c:showVal val="1"/>
          <c:showCatName val="0"/>
          <c:showSerName val="0"/>
          <c:showPercent val="0"/>
          <c:showBubbleSize val="0"/>
        </c:dLbls>
        <c:smooth val="0"/>
        <c:axId val="1366211888"/>
        <c:axId val="1366206448"/>
      </c:lineChart>
      <c:catAx>
        <c:axId val="1366211888"/>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206448"/>
        <c:crosses val="autoZero"/>
        <c:auto val="1"/>
        <c:lblAlgn val="ctr"/>
        <c:lblOffset val="100"/>
        <c:noMultiLvlLbl val="0"/>
      </c:catAx>
      <c:valAx>
        <c:axId val="1366206448"/>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21188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Quick Ratio</c:v>
                </c:pt>
              </c:strCache>
            </c:strRef>
          </c:tx>
          <c:spPr>
            <a:ln w="38100" cap="flat" cmpd="dbl" algn="ctr">
              <a:solidFill>
                <a:schemeClr val="accent6"/>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0.30407725321888407</c:v>
                </c:pt>
                <c:pt idx="1">
                  <c:v>3.7153384566796506</c:v>
                </c:pt>
                <c:pt idx="2">
                  <c:v>1.2665017777090741</c:v>
                </c:pt>
                <c:pt idx="3">
                  <c:v>1.7262994969689154</c:v>
                </c:pt>
                <c:pt idx="4">
                  <c:v>1.7354085603112839</c:v>
                </c:pt>
              </c:numCache>
            </c:numRef>
          </c:val>
          <c:smooth val="0"/>
          <c:extLst>
            <c:ext xmlns:c16="http://schemas.microsoft.com/office/drawing/2014/chart" uri="{C3380CC4-5D6E-409C-BE32-E72D297353CC}">
              <c16:uniqueId val="{00000000-B8C2-4AD1-929D-A3AE05BC27F2}"/>
            </c:ext>
          </c:extLst>
        </c:ser>
        <c:dLbls>
          <c:dLblPos val="t"/>
          <c:showLegendKey val="0"/>
          <c:showVal val="1"/>
          <c:showCatName val="0"/>
          <c:showSerName val="0"/>
          <c:showPercent val="0"/>
          <c:showBubbleSize val="0"/>
        </c:dLbls>
        <c:smooth val="0"/>
        <c:axId val="1366208080"/>
        <c:axId val="1366208624"/>
      </c:lineChart>
      <c:catAx>
        <c:axId val="1366208080"/>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208624"/>
        <c:crosses val="autoZero"/>
        <c:auto val="1"/>
        <c:lblAlgn val="ctr"/>
        <c:lblOffset val="100"/>
        <c:noMultiLvlLbl val="0"/>
      </c:catAx>
      <c:valAx>
        <c:axId val="1366208624"/>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62080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Inventory Turnover Ratio</c:v>
                </c:pt>
              </c:strCache>
            </c:strRef>
          </c:tx>
          <c:spPr>
            <a:ln w="38100" cap="flat" cmpd="dbl" algn="ctr">
              <a:solidFill>
                <a:schemeClr val="accent1"/>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49.002049180327873</c:v>
                </c:pt>
                <c:pt idx="1">
                  <c:v>104.44827586206897</c:v>
                </c:pt>
                <c:pt idx="2">
                  <c:v>116.21897810218979</c:v>
                </c:pt>
                <c:pt idx="3">
                  <c:v>101.78512396694214</c:v>
                </c:pt>
                <c:pt idx="4">
                  <c:v>86.015463917525778</c:v>
                </c:pt>
              </c:numCache>
            </c:numRef>
          </c:val>
          <c:smooth val="0"/>
          <c:extLst>
            <c:ext xmlns:c16="http://schemas.microsoft.com/office/drawing/2014/chart" uri="{C3380CC4-5D6E-409C-BE32-E72D297353CC}">
              <c16:uniqueId val="{00000000-3539-4074-BCD8-CF9AFD99D433}"/>
            </c:ext>
          </c:extLst>
        </c:ser>
        <c:dLbls>
          <c:dLblPos val="t"/>
          <c:showLegendKey val="0"/>
          <c:showVal val="1"/>
          <c:showCatName val="0"/>
          <c:showSerName val="0"/>
          <c:showPercent val="0"/>
          <c:showBubbleSize val="0"/>
        </c:dLbls>
        <c:smooth val="0"/>
        <c:axId val="1333304784"/>
        <c:axId val="1333299888"/>
      </c:lineChart>
      <c:catAx>
        <c:axId val="133330478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299888"/>
        <c:crosses val="autoZero"/>
        <c:auto val="1"/>
        <c:lblAlgn val="ctr"/>
        <c:lblOffset val="100"/>
        <c:noMultiLvlLbl val="0"/>
      </c:catAx>
      <c:valAx>
        <c:axId val="1333299888"/>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3047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Asset Turnovern Ratio</c:v>
                </c:pt>
              </c:strCache>
            </c:strRef>
          </c:tx>
          <c:spPr>
            <a:ln w="38100" cap="flat" cmpd="dbl" algn="ctr">
              <a:solidFill>
                <a:schemeClr val="accent4"/>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0.44534998445714907</c:v>
                </c:pt>
                <c:pt idx="1">
                  <c:v>0.20420956120506661</c:v>
                </c:pt>
                <c:pt idx="2">
                  <c:v>0.26471152003066895</c:v>
                </c:pt>
                <c:pt idx="3">
                  <c:v>6.6987929897938309E-2</c:v>
                </c:pt>
                <c:pt idx="4">
                  <c:v>0.17805885119949827</c:v>
                </c:pt>
              </c:numCache>
            </c:numRef>
          </c:val>
          <c:smooth val="0"/>
          <c:extLst>
            <c:ext xmlns:c16="http://schemas.microsoft.com/office/drawing/2014/chart" uri="{C3380CC4-5D6E-409C-BE32-E72D297353CC}">
              <c16:uniqueId val="{00000000-9F17-4636-8E79-EADE4EFEA893}"/>
            </c:ext>
          </c:extLst>
        </c:ser>
        <c:dLbls>
          <c:dLblPos val="t"/>
          <c:showLegendKey val="0"/>
          <c:showVal val="1"/>
          <c:showCatName val="0"/>
          <c:showSerName val="0"/>
          <c:showPercent val="0"/>
          <c:showBubbleSize val="0"/>
        </c:dLbls>
        <c:smooth val="0"/>
        <c:axId val="1356568464"/>
        <c:axId val="1364716704"/>
      </c:lineChart>
      <c:catAx>
        <c:axId val="135656846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16704"/>
        <c:crosses val="autoZero"/>
        <c:auto val="1"/>
        <c:lblAlgn val="ctr"/>
        <c:lblOffset val="100"/>
        <c:noMultiLvlLbl val="0"/>
      </c:catAx>
      <c:valAx>
        <c:axId val="1364716704"/>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56846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Interest Cover Ratio</c:v>
                </c:pt>
              </c:strCache>
            </c:strRef>
          </c:tx>
          <c:spPr>
            <a:ln w="38100" cap="flat" cmpd="dbl" algn="ctr">
              <a:solidFill>
                <a:schemeClr val="accent6"/>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0.00</c:formatCode>
                <c:ptCount val="5"/>
                <c:pt idx="0">
                  <c:v>14.183374083129586</c:v>
                </c:pt>
                <c:pt idx="1">
                  <c:v>2.4725050916496945</c:v>
                </c:pt>
                <c:pt idx="2">
                  <c:v>3.3063133281371782</c:v>
                </c:pt>
                <c:pt idx="3">
                  <c:v>-5.7871186440677969</c:v>
                </c:pt>
                <c:pt idx="4">
                  <c:v>1.3763505402160865</c:v>
                </c:pt>
              </c:numCache>
            </c:numRef>
          </c:val>
          <c:smooth val="0"/>
          <c:extLst>
            <c:ext xmlns:c16="http://schemas.microsoft.com/office/drawing/2014/chart" uri="{C3380CC4-5D6E-409C-BE32-E72D297353CC}">
              <c16:uniqueId val="{00000000-7087-4233-B030-80163F9629E3}"/>
            </c:ext>
          </c:extLst>
        </c:ser>
        <c:dLbls>
          <c:dLblPos val="t"/>
          <c:showLegendKey val="0"/>
          <c:showVal val="1"/>
          <c:showCatName val="0"/>
          <c:showSerName val="0"/>
          <c:showPercent val="0"/>
          <c:showBubbleSize val="0"/>
        </c:dLbls>
        <c:smooth val="0"/>
        <c:axId val="1364712896"/>
        <c:axId val="1364717792"/>
      </c:lineChart>
      <c:catAx>
        <c:axId val="1364712896"/>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17792"/>
        <c:crosses val="autoZero"/>
        <c:auto val="1"/>
        <c:lblAlgn val="ctr"/>
        <c:lblOffset val="100"/>
        <c:noMultiLvlLbl val="0"/>
      </c:catAx>
      <c:valAx>
        <c:axId val="1364717792"/>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0.00"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1289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Debt to Equity Ratio £m  </c:v>
                </c:pt>
              </c:strCache>
            </c:strRef>
          </c:tx>
          <c:spPr>
            <a:ln w="38100" cap="flat" cmpd="dbl" algn="ctr">
              <a:solidFill>
                <a:schemeClr val="accent2"/>
              </a:solidFill>
              <a:miter lim="800000"/>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Sheet1!$B$2:$B$6</c:f>
              <c:numCache>
                <c:formatCode>General</c:formatCode>
                <c:ptCount val="5"/>
                <c:pt idx="0">
                  <c:v>1.87</c:v>
                </c:pt>
                <c:pt idx="1">
                  <c:v>0.78</c:v>
                </c:pt>
                <c:pt idx="2">
                  <c:v>1.0900000000000001</c:v>
                </c:pt>
                <c:pt idx="3">
                  <c:v>1.29</c:v>
                </c:pt>
                <c:pt idx="4">
                  <c:v>1.32</c:v>
                </c:pt>
              </c:numCache>
            </c:numRef>
          </c:val>
          <c:smooth val="0"/>
          <c:extLst>
            <c:ext xmlns:c16="http://schemas.microsoft.com/office/drawing/2014/chart" uri="{C3380CC4-5D6E-409C-BE32-E72D297353CC}">
              <c16:uniqueId val="{00000000-48B3-4124-9536-6E2D16D90197}"/>
            </c:ext>
          </c:extLst>
        </c:ser>
        <c:dLbls>
          <c:dLblPos val="t"/>
          <c:showLegendKey val="0"/>
          <c:showVal val="1"/>
          <c:showCatName val="0"/>
          <c:showSerName val="0"/>
          <c:showPercent val="0"/>
          <c:showBubbleSize val="0"/>
        </c:dLbls>
        <c:smooth val="0"/>
        <c:axId val="1364713984"/>
        <c:axId val="1364710176"/>
      </c:lineChart>
      <c:catAx>
        <c:axId val="1364713984"/>
        <c:scaling>
          <c:orientation val="minMax"/>
        </c:scaling>
        <c:delete val="0"/>
        <c:axPos val="b"/>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10176"/>
        <c:crosses val="autoZero"/>
        <c:auto val="1"/>
        <c:lblAlgn val="ctr"/>
        <c:lblOffset val="100"/>
        <c:noMultiLvlLbl val="0"/>
      </c:catAx>
      <c:valAx>
        <c:axId val="1364710176"/>
        <c:scaling>
          <c:orientation val="minMax"/>
        </c:scaling>
        <c:delete val="0"/>
        <c:axPos val="l"/>
        <c:majorGridlines>
          <c:spPr>
            <a:ln w="9525" cap="flat" cmpd="sng" algn="ctr">
              <a:solidFill>
                <a:schemeClr val="tx1">
                  <a:lumMod val="15000"/>
                  <a:lumOff val="85000"/>
                  <a:alpha val="32000"/>
                </a:schemeClr>
              </a:solidFill>
              <a:round/>
            </a:ln>
            <a:effectLst/>
          </c:spPr>
        </c:majorGridlines>
        <c:numFmt formatCode="General" sourceLinked="1"/>
        <c:majorTickMark val="none"/>
        <c:minorTickMark val="none"/>
        <c:tickLblPos val="nextTo"/>
        <c:spPr>
          <a:noFill/>
          <a:ln w="3175" cap="flat" cmpd="sng" algn="ctr">
            <a:solidFill>
              <a:schemeClr val="tx1">
                <a:lumMod val="15000"/>
                <a:lumOff val="85000"/>
              </a:schemeClr>
            </a:solidFill>
            <a:round/>
            <a:tailEnd type="none" w="med" len="lg"/>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47139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7">
  <a:schemeClr val="accent4"/>
</cs:colorStyle>
</file>

<file path=word/charts/colors4.xml><?xml version="1.0" encoding="utf-8"?>
<cs:colorStyle xmlns:cs="http://schemas.microsoft.com/office/drawing/2012/chartStyle" xmlns:a="http://schemas.openxmlformats.org/drawingml/2006/main" meth="withinLinearReversed" id="26">
  <a:schemeClr val="accent6"/>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 id="17">
  <a:schemeClr val="accent4"/>
</cs:colorStyle>
</file>

<file path=word/charts/colors7.xml><?xml version="1.0" encoding="utf-8"?>
<cs:colorStyle xmlns:cs="http://schemas.microsoft.com/office/drawing/2012/chartStyle" xmlns:a="http://schemas.openxmlformats.org/drawingml/2006/main" meth="withinLinearReversed" id="26">
  <a:schemeClr val="accent6"/>
</cs:colorStyle>
</file>

<file path=word/charts/colors8.xml><?xml version="1.0" encoding="utf-8"?>
<cs:colorStyle xmlns:cs="http://schemas.microsoft.com/office/drawing/2012/chartStyle" xmlns:a="http://schemas.openxmlformats.org/drawingml/2006/main" meth="withinLinearReversed" id="22">
  <a:schemeClr val="accent2"/>
</cs:colorStyle>
</file>

<file path=word/charts/style1.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37">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38100" cap="flat" cmpd="dbl" algn="ctr">
        <a:solidFill>
          <a:schemeClr val="phClr"/>
        </a:solidFill>
        <a:miter lim="800000"/>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lt1"/>
        </a:solidFill>
        <a:round/>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ln>
    </cs:spPr>
  </cs:dropLine>
  <cs:errorBar>
    <cs:lnRef idx="0"/>
    <cs:fillRef idx="0"/>
    <cs:effectRef idx="0"/>
    <cs:fontRef idx="minor">
      <a:schemeClr val="tx1"/>
    </cs:fontRef>
    <cs:spPr>
      <a:ln w="9525">
        <a:solidFill>
          <a:schemeClr val="tx1">
            <a:lumMod val="65000"/>
            <a:lumOff val="35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alpha val="32000"/>
          </a:schemeClr>
        </a:solidFill>
        <a:round/>
      </a:ln>
    </cs:spPr>
  </cs:gridlineMajor>
  <cs:gridlineMinor>
    <cs:lnRef idx="0"/>
    <cs:fillRef idx="0"/>
    <cs:effectRef idx="0"/>
    <cs:fontRef idx="minor">
      <a:schemeClr val="tx1"/>
    </cs:fontRef>
    <cs:spPr>
      <a:ln>
        <a:solidFill>
          <a:schemeClr val="tx1">
            <a:lumMod val="5000"/>
            <a:lumOff val="95000"/>
            <a:alpha val="32000"/>
          </a:schemeClr>
        </a:solidFill>
      </a:ln>
    </cs:spPr>
  </cs:gridlineMinor>
  <cs:hiLoLine>
    <cs:lnRef idx="0"/>
    <cs:fillRef idx="0"/>
    <cs:effectRef idx="0"/>
    <cs:fontRef idx="minor">
      <a:schemeClr val="tx1"/>
    </cs:fontRef>
    <cs:spPr>
      <a:ln w="9525">
        <a:solidFill>
          <a:schemeClr val="tx1"/>
        </a:solidFill>
      </a:ln>
    </cs:spPr>
  </cs:hiLoLine>
  <cs:leaderLine>
    <cs:lnRef idx="0"/>
    <cs:fillRef idx="0"/>
    <cs:effectRef idx="0"/>
    <cs:fontRef idx="minor">
      <a:schemeClr val="tx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cs:fontRef>
    <cs:spPr>
      <a:ln w="3175" cap="flat" cmpd="sng" algn="ctr">
        <a:solidFill>
          <a:schemeClr val="tx1">
            <a:lumMod val="15000"/>
            <a:lumOff val="85000"/>
          </a:schemeClr>
        </a:solidFill>
        <a:round/>
        <a:tailEnd type="none" w="med" len="lg"/>
      </a:ln>
    </cs:spPr>
    <cs:defRPr sz="900" kern="1200"/>
  </cs:seriesAxis>
  <cs:seriesLine>
    <cs:lnRef idx="0"/>
    <cs:fillRef idx="0"/>
    <cs:effectRef idx="0"/>
    <cs:fontRef idx="minor">
      <a:schemeClr val="tx1"/>
    </cs:fontRef>
    <cs:spPr>
      <a:ln w="9525">
        <a:solidFill>
          <a:schemeClr val="tx1">
            <a:lumMod val="35000"/>
            <a:lumOff val="65000"/>
          </a:schemeClr>
        </a:solidFill>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tx1"/>
    </cs:fontRef>
    <cs:spPr>
      <a:ln w="12700" cap="rnd"/>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3175" cap="flat" cmpd="sng" algn="ctr">
        <a:solidFill>
          <a:schemeClr val="tx1">
            <a:lumMod val="15000"/>
            <a:lumOff val="85000"/>
          </a:schemeClr>
        </a:solidFill>
        <a:round/>
        <a:tailEnd type="none" w="med" len="lg"/>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A4B4B-69A2-4EBC-880D-77722E75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3834</Words>
  <Characters>21860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XYZ</dc:creator>
  <cp:keywords/>
  <dc:description/>
  <cp:lastModifiedBy>Lola Villard (2114927)</cp:lastModifiedBy>
  <cp:revision>7</cp:revision>
  <dcterms:created xsi:type="dcterms:W3CDTF">2022-12-05T17:20:00Z</dcterms:created>
  <dcterms:modified xsi:type="dcterms:W3CDTF">2022-12-06T16:07:00Z</dcterms:modified>
</cp:coreProperties>
</file>