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923170948"/>
        <w:docPartObj>
          <w:docPartGallery w:val="Cover Pages"/>
          <w:docPartUnique/>
        </w:docPartObj>
      </w:sdtPr>
      <w:sdtContent>
        <w:p w14:paraId="5E721BD2" w14:textId="47F6700D" w:rsidR="000515A0" w:rsidRPr="00BA2839" w:rsidRDefault="000515A0">
          <w:pPr>
            <w:rPr>
              <w:rFonts w:ascii="Arial" w:hAnsi="Arial" w:cs="Arial"/>
            </w:rPr>
          </w:pPr>
          <w:r w:rsidRPr="00BA2839">
            <w:rPr>
              <w:rFonts w:ascii="Arial" w:hAnsi="Arial" w:cs="Arial"/>
              <w:noProof/>
            </w:rPr>
            <mc:AlternateContent>
              <mc:Choice Requires="wpg">
                <w:drawing>
                  <wp:anchor distT="0" distB="0" distL="114300" distR="114300" simplePos="0" relativeHeight="251662336" behindDoc="0" locked="0" layoutInCell="1" allowOverlap="1" wp14:anchorId="5AA23F53" wp14:editId="1D7CD1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86B1F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" path="m,l7312660,r,1129665l3619500,733425,,1091565,,xe" fillcolor="#8c8d86 [3204]" stroked="f" strokeweight="2.75pt" insetpen="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" stroked="f" strokeweight="2.75pt" insetpen="t">
                      <v:fill r:id="rId7" o:title="" recolor="t" rotate="t" type="frame"/>
                    </v:rect>
                    <w10:wrap anchorx="page" anchory="page"/>
                  </v:group>
                </w:pict>
              </mc:Fallback>
            </mc:AlternateContent>
          </w:r>
          <w:r w:rsidRPr="00BA2839">
            <w:rPr>
              <w:rFonts w:ascii="Arial" w:hAnsi="Arial" w:cs="Arial"/>
              <w:noProof/>
            </w:rPr>
            <mc:AlternateContent>
              <mc:Choice Requires="wps">
                <w:drawing>
                  <wp:anchor distT="0" distB="0" distL="114300" distR="114300" simplePos="0" relativeHeight="251660288" behindDoc="0" locked="0" layoutInCell="1" allowOverlap="1" wp14:anchorId="270D9EB9" wp14:editId="508EEAF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C9FA97" w14:textId="7C4770F0" w:rsidR="000515A0" w:rsidRDefault="00BA2839">
                                    <w:pPr>
                                      <w:pStyle w:val="NoSpacing"/>
                                      <w:jc w:val="right"/>
                                      <w:rPr>
                                        <w:color w:val="595959" w:themeColor="text1" w:themeTint="A6"/>
                                        <w:sz w:val="28"/>
                                        <w:szCs w:val="28"/>
                                      </w:rPr>
                                    </w:pPr>
                                    <w:r>
                                      <w:rPr>
                                        <w:color w:val="595959" w:themeColor="text1" w:themeTint="A6"/>
                                        <w:sz w:val="28"/>
                                        <w:szCs w:val="28"/>
                                      </w:rPr>
                                      <w:t>Louisa O’Neill</w:t>
                                    </w:r>
                                  </w:p>
                                </w:sdtContent>
                              </w:sdt>
                              <w:p w14:paraId="4D9F51A4" w14:textId="16CA0581" w:rsidR="000515A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376C9">
                                      <w:rPr>
                                        <w:color w:val="595959" w:themeColor="text1" w:themeTint="A6"/>
                                        <w:sz w:val="18"/>
                                        <w:szCs w:val="18"/>
                                      </w:rPr>
                                      <w:t>2245487@student.uwtsd.ac.uk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0D9EB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C9FA97" w14:textId="7C4770F0" w:rsidR="000515A0" w:rsidRDefault="00BA2839">
                              <w:pPr>
                                <w:pStyle w:val="NoSpacing"/>
                                <w:jc w:val="right"/>
                                <w:rPr>
                                  <w:color w:val="595959" w:themeColor="text1" w:themeTint="A6"/>
                                  <w:sz w:val="28"/>
                                  <w:szCs w:val="28"/>
                                </w:rPr>
                              </w:pPr>
                              <w:r>
                                <w:rPr>
                                  <w:color w:val="595959" w:themeColor="text1" w:themeTint="A6"/>
                                  <w:sz w:val="28"/>
                                  <w:szCs w:val="28"/>
                                </w:rPr>
                                <w:t>Louisa O’Neill</w:t>
                              </w:r>
                            </w:p>
                          </w:sdtContent>
                        </w:sdt>
                        <w:p w14:paraId="4D9F51A4" w14:textId="16CA0581" w:rsidR="000515A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376C9">
                                <w:rPr>
                                  <w:color w:val="595959" w:themeColor="text1" w:themeTint="A6"/>
                                  <w:sz w:val="18"/>
                                  <w:szCs w:val="18"/>
                                </w:rPr>
                                <w:t>2245487@student.uwtsd.ac.uk</w:t>
                              </w:r>
                            </w:sdtContent>
                          </w:sdt>
                        </w:p>
                      </w:txbxContent>
                    </v:textbox>
                    <w10:wrap type="square" anchorx="page" anchory="page"/>
                  </v:shape>
                </w:pict>
              </mc:Fallback>
            </mc:AlternateContent>
          </w:r>
          <w:r w:rsidRPr="00BA2839">
            <w:rPr>
              <w:rFonts w:ascii="Arial" w:hAnsi="Arial" w:cs="Arial"/>
              <w:noProof/>
            </w:rPr>
            <mc:AlternateContent>
              <mc:Choice Requires="wps">
                <w:drawing>
                  <wp:anchor distT="0" distB="0" distL="114300" distR="114300" simplePos="0" relativeHeight="251661312" behindDoc="0" locked="0" layoutInCell="1" allowOverlap="1" wp14:anchorId="15D8AB59" wp14:editId="34322FD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77889" w14:textId="19704365" w:rsidR="000515A0" w:rsidRDefault="000515A0" w:rsidP="00525FFB">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5D8AB59"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36977889" w14:textId="19704365" w:rsidR="000515A0" w:rsidRDefault="000515A0" w:rsidP="00525FFB">
                          <w:pPr>
                            <w:pStyle w:val="NoSpacing"/>
                            <w:rPr>
                              <w:color w:val="595959" w:themeColor="text1" w:themeTint="A6"/>
                              <w:sz w:val="20"/>
                              <w:szCs w:val="20"/>
                            </w:rPr>
                          </w:pPr>
                        </w:p>
                      </w:txbxContent>
                    </v:textbox>
                    <w10:wrap type="square" anchorx="page" anchory="page"/>
                  </v:shape>
                </w:pict>
              </mc:Fallback>
            </mc:AlternateContent>
          </w:r>
          <w:r w:rsidRPr="00BA2839">
            <w:rPr>
              <w:rFonts w:ascii="Arial" w:hAnsi="Arial" w:cs="Arial"/>
              <w:noProof/>
            </w:rPr>
            <mc:AlternateContent>
              <mc:Choice Requires="wps">
                <w:drawing>
                  <wp:anchor distT="0" distB="0" distL="114300" distR="114300" simplePos="0" relativeHeight="251659264" behindDoc="0" locked="0" layoutInCell="1" allowOverlap="1" wp14:anchorId="046292B8" wp14:editId="00B634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85783" w14:textId="650417CB" w:rsidR="000515A0" w:rsidRPr="00525FFB" w:rsidRDefault="00000000" w:rsidP="00525FFB">
                                <w:pPr>
                                  <w:jc w:val="right"/>
                                  <w:rPr>
                                    <w:rFonts w:ascii="Arial" w:hAnsi="Arial" w:cs="Arial"/>
                                    <w:color w:val="8C8D86" w:themeColor="accent1"/>
                                    <w:sz w:val="44"/>
                                    <w:szCs w:val="44"/>
                                  </w:rPr>
                                </w:pPr>
                                <w:sdt>
                                  <w:sdtPr>
                                    <w:rPr>
                                      <w:rFonts w:ascii="Arial" w:hAnsi="Arial" w:cs="Arial"/>
                                      <w:caps/>
                                      <w:color w:val="8C8D8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1D31">
                                      <w:rPr>
                                        <w:rFonts w:ascii="Arial" w:hAnsi="Arial" w:cs="Arial"/>
                                        <w:caps/>
                                        <w:color w:val="8C8D86" w:themeColor="accent1"/>
                                        <w:sz w:val="44"/>
                                        <w:szCs w:val="44"/>
                                      </w:rPr>
                                      <w:t>Critically examine the challenges associated with investigating the different types of cyber-crime and police responses designed to combat these challenges</w:t>
                                    </w:r>
                                  </w:sdtContent>
                                </w:sdt>
                              </w:p>
                              <w:p w14:paraId="1DD2001A" w14:textId="6911AA06" w:rsidR="000515A0" w:rsidRDefault="000515A0">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46292B8" id="_x0000_t202" coordsize="21600,21600" o:spt="202" path="m,l,21600r21600,l21600,xe">
                    <v:stroke joinstyle="miter"/>
                    <v:path gradientshapeok="t" o:connecttype="rect"/>
                  </v:shapetype>
                  <v:shap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1C85783" w14:textId="650417CB" w:rsidR="000515A0" w:rsidRPr="00525FFB" w:rsidRDefault="00000000" w:rsidP="00525FFB">
                          <w:pPr>
                            <w:jc w:val="right"/>
                            <w:rPr>
                              <w:rFonts w:ascii="Arial" w:hAnsi="Arial" w:cs="Arial"/>
                              <w:color w:val="8C8D86" w:themeColor="accent1"/>
                              <w:sz w:val="44"/>
                              <w:szCs w:val="44"/>
                            </w:rPr>
                          </w:pPr>
                          <w:sdt>
                            <w:sdtPr>
                              <w:rPr>
                                <w:rFonts w:ascii="Arial" w:hAnsi="Arial" w:cs="Arial"/>
                                <w:caps/>
                                <w:color w:val="8C8D8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1D31">
                                <w:rPr>
                                  <w:rFonts w:ascii="Arial" w:hAnsi="Arial" w:cs="Arial"/>
                                  <w:caps/>
                                  <w:color w:val="8C8D86" w:themeColor="accent1"/>
                                  <w:sz w:val="44"/>
                                  <w:szCs w:val="44"/>
                                </w:rPr>
                                <w:t>Critically examine the challenges associated with investigating the different types of cyber-crime and police responses designed to combat these challenges</w:t>
                              </w:r>
                            </w:sdtContent>
                          </w:sdt>
                        </w:p>
                        <w:p w14:paraId="1DD2001A" w14:textId="6911AA06" w:rsidR="000515A0" w:rsidRDefault="000515A0">
                          <w:pPr>
                            <w:jc w:val="right"/>
                            <w:rPr>
                              <w:smallCaps/>
                              <w:color w:val="404040" w:themeColor="text1" w:themeTint="BF"/>
                              <w:sz w:val="36"/>
                              <w:szCs w:val="36"/>
                            </w:rPr>
                          </w:pPr>
                        </w:p>
                      </w:txbxContent>
                    </v:textbox>
                    <w10:wrap type="square" anchorx="page" anchory="page"/>
                  </v:shape>
                </w:pict>
              </mc:Fallback>
            </mc:AlternateContent>
          </w:r>
        </w:p>
        <w:p w14:paraId="044DB689" w14:textId="346046AA" w:rsidR="007508BE" w:rsidRDefault="00000000" w:rsidP="007508BE">
          <w:pPr>
            <w:rPr>
              <w:rFonts w:ascii="Arial" w:hAnsi="Arial" w:cs="Arial"/>
            </w:rPr>
          </w:pPr>
        </w:p>
      </w:sdtContent>
    </w:sdt>
    <w:sdt>
      <w:sdtPr>
        <w:rPr>
          <w:rFonts w:ascii="Arial" w:hAnsi="Arial" w:cs="Arial"/>
        </w:rPr>
        <w:id w:val="-339461666"/>
        <w:docPartObj>
          <w:docPartGallery w:val="Table of Contents"/>
          <w:docPartUnique/>
        </w:docPartObj>
      </w:sdtPr>
      <w:sdtEndPr>
        <w:rPr>
          <w:b/>
          <w:bCs/>
        </w:rPr>
      </w:sdtEndPr>
      <w:sdtContent>
        <w:p w14:paraId="46F1123D" w14:textId="7C6330A2" w:rsidR="00525FFB" w:rsidRPr="007508BE" w:rsidRDefault="00525FFB" w:rsidP="007508BE">
          <w:pPr>
            <w:rPr>
              <w:rFonts w:ascii="Arial" w:hAnsi="Arial" w:cs="Arial"/>
            </w:rPr>
          </w:pPr>
        </w:p>
        <w:p w14:paraId="6E6658CA" w14:textId="77777777" w:rsidR="007508BE" w:rsidRDefault="00000000">
          <w:pPr>
            <w:rPr>
              <w:rFonts w:ascii="Arial" w:hAnsi="Arial" w:cs="Arial"/>
              <w:b/>
              <w:bCs/>
            </w:rPr>
          </w:pPr>
        </w:p>
      </w:sdtContent>
    </w:sdt>
    <w:p w14:paraId="01AC2383" w14:textId="77777777" w:rsidR="007508BE" w:rsidRDefault="007508BE">
      <w:pPr>
        <w:rPr>
          <w:rFonts w:ascii="Arial" w:hAnsi="Arial" w:cs="Arial"/>
          <w:u w:val="single"/>
        </w:rPr>
      </w:pPr>
    </w:p>
    <w:p w14:paraId="471426B6" w14:textId="77777777" w:rsidR="007508BE" w:rsidRPr="007508BE" w:rsidRDefault="007508BE">
      <w:pPr>
        <w:rPr>
          <w:rFonts w:ascii="Arial" w:hAnsi="Arial" w:cs="Arial"/>
          <w:u w:val="single"/>
        </w:rPr>
      </w:pPr>
    </w:p>
    <w:p w14:paraId="4A94BAE5" w14:textId="77777777" w:rsidR="00384F22" w:rsidRPr="00F26DF5" w:rsidRDefault="00384F22">
      <w:pPr>
        <w:rPr>
          <w:rFonts w:ascii="Arial" w:hAnsi="Arial" w:cs="Arial"/>
          <w:color w:val="000000" w:themeColor="text1"/>
        </w:rPr>
      </w:pPr>
    </w:p>
    <w:p w14:paraId="25FFAD9C" w14:textId="77777777" w:rsidR="00384F22" w:rsidRPr="00F26DF5" w:rsidRDefault="00384F22">
      <w:pPr>
        <w:rPr>
          <w:rFonts w:ascii="Arial" w:hAnsi="Arial" w:cs="Arial"/>
          <w:color w:val="000000" w:themeColor="text1"/>
        </w:rPr>
      </w:pPr>
    </w:p>
    <w:p w14:paraId="02C5011F" w14:textId="77777777" w:rsidR="00384F22" w:rsidRPr="00F26DF5" w:rsidRDefault="00384F22">
      <w:pPr>
        <w:rPr>
          <w:rFonts w:ascii="Arial" w:hAnsi="Arial" w:cs="Arial"/>
          <w:color w:val="000000" w:themeColor="text1"/>
        </w:rPr>
      </w:pPr>
    </w:p>
    <w:p w14:paraId="5F1C5A6A" w14:textId="77777777" w:rsidR="00384F22" w:rsidRPr="00F26DF5" w:rsidRDefault="00384F22">
      <w:pPr>
        <w:rPr>
          <w:rFonts w:ascii="Arial" w:hAnsi="Arial" w:cs="Arial"/>
          <w:color w:val="000000" w:themeColor="text1"/>
        </w:rPr>
      </w:pPr>
    </w:p>
    <w:p w14:paraId="08EFA51D" w14:textId="77777777" w:rsidR="00384938" w:rsidRPr="00F26DF5" w:rsidRDefault="00384938" w:rsidP="00384F22">
      <w:pPr>
        <w:autoSpaceDE w:val="0"/>
        <w:autoSpaceDN w:val="0"/>
        <w:adjustRightInd w:val="0"/>
        <w:rPr>
          <w:rFonts w:ascii="Arial" w:hAnsi="Arial" w:cs="Arial"/>
          <w:color w:val="000000" w:themeColor="text1"/>
          <w:kern w:val="0"/>
        </w:rPr>
      </w:pPr>
    </w:p>
    <w:p w14:paraId="157AD5DE" w14:textId="77777777" w:rsidR="003623F5" w:rsidRDefault="003623F5" w:rsidP="008073CA">
      <w:pPr>
        <w:rPr>
          <w:rFonts w:ascii="Arial" w:hAnsi="Arial" w:cs="Arial"/>
          <w:color w:val="000000" w:themeColor="text1"/>
          <w:kern w:val="0"/>
        </w:rPr>
      </w:pPr>
    </w:p>
    <w:p w14:paraId="55B7269D"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lastRenderedPageBreak/>
        <w:t xml:space="preserve">Cyber-crime also called digital crime uses technology as an aid to crime, a tool to plan or enact crime. The increasing reliance on using these digital technologies, social media platforms, and online communication networks has created new opportunities for criminals, engaging in criminal activity that can be conducted across the country and further often with a high degree of anonymity. </w:t>
      </w:r>
      <w:r w:rsidRPr="006945DD">
        <w:rPr>
          <w:rFonts w:ascii="Arial" w:hAnsi="Arial" w:cs="Arial"/>
          <w:color w:val="000000"/>
        </w:rPr>
        <w:t>(Wood et al., 2025, pp.288)</w:t>
      </w:r>
    </w:p>
    <w:p w14:paraId="3C045319" w14:textId="65B49BDE" w:rsidR="00E21D31" w:rsidRPr="006945DD" w:rsidRDefault="00E21D31" w:rsidP="00E21D31">
      <w:pPr>
        <w:autoSpaceDE w:val="0"/>
        <w:autoSpaceDN w:val="0"/>
        <w:adjustRightInd w:val="0"/>
        <w:rPr>
          <w:rFonts w:ascii="Arial" w:hAnsi="Arial" w:cs="Arial"/>
        </w:rPr>
      </w:pPr>
      <w:r w:rsidRPr="006945DD">
        <w:rPr>
          <w:rFonts w:ascii="Arial" w:hAnsi="Arial" w:cs="Arial"/>
          <w:kern w:val="0"/>
        </w:rPr>
        <w:t xml:space="preserve">Cyber-crime has become one of the most significant challenges facing modern criminal justice systems. In the United Kingdom, cyber-crime has a wide range of offences, including online fraud, identity theft, hacking, bullying, stalking and harassment. </w:t>
      </w:r>
    </w:p>
    <w:p w14:paraId="0CF4C1B9"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Among these emerging threats, online radicalisation is a big concern due to its potential link with terrorism and violent extremism in the community.</w:t>
      </w:r>
      <w:r w:rsidRPr="006945DD">
        <w:rPr>
          <w:rFonts w:ascii="Arial" w:hAnsi="Arial" w:cs="Arial"/>
          <w:color w:val="000000" w:themeColor="text1"/>
        </w:rPr>
        <w:t xml:space="preserve"> The threat of terrorism remains a significant concern in the United Kingdom due to the ever-evolving methods used and how easy it is for these extremists to recruit individuals to plan and conduct further attacks. </w:t>
      </w:r>
    </w:p>
    <w:p w14:paraId="575E668C"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Radicalisation refers to the process where individuals adopt extremist beliefs that may justify the use of violence to achieve ideological, political, or religious objectives. </w:t>
      </w:r>
      <w:r w:rsidRPr="006945DD">
        <w:rPr>
          <w:rFonts w:ascii="Arial" w:hAnsi="Arial" w:cs="Arial"/>
          <w:color w:val="000000"/>
        </w:rPr>
        <w:t>(NSPCC, 2024)</w:t>
      </w:r>
      <w:r w:rsidRPr="006945DD">
        <w:rPr>
          <w:rFonts w:ascii="Arial" w:hAnsi="Arial" w:cs="Arial"/>
          <w:kern w:val="0"/>
        </w:rPr>
        <w:t xml:space="preserve"> </w:t>
      </w:r>
    </w:p>
    <w:p w14:paraId="5FF12339" w14:textId="240704A3" w:rsidR="00E21D31" w:rsidRPr="006945DD" w:rsidRDefault="00E21D31" w:rsidP="00E21D31">
      <w:pPr>
        <w:autoSpaceDE w:val="0"/>
        <w:autoSpaceDN w:val="0"/>
        <w:adjustRightInd w:val="0"/>
        <w:rPr>
          <w:rFonts w:ascii="Arial" w:hAnsi="Arial" w:cs="Arial"/>
          <w:color w:val="000000"/>
        </w:rPr>
      </w:pPr>
      <w:r w:rsidRPr="006945DD">
        <w:rPr>
          <w:rFonts w:ascii="Arial" w:hAnsi="Arial" w:cs="Arial"/>
          <w:kern w:val="0"/>
        </w:rPr>
        <w:t xml:space="preserve">There are two forms of radicalisation. When radicalisation occurs in person it is referred to as </w:t>
      </w:r>
      <w:r w:rsidR="00EE2CFF">
        <w:rPr>
          <w:rFonts w:ascii="Arial" w:hAnsi="Arial" w:cs="Arial"/>
          <w:kern w:val="0"/>
        </w:rPr>
        <w:t xml:space="preserve">taking part </w:t>
      </w:r>
      <w:r w:rsidRPr="006945DD">
        <w:rPr>
          <w:rFonts w:ascii="Arial" w:hAnsi="Arial" w:cs="Arial"/>
          <w:kern w:val="0"/>
        </w:rPr>
        <w:t xml:space="preserve">offline, this happens in many environments, commonly known to occur in domestic locations such as religious, community and education centres. </w:t>
      </w:r>
      <w:r w:rsidR="00EE2CFF">
        <w:rPr>
          <w:rFonts w:ascii="Arial" w:hAnsi="Arial" w:cs="Arial"/>
          <w:kern w:val="0"/>
        </w:rPr>
        <w:t xml:space="preserve">The other form, being online. </w:t>
      </w:r>
      <w:proofErr w:type="gramStart"/>
      <w:r w:rsidRPr="006945DD">
        <w:rPr>
          <w:rFonts w:ascii="Arial" w:hAnsi="Arial" w:cs="Arial"/>
          <w:color w:val="000000"/>
        </w:rPr>
        <w:t>(</w:t>
      </w:r>
      <w:proofErr w:type="gramEnd"/>
      <w:r w:rsidRPr="006945DD">
        <w:rPr>
          <w:rFonts w:ascii="Arial" w:hAnsi="Arial" w:cs="Arial"/>
          <w:color w:val="000000"/>
        </w:rPr>
        <w:t>Wood et al., 2025, pp.293–296)</w:t>
      </w:r>
    </w:p>
    <w:p w14:paraId="1B378A01" w14:textId="3E6A1166"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With the development of new and updated technologies, online radicalisation is a growing concern. With it moving also to a digital world It has significantly expanded the reach and influence of extremist organisations. These online platforms provide spaces where extremist narratives can be spread widely, allowing recruiters to target vulnerable individuals and impressionable minds, creating online communities that reinforce ideological beliefs. As a result, digital environments have become a key area of concern for policing, attempting to prevent terrorism and disrupt</w:t>
      </w:r>
      <w:r w:rsidR="007F3AEE">
        <w:rPr>
          <w:rFonts w:ascii="Arial" w:hAnsi="Arial" w:cs="Arial"/>
          <w:kern w:val="0"/>
        </w:rPr>
        <w:t>ing</w:t>
      </w:r>
      <w:r w:rsidRPr="006945DD">
        <w:rPr>
          <w:rFonts w:ascii="Arial" w:hAnsi="Arial" w:cs="Arial"/>
          <w:kern w:val="0"/>
        </w:rPr>
        <w:t xml:space="preserve"> extremist networks.</w:t>
      </w:r>
    </w:p>
    <w:p w14:paraId="2BA822FF" w14:textId="636994FA"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Investigating cyber-enabled radicalisation presents significant challenges for policing. This essay aims to critically examine the challenges associated with investigating cyber-crime, focusing on the main topic of radicalisation. It will analyse case studies of extremist attacks and recruitment and evaluate police responses designed to combat these challenges</w:t>
      </w:r>
      <w:r w:rsidRPr="006945DD">
        <w:rPr>
          <w:rFonts w:ascii="Arial" w:hAnsi="Arial" w:cs="Arial"/>
        </w:rPr>
        <w:t>.</w:t>
      </w:r>
    </w:p>
    <w:p w14:paraId="6C535651" w14:textId="77777777" w:rsidR="00E21D31" w:rsidRPr="006945DD" w:rsidRDefault="00E21D31" w:rsidP="00E21D31">
      <w:pPr>
        <w:autoSpaceDE w:val="0"/>
        <w:autoSpaceDN w:val="0"/>
        <w:adjustRightInd w:val="0"/>
        <w:rPr>
          <w:rFonts w:ascii="Arial" w:hAnsi="Arial" w:cs="Arial"/>
          <w:kern w:val="0"/>
        </w:rPr>
      </w:pPr>
    </w:p>
    <w:p w14:paraId="54235EC8" w14:textId="77777777" w:rsidR="00E21D31" w:rsidRPr="006945DD" w:rsidRDefault="00E21D31" w:rsidP="00E21D31">
      <w:pPr>
        <w:autoSpaceDE w:val="0"/>
        <w:autoSpaceDN w:val="0"/>
        <w:adjustRightInd w:val="0"/>
        <w:spacing w:after="40"/>
        <w:rPr>
          <w:rFonts w:ascii="Arial" w:hAnsi="Arial" w:cs="Arial"/>
          <w:b/>
          <w:bCs/>
          <w:kern w:val="0"/>
        </w:rPr>
      </w:pPr>
    </w:p>
    <w:p w14:paraId="6BF7F426" w14:textId="77777777" w:rsidR="00E21D31" w:rsidRPr="006945DD" w:rsidRDefault="00E21D31" w:rsidP="00E21D31">
      <w:pPr>
        <w:autoSpaceDE w:val="0"/>
        <w:autoSpaceDN w:val="0"/>
        <w:adjustRightInd w:val="0"/>
        <w:spacing w:after="40"/>
        <w:rPr>
          <w:rFonts w:ascii="Arial" w:hAnsi="Arial" w:cs="Arial"/>
          <w:b/>
          <w:bCs/>
          <w:kern w:val="0"/>
        </w:rPr>
      </w:pPr>
    </w:p>
    <w:p w14:paraId="1C38F3B1" w14:textId="79ED5163"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lastRenderedPageBreak/>
        <w:t xml:space="preserve">The internet has transformed and played a big part in the way extremist ideologies are distributed and consumed by individuals. Online platforms are enabling these extremist organisations to reach global audiences, bypassing geographical barriers for a wider reach and communicate with potential recruits directly. Many of whom are vulnerable </w:t>
      </w:r>
      <w:r w:rsidR="005705E5">
        <w:rPr>
          <w:rFonts w:ascii="Arial" w:hAnsi="Arial" w:cs="Arial"/>
          <w:kern w:val="0"/>
        </w:rPr>
        <w:t xml:space="preserve">young </w:t>
      </w:r>
      <w:r w:rsidRPr="006945DD">
        <w:rPr>
          <w:rFonts w:ascii="Arial" w:hAnsi="Arial" w:cs="Arial"/>
          <w:kern w:val="0"/>
        </w:rPr>
        <w:t xml:space="preserve">individuals. It is believed people are even being radicalised in chat rooms of gaming platforms and not just the usual approach of social media platforms such as Facebook, X. etc. </w:t>
      </w:r>
      <w:r w:rsidRPr="006945DD">
        <w:rPr>
          <w:rFonts w:ascii="Arial" w:hAnsi="Arial" w:cs="Arial"/>
          <w:color w:val="000000"/>
        </w:rPr>
        <w:t>(Wood et al., 2025, pp.293–296)</w:t>
      </w:r>
    </w:p>
    <w:p w14:paraId="4EC42405"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These digital environments facilitate radicalisation by providing access to propaganda, enabling interaction between like-minded individuals, and creating online communities that reinforce these extremist beliefs. The anonymity of online communication also allows these individuals to explore radical ideas without immediate social consequences as their browsing history remains undetected.</w:t>
      </w:r>
    </w:p>
    <w:p w14:paraId="78FE9991"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Investigating online radicalisation presents numerous challenges for policing. One of the most significant difficulties is the amount of online content that must be monitored. The internet hosts vast quantities of information and data which therefore makes it extremely difficult and very time consuming for investigators to identify extremist content and track individuals who may be engaging with it. </w:t>
      </w:r>
    </w:p>
    <w:p w14:paraId="3C06DF20"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Even when extremist content is identified and removed from major platforms, it can often reappear quickly on alternative platforms or websites.</w:t>
      </w:r>
    </w:p>
    <w:p w14:paraId="6EAAB1D4" w14:textId="12FB33ED"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Another challenge faced is the use of encryption technologies. Many extremist networks communicate through encrypted messaging applications, which protect user communications from surveillance. </w:t>
      </w:r>
    </w:p>
    <w:p w14:paraId="145D61B8" w14:textId="4C69E2ED"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While encryption provides important protections for privacy and security, it also restricts the ability of law enforcement agencies to access communications that may be relevant to investigations. This creates tension between the need for effective counter-terrorism measures and the protection of individual rights. The college of policing states the challenges with online hate material, including the jurisdiction of the crime, country and force area where the offender posted the material.</w:t>
      </w:r>
      <w:r w:rsidR="00F665C0">
        <w:rPr>
          <w:rFonts w:ascii="Arial" w:hAnsi="Arial" w:cs="Arial"/>
          <w:kern w:val="0"/>
        </w:rPr>
        <w:t xml:space="preserve"> </w:t>
      </w:r>
      <w:r w:rsidR="00F665C0">
        <w:rPr>
          <w:rFonts w:ascii="Arial" w:hAnsi="Arial" w:cs="Arial"/>
          <w:color w:val="000000"/>
        </w:rPr>
        <w:t>(Home Office, 2017a)</w:t>
      </w:r>
    </w:p>
    <w:p w14:paraId="5D7A8724" w14:textId="77777777" w:rsidR="00E21D31" w:rsidRPr="006945DD" w:rsidRDefault="00E21D31" w:rsidP="00E21D31">
      <w:pPr>
        <w:pStyle w:val="NormalWeb"/>
        <w:spacing w:before="0" w:beforeAutospacing="0" w:after="360" w:afterAutospacing="0"/>
        <w:rPr>
          <w:rFonts w:ascii="Arial" w:hAnsi="Arial" w:cs="Arial"/>
          <w:color w:val="000000"/>
          <w:spacing w:val="3"/>
        </w:rPr>
      </w:pPr>
      <w:r w:rsidRPr="006945DD">
        <w:rPr>
          <w:rFonts w:ascii="Arial" w:hAnsi="Arial" w:cs="Arial"/>
          <w:color w:val="000000"/>
          <w:spacing w:val="3"/>
        </w:rPr>
        <w:t>Not all hate crime is linked to extremism and terrorism, but the likelihood is that a terrorist act will be motivated by hate. The hate may be personal, ideological or the result of manipulation by others. It is very important in being able to recognise the links, particularly in respect of intelligence handling.</w:t>
      </w:r>
    </w:p>
    <w:p w14:paraId="74933A15" w14:textId="5429E60D" w:rsidR="0025256E" w:rsidRDefault="00E21D31" w:rsidP="00E21D31">
      <w:pPr>
        <w:pStyle w:val="NormalWeb"/>
        <w:spacing w:before="0" w:beforeAutospacing="0" w:after="360" w:afterAutospacing="0"/>
        <w:rPr>
          <w:rFonts w:ascii="Arial" w:hAnsi="Arial" w:cs="Arial"/>
          <w:color w:val="000000"/>
        </w:rPr>
      </w:pPr>
      <w:r w:rsidRPr="006945DD">
        <w:rPr>
          <w:rFonts w:ascii="Arial" w:hAnsi="Arial" w:cs="Arial"/>
          <w:color w:val="000000"/>
          <w:spacing w:val="3"/>
        </w:rPr>
        <w:t>The college of policing states that many perpetrators of terrorist activity commit less serious hate</w:t>
      </w:r>
      <w:r w:rsidR="006622E3">
        <w:rPr>
          <w:rFonts w:ascii="Arial" w:hAnsi="Arial" w:cs="Arial"/>
          <w:color w:val="000000"/>
          <w:spacing w:val="3"/>
        </w:rPr>
        <w:t xml:space="preserve"> </w:t>
      </w:r>
      <w:r w:rsidRPr="006945DD">
        <w:rPr>
          <w:rFonts w:ascii="Arial" w:hAnsi="Arial" w:cs="Arial"/>
          <w:color w:val="000000"/>
          <w:spacing w:val="3"/>
        </w:rPr>
        <w:t xml:space="preserve">crimes prior to then progressing to more serious offending. Not every hate crime offender will escalate to taking part in committing an extremist crime and the challenge for policing is being able to identify those with the potential to do so, thereby enabling counter-terrorist colleagues to reduce the risk posed. </w:t>
      </w:r>
      <w:r w:rsidRPr="006945DD">
        <w:rPr>
          <w:rFonts w:ascii="Arial" w:hAnsi="Arial" w:cs="Arial"/>
          <w:color w:val="000000"/>
        </w:rPr>
        <w:t>(College of Policing, 2020)</w:t>
      </w:r>
    </w:p>
    <w:p w14:paraId="6E38C321" w14:textId="38D8E9EF" w:rsidR="00E21D31" w:rsidRPr="0025256E" w:rsidRDefault="00E21D31" w:rsidP="00E21D31">
      <w:pPr>
        <w:pStyle w:val="NormalWeb"/>
        <w:spacing w:before="0" w:beforeAutospacing="0" w:after="360" w:afterAutospacing="0"/>
        <w:rPr>
          <w:rFonts w:ascii="Arial" w:hAnsi="Arial" w:cs="Arial"/>
          <w:color w:val="000000"/>
        </w:rPr>
      </w:pPr>
      <w:r w:rsidRPr="006945DD">
        <w:rPr>
          <w:rFonts w:ascii="Arial" w:hAnsi="Arial" w:cs="Arial"/>
        </w:rPr>
        <w:lastRenderedPageBreak/>
        <w:t xml:space="preserve">Online radicalisation networks often operate across multiple countries, meaning that evidence may be stored on servers located outside the United Kingdom. Accessing such data may require international cooperation or legal agreements with foreign governments and technology companies. These processes can be time-consuming and may delay investigations. </w:t>
      </w:r>
    </w:p>
    <w:p w14:paraId="06E852C3"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In addition, the process of radicalisation itself is difficult to define and measure. Some individuals may consume extremist propaganda online without ever engaging in violent activity, while others may progress rapidly from exposure to extremist content to participation in violent acts. This makes it difficult for investigators to identify which individuals pose genuine threats.</w:t>
      </w:r>
    </w:p>
    <w:p w14:paraId="52BB22AC"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There are many case studies that show the growing threat of radicalisation and the challenges faced. The case of Shamima Begum provides an important example of how online radicalisation can occur through digital communication networks. In 2015, Begum travelled from London to Syria at the age of 15 after being influenced by propaganda from the extremist organisation Islamic State (ISIS). </w:t>
      </w:r>
      <w:r w:rsidRPr="006945DD">
        <w:rPr>
          <w:rFonts w:ascii="Arial" w:hAnsi="Arial" w:cs="Arial"/>
          <w:color w:val="000000"/>
        </w:rPr>
        <w:t>(Grierson, 2020)</w:t>
      </w:r>
    </w:p>
    <w:p w14:paraId="30E5DCEF" w14:textId="77777777" w:rsidR="00E21D31" w:rsidRPr="006945DD" w:rsidRDefault="00E21D31" w:rsidP="00E21D31">
      <w:pPr>
        <w:autoSpaceDE w:val="0"/>
        <w:autoSpaceDN w:val="0"/>
        <w:adjustRightInd w:val="0"/>
        <w:rPr>
          <w:rFonts w:ascii="Arial" w:hAnsi="Arial" w:cs="Arial"/>
        </w:rPr>
      </w:pPr>
      <w:r w:rsidRPr="006945DD">
        <w:rPr>
          <w:rFonts w:ascii="Arial" w:hAnsi="Arial" w:cs="Arial"/>
          <w:kern w:val="0"/>
        </w:rPr>
        <w:t>Investigations revealed that she and two other schoolgirls had been exposed to extremist material online and had communicated with recruiters through social media platforms before leaving the United Kingdom.</w:t>
      </w:r>
    </w:p>
    <w:p w14:paraId="70D34AFB"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This case illustrates the difficulties faced by law enforcement agencies in identifying radicalisation at an early stage. Much of the communication between recruiters and potential recruits occurs within private online spaces that are difficult for investigators to monitor. </w:t>
      </w:r>
      <w:r w:rsidRPr="006945DD">
        <w:rPr>
          <w:rFonts w:ascii="Arial" w:hAnsi="Arial" w:cs="Arial"/>
          <w:color w:val="000000"/>
        </w:rPr>
        <w:t xml:space="preserve">(Masters and </w:t>
      </w:r>
      <w:proofErr w:type="spellStart"/>
      <w:r w:rsidRPr="006945DD">
        <w:rPr>
          <w:rFonts w:ascii="Arial" w:hAnsi="Arial" w:cs="Arial"/>
          <w:color w:val="000000"/>
        </w:rPr>
        <w:t>Regilme</w:t>
      </w:r>
      <w:proofErr w:type="spellEnd"/>
      <w:r w:rsidRPr="006945DD">
        <w:rPr>
          <w:rFonts w:ascii="Arial" w:hAnsi="Arial" w:cs="Arial"/>
          <w:color w:val="000000"/>
        </w:rPr>
        <w:t>, 2020)</w:t>
      </w:r>
    </w:p>
    <w:p w14:paraId="452C3A90"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As a result, authorities may only become aware of radicalisation once individuals have already taken steps towards joining extremist organisations.</w:t>
      </w:r>
    </w:p>
    <w:p w14:paraId="4EFB6F45" w14:textId="77777777" w:rsidR="00E21D31" w:rsidRPr="006945DD" w:rsidRDefault="00E21D31" w:rsidP="00E21D31">
      <w:pPr>
        <w:autoSpaceDE w:val="0"/>
        <w:autoSpaceDN w:val="0"/>
        <w:adjustRightInd w:val="0"/>
        <w:rPr>
          <w:rFonts w:ascii="Arial" w:hAnsi="Arial" w:cs="Arial"/>
        </w:rPr>
      </w:pPr>
      <w:r w:rsidRPr="006945DD">
        <w:rPr>
          <w:rFonts w:ascii="Arial" w:hAnsi="Arial" w:cs="Arial"/>
          <w:kern w:val="0"/>
        </w:rPr>
        <w:t>Another significant example of cyber-enabled radicalisation is the 2017 Manchester Arena bombing. The attack was carried out by Salman Abed</w:t>
      </w:r>
      <w:r w:rsidRPr="006945DD">
        <w:rPr>
          <w:rFonts w:ascii="Arial" w:hAnsi="Arial" w:cs="Arial"/>
        </w:rPr>
        <w:t xml:space="preserve"> a </w:t>
      </w:r>
      <w:r w:rsidRPr="006945DD">
        <w:rPr>
          <w:rFonts w:ascii="Arial" w:hAnsi="Arial" w:cs="Arial"/>
          <w:color w:val="000000" w:themeColor="text1"/>
          <w:shd w:val="clear" w:color="auto" w:fill="FFFFFF"/>
        </w:rPr>
        <w:t xml:space="preserve">suicide bomber who had detonated an improvised device in the foyer of an Ariana Grande concert which resulted in the bomb killing twenty-two people which included many children. Hundreds of other individuals were physically injured while many suffered from having emotional and psychological trauma, the result of Salman’s horrific attack. </w:t>
      </w:r>
      <w:r w:rsidRPr="006945DD">
        <w:rPr>
          <w:rFonts w:ascii="Arial" w:hAnsi="Arial" w:cs="Arial"/>
          <w:color w:val="000000" w:themeColor="text1"/>
        </w:rPr>
        <w:t>(Kerslake, 2018)</w:t>
      </w:r>
    </w:p>
    <w:p w14:paraId="5BF90BD8"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Investigations following the attack indicated that Abedi had been exposed to extremist propaganda and had interacted with radical networks both in online and offline environments.</w:t>
      </w:r>
    </w:p>
    <w:p w14:paraId="29603FD7" w14:textId="666B74DC" w:rsidR="00E21D31" w:rsidRDefault="00E21D31" w:rsidP="00E21D31">
      <w:pPr>
        <w:autoSpaceDE w:val="0"/>
        <w:autoSpaceDN w:val="0"/>
        <w:adjustRightInd w:val="0"/>
        <w:rPr>
          <w:rFonts w:ascii="Arial" w:hAnsi="Arial" w:cs="Arial"/>
          <w:kern w:val="0"/>
        </w:rPr>
      </w:pPr>
      <w:r w:rsidRPr="006945DD">
        <w:rPr>
          <w:rFonts w:ascii="Arial" w:hAnsi="Arial" w:cs="Arial"/>
          <w:kern w:val="0"/>
        </w:rPr>
        <w:t xml:space="preserve">The Manchester attack highlights how online radicalisation can contribute to the development of lone terrorism. This is when individuals who consume extremist propaganda online may become motivated to carry out attacks independently, without direct operational guidance from organised terrorist groups. </w:t>
      </w:r>
    </w:p>
    <w:p w14:paraId="3B11B591" w14:textId="2C969F0B" w:rsidR="00E21D31" w:rsidRPr="00E21D31" w:rsidRDefault="00E21D31" w:rsidP="00E21D31">
      <w:pPr>
        <w:autoSpaceDE w:val="0"/>
        <w:autoSpaceDN w:val="0"/>
        <w:adjustRightInd w:val="0"/>
        <w:rPr>
          <w:rFonts w:ascii="Arial" w:hAnsi="Arial" w:cs="Arial"/>
          <w:kern w:val="0"/>
        </w:rPr>
      </w:pPr>
      <w:r w:rsidRPr="006945DD">
        <w:rPr>
          <w:rFonts w:ascii="Arial" w:hAnsi="Arial" w:cs="Arial"/>
          <w:kern w:val="0"/>
        </w:rPr>
        <w:lastRenderedPageBreak/>
        <w:t xml:space="preserve">This type of radicalisation is particularly difficult to detect because individuals may not be formally affiliated with known extremist organisations. </w:t>
      </w:r>
      <w:r w:rsidRPr="006945DD">
        <w:rPr>
          <w:rFonts w:ascii="Arial" w:hAnsi="Arial" w:cs="Arial"/>
          <w:color w:val="000000" w:themeColor="text1"/>
        </w:rPr>
        <w:t xml:space="preserve">Majority of the threat is from individuals who have self-radicalised, seeking to carry out these attacks. </w:t>
      </w:r>
    </w:p>
    <w:p w14:paraId="316F5AE9" w14:textId="77777777" w:rsidR="00E21D31" w:rsidRPr="006945DD" w:rsidRDefault="00E21D31" w:rsidP="00E21D31">
      <w:pPr>
        <w:pStyle w:val="NormalWeb"/>
        <w:rPr>
          <w:rFonts w:ascii="Arial" w:hAnsi="Arial" w:cs="Arial"/>
          <w:color w:val="000000" w:themeColor="text1"/>
        </w:rPr>
      </w:pPr>
      <w:r w:rsidRPr="006945DD">
        <w:rPr>
          <w:rFonts w:ascii="Arial" w:hAnsi="Arial" w:cs="Arial"/>
          <w:color w:val="000000" w:themeColor="text1"/>
        </w:rPr>
        <w:t>These individuals will decide themselves to conduct an attack, rather than the attack being directed or controlled by a terrorist group. This can make it harder for the authorities to be able to identify terrorist activity. (Security Service MI5, 2024)</w:t>
      </w:r>
    </w:p>
    <w:p w14:paraId="17FF7151"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Online radicalisation is not just limited to Islamist extremism; far-right ideologies have also gained significant traction within digital spaces. The 2017 attack at Finsbury Park Mosque in London, carried out by Darren Osborne, illustrates how online hate narratives can contribute to violent extremism. Investigations found that Osborne had been influenced by anti-Muslim propaganda and conspiracy theories circulating online. </w:t>
      </w:r>
    </w:p>
    <w:p w14:paraId="3DAAEDA5"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In this case study, Darren Osborne, hired a van which he then drove from Cardiff to London intending to ‘’plough through as many of them as possible’’ Unable to reach his initial target he reached the area of Finsbury Park, as it was the month of Ramadan many individuals were on the street in Islamic dress. He proceeded to drive the van into the group. </w:t>
      </w:r>
      <w:r w:rsidRPr="006945DD">
        <w:rPr>
          <w:rFonts w:ascii="Arial" w:hAnsi="Arial" w:cs="Arial"/>
          <w:kern w:val="0"/>
          <w:sz w:val="20"/>
          <w:szCs w:val="20"/>
        </w:rPr>
        <w:t>R v DARREN OSBORNE [2018]</w:t>
      </w:r>
    </w:p>
    <w:p w14:paraId="775DCE07"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This case demonstrates the role of online forums and social media platforms can create environments where individuals encounter only content that supports their existing views. Exposure to repeated narratives portraying certain groups as threats can intensify hostility and contribute to radicalisation.</w:t>
      </w:r>
    </w:p>
    <w:p w14:paraId="3097AD42" w14:textId="77777777" w:rsidR="00E21D31" w:rsidRPr="006945DD" w:rsidRDefault="00E21D31" w:rsidP="00E21D31">
      <w:pPr>
        <w:autoSpaceDE w:val="0"/>
        <w:autoSpaceDN w:val="0"/>
        <w:adjustRightInd w:val="0"/>
        <w:rPr>
          <w:rFonts w:ascii="Arial" w:hAnsi="Arial" w:cs="Arial"/>
        </w:rPr>
      </w:pPr>
      <w:r w:rsidRPr="006945DD">
        <w:rPr>
          <w:rFonts w:ascii="Arial" w:hAnsi="Arial" w:cs="Arial"/>
          <w:kern w:val="0"/>
        </w:rPr>
        <w:t xml:space="preserve">From a policing perspective, this case highlights the challenge of distinguishing between extreme political views and genuine security threats. </w:t>
      </w:r>
    </w:p>
    <w:p w14:paraId="063B8DE3" w14:textId="77777777" w:rsidR="00E21D31" w:rsidRPr="006945DD" w:rsidRDefault="00E21D31" w:rsidP="00E21D31">
      <w:pPr>
        <w:autoSpaceDE w:val="0"/>
        <w:autoSpaceDN w:val="0"/>
        <w:adjustRightInd w:val="0"/>
        <w:rPr>
          <w:rFonts w:ascii="Arial" w:hAnsi="Arial" w:cs="Arial"/>
        </w:rPr>
      </w:pPr>
      <w:r w:rsidRPr="006945DD">
        <w:rPr>
          <w:rFonts w:ascii="Arial" w:hAnsi="Arial" w:cs="Arial"/>
        </w:rPr>
        <w:t>In Cardiff a teenager, Lloyd Gunton had researched security for a Justin Bieber concert in Cardiff. Police officers on the day of the show raided his home and found a claw hammer and knife in his school rucksack. Radicalised online, Lloyd had planned a ‘lone wolf’ attack in the name of Islam and posted frequently on social media supporting Al-Qaeda.</w:t>
      </w:r>
    </w:p>
    <w:p w14:paraId="7A4AB26B" w14:textId="77777777" w:rsidR="00E21D31" w:rsidRPr="006945DD" w:rsidRDefault="00E21D31" w:rsidP="00E21D31">
      <w:pPr>
        <w:autoSpaceDE w:val="0"/>
        <w:autoSpaceDN w:val="0"/>
        <w:adjustRightInd w:val="0"/>
        <w:rPr>
          <w:rFonts w:ascii="Arial" w:hAnsi="Arial" w:cs="Arial"/>
        </w:rPr>
      </w:pPr>
      <w:r w:rsidRPr="006945DD">
        <w:rPr>
          <w:rFonts w:ascii="Arial" w:hAnsi="Arial" w:cs="Arial"/>
        </w:rPr>
        <w:t xml:space="preserve">This case has highlighted concerns of growing radicalisation online, with young individuals gaining easy access to extremist material and how quickly it can lead to being radicalised and taking part in attack. </w:t>
      </w:r>
      <w:r w:rsidRPr="006945DD">
        <w:rPr>
          <w:rFonts w:ascii="Arial" w:hAnsi="Arial" w:cs="Arial"/>
          <w:color w:val="000000"/>
        </w:rPr>
        <w:t>(Morris, 2018)</w:t>
      </w:r>
    </w:p>
    <w:p w14:paraId="384A3C62"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It is reported from the home office that between 2017/18 there were 7,318 individuals who were subject to a referral due to concerns they were vulnerable and being drawn into terrorism. </w:t>
      </w:r>
      <w:r w:rsidRPr="006945DD">
        <w:rPr>
          <w:rFonts w:ascii="Arial" w:hAnsi="Arial" w:cs="Arial"/>
          <w:color w:val="000000"/>
        </w:rPr>
        <w:t>(Pepper and Mcgrath, 2020, pp.185–188)</w:t>
      </w:r>
    </w:p>
    <w:p w14:paraId="1E8E5F87" w14:textId="77777777" w:rsidR="0025256E" w:rsidRDefault="00E21D31" w:rsidP="00E21D31">
      <w:pPr>
        <w:autoSpaceDE w:val="0"/>
        <w:autoSpaceDN w:val="0"/>
        <w:adjustRightInd w:val="0"/>
        <w:rPr>
          <w:rFonts w:ascii="Arial" w:hAnsi="Arial" w:cs="Arial"/>
          <w:color w:val="000000" w:themeColor="text1"/>
        </w:rPr>
      </w:pPr>
      <w:r w:rsidRPr="006945DD">
        <w:rPr>
          <w:rFonts w:ascii="Arial" w:hAnsi="Arial" w:cs="Arial"/>
          <w:kern w:val="0"/>
        </w:rPr>
        <w:t xml:space="preserve">In response to the growing threat of online radicalisation, the United Kingdom government has implemented several counter-terrorism strategies. </w:t>
      </w:r>
      <w:r w:rsidRPr="006945DD">
        <w:rPr>
          <w:rFonts w:ascii="Arial" w:hAnsi="Arial" w:cs="Arial"/>
          <w:color w:val="000000" w:themeColor="text1"/>
        </w:rPr>
        <w:t xml:space="preserve">Due to the threat of terrorism, the CONTEST strategy was developed for counter-terrorism. </w:t>
      </w:r>
    </w:p>
    <w:p w14:paraId="4C6BDFDB" w14:textId="51ED7AD7" w:rsidR="00E21D31" w:rsidRPr="006945DD" w:rsidRDefault="00E21D31" w:rsidP="00E21D31">
      <w:pPr>
        <w:autoSpaceDE w:val="0"/>
        <w:autoSpaceDN w:val="0"/>
        <w:adjustRightInd w:val="0"/>
        <w:rPr>
          <w:rFonts w:ascii="Arial" w:hAnsi="Arial" w:cs="Arial"/>
          <w:color w:val="000000" w:themeColor="text1"/>
        </w:rPr>
      </w:pPr>
      <w:r w:rsidRPr="006945DD">
        <w:rPr>
          <w:rFonts w:ascii="Arial" w:hAnsi="Arial" w:cs="Arial"/>
          <w:color w:val="000000" w:themeColor="text1"/>
        </w:rPr>
        <w:lastRenderedPageBreak/>
        <w:t>Within thi</w:t>
      </w:r>
      <w:r>
        <w:rPr>
          <w:rFonts w:ascii="Arial" w:hAnsi="Arial" w:cs="Arial"/>
          <w:color w:val="000000" w:themeColor="text1"/>
        </w:rPr>
        <w:t xml:space="preserve">s </w:t>
      </w:r>
      <w:r w:rsidRPr="006945DD">
        <w:rPr>
          <w:rFonts w:ascii="Arial" w:hAnsi="Arial" w:cs="Arial"/>
          <w:color w:val="000000" w:themeColor="text1"/>
        </w:rPr>
        <w:t xml:space="preserve">strategy the Prevent strand focuses on stopping these individuals from becoming terrorists or supporting terrorists. </w:t>
      </w:r>
    </w:p>
    <w:p w14:paraId="47842F90"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Prevent aims to stop individuals from becoming terrorists by identifying those who may be vulnerable to radicalisation and providing early interventions. </w:t>
      </w:r>
      <w:r w:rsidRPr="006945DD">
        <w:rPr>
          <w:rFonts w:ascii="Arial" w:hAnsi="Arial" w:cs="Arial"/>
          <w:color w:val="000000"/>
        </w:rPr>
        <w:t>(Wood et al., 2025b, pp.307–312)</w:t>
      </w:r>
    </w:p>
    <w:p w14:paraId="259C4C4B"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 xml:space="preserve">A key component of Prevent is the Channel programme, which provides support to individuals identified as being at risk of radicalisation. Referrals to Channel can be made by teachers, healthcare professionals, community leaders, or police officers. The programme seeks to address the underlying factors that may make individuals susceptible to extremist influence, such as social isolation or exposure to extremist propaganda. </w:t>
      </w:r>
      <w:r w:rsidRPr="006945DD">
        <w:rPr>
          <w:rFonts w:ascii="Arial" w:hAnsi="Arial" w:cs="Arial"/>
          <w:color w:val="000000"/>
        </w:rPr>
        <w:t>(Pepper and Mcgrath, 2020, pp.185–188)</w:t>
      </w:r>
    </w:p>
    <w:p w14:paraId="7827AB97" w14:textId="77777777" w:rsidR="00E21D31" w:rsidRPr="006945DD" w:rsidRDefault="00E21D31" w:rsidP="00E21D31">
      <w:pPr>
        <w:autoSpaceDE w:val="0"/>
        <w:autoSpaceDN w:val="0"/>
        <w:adjustRightInd w:val="0"/>
        <w:rPr>
          <w:rFonts w:ascii="Arial" w:hAnsi="Arial" w:cs="Arial"/>
        </w:rPr>
      </w:pPr>
    </w:p>
    <w:p w14:paraId="24EEB199" w14:textId="77777777" w:rsidR="00E21D31" w:rsidRPr="006945DD" w:rsidRDefault="00E21D31" w:rsidP="00E21D31">
      <w:pPr>
        <w:autoSpaceDE w:val="0"/>
        <w:autoSpaceDN w:val="0"/>
        <w:adjustRightInd w:val="0"/>
        <w:rPr>
          <w:rFonts w:ascii="Arial" w:hAnsi="Arial" w:cs="Arial"/>
        </w:rPr>
      </w:pPr>
    </w:p>
    <w:p w14:paraId="74200A14" w14:textId="77777777" w:rsidR="00E21D31" w:rsidRPr="006945DD" w:rsidRDefault="00E21D31" w:rsidP="00E21D31">
      <w:pPr>
        <w:autoSpaceDE w:val="0"/>
        <w:autoSpaceDN w:val="0"/>
        <w:adjustRightInd w:val="0"/>
        <w:rPr>
          <w:rFonts w:ascii="Arial" w:hAnsi="Arial" w:cs="Arial"/>
        </w:rPr>
      </w:pPr>
    </w:p>
    <w:p w14:paraId="0C2F96C2" w14:textId="77777777" w:rsidR="00E21D31" w:rsidRPr="006945DD" w:rsidRDefault="00E21D31" w:rsidP="00E21D31">
      <w:pPr>
        <w:autoSpaceDE w:val="0"/>
        <w:autoSpaceDN w:val="0"/>
        <w:adjustRightInd w:val="0"/>
        <w:rPr>
          <w:rFonts w:ascii="Arial" w:hAnsi="Arial" w:cs="Arial"/>
        </w:rPr>
      </w:pPr>
    </w:p>
    <w:p w14:paraId="18B73CC3" w14:textId="77777777" w:rsidR="00E21D31" w:rsidRPr="006945DD" w:rsidRDefault="00E21D31" w:rsidP="00E21D31">
      <w:pPr>
        <w:autoSpaceDE w:val="0"/>
        <w:autoSpaceDN w:val="0"/>
        <w:adjustRightInd w:val="0"/>
        <w:rPr>
          <w:rFonts w:ascii="Arial" w:hAnsi="Arial" w:cs="Arial"/>
        </w:rPr>
      </w:pPr>
    </w:p>
    <w:p w14:paraId="48A2C5BA" w14:textId="77777777" w:rsidR="00E21D31" w:rsidRPr="006945DD" w:rsidRDefault="00E21D31" w:rsidP="00E21D31">
      <w:pPr>
        <w:autoSpaceDE w:val="0"/>
        <w:autoSpaceDN w:val="0"/>
        <w:adjustRightInd w:val="0"/>
        <w:rPr>
          <w:rFonts w:ascii="Arial" w:hAnsi="Arial" w:cs="Arial"/>
        </w:rPr>
      </w:pPr>
    </w:p>
    <w:p w14:paraId="278855F3" w14:textId="77777777" w:rsidR="00E21D31" w:rsidRPr="006945DD" w:rsidRDefault="00E21D31" w:rsidP="00E21D31">
      <w:pPr>
        <w:autoSpaceDE w:val="0"/>
        <w:autoSpaceDN w:val="0"/>
        <w:adjustRightInd w:val="0"/>
        <w:rPr>
          <w:rFonts w:ascii="Arial" w:hAnsi="Arial" w:cs="Arial"/>
        </w:rPr>
      </w:pPr>
    </w:p>
    <w:p w14:paraId="34561BE7" w14:textId="77777777" w:rsidR="00E21D31" w:rsidRPr="006945DD" w:rsidRDefault="00E21D31" w:rsidP="00E21D31">
      <w:pPr>
        <w:autoSpaceDE w:val="0"/>
        <w:autoSpaceDN w:val="0"/>
        <w:adjustRightInd w:val="0"/>
        <w:rPr>
          <w:rFonts w:ascii="Arial" w:hAnsi="Arial" w:cs="Arial"/>
        </w:rPr>
      </w:pPr>
    </w:p>
    <w:p w14:paraId="6679317A" w14:textId="77777777" w:rsidR="00E21D31" w:rsidRPr="006945DD" w:rsidRDefault="00E21D31" w:rsidP="00E21D31">
      <w:pPr>
        <w:autoSpaceDE w:val="0"/>
        <w:autoSpaceDN w:val="0"/>
        <w:adjustRightInd w:val="0"/>
        <w:rPr>
          <w:rFonts w:ascii="Arial" w:hAnsi="Arial" w:cs="Arial"/>
        </w:rPr>
      </w:pPr>
    </w:p>
    <w:p w14:paraId="526BF6E0" w14:textId="77777777" w:rsidR="00E21D31" w:rsidRPr="006945DD" w:rsidRDefault="00E21D31" w:rsidP="00E21D31">
      <w:pPr>
        <w:autoSpaceDE w:val="0"/>
        <w:autoSpaceDN w:val="0"/>
        <w:adjustRightInd w:val="0"/>
        <w:rPr>
          <w:rFonts w:ascii="Arial" w:hAnsi="Arial" w:cs="Arial"/>
        </w:rPr>
      </w:pPr>
    </w:p>
    <w:p w14:paraId="12EADC40" w14:textId="77777777" w:rsidR="00E21D31" w:rsidRPr="006945DD" w:rsidRDefault="00E21D31" w:rsidP="00E21D31">
      <w:pPr>
        <w:autoSpaceDE w:val="0"/>
        <w:autoSpaceDN w:val="0"/>
        <w:adjustRightInd w:val="0"/>
        <w:rPr>
          <w:rFonts w:ascii="Arial" w:hAnsi="Arial" w:cs="Arial"/>
        </w:rPr>
      </w:pPr>
    </w:p>
    <w:p w14:paraId="571033CD" w14:textId="77777777" w:rsidR="00E21D31" w:rsidRPr="006945DD" w:rsidRDefault="00E21D31" w:rsidP="00E21D31">
      <w:pPr>
        <w:autoSpaceDE w:val="0"/>
        <w:autoSpaceDN w:val="0"/>
        <w:adjustRightInd w:val="0"/>
        <w:rPr>
          <w:rFonts w:ascii="Arial" w:hAnsi="Arial" w:cs="Arial"/>
        </w:rPr>
      </w:pPr>
    </w:p>
    <w:p w14:paraId="23A0344A" w14:textId="77777777" w:rsidR="00E21D31" w:rsidRPr="006945DD" w:rsidRDefault="00E21D31" w:rsidP="00E21D31">
      <w:pPr>
        <w:autoSpaceDE w:val="0"/>
        <w:autoSpaceDN w:val="0"/>
        <w:adjustRightInd w:val="0"/>
        <w:rPr>
          <w:rFonts w:ascii="Arial" w:hAnsi="Arial" w:cs="Arial"/>
        </w:rPr>
      </w:pPr>
    </w:p>
    <w:p w14:paraId="5402B52D" w14:textId="77777777" w:rsidR="00E21D31" w:rsidRPr="006945DD" w:rsidRDefault="00E21D31" w:rsidP="00E21D31">
      <w:pPr>
        <w:autoSpaceDE w:val="0"/>
        <w:autoSpaceDN w:val="0"/>
        <w:adjustRightInd w:val="0"/>
        <w:rPr>
          <w:rFonts w:ascii="Arial" w:hAnsi="Arial" w:cs="Arial"/>
        </w:rPr>
      </w:pPr>
    </w:p>
    <w:p w14:paraId="06ED6554" w14:textId="77777777" w:rsidR="00E21D31" w:rsidRPr="006945DD" w:rsidRDefault="00E21D31" w:rsidP="00E21D31">
      <w:pPr>
        <w:autoSpaceDE w:val="0"/>
        <w:autoSpaceDN w:val="0"/>
        <w:adjustRightInd w:val="0"/>
        <w:rPr>
          <w:rFonts w:ascii="Arial" w:hAnsi="Arial" w:cs="Arial"/>
        </w:rPr>
      </w:pPr>
    </w:p>
    <w:p w14:paraId="5C550328" w14:textId="77777777" w:rsidR="00E21D31" w:rsidRPr="006945DD" w:rsidRDefault="00E21D31" w:rsidP="00E21D31">
      <w:pPr>
        <w:autoSpaceDE w:val="0"/>
        <w:autoSpaceDN w:val="0"/>
        <w:adjustRightInd w:val="0"/>
        <w:rPr>
          <w:rFonts w:ascii="Arial" w:hAnsi="Arial" w:cs="Arial"/>
        </w:rPr>
      </w:pPr>
    </w:p>
    <w:p w14:paraId="446705D9" w14:textId="77777777" w:rsidR="00E21D31" w:rsidRPr="006945DD" w:rsidRDefault="00E21D31" w:rsidP="00E21D31">
      <w:pPr>
        <w:autoSpaceDE w:val="0"/>
        <w:autoSpaceDN w:val="0"/>
        <w:adjustRightInd w:val="0"/>
        <w:rPr>
          <w:rFonts w:ascii="Arial" w:hAnsi="Arial" w:cs="Arial"/>
        </w:rPr>
      </w:pPr>
    </w:p>
    <w:p w14:paraId="3F583A63" w14:textId="77777777" w:rsidR="00E21D31" w:rsidRPr="006945DD" w:rsidRDefault="00E21D31" w:rsidP="00E21D31">
      <w:pPr>
        <w:autoSpaceDE w:val="0"/>
        <w:autoSpaceDN w:val="0"/>
        <w:adjustRightInd w:val="0"/>
        <w:rPr>
          <w:rFonts w:ascii="Arial" w:hAnsi="Arial" w:cs="Arial"/>
        </w:rPr>
      </w:pPr>
    </w:p>
    <w:p w14:paraId="36C4B8AA" w14:textId="77777777" w:rsidR="00E21D31" w:rsidRPr="006945DD" w:rsidRDefault="00E21D31" w:rsidP="00E21D31">
      <w:pPr>
        <w:autoSpaceDE w:val="0"/>
        <w:autoSpaceDN w:val="0"/>
        <w:adjustRightInd w:val="0"/>
        <w:rPr>
          <w:rFonts w:ascii="Arial" w:hAnsi="Arial" w:cs="Arial"/>
        </w:rPr>
      </w:pPr>
    </w:p>
    <w:p w14:paraId="33ED1D49" w14:textId="77777777" w:rsidR="00E21D31" w:rsidRPr="006945DD" w:rsidRDefault="00E21D31" w:rsidP="00E21D31">
      <w:pPr>
        <w:autoSpaceDE w:val="0"/>
        <w:autoSpaceDN w:val="0"/>
        <w:adjustRightInd w:val="0"/>
        <w:rPr>
          <w:rFonts w:ascii="Arial" w:hAnsi="Arial" w:cs="Arial"/>
        </w:rPr>
      </w:pPr>
    </w:p>
    <w:p w14:paraId="7D3AA9BA" w14:textId="6D9AC404" w:rsidR="00E21D31" w:rsidRPr="006945DD" w:rsidRDefault="00E21D31" w:rsidP="00E21D31">
      <w:pPr>
        <w:autoSpaceDE w:val="0"/>
        <w:autoSpaceDN w:val="0"/>
        <w:adjustRightInd w:val="0"/>
        <w:rPr>
          <w:rFonts w:ascii="Arial" w:hAnsi="Arial" w:cs="Arial"/>
          <w:kern w:val="0"/>
        </w:rPr>
      </w:pPr>
      <w:r w:rsidRPr="006945DD">
        <w:rPr>
          <w:rFonts w:ascii="Arial" w:hAnsi="Arial" w:cs="Arial"/>
        </w:rPr>
        <w:lastRenderedPageBreak/>
        <w:t>I</w:t>
      </w:r>
      <w:r w:rsidRPr="006945DD">
        <w:rPr>
          <w:rFonts w:ascii="Arial" w:hAnsi="Arial" w:cs="Arial"/>
          <w:kern w:val="0"/>
        </w:rPr>
        <w:t xml:space="preserve">n conclusion, the investigation of cyber-crime in the United Kingdom has become increasingly complex as digital technologies continue to transform patterns of criminal activity. Online radicalisation represents one of the most significant challenges within this evolving landscape, as extremist organisations exploit digital platforms to recruit supporters, </w:t>
      </w:r>
      <w:r w:rsidR="00701E24">
        <w:rPr>
          <w:rFonts w:ascii="Arial" w:hAnsi="Arial" w:cs="Arial"/>
          <w:kern w:val="0"/>
        </w:rPr>
        <w:t>distribute</w:t>
      </w:r>
      <w:r w:rsidRPr="006945DD">
        <w:rPr>
          <w:rFonts w:ascii="Arial" w:hAnsi="Arial" w:cs="Arial"/>
          <w:kern w:val="0"/>
        </w:rPr>
        <w:t xml:space="preserve"> propaganda, and coordinate activities across national borders.</w:t>
      </w:r>
    </w:p>
    <w:p w14:paraId="4144E4DF" w14:textId="77777777" w:rsidR="00E21D31" w:rsidRPr="006945DD" w:rsidRDefault="00E21D31" w:rsidP="00E21D31">
      <w:pPr>
        <w:autoSpaceDE w:val="0"/>
        <w:autoSpaceDN w:val="0"/>
        <w:adjustRightInd w:val="0"/>
        <w:rPr>
          <w:rFonts w:ascii="Arial" w:hAnsi="Arial" w:cs="Arial"/>
          <w:kern w:val="0"/>
        </w:rPr>
      </w:pPr>
      <w:r w:rsidRPr="006945DD">
        <w:rPr>
          <w:rFonts w:ascii="Arial" w:hAnsi="Arial" w:cs="Arial"/>
          <w:kern w:val="0"/>
        </w:rPr>
        <w:t>The difficulty of identifying individuals who may progress from extremist beliefs to violent action. Case studies such as the radicalisation of individuals travelling to join extremist organisations, the Manchester Arena bombing, and the Finsbury Park attack illustrate how online environments can facilitate extremist violence across ideological spectrums.</w:t>
      </w:r>
    </w:p>
    <w:p w14:paraId="10769542" w14:textId="3B299BB4" w:rsidR="00E21D31" w:rsidRPr="006945DD" w:rsidRDefault="00E21D31" w:rsidP="00E21D31">
      <w:pPr>
        <w:rPr>
          <w:rFonts w:ascii="Arial" w:hAnsi="Arial" w:cs="Arial"/>
          <w:color w:val="000000" w:themeColor="text1"/>
        </w:rPr>
      </w:pPr>
      <w:r w:rsidRPr="006945DD">
        <w:rPr>
          <w:rFonts w:ascii="Arial" w:hAnsi="Arial" w:cs="Arial"/>
          <w:kern w:val="0"/>
        </w:rPr>
        <w:t xml:space="preserve">While policing strategies such as the Prevent programme and the removal of extremist content have improved the United Kingdom’s ability to address these threats. </w:t>
      </w:r>
      <w:r w:rsidRPr="006945DD">
        <w:rPr>
          <w:rFonts w:ascii="Arial" w:hAnsi="Arial" w:cs="Arial"/>
          <w:color w:val="000000" w:themeColor="text1"/>
        </w:rPr>
        <w:t>With recent reports and reviews of the CONTEST Prevent strategy, there is room for improvement, it is documented that this can be obtained by encouraging public trust</w:t>
      </w:r>
      <w:r w:rsidR="004E3941">
        <w:rPr>
          <w:rFonts w:ascii="Arial" w:hAnsi="Arial" w:cs="Arial"/>
          <w:color w:val="000000" w:themeColor="text1"/>
        </w:rPr>
        <w:t xml:space="preserve"> and </w:t>
      </w:r>
      <w:r w:rsidRPr="006945DD">
        <w:rPr>
          <w:rFonts w:ascii="Arial" w:hAnsi="Arial" w:cs="Arial"/>
          <w:color w:val="000000" w:themeColor="text1"/>
        </w:rPr>
        <w:t>improving transparency.</w:t>
      </w:r>
    </w:p>
    <w:p w14:paraId="72A2173F" w14:textId="77777777" w:rsidR="00E21D31" w:rsidRPr="006945DD" w:rsidRDefault="00E21D31" w:rsidP="00E21D31">
      <w:pPr>
        <w:rPr>
          <w:rFonts w:ascii="Arial" w:hAnsi="Arial" w:cs="Arial"/>
        </w:rPr>
      </w:pPr>
      <w:r w:rsidRPr="006945DD">
        <w:rPr>
          <w:rFonts w:ascii="Arial" w:hAnsi="Arial" w:cs="Arial"/>
          <w:kern w:val="0"/>
        </w:rPr>
        <w:t>Overall addressing the challenges associated with online radicalisation requires a multifaceted approach that combines multiple agencies, technological innovation, community engagement, and international cooperation. As digital communication technologies continue to evolve, the United Kingdom’s counter-terrorism strategies must also adapt in order to effectively combat the complex and rapidly changing nature of online radicalisation.</w:t>
      </w:r>
    </w:p>
    <w:p w14:paraId="4F62C891" w14:textId="77777777" w:rsidR="00E21D31" w:rsidRPr="006945DD" w:rsidRDefault="00E21D31" w:rsidP="00E21D31">
      <w:pPr>
        <w:rPr>
          <w:rFonts w:ascii="Arial" w:hAnsi="Arial" w:cs="Arial"/>
        </w:rPr>
      </w:pPr>
    </w:p>
    <w:p w14:paraId="1BB5461C" w14:textId="77777777" w:rsidR="00E21D31" w:rsidRPr="006945DD" w:rsidRDefault="00E21D31" w:rsidP="00E21D31">
      <w:pPr>
        <w:rPr>
          <w:rFonts w:ascii="Arial" w:hAnsi="Arial" w:cs="Arial"/>
        </w:rPr>
      </w:pPr>
    </w:p>
    <w:p w14:paraId="144F5513" w14:textId="77777777" w:rsidR="00E21D31" w:rsidRPr="006945DD" w:rsidRDefault="00E21D31" w:rsidP="00E21D31">
      <w:pPr>
        <w:rPr>
          <w:rFonts w:ascii="Arial" w:hAnsi="Arial" w:cs="Arial"/>
        </w:rPr>
      </w:pPr>
    </w:p>
    <w:p w14:paraId="427F7685" w14:textId="77777777" w:rsidR="00E21D31" w:rsidRPr="006945DD" w:rsidRDefault="00E21D31" w:rsidP="00E21D31">
      <w:pPr>
        <w:rPr>
          <w:rFonts w:ascii="Arial" w:hAnsi="Arial" w:cs="Arial"/>
        </w:rPr>
      </w:pPr>
    </w:p>
    <w:p w14:paraId="2EF2A422" w14:textId="77777777" w:rsidR="00E21D31" w:rsidRPr="006945DD" w:rsidRDefault="00E21D31" w:rsidP="00E21D31">
      <w:pPr>
        <w:rPr>
          <w:rFonts w:ascii="Arial" w:hAnsi="Arial" w:cs="Arial"/>
        </w:rPr>
      </w:pPr>
    </w:p>
    <w:p w14:paraId="2D8F81B2" w14:textId="77777777" w:rsidR="00E21D31" w:rsidRPr="006945DD" w:rsidRDefault="00E21D31" w:rsidP="00E21D31">
      <w:pPr>
        <w:rPr>
          <w:rFonts w:ascii="Arial" w:hAnsi="Arial" w:cs="Arial"/>
        </w:rPr>
      </w:pPr>
    </w:p>
    <w:p w14:paraId="756F5F3B" w14:textId="77777777" w:rsidR="00E21D31" w:rsidRPr="006945DD" w:rsidRDefault="00E21D31" w:rsidP="00E21D31">
      <w:pPr>
        <w:rPr>
          <w:rFonts w:ascii="Arial" w:hAnsi="Arial" w:cs="Arial"/>
        </w:rPr>
      </w:pPr>
    </w:p>
    <w:p w14:paraId="4CA544E8" w14:textId="77777777" w:rsidR="00E21D31" w:rsidRPr="006945DD" w:rsidRDefault="00E21D31" w:rsidP="00E21D31">
      <w:pPr>
        <w:rPr>
          <w:rFonts w:ascii="Arial" w:hAnsi="Arial" w:cs="Arial"/>
        </w:rPr>
      </w:pPr>
    </w:p>
    <w:p w14:paraId="7B515676" w14:textId="77777777" w:rsidR="00E21D31" w:rsidRPr="006945DD" w:rsidRDefault="00E21D31" w:rsidP="00E21D31">
      <w:pPr>
        <w:rPr>
          <w:rFonts w:ascii="Arial" w:hAnsi="Arial" w:cs="Arial"/>
        </w:rPr>
      </w:pPr>
    </w:p>
    <w:p w14:paraId="7A6EF96E" w14:textId="77777777" w:rsidR="00E21D31" w:rsidRPr="006945DD" w:rsidRDefault="00E21D31" w:rsidP="00E21D31">
      <w:pPr>
        <w:rPr>
          <w:rFonts w:ascii="Arial" w:hAnsi="Arial" w:cs="Arial"/>
        </w:rPr>
      </w:pPr>
    </w:p>
    <w:p w14:paraId="0E63E7E0" w14:textId="77777777" w:rsidR="00E21D31" w:rsidRPr="006945DD" w:rsidRDefault="00E21D31" w:rsidP="00E21D31">
      <w:pPr>
        <w:rPr>
          <w:rFonts w:ascii="Arial" w:hAnsi="Arial" w:cs="Arial"/>
        </w:rPr>
      </w:pPr>
    </w:p>
    <w:p w14:paraId="29C33A0B" w14:textId="77777777" w:rsidR="00E21D31" w:rsidRPr="006945DD" w:rsidRDefault="00E21D31" w:rsidP="00E21D31">
      <w:pPr>
        <w:rPr>
          <w:rFonts w:ascii="Arial" w:hAnsi="Arial" w:cs="Arial"/>
        </w:rPr>
      </w:pPr>
    </w:p>
    <w:p w14:paraId="50550934"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lastRenderedPageBreak/>
        <w:t>College of Policing (2020).</w:t>
      </w:r>
      <w:r w:rsidRPr="006945DD">
        <w:rPr>
          <w:rStyle w:val="apple-converted-space"/>
          <w:rFonts w:ascii="Arial" w:hAnsi="Arial" w:cs="Arial"/>
          <w:color w:val="000000"/>
        </w:rPr>
        <w:t> </w:t>
      </w:r>
      <w:r w:rsidRPr="006945DD">
        <w:rPr>
          <w:rFonts w:ascii="Arial" w:hAnsi="Arial" w:cs="Arial"/>
          <w:i/>
          <w:iCs/>
          <w:color w:val="000000"/>
        </w:rPr>
        <w:t>Hate Crime and Terrorism</w:t>
      </w:r>
      <w:r w:rsidRPr="006945DD">
        <w:rPr>
          <w:rFonts w:ascii="Arial" w:hAnsi="Arial" w:cs="Arial"/>
          <w:color w:val="000000"/>
        </w:rPr>
        <w:t>. College of Policing. Available at: https://www.college.police.uk/app/major-investigation-and-public-protection/hate-crime/hate-crime-and-counter-terrorism [Accessed 10 Mar. 2026].</w:t>
      </w:r>
    </w:p>
    <w:p w14:paraId="694F00BB"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College of Policing (2023).</w:t>
      </w:r>
      <w:r w:rsidRPr="006945DD">
        <w:rPr>
          <w:rStyle w:val="apple-converted-space"/>
          <w:rFonts w:ascii="Arial" w:hAnsi="Arial" w:cs="Arial"/>
          <w:color w:val="000000"/>
        </w:rPr>
        <w:t> </w:t>
      </w:r>
      <w:r w:rsidRPr="006945DD">
        <w:rPr>
          <w:rFonts w:ascii="Arial" w:hAnsi="Arial" w:cs="Arial"/>
          <w:i/>
          <w:iCs/>
          <w:color w:val="000000"/>
        </w:rPr>
        <w:t>Multi-agency interventions to address radicalisation</w:t>
      </w:r>
      <w:r w:rsidRPr="006945DD">
        <w:rPr>
          <w:rFonts w:ascii="Arial" w:hAnsi="Arial" w:cs="Arial"/>
          <w:color w:val="000000"/>
        </w:rPr>
        <w:t>. College of Policing. Available at: https://www.college.police.uk/research/crime-reduction-toolkit/multi-agency-interventions-address-radicalisation [Accessed 6 Mar. 2026].</w:t>
      </w:r>
    </w:p>
    <w:p w14:paraId="16DBF4E8"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Counter Terrorism Policing (2018).</w:t>
      </w:r>
      <w:r w:rsidRPr="006945DD">
        <w:rPr>
          <w:rStyle w:val="apple-converted-space"/>
          <w:rFonts w:ascii="Arial" w:hAnsi="Arial" w:cs="Arial"/>
          <w:color w:val="000000"/>
        </w:rPr>
        <w:t> </w:t>
      </w:r>
      <w:r w:rsidRPr="006945DD">
        <w:rPr>
          <w:rFonts w:ascii="Arial" w:hAnsi="Arial" w:cs="Arial"/>
          <w:i/>
          <w:iCs/>
          <w:color w:val="000000"/>
        </w:rPr>
        <w:t>Together We’re Tackling Online Terrorism</w:t>
      </w:r>
      <w:r w:rsidRPr="006945DD">
        <w:rPr>
          <w:rFonts w:ascii="Arial" w:hAnsi="Arial" w:cs="Arial"/>
          <w:color w:val="000000"/>
        </w:rPr>
        <w:t>. Counter Terrorism Policing. Available at: https://www.counterterrorism.police.uk/together-were-tackling-online-terrorism/ [Accessed 9 Mar. 2026].</w:t>
      </w:r>
    </w:p>
    <w:p w14:paraId="0F4F1C23"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Grierson, J. (2020).</w:t>
      </w:r>
      <w:r w:rsidRPr="006945DD">
        <w:rPr>
          <w:rStyle w:val="apple-converted-space"/>
          <w:rFonts w:ascii="Arial" w:hAnsi="Arial" w:cs="Arial"/>
          <w:color w:val="000000"/>
        </w:rPr>
        <w:t> </w:t>
      </w:r>
      <w:r w:rsidRPr="006945DD">
        <w:rPr>
          <w:rFonts w:ascii="Arial" w:hAnsi="Arial" w:cs="Arial"/>
          <w:i/>
          <w:iCs/>
          <w:color w:val="000000"/>
        </w:rPr>
        <w:t>Shamima Begum: how the case developed</w:t>
      </w:r>
      <w:r w:rsidRPr="006945DD">
        <w:rPr>
          <w:rFonts w:ascii="Arial" w:hAnsi="Arial" w:cs="Arial"/>
          <w:color w:val="000000"/>
        </w:rPr>
        <w:t>. The Guardian. Available at: https://www.theguardian.com/uk-news/2020/jul/16/shamima-begum-how-the-case-developed [Accessed 9 Mar. 2026].</w:t>
      </w:r>
    </w:p>
    <w:p w14:paraId="68F71280"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Home Office (2011).</w:t>
      </w:r>
      <w:r w:rsidRPr="006945DD">
        <w:rPr>
          <w:rStyle w:val="apple-converted-space"/>
          <w:rFonts w:ascii="Arial" w:hAnsi="Arial" w:cs="Arial"/>
          <w:color w:val="000000"/>
        </w:rPr>
        <w:t> </w:t>
      </w:r>
      <w:r w:rsidRPr="006945DD">
        <w:rPr>
          <w:rFonts w:ascii="Arial" w:hAnsi="Arial" w:cs="Arial"/>
          <w:i/>
          <w:iCs/>
          <w:color w:val="000000"/>
        </w:rPr>
        <w:t>Prevent Strategy</w:t>
      </w:r>
      <w:r w:rsidRPr="006945DD">
        <w:rPr>
          <w:rFonts w:ascii="Arial" w:hAnsi="Arial" w:cs="Arial"/>
          <w:color w:val="000000"/>
        </w:rPr>
        <w:t xml:space="preserve">. </w:t>
      </w:r>
      <w:r w:rsidRPr="006945DD">
        <w:rPr>
          <w:rFonts w:ascii="Arial" w:hAnsi="Arial" w:cs="Arial"/>
          <w:i/>
          <w:iCs/>
          <w:color w:val="000000"/>
        </w:rPr>
        <w:t>Gov.uk</w:t>
      </w:r>
      <w:r w:rsidRPr="006945DD">
        <w:rPr>
          <w:rFonts w:ascii="Arial" w:hAnsi="Arial" w:cs="Arial"/>
          <w:color w:val="000000"/>
        </w:rPr>
        <w:t>. Available at: https://assets.publishing.service.gov.uk/media/5a78966aed915d07d35b0dcc/prevent-strategy-review.pdf [Accessed 10 Mar. 2026].</w:t>
      </w:r>
    </w:p>
    <w:p w14:paraId="698DA3A5" w14:textId="77777777" w:rsidR="00E21D31"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Home Office (2011b).</w:t>
      </w:r>
      <w:r w:rsidRPr="006945DD">
        <w:rPr>
          <w:rStyle w:val="apple-converted-space"/>
          <w:rFonts w:ascii="Arial" w:hAnsi="Arial" w:cs="Arial"/>
          <w:color w:val="000000"/>
        </w:rPr>
        <w:t> </w:t>
      </w:r>
      <w:r w:rsidRPr="006945DD">
        <w:rPr>
          <w:rFonts w:ascii="Arial" w:hAnsi="Arial" w:cs="Arial"/>
          <w:i/>
          <w:iCs/>
          <w:color w:val="000000"/>
        </w:rPr>
        <w:t>Radicalisation The threat, drivers and programme OFFICIAL</w:t>
      </w:r>
      <w:r w:rsidRPr="006945DD">
        <w:rPr>
          <w:rFonts w:ascii="Arial" w:hAnsi="Arial" w:cs="Arial"/>
          <w:color w:val="000000"/>
        </w:rPr>
        <w:t>. Available at: https://www.governmentevents.co.uk/wp-content/uploads/2018/12/Abu-Ahmed-Prevent-Presentation-for-RT.pdf [Accessed 6 Mar. 2026].</w:t>
      </w:r>
    </w:p>
    <w:p w14:paraId="40409551" w14:textId="42466367" w:rsidR="00EA0786" w:rsidRDefault="00EA0786" w:rsidP="00EA0786">
      <w:pPr>
        <w:pStyle w:val="NormalWeb"/>
        <w:spacing w:before="0" w:beforeAutospacing="0" w:after="240" w:afterAutospacing="0" w:line="360" w:lineRule="atLeast"/>
        <w:rPr>
          <w:rFonts w:ascii="Arial" w:hAnsi="Arial" w:cs="Arial"/>
          <w:color w:val="000000"/>
        </w:rPr>
      </w:pPr>
      <w:r>
        <w:rPr>
          <w:rFonts w:ascii="Arial" w:hAnsi="Arial" w:cs="Arial"/>
          <w:color w:val="000000"/>
        </w:rPr>
        <w:t>Home Office (2017a).</w:t>
      </w:r>
      <w:r>
        <w:rPr>
          <w:rStyle w:val="apple-converted-space"/>
          <w:rFonts w:ascii="Arial" w:hAnsi="Arial" w:cs="Arial"/>
          <w:color w:val="000000"/>
        </w:rPr>
        <w:t> </w:t>
      </w:r>
      <w:r>
        <w:rPr>
          <w:rFonts w:ascii="Arial" w:hAnsi="Arial" w:cs="Arial"/>
          <w:i/>
          <w:iCs/>
          <w:color w:val="000000"/>
        </w:rPr>
        <w:t>Encryption and counter-terrorism: getting the balance right</w:t>
      </w:r>
      <w:r>
        <w:rPr>
          <w:rFonts w:ascii="Arial" w:hAnsi="Arial" w:cs="Arial"/>
          <w:color w:val="000000"/>
        </w:rPr>
        <w:t>.] GOV.UK. Available at: https://www.gov.uk/government/speeches/encryption-and-counter-terrorism-getting-the-balance-right [Accessed 9 Mar. 2026].</w:t>
      </w:r>
    </w:p>
    <w:p w14:paraId="79CBE766"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Home Office (2017).</w:t>
      </w:r>
      <w:r w:rsidRPr="006945DD">
        <w:rPr>
          <w:rStyle w:val="apple-converted-space"/>
          <w:rFonts w:ascii="Arial" w:hAnsi="Arial" w:cs="Arial"/>
          <w:color w:val="000000"/>
        </w:rPr>
        <w:t> </w:t>
      </w:r>
      <w:r w:rsidRPr="006945DD">
        <w:rPr>
          <w:rFonts w:ascii="Arial" w:hAnsi="Arial" w:cs="Arial"/>
          <w:i/>
          <w:iCs/>
          <w:color w:val="000000"/>
        </w:rPr>
        <w:t>THE GOVERNMENT RESPONSE TO THE EIGHTH REPORT FROM THE HOME AFFAIRS SELECT COMMITTEE SESSION 2016-17 HC 135: Radicalisation: the counter- narrative and identifying the tipping point Cm 9555</w:t>
      </w:r>
      <w:r w:rsidRPr="006945DD">
        <w:rPr>
          <w:rFonts w:ascii="Arial" w:hAnsi="Arial" w:cs="Arial"/>
          <w:color w:val="000000"/>
        </w:rPr>
        <w:t>. Available at: https://www.parliament.uk/globalassets/documents/commons-committees/home-affairs/Correspondence-17-19/Radicalisation-the-counter-narrative-and-identifying-the-tipping-point-government-response-Eighth-Report-26-17-Cm-9555.pdf [Accessed 6 Mar. 2026].</w:t>
      </w:r>
    </w:p>
    <w:p w14:paraId="1E793AEE"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Home Office (2023).</w:t>
      </w:r>
      <w:r w:rsidRPr="006945DD">
        <w:rPr>
          <w:rStyle w:val="apple-converted-space"/>
          <w:rFonts w:ascii="Arial" w:hAnsi="Arial" w:cs="Arial"/>
          <w:color w:val="000000"/>
        </w:rPr>
        <w:t> </w:t>
      </w:r>
      <w:r w:rsidRPr="006945DD">
        <w:rPr>
          <w:rFonts w:ascii="Arial" w:hAnsi="Arial" w:cs="Arial"/>
          <w:i/>
          <w:iCs/>
          <w:color w:val="000000"/>
        </w:rPr>
        <w:t>Counter-terrorism strategy (CONTEST) 2023</w:t>
      </w:r>
      <w:r w:rsidRPr="006945DD">
        <w:rPr>
          <w:rFonts w:ascii="Arial" w:hAnsi="Arial" w:cs="Arial"/>
          <w:color w:val="000000"/>
        </w:rPr>
        <w:t>. GOV.UK. Available at: https://www.gov.uk/government/publications/counter-terrorism-strategy-contest-2023. [Accessed 9 Mar. 2026].</w:t>
      </w:r>
    </w:p>
    <w:p w14:paraId="56088669" w14:textId="77777777" w:rsidR="00811A67" w:rsidRDefault="00811A67" w:rsidP="00E21D31">
      <w:pPr>
        <w:pStyle w:val="NormalWeb"/>
        <w:spacing w:before="0" w:beforeAutospacing="0" w:after="240" w:afterAutospacing="0" w:line="360" w:lineRule="atLeast"/>
        <w:rPr>
          <w:rFonts w:ascii="Arial" w:hAnsi="Arial" w:cs="Arial"/>
          <w:color w:val="000000"/>
        </w:rPr>
      </w:pPr>
    </w:p>
    <w:p w14:paraId="5C4C1EF6" w14:textId="08E1B5CF"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Kerslake, B. (2017).</w:t>
      </w:r>
      <w:r w:rsidRPr="006945DD">
        <w:rPr>
          <w:rStyle w:val="apple-converted-space"/>
          <w:rFonts w:ascii="Arial" w:hAnsi="Arial" w:cs="Arial"/>
          <w:color w:val="000000"/>
        </w:rPr>
        <w:t> </w:t>
      </w:r>
      <w:r w:rsidRPr="006945DD">
        <w:rPr>
          <w:rFonts w:ascii="Arial" w:hAnsi="Arial" w:cs="Arial"/>
          <w:i/>
          <w:iCs/>
          <w:color w:val="000000"/>
        </w:rPr>
        <w:t xml:space="preserve">The Kerslake Report: An independent review into the preparedness for, and emergency response to, the Manchester Arena attack on 22 </w:t>
      </w:r>
      <w:proofErr w:type="spellStart"/>
      <w:r w:rsidRPr="006945DD">
        <w:rPr>
          <w:rFonts w:ascii="Arial" w:hAnsi="Arial" w:cs="Arial"/>
          <w:i/>
          <w:iCs/>
          <w:color w:val="000000"/>
        </w:rPr>
        <w:t>nd</w:t>
      </w:r>
      <w:proofErr w:type="spellEnd"/>
      <w:r w:rsidRPr="006945DD">
        <w:rPr>
          <w:rFonts w:ascii="Arial" w:hAnsi="Arial" w:cs="Arial"/>
          <w:i/>
          <w:iCs/>
          <w:color w:val="000000"/>
        </w:rPr>
        <w:t xml:space="preserve"> EMBARGOED UNTIL NOON ON TUESDAY 27TH MARCH</w:t>
      </w:r>
      <w:r w:rsidRPr="006945DD">
        <w:rPr>
          <w:rFonts w:ascii="Arial" w:hAnsi="Arial" w:cs="Arial"/>
          <w:color w:val="000000"/>
        </w:rPr>
        <w:t>. Available at: https://www.jesip.org.uk/uploads/media/Documents%20Products/Kerslake_Report_Manchester_Are.pdf. [Accessed 10 Mar. 2026].</w:t>
      </w:r>
    </w:p>
    <w:p w14:paraId="6F4CB2EF"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 xml:space="preserve">Masters, M. and </w:t>
      </w:r>
      <w:proofErr w:type="spellStart"/>
      <w:r w:rsidRPr="006945DD">
        <w:rPr>
          <w:rFonts w:ascii="Arial" w:hAnsi="Arial" w:cs="Arial"/>
          <w:color w:val="000000"/>
        </w:rPr>
        <w:t>Regilme</w:t>
      </w:r>
      <w:proofErr w:type="spellEnd"/>
      <w:r w:rsidRPr="006945DD">
        <w:rPr>
          <w:rFonts w:ascii="Arial" w:hAnsi="Arial" w:cs="Arial"/>
          <w:color w:val="000000"/>
        </w:rPr>
        <w:t xml:space="preserve">, S.S.F. (2020). Human Rights and British Citizenship: </w:t>
      </w:r>
      <w:proofErr w:type="gramStart"/>
      <w:r w:rsidRPr="006945DD">
        <w:rPr>
          <w:rFonts w:ascii="Arial" w:hAnsi="Arial" w:cs="Arial"/>
          <w:color w:val="000000"/>
        </w:rPr>
        <w:t>the</w:t>
      </w:r>
      <w:proofErr w:type="gramEnd"/>
      <w:r w:rsidRPr="006945DD">
        <w:rPr>
          <w:rFonts w:ascii="Arial" w:hAnsi="Arial" w:cs="Arial"/>
          <w:color w:val="000000"/>
        </w:rPr>
        <w:t xml:space="preserve"> Case of Shamima Begum as Citizen to Homo </w:t>
      </w:r>
      <w:proofErr w:type="spellStart"/>
      <w:r w:rsidRPr="006945DD">
        <w:rPr>
          <w:rFonts w:ascii="Arial" w:hAnsi="Arial" w:cs="Arial"/>
          <w:color w:val="000000"/>
        </w:rPr>
        <w:t>Sacer</w:t>
      </w:r>
      <w:proofErr w:type="spellEnd"/>
      <w:r w:rsidRPr="006945DD">
        <w:rPr>
          <w:rFonts w:ascii="Arial" w:hAnsi="Arial" w:cs="Arial"/>
          <w:color w:val="000000"/>
        </w:rPr>
        <w:t>.</w:t>
      </w:r>
      <w:r w:rsidRPr="006945DD">
        <w:rPr>
          <w:rStyle w:val="apple-converted-space"/>
          <w:rFonts w:ascii="Arial" w:hAnsi="Arial" w:cs="Arial"/>
          <w:color w:val="000000"/>
        </w:rPr>
        <w:t> </w:t>
      </w:r>
      <w:r w:rsidRPr="006945DD">
        <w:rPr>
          <w:rFonts w:ascii="Arial" w:hAnsi="Arial" w:cs="Arial"/>
          <w:i/>
          <w:iCs/>
          <w:color w:val="000000"/>
        </w:rPr>
        <w:t>Journal of Human Rights Practice</w:t>
      </w:r>
      <w:r w:rsidRPr="006945DD">
        <w:rPr>
          <w:rFonts w:ascii="Arial" w:hAnsi="Arial" w:cs="Arial"/>
          <w:color w:val="000000"/>
        </w:rPr>
        <w:t xml:space="preserve">, 12(2), pp.341–363. </w:t>
      </w:r>
      <w:proofErr w:type="spellStart"/>
      <w:proofErr w:type="gramStart"/>
      <w:r w:rsidRPr="006945DD">
        <w:rPr>
          <w:rFonts w:ascii="Arial" w:hAnsi="Arial" w:cs="Arial"/>
          <w:color w:val="000000"/>
        </w:rPr>
        <w:t>doi:https</w:t>
      </w:r>
      <w:proofErr w:type="spellEnd"/>
      <w:r w:rsidRPr="006945DD">
        <w:rPr>
          <w:rFonts w:ascii="Arial" w:hAnsi="Arial" w:cs="Arial"/>
          <w:color w:val="000000"/>
        </w:rPr>
        <w:t>://doi.org/10.1093/</w:t>
      </w:r>
      <w:proofErr w:type="spellStart"/>
      <w:r w:rsidRPr="006945DD">
        <w:rPr>
          <w:rFonts w:ascii="Arial" w:hAnsi="Arial" w:cs="Arial"/>
          <w:color w:val="000000"/>
        </w:rPr>
        <w:t>jhuman</w:t>
      </w:r>
      <w:proofErr w:type="spellEnd"/>
      <w:r w:rsidRPr="006945DD">
        <w:rPr>
          <w:rFonts w:ascii="Arial" w:hAnsi="Arial" w:cs="Arial"/>
          <w:color w:val="000000"/>
        </w:rPr>
        <w:t>/huaa029</w:t>
      </w:r>
      <w:proofErr w:type="gramEnd"/>
      <w:r w:rsidRPr="006945DD">
        <w:rPr>
          <w:rFonts w:ascii="Arial" w:hAnsi="Arial" w:cs="Arial"/>
          <w:color w:val="000000"/>
        </w:rPr>
        <w:t>.</w:t>
      </w:r>
    </w:p>
    <w:p w14:paraId="6C79666B"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Morris, S. (2018). Teenager given life sentence for planned Justin Bieber gig attack.</w:t>
      </w:r>
      <w:r w:rsidRPr="006945DD">
        <w:rPr>
          <w:rStyle w:val="apple-converted-space"/>
          <w:rFonts w:ascii="Arial" w:hAnsi="Arial" w:cs="Arial"/>
          <w:color w:val="000000"/>
        </w:rPr>
        <w:t> </w:t>
      </w:r>
      <w:r w:rsidRPr="006945DD">
        <w:rPr>
          <w:rFonts w:ascii="Arial" w:hAnsi="Arial" w:cs="Arial"/>
          <w:i/>
          <w:iCs/>
          <w:color w:val="000000"/>
        </w:rPr>
        <w:t>The Guardian</w:t>
      </w:r>
      <w:r w:rsidRPr="006945DD">
        <w:rPr>
          <w:rFonts w:ascii="Arial" w:hAnsi="Arial" w:cs="Arial"/>
          <w:color w:val="000000"/>
        </w:rPr>
        <w:t>. 2 Mar. Available at: https://www.theguardian.com/uk-news/2018/mar/02/teenager-lloyd-gunton-jailed-cardiff-pop-concert-terrorist-attack-plot [Accessed 11 Mar. 2026].</w:t>
      </w:r>
    </w:p>
    <w:p w14:paraId="085B10C8"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NSPCC (2024).</w:t>
      </w:r>
      <w:r w:rsidRPr="006945DD">
        <w:rPr>
          <w:rStyle w:val="apple-converted-space"/>
          <w:rFonts w:ascii="Arial" w:hAnsi="Arial" w:cs="Arial"/>
          <w:color w:val="000000"/>
        </w:rPr>
        <w:t> </w:t>
      </w:r>
      <w:r w:rsidRPr="006945DD">
        <w:rPr>
          <w:rFonts w:ascii="Arial" w:hAnsi="Arial" w:cs="Arial"/>
          <w:i/>
          <w:iCs/>
          <w:color w:val="000000"/>
        </w:rPr>
        <w:t>Radicalisation and Child Protection</w:t>
      </w:r>
      <w:r w:rsidRPr="006945DD">
        <w:rPr>
          <w:rFonts w:ascii="Arial" w:hAnsi="Arial" w:cs="Arial"/>
          <w:color w:val="000000"/>
        </w:rPr>
        <w:t>. NSPCC Learning. Available at: https://learning.nspcc.org.uk/safeguarding-child-protection/radicalisation [Accessed 5 Mar. 2026].</w:t>
      </w:r>
    </w:p>
    <w:p w14:paraId="289F9084"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Pepper, I.K. and Mcgrath, R. (2020).</w:t>
      </w:r>
      <w:r w:rsidRPr="006945DD">
        <w:rPr>
          <w:rStyle w:val="apple-converted-space"/>
          <w:rFonts w:ascii="Arial" w:hAnsi="Arial" w:cs="Arial"/>
          <w:color w:val="000000"/>
        </w:rPr>
        <w:t> </w:t>
      </w:r>
      <w:r w:rsidRPr="006945DD">
        <w:rPr>
          <w:rFonts w:ascii="Arial" w:hAnsi="Arial" w:cs="Arial"/>
          <w:i/>
          <w:iCs/>
          <w:color w:val="000000"/>
        </w:rPr>
        <w:t xml:space="preserve">Introduction to professional </w:t>
      </w:r>
      <w:proofErr w:type="gramStart"/>
      <w:r w:rsidRPr="006945DD">
        <w:rPr>
          <w:rFonts w:ascii="Arial" w:hAnsi="Arial" w:cs="Arial"/>
          <w:i/>
          <w:iCs/>
          <w:color w:val="000000"/>
        </w:rPr>
        <w:t>policing :</w:t>
      </w:r>
      <w:proofErr w:type="gramEnd"/>
      <w:r w:rsidRPr="006945DD">
        <w:rPr>
          <w:rFonts w:ascii="Arial" w:hAnsi="Arial" w:cs="Arial"/>
          <w:i/>
          <w:iCs/>
          <w:color w:val="000000"/>
        </w:rPr>
        <w:t xml:space="preserve"> examining the evidence base</w:t>
      </w:r>
      <w:r w:rsidRPr="006945DD">
        <w:rPr>
          <w:rFonts w:ascii="Arial" w:hAnsi="Arial" w:cs="Arial"/>
          <w:color w:val="000000"/>
        </w:rPr>
        <w:t xml:space="preserve">. Abingdon, </w:t>
      </w:r>
      <w:proofErr w:type="gramStart"/>
      <w:r w:rsidRPr="006945DD">
        <w:rPr>
          <w:rFonts w:ascii="Arial" w:hAnsi="Arial" w:cs="Arial"/>
          <w:color w:val="000000"/>
        </w:rPr>
        <w:t>Oxon ;</w:t>
      </w:r>
      <w:proofErr w:type="gramEnd"/>
      <w:r w:rsidRPr="006945DD">
        <w:rPr>
          <w:rFonts w:ascii="Arial" w:hAnsi="Arial" w:cs="Arial"/>
          <w:color w:val="000000"/>
        </w:rPr>
        <w:t xml:space="preserve"> New York, Ny: Routledge, pp.185–188.</w:t>
      </w:r>
    </w:p>
    <w:p w14:paraId="0C77D2DA"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R v DARREN OSBORNE [2018] (2018).</w:t>
      </w:r>
      <w:r w:rsidRPr="006945DD">
        <w:rPr>
          <w:rStyle w:val="apple-converted-space"/>
          <w:rFonts w:ascii="Arial" w:hAnsi="Arial" w:cs="Arial"/>
          <w:color w:val="000000"/>
        </w:rPr>
        <w:t> </w:t>
      </w:r>
      <w:r w:rsidRPr="006945DD">
        <w:rPr>
          <w:rFonts w:ascii="Arial" w:hAnsi="Arial" w:cs="Arial"/>
          <w:i/>
          <w:iCs/>
          <w:color w:val="000000"/>
        </w:rPr>
        <w:t>Woolwich Crown Court Sentencing Remarks</w:t>
      </w:r>
      <w:r w:rsidRPr="006945DD">
        <w:rPr>
          <w:rFonts w:ascii="Arial" w:hAnsi="Arial" w:cs="Arial"/>
          <w:color w:val="000000"/>
        </w:rPr>
        <w:t>. Available at: https://www.judiciary.uk/wp-content/uploads/2018/02/r-v-osborne-sentencing-remarks.pdf [Accessed 9 Mar. 2026].</w:t>
      </w:r>
    </w:p>
    <w:p w14:paraId="6BE09FD4"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Shawcross, W. (2023).</w:t>
      </w:r>
      <w:r w:rsidRPr="006945DD">
        <w:rPr>
          <w:rStyle w:val="apple-converted-space"/>
          <w:rFonts w:ascii="Arial" w:hAnsi="Arial" w:cs="Arial"/>
          <w:color w:val="000000"/>
        </w:rPr>
        <w:t> </w:t>
      </w:r>
      <w:r w:rsidRPr="006945DD">
        <w:rPr>
          <w:rFonts w:ascii="Arial" w:hAnsi="Arial" w:cs="Arial"/>
          <w:i/>
          <w:iCs/>
          <w:color w:val="000000"/>
        </w:rPr>
        <w:t>Independent Review of Prevent (accessible)</w:t>
      </w:r>
      <w:r w:rsidRPr="006945DD">
        <w:rPr>
          <w:rFonts w:ascii="Arial" w:hAnsi="Arial" w:cs="Arial"/>
          <w:color w:val="000000"/>
        </w:rPr>
        <w:t>. GOV.UK. Available at: https://www.gov.uk/government/publications/independent-review-of-prevents-report-and-government-response/independent-review-of-prevent-accessible [Accessed 10 Mar. 2026].</w:t>
      </w:r>
    </w:p>
    <w:p w14:paraId="23606F6B" w14:textId="77777777"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Tudor, S. (2025).</w:t>
      </w:r>
      <w:r w:rsidRPr="006945DD">
        <w:rPr>
          <w:rStyle w:val="apple-converted-space"/>
          <w:rFonts w:ascii="Arial" w:hAnsi="Arial" w:cs="Arial"/>
          <w:color w:val="000000"/>
        </w:rPr>
        <w:t> </w:t>
      </w:r>
      <w:r w:rsidRPr="006945DD">
        <w:rPr>
          <w:rFonts w:ascii="Arial" w:hAnsi="Arial" w:cs="Arial"/>
          <w:i/>
          <w:iCs/>
          <w:color w:val="000000"/>
        </w:rPr>
        <w:t>Terrorism in the UK: Legislation and government strategy</w:t>
      </w:r>
      <w:r w:rsidRPr="006945DD">
        <w:rPr>
          <w:rFonts w:ascii="Arial" w:hAnsi="Arial" w:cs="Arial"/>
          <w:color w:val="000000"/>
        </w:rPr>
        <w:t>. House of Lords Library. Available at: https://lordslibrary.parliament.uk/terrorism-in-the-uk-legislation-and-government-strategy/ [Accessed 9 Mar. 2026].</w:t>
      </w:r>
    </w:p>
    <w:p w14:paraId="39AB0673" w14:textId="77777777" w:rsidR="00811A67"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t>Wood, D., Bradshaw, S., Dickens, T., Parker-McLeod, J. and Davis, C. (2025a).</w:t>
      </w:r>
      <w:r w:rsidRPr="006945DD">
        <w:rPr>
          <w:rStyle w:val="apple-converted-space"/>
          <w:rFonts w:ascii="Arial" w:hAnsi="Arial" w:cs="Arial"/>
          <w:color w:val="000000"/>
        </w:rPr>
        <w:t> </w:t>
      </w:r>
      <w:r w:rsidRPr="006945DD">
        <w:rPr>
          <w:rFonts w:ascii="Arial" w:hAnsi="Arial" w:cs="Arial"/>
          <w:i/>
          <w:iCs/>
          <w:color w:val="000000"/>
        </w:rPr>
        <w:t>Blackstone’s Handbook for Policing Students 2026</w:t>
      </w:r>
      <w:r w:rsidRPr="006945DD">
        <w:rPr>
          <w:rFonts w:ascii="Arial" w:hAnsi="Arial" w:cs="Arial"/>
          <w:color w:val="000000"/>
        </w:rPr>
        <w:t>. Oxford University Press, pp.293–296.</w:t>
      </w:r>
    </w:p>
    <w:p w14:paraId="05EDEF09" w14:textId="0826201F" w:rsidR="00E21D31" w:rsidRPr="006945DD" w:rsidRDefault="00E21D31" w:rsidP="00E21D31">
      <w:pPr>
        <w:pStyle w:val="NormalWeb"/>
        <w:spacing w:before="0" w:beforeAutospacing="0" w:after="240" w:afterAutospacing="0" w:line="360" w:lineRule="atLeast"/>
        <w:rPr>
          <w:rFonts w:ascii="Arial" w:hAnsi="Arial" w:cs="Arial"/>
          <w:color w:val="000000"/>
        </w:rPr>
      </w:pPr>
      <w:r w:rsidRPr="006945DD">
        <w:rPr>
          <w:rFonts w:ascii="Arial" w:hAnsi="Arial" w:cs="Arial"/>
          <w:color w:val="000000"/>
        </w:rPr>
        <w:lastRenderedPageBreak/>
        <w:t>Wood, D., Bradshaw, S., Dickens, T., Parker-McLeod, J. and Davis, C. (2025b).</w:t>
      </w:r>
      <w:r w:rsidRPr="006945DD">
        <w:rPr>
          <w:rStyle w:val="apple-converted-space"/>
          <w:rFonts w:ascii="Arial" w:hAnsi="Arial" w:cs="Arial"/>
          <w:color w:val="000000"/>
        </w:rPr>
        <w:t> </w:t>
      </w:r>
      <w:r w:rsidRPr="006945DD">
        <w:rPr>
          <w:rFonts w:ascii="Arial" w:hAnsi="Arial" w:cs="Arial"/>
          <w:i/>
          <w:iCs/>
          <w:color w:val="000000"/>
        </w:rPr>
        <w:t>Blackstone’s Handbook for Policing Students 2026</w:t>
      </w:r>
      <w:r w:rsidRPr="006945DD">
        <w:rPr>
          <w:rFonts w:ascii="Arial" w:hAnsi="Arial" w:cs="Arial"/>
          <w:color w:val="000000"/>
        </w:rPr>
        <w:t>. Oxford University Press, pp.307–312.</w:t>
      </w:r>
    </w:p>
    <w:p w14:paraId="13F7F195" w14:textId="77777777" w:rsidR="00E21D31" w:rsidRDefault="00E21D31" w:rsidP="00E21D31">
      <w:pPr>
        <w:rPr>
          <w:rFonts w:ascii="Arial" w:hAnsi="Arial" w:cs="Arial"/>
        </w:rPr>
      </w:pPr>
    </w:p>
    <w:p w14:paraId="29FB9548" w14:textId="77777777" w:rsidR="00E21D31" w:rsidRDefault="00E21D31" w:rsidP="00E21D31">
      <w:pPr>
        <w:rPr>
          <w:rFonts w:ascii="Arial" w:hAnsi="Arial" w:cs="Arial"/>
        </w:rPr>
      </w:pPr>
    </w:p>
    <w:p w14:paraId="339AAED1" w14:textId="77777777" w:rsidR="00E21D31" w:rsidRDefault="00E21D31" w:rsidP="00E21D31">
      <w:pPr>
        <w:rPr>
          <w:rFonts w:ascii="Arial" w:hAnsi="Arial" w:cs="Arial"/>
        </w:rPr>
      </w:pPr>
    </w:p>
    <w:p w14:paraId="50316297" w14:textId="77777777" w:rsidR="00E21D31" w:rsidRDefault="00E21D31" w:rsidP="00E21D31">
      <w:pPr>
        <w:rPr>
          <w:rFonts w:ascii="Arial" w:hAnsi="Arial" w:cs="Arial"/>
        </w:rPr>
      </w:pPr>
    </w:p>
    <w:p w14:paraId="11A00C75" w14:textId="77777777" w:rsidR="00E21D31" w:rsidRDefault="00E21D31" w:rsidP="00E21D31">
      <w:pPr>
        <w:rPr>
          <w:rFonts w:ascii="Arial" w:hAnsi="Arial" w:cs="Arial"/>
        </w:rPr>
      </w:pPr>
    </w:p>
    <w:p w14:paraId="440A9090" w14:textId="77777777" w:rsidR="00E21D31" w:rsidRPr="006E5022" w:rsidRDefault="00E21D31" w:rsidP="00E21D31">
      <w:pPr>
        <w:rPr>
          <w:rFonts w:ascii="Arial" w:hAnsi="Arial" w:cs="Arial"/>
        </w:rPr>
      </w:pPr>
    </w:p>
    <w:p w14:paraId="2CFB1965" w14:textId="1621241D" w:rsidR="007A0ACA" w:rsidRPr="007A0ACA" w:rsidRDefault="007A0ACA" w:rsidP="007A0ACA">
      <w:pPr>
        <w:pStyle w:val="NormalWeb"/>
        <w:spacing w:before="0" w:beforeAutospacing="0" w:after="240" w:afterAutospacing="0" w:line="360" w:lineRule="atLeast"/>
        <w:rPr>
          <w:rFonts w:ascii="Arial" w:hAnsi="Arial" w:cs="Arial"/>
          <w:color w:val="000000"/>
        </w:rPr>
      </w:pPr>
    </w:p>
    <w:sectPr w:rsidR="007A0ACA" w:rsidRPr="007A0ACA" w:rsidSect="000515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Helvetica Neue Light">
    <w:altName w:val="HELVETICA NEUE LIGHT"/>
    <w:panose1 w:val="02000403000000020004"/>
    <w:charset w:val="00"/>
    <w:family w:val="auto"/>
    <w:pitch w:val="variable"/>
    <w:sig w:usb0="A00002FF" w:usb1="5000205B" w:usb2="00000002" w:usb3="00000000" w:csb0="00000007"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A0"/>
    <w:rsid w:val="000000B1"/>
    <w:rsid w:val="00007825"/>
    <w:rsid w:val="00010F53"/>
    <w:rsid w:val="00033BE7"/>
    <w:rsid w:val="00041F49"/>
    <w:rsid w:val="00046674"/>
    <w:rsid w:val="000515A0"/>
    <w:rsid w:val="00056C33"/>
    <w:rsid w:val="00084AD3"/>
    <w:rsid w:val="000917CF"/>
    <w:rsid w:val="000A10E1"/>
    <w:rsid w:val="000B0B1C"/>
    <w:rsid w:val="000C4A77"/>
    <w:rsid w:val="000D33EC"/>
    <w:rsid w:val="000D5D5B"/>
    <w:rsid w:val="00126255"/>
    <w:rsid w:val="001532CC"/>
    <w:rsid w:val="0015694B"/>
    <w:rsid w:val="00167219"/>
    <w:rsid w:val="001676DA"/>
    <w:rsid w:val="00167E13"/>
    <w:rsid w:val="00172B1D"/>
    <w:rsid w:val="001A3BE9"/>
    <w:rsid w:val="001C6A95"/>
    <w:rsid w:val="001F7F72"/>
    <w:rsid w:val="00202041"/>
    <w:rsid w:val="00226015"/>
    <w:rsid w:val="0025256E"/>
    <w:rsid w:val="002937EE"/>
    <w:rsid w:val="002A2466"/>
    <w:rsid w:val="002A2E5D"/>
    <w:rsid w:val="002B2573"/>
    <w:rsid w:val="002C4731"/>
    <w:rsid w:val="002C5583"/>
    <w:rsid w:val="002E17AE"/>
    <w:rsid w:val="003001B8"/>
    <w:rsid w:val="00310165"/>
    <w:rsid w:val="00315EA1"/>
    <w:rsid w:val="003216CC"/>
    <w:rsid w:val="003521C1"/>
    <w:rsid w:val="003623F5"/>
    <w:rsid w:val="00384938"/>
    <w:rsid w:val="00384F22"/>
    <w:rsid w:val="003A3DBD"/>
    <w:rsid w:val="003B4888"/>
    <w:rsid w:val="003E007D"/>
    <w:rsid w:val="00415EA5"/>
    <w:rsid w:val="004626D5"/>
    <w:rsid w:val="004756FC"/>
    <w:rsid w:val="004D6450"/>
    <w:rsid w:val="004E3941"/>
    <w:rsid w:val="00525FFB"/>
    <w:rsid w:val="0053465A"/>
    <w:rsid w:val="00550DC2"/>
    <w:rsid w:val="005705E5"/>
    <w:rsid w:val="0057144A"/>
    <w:rsid w:val="005B6CD1"/>
    <w:rsid w:val="005B79C4"/>
    <w:rsid w:val="005C063C"/>
    <w:rsid w:val="005D4A05"/>
    <w:rsid w:val="005D593F"/>
    <w:rsid w:val="005D7A6E"/>
    <w:rsid w:val="00606809"/>
    <w:rsid w:val="006337F5"/>
    <w:rsid w:val="00640938"/>
    <w:rsid w:val="0065621C"/>
    <w:rsid w:val="0065782A"/>
    <w:rsid w:val="006622E3"/>
    <w:rsid w:val="00665776"/>
    <w:rsid w:val="00692A37"/>
    <w:rsid w:val="006A4606"/>
    <w:rsid w:val="006F503F"/>
    <w:rsid w:val="00701E24"/>
    <w:rsid w:val="00732969"/>
    <w:rsid w:val="00742D20"/>
    <w:rsid w:val="007508BE"/>
    <w:rsid w:val="00761FD0"/>
    <w:rsid w:val="00787003"/>
    <w:rsid w:val="007A0ACA"/>
    <w:rsid w:val="007A744C"/>
    <w:rsid w:val="007D10B4"/>
    <w:rsid w:val="007D521E"/>
    <w:rsid w:val="007F3AEE"/>
    <w:rsid w:val="008073CA"/>
    <w:rsid w:val="00811A67"/>
    <w:rsid w:val="0082160C"/>
    <w:rsid w:val="008475ED"/>
    <w:rsid w:val="00854279"/>
    <w:rsid w:val="008E468B"/>
    <w:rsid w:val="008F51CE"/>
    <w:rsid w:val="00906126"/>
    <w:rsid w:val="00947DAD"/>
    <w:rsid w:val="00973125"/>
    <w:rsid w:val="009A5C58"/>
    <w:rsid w:val="009D6D3C"/>
    <w:rsid w:val="009E4A21"/>
    <w:rsid w:val="009F23E2"/>
    <w:rsid w:val="00A15A09"/>
    <w:rsid w:val="00A62247"/>
    <w:rsid w:val="00A73415"/>
    <w:rsid w:val="00AA1AE1"/>
    <w:rsid w:val="00AA39FE"/>
    <w:rsid w:val="00AF3D89"/>
    <w:rsid w:val="00AF7D7B"/>
    <w:rsid w:val="00B25514"/>
    <w:rsid w:val="00B26867"/>
    <w:rsid w:val="00B42766"/>
    <w:rsid w:val="00B45D7A"/>
    <w:rsid w:val="00BA0149"/>
    <w:rsid w:val="00BA2839"/>
    <w:rsid w:val="00BA3C68"/>
    <w:rsid w:val="00BD5573"/>
    <w:rsid w:val="00BE51CC"/>
    <w:rsid w:val="00C06244"/>
    <w:rsid w:val="00C10BAB"/>
    <w:rsid w:val="00C42AC3"/>
    <w:rsid w:val="00C9013F"/>
    <w:rsid w:val="00CB678F"/>
    <w:rsid w:val="00CD6980"/>
    <w:rsid w:val="00CD7DF0"/>
    <w:rsid w:val="00D03245"/>
    <w:rsid w:val="00D36B43"/>
    <w:rsid w:val="00D376C9"/>
    <w:rsid w:val="00D56722"/>
    <w:rsid w:val="00D806CE"/>
    <w:rsid w:val="00D939BB"/>
    <w:rsid w:val="00D954B4"/>
    <w:rsid w:val="00DA106E"/>
    <w:rsid w:val="00DB3165"/>
    <w:rsid w:val="00DC76F9"/>
    <w:rsid w:val="00DD5DF3"/>
    <w:rsid w:val="00DE2DCD"/>
    <w:rsid w:val="00DE314A"/>
    <w:rsid w:val="00DF3E3A"/>
    <w:rsid w:val="00DF4DE7"/>
    <w:rsid w:val="00E10114"/>
    <w:rsid w:val="00E1155A"/>
    <w:rsid w:val="00E21D31"/>
    <w:rsid w:val="00E2701F"/>
    <w:rsid w:val="00E62049"/>
    <w:rsid w:val="00E84DE2"/>
    <w:rsid w:val="00EA0786"/>
    <w:rsid w:val="00EC1898"/>
    <w:rsid w:val="00EC57C9"/>
    <w:rsid w:val="00EE2CFF"/>
    <w:rsid w:val="00EF05D8"/>
    <w:rsid w:val="00F003C0"/>
    <w:rsid w:val="00F0257A"/>
    <w:rsid w:val="00F066C7"/>
    <w:rsid w:val="00F12E6F"/>
    <w:rsid w:val="00F23FD8"/>
    <w:rsid w:val="00F26DF5"/>
    <w:rsid w:val="00F54234"/>
    <w:rsid w:val="00F63654"/>
    <w:rsid w:val="00F665C0"/>
    <w:rsid w:val="00F71EA2"/>
    <w:rsid w:val="00F81AE7"/>
    <w:rsid w:val="00FA004C"/>
    <w:rsid w:val="00FB38E1"/>
    <w:rsid w:val="00FD744E"/>
    <w:rsid w:val="00FF3B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7550"/>
  <w15:chartTrackingRefBased/>
  <w15:docId w15:val="{E1295968-436D-4E00-A540-13B0B0C5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5A0"/>
    <w:pPr>
      <w:keepNext/>
      <w:keepLines/>
      <w:spacing w:before="360" w:after="80"/>
      <w:outlineLvl w:val="0"/>
    </w:pPr>
    <w:rPr>
      <w:rFonts w:asciiTheme="majorHAnsi" w:eastAsiaTheme="majorEastAsia" w:hAnsiTheme="majorHAnsi" w:cstheme="majorBidi"/>
      <w:color w:val="686963" w:themeColor="accent1" w:themeShade="BF"/>
      <w:sz w:val="28"/>
      <w:szCs w:val="40"/>
    </w:rPr>
  </w:style>
  <w:style w:type="paragraph" w:styleId="Heading2">
    <w:name w:val="heading 2"/>
    <w:basedOn w:val="Normal"/>
    <w:next w:val="Normal"/>
    <w:link w:val="Heading2Char"/>
    <w:uiPriority w:val="9"/>
    <w:unhideWhenUsed/>
    <w:qFormat/>
    <w:rsid w:val="000515A0"/>
    <w:pPr>
      <w:keepNext/>
      <w:keepLines/>
      <w:spacing w:before="160" w:after="80"/>
      <w:outlineLvl w:val="1"/>
    </w:pPr>
    <w:rPr>
      <w:rFonts w:asciiTheme="majorHAnsi" w:eastAsiaTheme="majorEastAsia" w:hAnsiTheme="majorHAnsi" w:cstheme="majorBidi"/>
      <w:color w:val="686963" w:themeColor="accent1" w:themeShade="BF"/>
      <w:szCs w:val="32"/>
    </w:rPr>
  </w:style>
  <w:style w:type="paragraph" w:styleId="Heading3">
    <w:name w:val="heading 3"/>
    <w:basedOn w:val="Normal"/>
    <w:next w:val="Normal"/>
    <w:link w:val="Heading3Char"/>
    <w:uiPriority w:val="9"/>
    <w:semiHidden/>
    <w:unhideWhenUsed/>
    <w:qFormat/>
    <w:rsid w:val="000515A0"/>
    <w:pPr>
      <w:keepNext/>
      <w:keepLines/>
      <w:spacing w:before="160" w:after="80"/>
      <w:outlineLvl w:val="2"/>
    </w:pPr>
    <w:rPr>
      <w:rFonts w:eastAsiaTheme="majorEastAsia" w:cstheme="majorBidi"/>
      <w:color w:val="686963" w:themeColor="accent1" w:themeShade="BF"/>
      <w:sz w:val="28"/>
      <w:szCs w:val="28"/>
    </w:rPr>
  </w:style>
  <w:style w:type="paragraph" w:styleId="Heading4">
    <w:name w:val="heading 4"/>
    <w:basedOn w:val="Normal"/>
    <w:next w:val="Normal"/>
    <w:link w:val="Heading4Char"/>
    <w:uiPriority w:val="9"/>
    <w:semiHidden/>
    <w:unhideWhenUsed/>
    <w:qFormat/>
    <w:rsid w:val="000515A0"/>
    <w:pPr>
      <w:keepNext/>
      <w:keepLines/>
      <w:spacing w:before="80" w:after="40"/>
      <w:outlineLvl w:val="3"/>
    </w:pPr>
    <w:rPr>
      <w:rFonts w:eastAsiaTheme="majorEastAsia" w:cstheme="majorBidi"/>
      <w:i/>
      <w:iCs/>
      <w:color w:val="686963" w:themeColor="accent1" w:themeShade="BF"/>
    </w:rPr>
  </w:style>
  <w:style w:type="paragraph" w:styleId="Heading5">
    <w:name w:val="heading 5"/>
    <w:basedOn w:val="Normal"/>
    <w:next w:val="Normal"/>
    <w:link w:val="Heading5Char"/>
    <w:uiPriority w:val="9"/>
    <w:semiHidden/>
    <w:unhideWhenUsed/>
    <w:qFormat/>
    <w:rsid w:val="000515A0"/>
    <w:pPr>
      <w:keepNext/>
      <w:keepLines/>
      <w:spacing w:before="80" w:after="40"/>
      <w:outlineLvl w:val="4"/>
    </w:pPr>
    <w:rPr>
      <w:rFonts w:eastAsiaTheme="majorEastAsia" w:cstheme="majorBidi"/>
      <w:color w:val="686963" w:themeColor="accent1" w:themeShade="BF"/>
    </w:rPr>
  </w:style>
  <w:style w:type="paragraph" w:styleId="Heading6">
    <w:name w:val="heading 6"/>
    <w:basedOn w:val="Normal"/>
    <w:next w:val="Normal"/>
    <w:link w:val="Heading6Char"/>
    <w:uiPriority w:val="9"/>
    <w:semiHidden/>
    <w:unhideWhenUsed/>
    <w:qFormat/>
    <w:rsid w:val="00051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5A0"/>
    <w:rPr>
      <w:rFonts w:asciiTheme="majorHAnsi" w:eastAsiaTheme="majorEastAsia" w:hAnsiTheme="majorHAnsi" w:cstheme="majorBidi"/>
      <w:color w:val="686963" w:themeColor="accent1" w:themeShade="BF"/>
      <w:sz w:val="28"/>
      <w:szCs w:val="40"/>
    </w:rPr>
  </w:style>
  <w:style w:type="character" w:customStyle="1" w:styleId="Heading2Char">
    <w:name w:val="Heading 2 Char"/>
    <w:basedOn w:val="DefaultParagraphFont"/>
    <w:link w:val="Heading2"/>
    <w:uiPriority w:val="9"/>
    <w:rsid w:val="000515A0"/>
    <w:rPr>
      <w:rFonts w:asciiTheme="majorHAnsi" w:eastAsiaTheme="majorEastAsia" w:hAnsiTheme="majorHAnsi" w:cstheme="majorBidi"/>
      <w:color w:val="686963" w:themeColor="accent1" w:themeShade="BF"/>
      <w:szCs w:val="32"/>
    </w:rPr>
  </w:style>
  <w:style w:type="character" w:customStyle="1" w:styleId="Heading3Char">
    <w:name w:val="Heading 3 Char"/>
    <w:basedOn w:val="DefaultParagraphFont"/>
    <w:link w:val="Heading3"/>
    <w:uiPriority w:val="9"/>
    <w:semiHidden/>
    <w:rsid w:val="000515A0"/>
    <w:rPr>
      <w:rFonts w:eastAsiaTheme="majorEastAsia" w:cstheme="majorBidi"/>
      <w:color w:val="686963" w:themeColor="accent1" w:themeShade="BF"/>
      <w:sz w:val="28"/>
      <w:szCs w:val="28"/>
    </w:rPr>
  </w:style>
  <w:style w:type="character" w:customStyle="1" w:styleId="Heading4Char">
    <w:name w:val="Heading 4 Char"/>
    <w:basedOn w:val="DefaultParagraphFont"/>
    <w:link w:val="Heading4"/>
    <w:uiPriority w:val="9"/>
    <w:semiHidden/>
    <w:rsid w:val="000515A0"/>
    <w:rPr>
      <w:rFonts w:eastAsiaTheme="majorEastAsia" w:cstheme="majorBidi"/>
      <w:i/>
      <w:iCs/>
      <w:color w:val="686963" w:themeColor="accent1" w:themeShade="BF"/>
    </w:rPr>
  </w:style>
  <w:style w:type="character" w:customStyle="1" w:styleId="Heading5Char">
    <w:name w:val="Heading 5 Char"/>
    <w:basedOn w:val="DefaultParagraphFont"/>
    <w:link w:val="Heading5"/>
    <w:uiPriority w:val="9"/>
    <w:semiHidden/>
    <w:rsid w:val="000515A0"/>
    <w:rPr>
      <w:rFonts w:eastAsiaTheme="majorEastAsia" w:cstheme="majorBidi"/>
      <w:color w:val="686963" w:themeColor="accent1" w:themeShade="BF"/>
    </w:rPr>
  </w:style>
  <w:style w:type="character" w:customStyle="1" w:styleId="Heading6Char">
    <w:name w:val="Heading 6 Char"/>
    <w:basedOn w:val="DefaultParagraphFont"/>
    <w:link w:val="Heading6"/>
    <w:uiPriority w:val="9"/>
    <w:semiHidden/>
    <w:rsid w:val="00051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5A0"/>
    <w:rPr>
      <w:rFonts w:eastAsiaTheme="majorEastAsia" w:cstheme="majorBidi"/>
      <w:color w:val="272727" w:themeColor="text1" w:themeTint="D8"/>
    </w:rPr>
  </w:style>
  <w:style w:type="paragraph" w:styleId="Title">
    <w:name w:val="Title"/>
    <w:basedOn w:val="Normal"/>
    <w:next w:val="Normal"/>
    <w:link w:val="TitleChar"/>
    <w:uiPriority w:val="10"/>
    <w:qFormat/>
    <w:rsid w:val="00051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5A0"/>
    <w:pPr>
      <w:spacing w:before="160"/>
      <w:jc w:val="center"/>
    </w:pPr>
    <w:rPr>
      <w:i/>
      <w:iCs/>
      <w:color w:val="404040" w:themeColor="text1" w:themeTint="BF"/>
    </w:rPr>
  </w:style>
  <w:style w:type="character" w:customStyle="1" w:styleId="QuoteChar">
    <w:name w:val="Quote Char"/>
    <w:basedOn w:val="DefaultParagraphFont"/>
    <w:link w:val="Quote"/>
    <w:uiPriority w:val="29"/>
    <w:rsid w:val="000515A0"/>
    <w:rPr>
      <w:i/>
      <w:iCs/>
      <w:color w:val="404040" w:themeColor="text1" w:themeTint="BF"/>
    </w:rPr>
  </w:style>
  <w:style w:type="paragraph" w:styleId="ListParagraph">
    <w:name w:val="List Paragraph"/>
    <w:basedOn w:val="Normal"/>
    <w:uiPriority w:val="34"/>
    <w:qFormat/>
    <w:rsid w:val="000515A0"/>
    <w:pPr>
      <w:ind w:left="720"/>
      <w:contextualSpacing/>
    </w:pPr>
  </w:style>
  <w:style w:type="character" w:styleId="IntenseEmphasis">
    <w:name w:val="Intense Emphasis"/>
    <w:basedOn w:val="DefaultParagraphFont"/>
    <w:uiPriority w:val="21"/>
    <w:qFormat/>
    <w:rsid w:val="000515A0"/>
    <w:rPr>
      <w:i/>
      <w:iCs/>
      <w:color w:val="686963" w:themeColor="accent1" w:themeShade="BF"/>
    </w:rPr>
  </w:style>
  <w:style w:type="paragraph" w:styleId="IntenseQuote">
    <w:name w:val="Intense Quote"/>
    <w:basedOn w:val="Normal"/>
    <w:next w:val="Normal"/>
    <w:link w:val="IntenseQuoteChar"/>
    <w:uiPriority w:val="30"/>
    <w:qFormat/>
    <w:rsid w:val="000515A0"/>
    <w:pPr>
      <w:pBdr>
        <w:top w:val="single" w:sz="4" w:space="10" w:color="686963" w:themeColor="accent1" w:themeShade="BF"/>
        <w:bottom w:val="single" w:sz="4" w:space="10" w:color="686963" w:themeColor="accent1" w:themeShade="BF"/>
      </w:pBdr>
      <w:spacing w:before="360" w:after="360"/>
      <w:ind w:left="864" w:right="864"/>
      <w:jc w:val="center"/>
    </w:pPr>
    <w:rPr>
      <w:i/>
      <w:iCs/>
      <w:color w:val="686963" w:themeColor="accent1" w:themeShade="BF"/>
    </w:rPr>
  </w:style>
  <w:style w:type="character" w:customStyle="1" w:styleId="IntenseQuoteChar">
    <w:name w:val="Intense Quote Char"/>
    <w:basedOn w:val="DefaultParagraphFont"/>
    <w:link w:val="IntenseQuote"/>
    <w:uiPriority w:val="30"/>
    <w:rsid w:val="000515A0"/>
    <w:rPr>
      <w:i/>
      <w:iCs/>
      <w:color w:val="686963" w:themeColor="accent1" w:themeShade="BF"/>
    </w:rPr>
  </w:style>
  <w:style w:type="character" w:styleId="IntenseReference">
    <w:name w:val="Intense Reference"/>
    <w:basedOn w:val="DefaultParagraphFont"/>
    <w:uiPriority w:val="32"/>
    <w:qFormat/>
    <w:rsid w:val="000515A0"/>
    <w:rPr>
      <w:b/>
      <w:bCs/>
      <w:smallCaps/>
      <w:color w:val="686963" w:themeColor="accent1" w:themeShade="BF"/>
      <w:spacing w:val="5"/>
    </w:rPr>
  </w:style>
  <w:style w:type="paragraph" w:styleId="NoSpacing">
    <w:name w:val="No Spacing"/>
    <w:link w:val="NoSpacingChar"/>
    <w:uiPriority w:val="1"/>
    <w:qFormat/>
    <w:rsid w:val="000515A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515A0"/>
    <w:rPr>
      <w:kern w:val="0"/>
      <w:sz w:val="22"/>
      <w:szCs w:val="22"/>
      <w:lang w:val="en-US" w:eastAsia="en-US"/>
      <w14:ligatures w14:val="none"/>
    </w:rPr>
  </w:style>
  <w:style w:type="paragraph" w:styleId="TOCHeading">
    <w:name w:val="TOC Heading"/>
    <w:basedOn w:val="Heading1"/>
    <w:next w:val="Normal"/>
    <w:uiPriority w:val="39"/>
    <w:unhideWhenUsed/>
    <w:qFormat/>
    <w:rsid w:val="000515A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515A0"/>
    <w:pPr>
      <w:spacing w:after="100"/>
    </w:pPr>
  </w:style>
  <w:style w:type="paragraph" w:styleId="TOC2">
    <w:name w:val="toc 2"/>
    <w:basedOn w:val="Normal"/>
    <w:next w:val="Normal"/>
    <w:autoRedefine/>
    <w:uiPriority w:val="39"/>
    <w:unhideWhenUsed/>
    <w:rsid w:val="000515A0"/>
    <w:pPr>
      <w:spacing w:after="100"/>
      <w:ind w:left="240"/>
    </w:pPr>
  </w:style>
  <w:style w:type="character" w:styleId="Hyperlink">
    <w:name w:val="Hyperlink"/>
    <w:basedOn w:val="DefaultParagraphFont"/>
    <w:uiPriority w:val="99"/>
    <w:unhideWhenUsed/>
    <w:rsid w:val="000515A0"/>
    <w:rPr>
      <w:color w:val="77A2BB" w:themeColor="hyperlink"/>
      <w:u w:val="single"/>
    </w:rPr>
  </w:style>
  <w:style w:type="paragraph" w:customStyle="1" w:styleId="p1">
    <w:name w:val="p1"/>
    <w:basedOn w:val="Normal"/>
    <w:rsid w:val="00F066C7"/>
    <w:pPr>
      <w:spacing w:after="0" w:line="240" w:lineRule="auto"/>
    </w:pPr>
    <w:rPr>
      <w:rFonts w:ascii="Helvetica Neue Light" w:eastAsia="Times New Roman" w:hAnsi="Helvetica Neue Light" w:cs="Times New Roman"/>
      <w:color w:val="141413"/>
      <w:kern w:val="0"/>
      <w:sz w:val="17"/>
      <w:szCs w:val="17"/>
      <w:lang w:eastAsia="en-GB"/>
      <w14:ligatures w14:val="none"/>
    </w:rPr>
  </w:style>
  <w:style w:type="paragraph" w:customStyle="1" w:styleId="p2">
    <w:name w:val="p2"/>
    <w:basedOn w:val="Normal"/>
    <w:rsid w:val="00F71EA2"/>
    <w:pPr>
      <w:spacing w:after="0" w:line="240" w:lineRule="auto"/>
    </w:pPr>
    <w:rPr>
      <w:rFonts w:ascii="Helvetica Neue Light" w:eastAsia="Times New Roman" w:hAnsi="Helvetica Neue Light" w:cs="Times New Roman"/>
      <w:color w:val="0C3066"/>
      <w:kern w:val="0"/>
      <w:sz w:val="15"/>
      <w:szCs w:val="15"/>
      <w:lang w:eastAsia="en-GB"/>
      <w14:ligatures w14:val="none"/>
    </w:rPr>
  </w:style>
  <w:style w:type="character" w:customStyle="1" w:styleId="s1">
    <w:name w:val="s1"/>
    <w:basedOn w:val="DefaultParagraphFont"/>
    <w:rsid w:val="00F71EA2"/>
    <w:rPr>
      <w:rFonts w:ascii="Helvetica Neue Light" w:hAnsi="Helvetica Neue Light" w:hint="default"/>
      <w:color w:val="141413"/>
      <w:sz w:val="17"/>
      <w:szCs w:val="17"/>
    </w:rPr>
  </w:style>
  <w:style w:type="character" w:customStyle="1" w:styleId="s2">
    <w:name w:val="s2"/>
    <w:basedOn w:val="DefaultParagraphFont"/>
    <w:rsid w:val="00F71EA2"/>
    <w:rPr>
      <w:rFonts w:ascii="Helvetica Neue Light" w:hAnsi="Helvetica Neue Light" w:hint="default"/>
      <w:sz w:val="18"/>
      <w:szCs w:val="18"/>
    </w:rPr>
  </w:style>
  <w:style w:type="paragraph" w:styleId="NormalWeb">
    <w:name w:val="Normal (Web)"/>
    <w:basedOn w:val="Normal"/>
    <w:uiPriority w:val="99"/>
    <w:unhideWhenUsed/>
    <w:rsid w:val="00E270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701F"/>
    <w:rPr>
      <w:b/>
      <w:bCs/>
    </w:rPr>
  </w:style>
  <w:style w:type="character" w:customStyle="1" w:styleId="apple-converted-space">
    <w:name w:val="apple-converted-space"/>
    <w:basedOn w:val="DefaultParagraphFont"/>
    <w:rsid w:val="00854279"/>
  </w:style>
  <w:style w:type="character" w:styleId="UnresolvedMention">
    <w:name w:val="Unresolved Mention"/>
    <w:basedOn w:val="DefaultParagraphFont"/>
    <w:uiPriority w:val="99"/>
    <w:semiHidden/>
    <w:unhideWhenUsed/>
    <w:rsid w:val="00854279"/>
    <w:rPr>
      <w:color w:val="605E5C"/>
      <w:shd w:val="clear" w:color="auto" w:fill="E1DFDD"/>
    </w:rPr>
  </w:style>
  <w:style w:type="character" w:styleId="FollowedHyperlink">
    <w:name w:val="FollowedHyperlink"/>
    <w:basedOn w:val="DefaultParagraphFont"/>
    <w:uiPriority w:val="99"/>
    <w:semiHidden/>
    <w:unhideWhenUsed/>
    <w:rsid w:val="007A0ACA"/>
    <w:rPr>
      <w:color w:val="957A99" w:themeColor="followedHyperlink"/>
      <w:u w:val="single"/>
    </w:rPr>
  </w:style>
  <w:style w:type="character" w:customStyle="1" w:styleId="vkekvd">
    <w:name w:val="vkekvd"/>
    <w:basedOn w:val="DefaultParagraphFont"/>
    <w:rsid w:val="00041F49"/>
  </w:style>
  <w:style w:type="character" w:customStyle="1" w:styleId="extn-css-0">
    <w:name w:val="extn-css-0"/>
    <w:basedOn w:val="DefaultParagraphFont"/>
    <w:rsid w:val="00415EA5"/>
  </w:style>
  <w:style w:type="character" w:customStyle="1" w:styleId="extn-css-1tmeul0">
    <w:name w:val="extn-css-1tmeul0"/>
    <w:basedOn w:val="DefaultParagraphFont"/>
    <w:rsid w:val="00415EA5"/>
  </w:style>
  <w:style w:type="character" w:customStyle="1" w:styleId="none">
    <w:name w:val="none"/>
    <w:basedOn w:val="DefaultParagraphFont"/>
    <w:rsid w:val="00EC57C9"/>
  </w:style>
  <w:style w:type="character" w:customStyle="1" w:styleId="added">
    <w:name w:val="added"/>
    <w:basedOn w:val="DefaultParagraphFont"/>
    <w:rsid w:val="00EC57C9"/>
  </w:style>
  <w:style w:type="character" w:customStyle="1" w:styleId="muibox-root">
    <w:name w:val="muibox-root"/>
    <w:basedOn w:val="DefaultParagraphFont"/>
    <w:rsid w:val="00EC57C9"/>
  </w:style>
  <w:style w:type="character" w:customStyle="1" w:styleId="extn-css-10o52y0">
    <w:name w:val="extn-css-10o52y0"/>
    <w:basedOn w:val="DefaultParagraphFont"/>
    <w:rsid w:val="00EC57C9"/>
  </w:style>
  <w:style w:type="character" w:customStyle="1" w:styleId="extn-css-h5d7i9">
    <w:name w:val="extn-css-h5d7i9"/>
    <w:basedOn w:val="DefaultParagraphFont"/>
    <w:rsid w:val="00EC57C9"/>
  </w:style>
  <w:style w:type="character" w:customStyle="1" w:styleId="extn-css-lq4jk2">
    <w:name w:val="extn-css-lq4jk2"/>
    <w:basedOn w:val="DefaultParagraphFont"/>
    <w:rsid w:val="00657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61883">
      <w:bodyDiv w:val="1"/>
      <w:marLeft w:val="0"/>
      <w:marRight w:val="0"/>
      <w:marTop w:val="0"/>
      <w:marBottom w:val="0"/>
      <w:divBdr>
        <w:top w:val="none" w:sz="0" w:space="0" w:color="auto"/>
        <w:left w:val="none" w:sz="0" w:space="0" w:color="auto"/>
        <w:bottom w:val="none" w:sz="0" w:space="0" w:color="auto"/>
        <w:right w:val="none" w:sz="0" w:space="0" w:color="auto"/>
      </w:divBdr>
    </w:div>
    <w:div w:id="398208927">
      <w:bodyDiv w:val="1"/>
      <w:marLeft w:val="0"/>
      <w:marRight w:val="0"/>
      <w:marTop w:val="0"/>
      <w:marBottom w:val="0"/>
      <w:divBdr>
        <w:top w:val="none" w:sz="0" w:space="0" w:color="auto"/>
        <w:left w:val="none" w:sz="0" w:space="0" w:color="auto"/>
        <w:bottom w:val="none" w:sz="0" w:space="0" w:color="auto"/>
        <w:right w:val="none" w:sz="0" w:space="0" w:color="auto"/>
      </w:divBdr>
    </w:div>
    <w:div w:id="487092533">
      <w:bodyDiv w:val="1"/>
      <w:marLeft w:val="0"/>
      <w:marRight w:val="0"/>
      <w:marTop w:val="0"/>
      <w:marBottom w:val="0"/>
      <w:divBdr>
        <w:top w:val="none" w:sz="0" w:space="0" w:color="auto"/>
        <w:left w:val="none" w:sz="0" w:space="0" w:color="auto"/>
        <w:bottom w:val="none" w:sz="0" w:space="0" w:color="auto"/>
        <w:right w:val="none" w:sz="0" w:space="0" w:color="auto"/>
      </w:divBdr>
    </w:div>
    <w:div w:id="565143516">
      <w:bodyDiv w:val="1"/>
      <w:marLeft w:val="0"/>
      <w:marRight w:val="0"/>
      <w:marTop w:val="0"/>
      <w:marBottom w:val="0"/>
      <w:divBdr>
        <w:top w:val="none" w:sz="0" w:space="0" w:color="auto"/>
        <w:left w:val="none" w:sz="0" w:space="0" w:color="auto"/>
        <w:bottom w:val="none" w:sz="0" w:space="0" w:color="auto"/>
        <w:right w:val="none" w:sz="0" w:space="0" w:color="auto"/>
      </w:divBdr>
    </w:div>
    <w:div w:id="771129288">
      <w:bodyDiv w:val="1"/>
      <w:marLeft w:val="0"/>
      <w:marRight w:val="0"/>
      <w:marTop w:val="0"/>
      <w:marBottom w:val="0"/>
      <w:divBdr>
        <w:top w:val="none" w:sz="0" w:space="0" w:color="auto"/>
        <w:left w:val="none" w:sz="0" w:space="0" w:color="auto"/>
        <w:bottom w:val="none" w:sz="0" w:space="0" w:color="auto"/>
        <w:right w:val="none" w:sz="0" w:space="0" w:color="auto"/>
      </w:divBdr>
    </w:div>
    <w:div w:id="880481783">
      <w:bodyDiv w:val="1"/>
      <w:marLeft w:val="0"/>
      <w:marRight w:val="0"/>
      <w:marTop w:val="0"/>
      <w:marBottom w:val="0"/>
      <w:divBdr>
        <w:top w:val="none" w:sz="0" w:space="0" w:color="auto"/>
        <w:left w:val="none" w:sz="0" w:space="0" w:color="auto"/>
        <w:bottom w:val="none" w:sz="0" w:space="0" w:color="auto"/>
        <w:right w:val="none" w:sz="0" w:space="0" w:color="auto"/>
      </w:divBdr>
      <w:divsChild>
        <w:div w:id="132528747">
          <w:marLeft w:val="0"/>
          <w:marRight w:val="0"/>
          <w:marTop w:val="0"/>
          <w:marBottom w:val="0"/>
          <w:divBdr>
            <w:top w:val="none" w:sz="0" w:space="0" w:color="auto"/>
            <w:left w:val="none" w:sz="0" w:space="0" w:color="auto"/>
            <w:bottom w:val="none" w:sz="0" w:space="0" w:color="auto"/>
            <w:right w:val="none" w:sz="0" w:space="0" w:color="auto"/>
          </w:divBdr>
        </w:div>
      </w:divsChild>
    </w:div>
    <w:div w:id="949971273">
      <w:bodyDiv w:val="1"/>
      <w:marLeft w:val="0"/>
      <w:marRight w:val="0"/>
      <w:marTop w:val="0"/>
      <w:marBottom w:val="0"/>
      <w:divBdr>
        <w:top w:val="none" w:sz="0" w:space="0" w:color="auto"/>
        <w:left w:val="none" w:sz="0" w:space="0" w:color="auto"/>
        <w:bottom w:val="none" w:sz="0" w:space="0" w:color="auto"/>
        <w:right w:val="none" w:sz="0" w:space="0" w:color="auto"/>
      </w:divBdr>
    </w:div>
    <w:div w:id="1245142805">
      <w:bodyDiv w:val="1"/>
      <w:marLeft w:val="0"/>
      <w:marRight w:val="0"/>
      <w:marTop w:val="0"/>
      <w:marBottom w:val="0"/>
      <w:divBdr>
        <w:top w:val="none" w:sz="0" w:space="0" w:color="auto"/>
        <w:left w:val="none" w:sz="0" w:space="0" w:color="auto"/>
        <w:bottom w:val="none" w:sz="0" w:space="0" w:color="auto"/>
        <w:right w:val="none" w:sz="0" w:space="0" w:color="auto"/>
      </w:divBdr>
    </w:div>
    <w:div w:id="1394699689">
      <w:bodyDiv w:val="1"/>
      <w:marLeft w:val="0"/>
      <w:marRight w:val="0"/>
      <w:marTop w:val="0"/>
      <w:marBottom w:val="0"/>
      <w:divBdr>
        <w:top w:val="none" w:sz="0" w:space="0" w:color="auto"/>
        <w:left w:val="none" w:sz="0" w:space="0" w:color="auto"/>
        <w:bottom w:val="none" w:sz="0" w:space="0" w:color="auto"/>
        <w:right w:val="none" w:sz="0" w:space="0" w:color="auto"/>
      </w:divBdr>
    </w:div>
    <w:div w:id="1654138964">
      <w:bodyDiv w:val="1"/>
      <w:marLeft w:val="0"/>
      <w:marRight w:val="0"/>
      <w:marTop w:val="0"/>
      <w:marBottom w:val="0"/>
      <w:divBdr>
        <w:top w:val="none" w:sz="0" w:space="0" w:color="auto"/>
        <w:left w:val="none" w:sz="0" w:space="0" w:color="auto"/>
        <w:bottom w:val="none" w:sz="0" w:space="0" w:color="auto"/>
        <w:right w:val="none" w:sz="0" w:space="0" w:color="auto"/>
      </w:divBdr>
    </w:div>
    <w:div w:id="1691638229">
      <w:bodyDiv w:val="1"/>
      <w:marLeft w:val="0"/>
      <w:marRight w:val="0"/>
      <w:marTop w:val="0"/>
      <w:marBottom w:val="0"/>
      <w:divBdr>
        <w:top w:val="none" w:sz="0" w:space="0" w:color="auto"/>
        <w:left w:val="none" w:sz="0" w:space="0" w:color="auto"/>
        <w:bottom w:val="none" w:sz="0" w:space="0" w:color="auto"/>
        <w:right w:val="none" w:sz="0" w:space="0" w:color="auto"/>
      </w:divBdr>
    </w:div>
    <w:div w:id="193798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Neighbourhood policing has been a foundation of crime prevention and community safety strategies in the United Kingdom since its establishment. This essay explores whether neighbourhood policing represents an effective means of reducing crime and fostering safer communities or if it is merely a fashionable trend. By examining the development of neighbourhood policing and the strategies used this essay aims to critically evaluate its impact. Drawing on research, government reports, and case studies, the analysis considers both the strengths and limitations of neighbourhood policing in the United Kingdom, concluding with reflections on its potential to address the complex realities of modern-day crime and social cohesion.</Abstract>
  <CompanyAddress/>
  <CompanyPhone/>
  <CompanyFax/>
  <CompanyEmail>2245487@student.uwtsd.ac.uk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87F9A6-68DF-4D6E-8ED7-04A7F807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the uk police and supporting the prevent strand of the contest counter-terrorism strategy.</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examine the challenges associated with investigating the different types of cyber-crime and police responses designed to combat these challenges</dc:title>
  <dc:subject/>
  <dc:creator>Louisa O’Neill</dc:creator>
  <cp:keywords/>
  <dc:description/>
  <cp:lastModifiedBy>Louisa O’Neill (2245487)</cp:lastModifiedBy>
  <cp:revision>16</cp:revision>
  <dcterms:created xsi:type="dcterms:W3CDTF">2026-03-13T15:31:00Z</dcterms:created>
  <dcterms:modified xsi:type="dcterms:W3CDTF">2026-03-13T15:44:00Z</dcterms:modified>
</cp:coreProperties>
</file>