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word/styles.xml" ContentType="application/vnd.openxmlformats-officedocument.wordprocessingml.styles+xml"/>
  <Override PartName="/word/footer1.xml" ContentType="application/vnd.openxmlformats-officedocument.wordprocessingml.footer+xml"/>
  <Override PartName="/word/footer2.xml" ContentType="application/vnd.openxmlformats-officedocument.wordprocessingml.footer+xml"/>
  <Override PartName="/word/document.xml" ContentType="application/vnd.openxmlformats-officedocument.wordprocessingml.document.main+xml"/>
  <Override PartName="/word/numbering.xml" ContentType="application/vnd.openxmlformats-officedocument.wordprocessingml.numbering+xml"/>
  <Override PartName="/word/footer3.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before="120" w:after="120"/>
        <w:jc w:val="center"/>
        <w:rPr>
          <w:rFonts w:cs="Arial"/>
          <w:szCs w:val="24"/>
          <w:lang w:val="en-IN"/>
        </w:rPr>
      </w:pPr>
      <w:r>
        <w:rPr/>
        <w:drawing>
          <wp:inline distT="0" distB="0" distL="0" distR="0">
            <wp:extent cx="3451860" cy="1457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2"/>
                    <a:stretch>
                      <a:fillRect/>
                    </a:stretch>
                  </pic:blipFill>
                  <pic:spPr bwMode="auto">
                    <a:xfrm>
                      <a:off x="0" y="0"/>
                      <a:ext cx="3451860" cy="1457960"/>
                    </a:xfrm>
                    <a:prstGeom prst="rect">
                      <a:avLst/>
                    </a:prstGeom>
                    <a:noFill/>
                  </pic:spPr>
                </pic:pic>
              </a:graphicData>
            </a:graphic>
          </wp:inline>
        </w:drawing>
      </w:r>
    </w:p>
    <w:p>
      <w:pPr>
        <w:pStyle w:val="Normal"/>
        <w:jc w:val="center"/>
        <w:rPr>
          <w:rFonts w:cs="Arial"/>
          <w:b/>
          <w:bCs/>
          <w:szCs w:val="24"/>
          <w:lang w:val="en-IN"/>
        </w:rPr>
      </w:pPr>
      <w:r>
        <w:rPr>
          <w:rFonts w:cs="Arial"/>
          <w:b/>
          <w:bCs/>
          <w:szCs w:val="24"/>
          <w:lang w:val="en-IN"/>
        </w:rPr>
      </w:r>
    </w:p>
    <w:p>
      <w:pPr>
        <w:pStyle w:val="Normal"/>
        <w:jc w:val="center"/>
        <w:rPr>
          <w:rFonts w:cs="Arial"/>
          <w:b/>
          <w:bCs/>
          <w:szCs w:val="24"/>
          <w:lang w:val="en-IN"/>
        </w:rPr>
      </w:pPr>
      <w:r>
        <w:rPr>
          <w:rFonts w:cs="Arial"/>
          <w:b/>
          <w:bCs/>
          <w:szCs w:val="24"/>
          <w:lang w:val="en-IN"/>
        </w:rPr>
        <w:t>Master of Business Administration (MBA)</w:t>
      </w:r>
    </w:p>
    <w:p>
      <w:pPr>
        <w:pStyle w:val="Normal"/>
        <w:jc w:val="center"/>
        <w:rPr>
          <w:rFonts w:cs="Arial"/>
          <w:b/>
          <w:bCs/>
          <w:szCs w:val="24"/>
          <w:lang w:val="en-IN"/>
        </w:rPr>
      </w:pPr>
      <w:r>
        <w:rPr>
          <w:rFonts w:cs="Arial"/>
          <w:b/>
          <w:bCs/>
          <w:szCs w:val="24"/>
          <w:lang w:val="en-IN"/>
        </w:rPr>
        <w:t xml:space="preserve">Module Title: </w:t>
      </w:r>
      <w:r>
        <w:rPr>
          <w:rFonts w:cs="Arial"/>
          <w:szCs w:val="24"/>
          <w:lang w:val="en-IN"/>
        </w:rPr>
        <w:t>International Business Concepts</w:t>
      </w:r>
    </w:p>
    <w:p>
      <w:pPr>
        <w:pStyle w:val="Normal"/>
        <w:jc w:val="center"/>
        <w:rPr>
          <w:rFonts w:cs="Arial"/>
          <w:b/>
          <w:bCs/>
          <w:szCs w:val="24"/>
          <w:lang w:val="en-IN"/>
        </w:rPr>
      </w:pPr>
      <w:r>
        <w:rPr>
          <w:rFonts w:cs="Arial"/>
          <w:b/>
          <w:bCs/>
          <w:szCs w:val="24"/>
          <w:lang w:val="en-IN"/>
        </w:rPr>
        <w:t xml:space="preserve">Module Code: </w:t>
      </w:r>
      <w:r>
        <w:rPr>
          <w:rFonts w:cs="Arial"/>
        </w:rPr>
        <w:t>LCMB7034</w:t>
      </w:r>
    </w:p>
    <w:p>
      <w:pPr>
        <w:pStyle w:val="Normal"/>
        <w:jc w:val="center"/>
        <w:rPr>
          <w:rFonts w:cs="Arial"/>
          <w:szCs w:val="24"/>
          <w:lang w:val="en-IN"/>
        </w:rPr>
      </w:pPr>
      <w:r>
        <w:rPr>
          <w:rFonts w:cs="Arial"/>
          <w:szCs w:val="24"/>
          <w:lang w:val="en-IN"/>
        </w:rPr>
      </w:r>
    </w:p>
    <w:p>
      <w:pPr>
        <w:pStyle w:val="Normal"/>
        <w:jc w:val="center"/>
        <w:rPr>
          <w:rFonts w:cs="Arial"/>
          <w:b/>
          <w:bCs/>
          <w:szCs w:val="24"/>
          <w:lang w:val="en-IN"/>
        </w:rPr>
      </w:pPr>
      <w:r>
        <w:rPr>
          <w:rFonts w:cs="Arial"/>
          <w:b/>
          <w:bCs/>
          <w:szCs w:val="24"/>
          <w:lang w:val="en-IN"/>
        </w:rPr>
        <w:t>Assessment Title: Evaluating ALDI’s Potential Market Entry into India: International Strategy, Market Attractiveness and Entry Mode Analysis</w:t>
      </w:r>
    </w:p>
    <w:p>
      <w:pPr>
        <w:pStyle w:val="Normal"/>
        <w:jc w:val="center"/>
        <w:rPr>
          <w:rFonts w:cs="Arial"/>
          <w:szCs w:val="24"/>
          <w:lang w:val="en-IN"/>
        </w:rPr>
      </w:pPr>
      <w:r>
        <w:rPr>
          <w:rFonts w:cs="Arial"/>
          <w:szCs w:val="24"/>
          <w:lang w:val="en-IN"/>
        </w:rPr>
      </w:r>
    </w:p>
    <w:p>
      <w:pPr>
        <w:pStyle w:val="Normal"/>
        <w:jc w:val="center"/>
        <w:rPr>
          <w:rFonts w:cs="Arial"/>
          <w:b/>
          <w:bCs/>
          <w:szCs w:val="24"/>
          <w:lang w:val="en-IN"/>
        </w:rPr>
      </w:pPr>
      <w:r>
        <w:rPr>
          <w:rFonts w:cs="Arial"/>
          <w:b/>
          <w:bCs/>
          <w:szCs w:val="24"/>
          <w:lang w:val="en-IN"/>
        </w:rPr>
        <w:t xml:space="preserve">Student Name: </w:t>
      </w:r>
      <w:r>
        <w:rPr>
          <w:rFonts w:cs="Arial"/>
          <w:b w:val="false"/>
          <w:bCs w:val="false"/>
          <w:szCs w:val="24"/>
          <w:lang w:val="en-IN"/>
        </w:rPr>
        <w:t>Raj Rameshchandra Patel</w:t>
      </w:r>
    </w:p>
    <w:p>
      <w:pPr>
        <w:pStyle w:val="Normal"/>
        <w:jc w:val="center"/>
        <w:rPr>
          <w:rFonts w:cs="Arial"/>
          <w:b/>
          <w:bCs/>
          <w:szCs w:val="24"/>
          <w:lang w:val="en-IN"/>
        </w:rPr>
      </w:pPr>
      <w:r>
        <w:rPr>
          <w:rFonts w:cs="Arial"/>
          <w:b/>
          <w:bCs/>
          <w:szCs w:val="24"/>
          <w:lang w:val="en-IN"/>
        </w:rPr>
        <w:t xml:space="preserve">Student ID: </w:t>
      </w:r>
      <w:r>
        <w:rPr>
          <w:rFonts w:cs="Arial"/>
          <w:b w:val="false"/>
          <w:bCs w:val="false"/>
          <w:szCs w:val="24"/>
          <w:lang w:val="en-IN"/>
        </w:rPr>
        <w:t>2518465</w:t>
      </w:r>
    </w:p>
    <w:p>
      <w:pPr>
        <w:pStyle w:val="Normal"/>
        <w:jc w:val="center"/>
        <w:rPr>
          <w:rFonts w:cs="Arial"/>
          <w:szCs w:val="24"/>
          <w:lang w:val="en-IN"/>
        </w:rPr>
      </w:pPr>
      <w:r>
        <w:rPr>
          <w:rFonts w:cs="Arial"/>
          <w:szCs w:val="24"/>
          <w:lang w:val="en-IN"/>
        </w:rPr>
      </w:r>
    </w:p>
    <w:p>
      <w:pPr>
        <w:pStyle w:val="Normal"/>
        <w:jc w:val="center"/>
        <w:rPr>
          <w:rFonts w:cs="Arial"/>
          <w:b/>
          <w:bCs/>
          <w:szCs w:val="24"/>
          <w:lang w:val="en-IN"/>
        </w:rPr>
      </w:pPr>
      <w:r>
        <w:rPr>
          <w:rFonts w:cs="Arial"/>
          <w:b/>
          <w:bCs/>
          <w:szCs w:val="24"/>
          <w:lang w:val="en-IN"/>
        </w:rPr>
        <w:t xml:space="preserve">Lecturer Name: </w:t>
      </w:r>
      <w:r>
        <w:rPr>
          <w:rFonts w:cs="Arial"/>
          <w:b w:val="false"/>
          <w:bCs w:val="false"/>
          <w:szCs w:val="24"/>
          <w:lang w:val="en-IN"/>
        </w:rPr>
        <w:t>Gladius Kulothungan</w:t>
      </w:r>
    </w:p>
    <w:p>
      <w:pPr>
        <w:pStyle w:val="Normal"/>
        <w:jc w:val="center"/>
        <w:rPr>
          <w:rFonts w:cs="Arial"/>
          <w:szCs w:val="24"/>
          <w:lang w:val="en-IN"/>
        </w:rPr>
      </w:pPr>
      <w:r>
        <w:rPr>
          <w:rFonts w:cs="Arial"/>
          <w:szCs w:val="24"/>
          <w:lang w:val="en-IN"/>
        </w:rPr>
      </w:r>
    </w:p>
    <w:p>
      <w:pPr>
        <w:pStyle w:val="Normal"/>
        <w:jc w:val="center"/>
        <w:rPr>
          <w:rFonts w:cs="Arial"/>
          <w:b/>
          <w:bCs/>
          <w:szCs w:val="24"/>
          <w:lang w:val="en-IN"/>
        </w:rPr>
      </w:pPr>
      <w:r>
        <w:rPr>
          <w:rFonts w:cs="Arial"/>
          <w:lang w:val="en-IN"/>
        </w:rPr>
      </w:r>
    </w:p>
    <w:p>
      <w:pPr>
        <w:pStyle w:val="Heading1"/>
        <w:rPr>
          <w:rFonts w:cs="Arial"/>
          <w:lang w:val="en-IN"/>
        </w:rPr>
      </w:pPr>
      <w:bookmarkStart w:id="0" w:name="__RefHeading___Toc6335_621937267"/>
      <w:bookmarkEnd w:id="0"/>
      <w:r>
        <w:rPr>
          <w:rFonts w:cs="Arial"/>
          <w:lang w:val="en-IN"/>
        </w:rPr>
        <w:br/>
      </w:r>
    </w:p>
    <w:p>
      <w:pPr>
        <w:pStyle w:val="Normal"/>
        <w:spacing w:lineRule="auto" w:line="259" w:before="0" w:after="160"/>
        <w:jc w:val="start"/>
        <w:rPr>
          <w:rFonts w:eastAsia="" w:cs="Arial" w:eastAsiaTheme="majorEastAsia"/>
          <w:b/>
          <w:bCs/>
          <w:color w:themeColor="text1" w:val="000000"/>
          <w:kern w:val="2"/>
          <w:szCs w:val="48"/>
          <w:lang w:val="en-IN" w:eastAsia="en-IN"/>
        </w:rPr>
      </w:pPr>
      <w:r>
        <w:rPr>
          <w:rFonts w:eastAsia="" w:cs="Arial" w:eastAsiaTheme="majorEastAsia"/>
          <w:b/>
          <w:bCs/>
          <w:color w:themeColor="text1" w:val="000000"/>
          <w:kern w:val="2"/>
          <w:szCs w:val="48"/>
          <w:lang w:val="en-IN" w:eastAsia="en-IN"/>
        </w:rPr>
      </w:r>
    </w:p>
    <w:sdt>
      <w:sdtPr>
        <w:docPartObj>
          <w:docPartGallery w:val="Table of Contents"/>
          <w:docPartUnique w:val="true"/>
        </w:docPartObj>
      </w:sdtPr>
      <w:sdtContent>
        <w:p>
          <w:pPr>
            <w:pStyle w:val="TOCHeading"/>
            <w:rPr/>
          </w:pPr>
          <w:r>
            <w:br w:type="page"/>
          </w:r>
          <w:r>
            <w:rPr/>
            <w:t>Table of Contents</w:t>
          </w:r>
        </w:p>
        <w:p>
          <w:pPr>
            <w:pStyle w:val="TOC1"/>
            <w:tabs>
              <w:tab w:val="clear" w:pos="720"/>
              <w:tab w:val="right" w:pos="9025" w:leader="dot"/>
            </w:tabs>
            <w:rPr/>
          </w:pPr>
          <w:r>
            <w:fldChar w:fldCharType="begin"/>
          </w:r>
          <w:r>
            <w:rPr>
              <w:rStyle w:val="IndexLink"/>
              <w:webHidden/>
            </w:rPr>
            <w:instrText xml:space="preserve"> TOC \z \o "1-3" \u \h</w:instrText>
          </w:r>
          <w:r>
            <w:rPr>
              <w:rStyle w:val="IndexLink"/>
              <w:webHidden/>
            </w:rPr>
            <w:fldChar w:fldCharType="separate"/>
          </w:r>
          <w:hyperlink w:anchor="__RefHeading___Toc6335_621937267">
            <w:r>
              <w:rPr>
                <w:rStyle w:val="IndexLink"/>
                <w:webHidden/>
              </w:rPr>
              <w:tab/>
              <w:t>1</w:t>
            </w:r>
          </w:hyperlink>
        </w:p>
        <w:p>
          <w:pPr>
            <w:pStyle w:val="TOC1"/>
            <w:tabs>
              <w:tab w:val="clear" w:pos="720"/>
              <w:tab w:val="right" w:pos="9025" w:leader="dot"/>
            </w:tabs>
            <w:rPr/>
          </w:pPr>
          <w:hyperlink w:anchor="__RefHeading___Toc6337_621937267" w:tooltip="1. Organisational Classification and Global Strategy">
            <w:r>
              <w:rPr>
                <w:rStyle w:val="IndexLink"/>
                <w:webHidden/>
              </w:rPr>
              <w:t>1. Organisational Classification and Global Strategy</w:t>
              <w:tab/>
              <w:t>3</w:t>
            </w:r>
          </w:hyperlink>
        </w:p>
        <w:p>
          <w:pPr>
            <w:pStyle w:val="TOC1"/>
            <w:tabs>
              <w:tab w:val="clear" w:pos="720"/>
              <w:tab w:val="right" w:pos="9025" w:leader="dot"/>
            </w:tabs>
            <w:rPr/>
          </w:pPr>
          <w:hyperlink w:anchor="__RefHeading___Toc6339_621937267" w:tooltip="2. Macro-Environmental Appraisal and Market Attractiveness">
            <w:r>
              <w:rPr>
                <w:rStyle w:val="IndexLink"/>
                <w:webHidden/>
              </w:rPr>
              <w:t>2. Macro-Environmental Appraisal and Market Attractiveness</w:t>
              <w:tab/>
              <w:t>5</w:t>
            </w:r>
          </w:hyperlink>
        </w:p>
        <w:p>
          <w:pPr>
            <w:pStyle w:val="TOC2"/>
            <w:tabs>
              <w:tab w:val="clear" w:pos="720"/>
              <w:tab w:val="right" w:pos="9025" w:leader="dot"/>
            </w:tabs>
            <w:rPr/>
          </w:pPr>
          <w:hyperlink w:anchor="__RefHeading___Toc6341_621937267" w:tooltip="2.1 Political Environment">
            <w:r>
              <w:rPr>
                <w:rStyle w:val="IndexLink"/>
                <w:webHidden/>
              </w:rPr>
              <w:t>2.1 Political Environment</w:t>
              <w:tab/>
              <w:t>5</w:t>
            </w:r>
          </w:hyperlink>
        </w:p>
        <w:p>
          <w:pPr>
            <w:pStyle w:val="TOC2"/>
            <w:tabs>
              <w:tab w:val="clear" w:pos="720"/>
              <w:tab w:val="right" w:pos="9025" w:leader="dot"/>
            </w:tabs>
            <w:rPr/>
          </w:pPr>
          <w:hyperlink w:anchor="__RefHeading___Toc6343_621937267" w:tooltip="2.2 Economic Environment">
            <w:r>
              <w:rPr>
                <w:rStyle w:val="IndexLink"/>
                <w:webHidden/>
              </w:rPr>
              <w:t>2.2 Economic Environment</w:t>
              <w:tab/>
              <w:t>6</w:t>
            </w:r>
          </w:hyperlink>
        </w:p>
        <w:p>
          <w:pPr>
            <w:pStyle w:val="TOC2"/>
            <w:tabs>
              <w:tab w:val="clear" w:pos="720"/>
              <w:tab w:val="right" w:pos="9025" w:leader="dot"/>
            </w:tabs>
            <w:rPr/>
          </w:pPr>
          <w:hyperlink w:anchor="__RefHeading___Toc6345_621937267" w:tooltip="2.3 Legal Environment">
            <w:r>
              <w:rPr>
                <w:rStyle w:val="IndexLink"/>
                <w:webHidden/>
              </w:rPr>
              <w:t>2.3 Legal Environment</w:t>
              <w:tab/>
              <w:t>8</w:t>
            </w:r>
          </w:hyperlink>
        </w:p>
        <w:p>
          <w:pPr>
            <w:pStyle w:val="TOC2"/>
            <w:tabs>
              <w:tab w:val="clear" w:pos="720"/>
              <w:tab w:val="right" w:pos="9025" w:leader="dot"/>
            </w:tabs>
            <w:rPr/>
          </w:pPr>
          <w:hyperlink w:anchor="__RefHeading___Toc6347_621937267" w:tooltip="2.4 Cultural Environment">
            <w:r>
              <w:rPr>
                <w:rStyle w:val="IndexLink"/>
                <w:webHidden/>
              </w:rPr>
              <w:t>2.4 Cultural Environment</w:t>
              <w:tab/>
              <w:t>10</w:t>
            </w:r>
          </w:hyperlink>
        </w:p>
        <w:p>
          <w:pPr>
            <w:pStyle w:val="TOC2"/>
            <w:tabs>
              <w:tab w:val="clear" w:pos="720"/>
              <w:tab w:val="right" w:pos="9025" w:leader="dot"/>
            </w:tabs>
            <w:rPr/>
          </w:pPr>
          <w:hyperlink w:anchor="__RefHeading___Toc6349_621937267" w:tooltip="2.5 Overall Market Attractiveness">
            <w:r>
              <w:rPr>
                <w:rStyle w:val="IndexLink"/>
                <w:webHidden/>
              </w:rPr>
              <w:t>2.5 Overall Market Attractiveness</w:t>
              <w:tab/>
              <w:t>11</w:t>
            </w:r>
          </w:hyperlink>
        </w:p>
        <w:p>
          <w:pPr>
            <w:pStyle w:val="TOC2"/>
            <w:tabs>
              <w:tab w:val="clear" w:pos="720"/>
              <w:tab w:val="right" w:pos="9025" w:leader="dot"/>
            </w:tabs>
            <w:rPr/>
          </w:pPr>
          <w:hyperlink w:anchor="__RefHeading___Toc6351_621937267" w:tooltip="2.6 Dunning's Eclectic Paradigm (OLI)">
            <w:r>
              <w:rPr>
                <w:rStyle w:val="IndexLink"/>
                <w:webHidden/>
              </w:rPr>
              <w:t>2.6 Dunning's Eclectic Paradigm (OLI)</w:t>
              <w:tab/>
              <w:t>11</w:t>
            </w:r>
          </w:hyperlink>
        </w:p>
        <w:p>
          <w:pPr>
            <w:pStyle w:val="TOC1"/>
            <w:tabs>
              <w:tab w:val="clear" w:pos="720"/>
              <w:tab w:val="right" w:pos="9025" w:leader="dot"/>
            </w:tabs>
            <w:rPr/>
          </w:pPr>
          <w:hyperlink w:anchor="__RefHeading___Toc6353_621937267" w:tooltip="3. Entry Mode Strategy and Strategic Synthesis">
            <w:r>
              <w:rPr>
                <w:rStyle w:val="IndexLink"/>
                <w:webHidden/>
              </w:rPr>
              <w:t>3. Entry Mode Strategy and Strategic Synthesis</w:t>
              <w:tab/>
              <w:t>14</w:t>
            </w:r>
          </w:hyperlink>
        </w:p>
        <w:p>
          <w:pPr>
            <w:pStyle w:val="TOC2"/>
            <w:tabs>
              <w:tab w:val="clear" w:pos="720"/>
              <w:tab w:val="right" w:pos="9025" w:leader="dot"/>
            </w:tabs>
            <w:rPr/>
          </w:pPr>
          <w:hyperlink w:anchor="__RefHeading___Toc6355_621937267" w:tooltip="3.1 ALDI's Historical Entry-Mode Pattern">
            <w:r>
              <w:rPr>
                <w:rStyle w:val="IndexLink"/>
                <w:webHidden/>
              </w:rPr>
              <w:t>3.1 ALDI's Historical Entry-Mode Pattern</w:t>
              <w:tab/>
              <w:t>14</w:t>
            </w:r>
          </w:hyperlink>
        </w:p>
        <w:p>
          <w:pPr>
            <w:pStyle w:val="TOC2"/>
            <w:tabs>
              <w:tab w:val="clear" w:pos="720"/>
              <w:tab w:val="right" w:pos="9025" w:leader="dot"/>
            </w:tabs>
            <w:rPr/>
          </w:pPr>
          <w:hyperlink w:anchor="__RefHeading___Toc6357_621937267" w:tooltip="3.2 Alternative Entry Modes for India">
            <w:r>
              <w:rPr>
                <w:rStyle w:val="IndexLink"/>
                <w:webHidden/>
              </w:rPr>
              <w:t>3.2 Alternative Entry Modes for India</w:t>
              <w:tab/>
              <w:t>15</w:t>
            </w:r>
          </w:hyperlink>
        </w:p>
        <w:p>
          <w:pPr>
            <w:pStyle w:val="TOC2"/>
            <w:tabs>
              <w:tab w:val="clear" w:pos="720"/>
              <w:tab w:val="right" w:pos="9025" w:leader="dot"/>
            </w:tabs>
            <w:rPr/>
          </w:pPr>
          <w:hyperlink w:anchor="__RefHeading___Toc6359_621937267" w:tooltip="3.3 Recommended Entry Mode: Phased Joint Venture with Strategic Local Partnerships">
            <w:r>
              <w:rPr>
                <w:rStyle w:val="IndexLink"/>
                <w:webHidden/>
              </w:rPr>
              <w:t>3.3 Recommended Entry Mode: Phased Joint Venture with Strategic Local Partnerships</w:t>
              <w:tab/>
              <w:t>16</w:t>
            </w:r>
          </w:hyperlink>
        </w:p>
        <w:p>
          <w:pPr>
            <w:pStyle w:val="TOC2"/>
            <w:tabs>
              <w:tab w:val="clear" w:pos="720"/>
              <w:tab w:val="right" w:pos="9025" w:leader="dot"/>
            </w:tabs>
            <w:rPr/>
          </w:pPr>
          <w:hyperlink w:anchor="__RefHeading___Toc6361_621937267" w:tooltip="3.4 Risk–Return Analysis">
            <w:r>
              <w:rPr>
                <w:rStyle w:val="IndexLink"/>
                <w:webHidden/>
              </w:rPr>
              <w:t>3.4 Risk–Return Analysis</w:t>
              <w:tab/>
              <w:t>17</w:t>
            </w:r>
          </w:hyperlink>
        </w:p>
        <w:p>
          <w:pPr>
            <w:pStyle w:val="TOC2"/>
            <w:tabs>
              <w:tab w:val="clear" w:pos="720"/>
              <w:tab w:val="right" w:pos="9025" w:leader="dot"/>
            </w:tabs>
            <w:rPr/>
          </w:pPr>
          <w:hyperlink w:anchor="__RefHeading___Toc6363_621937267" w:tooltip="3.5 Strategic Synthesis">
            <w:r>
              <w:rPr>
                <w:rStyle w:val="IndexLink"/>
                <w:webHidden/>
              </w:rPr>
              <w:t>3.5 Strategic Synthesis</w:t>
              <w:tab/>
              <w:t>18</w:t>
            </w:r>
          </w:hyperlink>
        </w:p>
        <w:p>
          <w:pPr>
            <w:pStyle w:val="TOC1"/>
            <w:tabs>
              <w:tab w:val="clear" w:pos="720"/>
              <w:tab w:val="right" w:pos="9025" w:leader="dot"/>
            </w:tabs>
            <w:rPr/>
          </w:pPr>
          <w:hyperlink w:anchor="__RefHeading___Toc6365_621937267" w:tooltip="4. Reflective Account – Gibbs' Reflective Cycle">
            <w:r>
              <w:rPr>
                <w:rStyle w:val="IndexLink"/>
                <w:webHidden/>
              </w:rPr>
              <w:t>4. Reflective Account – Gibbs' Reflective Cycle</w:t>
              <w:tab/>
              <w:t>18</w:t>
            </w:r>
          </w:hyperlink>
        </w:p>
        <w:p>
          <w:pPr>
            <w:pStyle w:val="TOC2"/>
            <w:tabs>
              <w:tab w:val="clear" w:pos="720"/>
              <w:tab w:val="right" w:pos="9025" w:leader="dot"/>
            </w:tabs>
            <w:rPr/>
          </w:pPr>
          <w:hyperlink w:anchor="__RefHeading___Toc6367_621937267" w:tooltip="4.1 Description">
            <w:r>
              <w:rPr>
                <w:rStyle w:val="IndexLink"/>
                <w:webHidden/>
              </w:rPr>
              <w:t>4.1 Description</w:t>
              <w:tab/>
              <w:t>19</w:t>
            </w:r>
          </w:hyperlink>
        </w:p>
        <w:p>
          <w:pPr>
            <w:pStyle w:val="TOC2"/>
            <w:tabs>
              <w:tab w:val="clear" w:pos="720"/>
              <w:tab w:val="right" w:pos="9025" w:leader="dot"/>
            </w:tabs>
            <w:rPr/>
          </w:pPr>
          <w:hyperlink w:anchor="__RefHeading___Toc6369_621937267" w:tooltip="4.2 Feelings">
            <w:r>
              <w:rPr>
                <w:rStyle w:val="IndexLink"/>
                <w:webHidden/>
              </w:rPr>
              <w:t>4.2 Feelings</w:t>
              <w:tab/>
              <w:t>20</w:t>
            </w:r>
          </w:hyperlink>
        </w:p>
        <w:p>
          <w:pPr>
            <w:pStyle w:val="TOC2"/>
            <w:tabs>
              <w:tab w:val="clear" w:pos="720"/>
              <w:tab w:val="right" w:pos="9025" w:leader="dot"/>
            </w:tabs>
            <w:rPr/>
          </w:pPr>
          <w:hyperlink w:anchor="__RefHeading___Toc6371_621937267" w:tooltip="4.3 Evaluation">
            <w:r>
              <w:rPr>
                <w:rStyle w:val="IndexLink"/>
                <w:webHidden/>
              </w:rPr>
              <w:t>4.3 Evaluation</w:t>
              <w:tab/>
              <w:t>20</w:t>
            </w:r>
          </w:hyperlink>
        </w:p>
        <w:p>
          <w:pPr>
            <w:pStyle w:val="TOC2"/>
            <w:tabs>
              <w:tab w:val="clear" w:pos="720"/>
              <w:tab w:val="right" w:pos="9025" w:leader="dot"/>
            </w:tabs>
            <w:rPr/>
          </w:pPr>
          <w:hyperlink w:anchor="__RefHeading___Toc6373_621937267" w:tooltip="4.5 Conclusion">
            <w:r>
              <w:rPr>
                <w:rStyle w:val="IndexLink"/>
                <w:webHidden/>
              </w:rPr>
              <w:t>4.5 Conclusion</w:t>
              <w:tab/>
              <w:t>21</w:t>
            </w:r>
          </w:hyperlink>
        </w:p>
        <w:p>
          <w:pPr>
            <w:pStyle w:val="TOC2"/>
            <w:tabs>
              <w:tab w:val="clear" w:pos="720"/>
              <w:tab w:val="right" w:pos="9025" w:leader="dot"/>
            </w:tabs>
            <w:rPr/>
          </w:pPr>
          <w:hyperlink w:anchor="__RefHeading___Toc6375_621937267" w:tooltip="4.6 Action Plan">
            <w:r>
              <w:rPr>
                <w:rStyle w:val="IndexLink"/>
                <w:webHidden/>
              </w:rPr>
              <w:t>4.6 Action Plan</w:t>
              <w:tab/>
              <w:t>22</w:t>
            </w:r>
          </w:hyperlink>
        </w:p>
        <w:p>
          <w:pPr>
            <w:pStyle w:val="TOC1"/>
            <w:tabs>
              <w:tab w:val="clear" w:pos="720"/>
              <w:tab w:val="right" w:pos="9025" w:leader="dot"/>
            </w:tabs>
            <w:rPr/>
          </w:pPr>
          <w:hyperlink w:anchor="__RefHeading___Toc6377_621937267" w:tooltip="5. References">
            <w:r>
              <w:rPr>
                <w:rStyle w:val="IndexLink"/>
                <w:webHidden/>
              </w:rPr>
              <w:t>5. References</w:t>
              <w:tab/>
              <w:t>24</w:t>
            </w:r>
          </w:hyperlink>
          <w:r>
            <w:rPr>
              <w:rStyle w:val="IndexLink"/>
            </w:rPr>
            <w:fldChar w:fldCharType="end"/>
          </w:r>
        </w:p>
      </w:sdtContent>
    </w:sdt>
    <w:p>
      <w:pPr>
        <w:pStyle w:val="Normal"/>
        <w:spacing w:lineRule="auto" w:line="259" w:before="0" w:after="160"/>
        <w:jc w:val="start"/>
        <w:rPr>
          <w:rFonts w:eastAsia="" w:cs="Arial" w:eastAsiaTheme="majorEastAsia"/>
          <w:b/>
          <w:bCs/>
          <w:color w:themeColor="text1" w:val="000000"/>
          <w:kern w:val="2"/>
          <w:szCs w:val="48"/>
          <w:lang w:val="en-IN" w:eastAsia="en-IN"/>
        </w:rPr>
      </w:pPr>
      <w:r>
        <w:rPr>
          <w:rFonts w:eastAsia="" w:cs="Arial" w:eastAsiaTheme="majorEastAsia"/>
          <w:b/>
          <w:bCs/>
          <w:color w:themeColor="text1" w:val="000000"/>
          <w:kern w:val="2"/>
          <w:szCs w:val="48"/>
          <w:lang w:val="en-IN" w:eastAsia="en-IN"/>
        </w:rPr>
      </w:r>
      <w:r>
        <w:br w:type="page"/>
      </w:r>
    </w:p>
    <w:p>
      <w:pPr>
        <w:pStyle w:val="Heading1"/>
        <w:spacing w:before="0" w:after="120"/>
        <w:rPr>
          <w:rFonts w:cs="Arial"/>
          <w:lang w:val="en-IN"/>
        </w:rPr>
      </w:pPr>
      <w:bookmarkStart w:id="1" w:name="__RefHeading___Toc6337_621937267"/>
      <w:bookmarkStart w:id="2" w:name="_Toc237544008"/>
      <w:bookmarkEnd w:id="1"/>
      <w:r>
        <w:rPr>
          <w:rFonts w:cs="Arial"/>
          <w:lang w:val="en-IN"/>
        </w:rPr>
        <w:t>1. Organisational Classification and Global Strategy</w:t>
      </w:r>
      <w:bookmarkEnd w:id="2"/>
    </w:p>
    <w:p>
      <w:pPr>
        <w:pStyle w:val="Normal"/>
        <w:rPr>
          <w:rFonts w:cs="Arial"/>
          <w:lang w:val="en-IN"/>
        </w:rPr>
      </w:pPr>
      <w:r>
        <w:rPr>
          <w:rFonts w:cs="Arial"/>
          <w:lang w:val="en-IN"/>
        </w:rPr>
        <w:t>ALDI can be classified as a multinational corporation (MNC) because it operates through retail businesses across a wide range of international markets and coordinates resources, purchasing and operational capabilities across national boundaries. The organisation has developed a distinctive international discount-retailing model based on cost efficiency, private-label products, streamlined product ranges and standardised operating practices. ALDI's international presence currently covers markets including Australia, China, France, Germany, Great Britain, Ireland, Italy, the Netherlands, Poland, Portugal, Spain, Switzerland and the USA, among others (</w:t>
      </w:r>
      <w:r>
        <w:rPr>
          <w:rFonts w:cs="Arial"/>
        </w:rPr>
        <w:t>Adli, 2026</w:t>
      </w:r>
      <w:r>
        <w:rPr>
          <w:rFonts w:cs="Arial"/>
          <w:lang w:val="en-IN"/>
        </w:rPr>
        <w:t xml:space="preserve">). India is not included within ALDI's current international country network, supporting its suitability as a potential future market for analysis. </w:t>
      </w:r>
    </w:p>
    <w:p>
      <w:pPr>
        <w:pStyle w:val="Normal"/>
        <w:rPr>
          <w:rFonts w:cs="Arial"/>
          <w:lang w:val="en-IN"/>
        </w:rPr>
      </w:pPr>
      <w:r>
        <w:rPr/>
        <w:drawing>
          <wp:inline distT="0" distB="0" distL="0" distR="0">
            <wp:extent cx="5731510" cy="4427855"/>
            <wp:effectExtent l="0" t="0" r="0" b="0"/>
            <wp:docPr id="2"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pic:cNvPicPr>
                      <a:picLocks noChangeAspect="1" noChangeArrowheads="1"/>
                    </pic:cNvPicPr>
                  </pic:nvPicPr>
                  <pic:blipFill>
                    <a:blip r:embed="rId3"/>
                    <a:stretch>
                      <a:fillRect/>
                    </a:stretch>
                  </pic:blipFill>
                  <pic:spPr bwMode="auto">
                    <a:xfrm>
                      <a:off x="0" y="0"/>
                      <a:ext cx="5731510" cy="4427855"/>
                    </a:xfrm>
                    <a:prstGeom prst="rect">
                      <a:avLst/>
                    </a:prstGeom>
                    <a:noFill/>
                  </pic:spPr>
                </pic:pic>
              </a:graphicData>
            </a:graphic>
          </wp:inline>
        </w:drawing>
      </w:r>
    </w:p>
    <w:p>
      <w:pPr>
        <w:pStyle w:val="Normal"/>
        <w:rPr>
          <w:rFonts w:cs="Arial"/>
          <w:lang w:val="en-IN"/>
        </w:rPr>
      </w:pPr>
      <w:r>
        <w:rPr>
          <w:rFonts w:cs="Arial"/>
          <w:lang w:val="en-IN"/>
        </w:rPr>
        <w:t xml:space="preserve">Using </w:t>
      </w:r>
      <w:r>
        <w:rPr>
          <w:rFonts w:cs="Arial"/>
          <w:b/>
          <w:bCs/>
          <w:lang w:val="en-IN"/>
        </w:rPr>
        <w:t>Bartlett and Ghoshal's international strategy framework</w:t>
      </w:r>
      <w:r>
        <w:rPr>
          <w:rFonts w:cs="Arial"/>
          <w:lang w:val="en-IN"/>
        </w:rPr>
        <w:t xml:space="preserve">, ALDI demonstrates strong characteristics of a </w:t>
      </w:r>
      <w:r>
        <w:rPr>
          <w:rFonts w:cs="Arial"/>
          <w:b/>
          <w:bCs/>
          <w:lang w:val="en-IN"/>
        </w:rPr>
        <w:t>global strategy</w:t>
      </w:r>
      <w:r>
        <w:rPr>
          <w:rFonts w:cs="Arial"/>
          <w:lang w:val="en-IN"/>
        </w:rPr>
        <w:t>, particularly through its emphasis on standardisation and international efficiency. Its limited assortment, private-label orientation, centralised purchasing and cost-conscious store operations enable the organisation to achieve economies of scale and maintain a consistent value proposition across different markets. These capabilities are important sources of competitive advantage because purchasing scale and operational simplicity can reduce costs while allowing ALDI to compete primarily on value.</w:t>
      </w:r>
    </w:p>
    <w:p>
      <w:pPr>
        <w:pStyle w:val="Normal"/>
        <w:rPr>
          <w:rFonts w:cs="Arial"/>
          <w:lang w:val="en-IN"/>
        </w:rPr>
      </w:pPr>
      <w:r>
        <w:rPr>
          <w:rFonts w:cs="Arial"/>
          <w:lang w:val="en-IN"/>
        </w:rPr>
        <w:t>However, describing ALDI as purely global would be overly simplistic. International retail markets differ significantly in terms of consumer preferences, food cultures, regulations and competitive structures (</w:t>
      </w:r>
      <w:r>
        <w:rPr>
          <w:rFonts w:cs="Arial"/>
        </w:rPr>
        <w:t>De Mooij, 2022</w:t>
      </w:r>
      <w:r>
        <w:rPr>
          <w:rFonts w:cs="Arial"/>
          <w:lang w:val="en-IN"/>
        </w:rPr>
        <w:t xml:space="preserve">). ALDI therefore requires a degree of local responsiveness when operating internationally. This creates characteristics associated with the </w:t>
      </w:r>
      <w:r>
        <w:rPr>
          <w:rFonts w:cs="Arial"/>
          <w:b/>
          <w:bCs/>
          <w:lang w:val="en-IN"/>
        </w:rPr>
        <w:t>transnational strategy</w:t>
      </w:r>
      <w:r>
        <w:rPr>
          <w:rFonts w:cs="Arial"/>
          <w:lang w:val="en-IN"/>
        </w:rPr>
        <w:t>, where global integration is combined with selective local adaptation. For example, ALDI's international development demonstrates that its core discount model can be retained while product assortment and market-facing activities can be adjusted to local requirements.</w:t>
      </w:r>
    </w:p>
    <w:p>
      <w:pPr>
        <w:pStyle w:val="Normal"/>
        <w:rPr>
          <w:rFonts w:cs="Arial"/>
          <w:lang w:val="en-IN"/>
        </w:rPr>
      </w:pPr>
      <w:r>
        <w:rPr>
          <w:rFonts w:cs="Arial"/>
          <w:lang w:val="en-IN"/>
        </w:rPr>
        <w:t>ALDI's geographic configuration also strengthens its competitive position by allowing the organisation to transfer knowledge and capabilities between markets (</w:t>
      </w:r>
      <w:r>
        <w:rPr>
          <w:rFonts w:cs="Arial"/>
        </w:rPr>
        <w:t>Sarisa, 2021</w:t>
      </w:r>
      <w:r>
        <w:rPr>
          <w:rFonts w:cs="Arial"/>
          <w:lang w:val="en-IN"/>
        </w:rPr>
        <w:t xml:space="preserve">). Its presence in large and diverse markets such as the United States, Australia and China demonstrates that its business model is not restricted to European consumers. The Chinese market is particularly relevant when considering potential expansion into India because it demonstrates ALDI's experience of operating within a large Asian consumer market. Furthermore, ALDI's international sourcing and responsible supply-chain initiatives demonstrate the importance of coordinated global procurement capabilities. </w:t>
      </w:r>
    </w:p>
    <w:p>
      <w:pPr>
        <w:pStyle w:val="Heading1"/>
        <w:rPr>
          <w:rFonts w:cs="Arial"/>
          <w:lang w:val="en-IN"/>
        </w:rPr>
      </w:pPr>
      <w:bookmarkStart w:id="3" w:name="__RefHeading___Toc6339_621937267"/>
      <w:bookmarkStart w:id="4" w:name="_Toc237544009"/>
      <w:bookmarkEnd w:id="3"/>
      <w:r>
        <w:rPr>
          <w:rFonts w:cs="Arial"/>
          <w:lang w:val="en-IN"/>
        </w:rPr>
        <w:t>2. Macro-Environmental Appraisal and Market Attractiveness</w:t>
      </w:r>
      <w:bookmarkEnd w:id="4"/>
    </w:p>
    <w:p>
      <w:pPr>
        <w:pStyle w:val="Normal"/>
        <w:rPr>
          <w:rFonts w:cs="Arial"/>
          <w:lang w:val="en-IN" w:eastAsia="en-IN"/>
        </w:rPr>
      </w:pPr>
      <w:r>
        <w:rPr/>
        <w:drawing>
          <wp:inline distT="0" distB="0" distL="0" distR="0">
            <wp:extent cx="5731510" cy="3407410"/>
            <wp:effectExtent l="0" t="0" r="0" b="0"/>
            <wp:docPr id="3"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pic:cNvPicPr>
                      <a:picLocks noChangeAspect="1" noChangeArrowheads="1"/>
                    </pic:cNvPicPr>
                  </pic:nvPicPr>
                  <pic:blipFill>
                    <a:blip r:embed="rId4"/>
                    <a:stretch>
                      <a:fillRect/>
                    </a:stretch>
                  </pic:blipFill>
                  <pic:spPr bwMode="auto">
                    <a:xfrm>
                      <a:off x="0" y="0"/>
                      <a:ext cx="5731510" cy="3407410"/>
                    </a:xfrm>
                    <a:prstGeom prst="rect">
                      <a:avLst/>
                    </a:prstGeom>
                    <a:noFill/>
                  </pic:spPr>
                </pic:pic>
              </a:graphicData>
            </a:graphic>
          </wp:inline>
        </w:drawing>
      </w:r>
    </w:p>
    <w:p>
      <w:pPr>
        <w:pStyle w:val="Heading2"/>
        <w:rPr>
          <w:rFonts w:cs="Arial"/>
        </w:rPr>
      </w:pPr>
      <w:bookmarkStart w:id="5" w:name="__RefHeading___Toc6341_621937267"/>
      <w:bookmarkStart w:id="6" w:name="_Toc237544010"/>
      <w:bookmarkEnd w:id="5"/>
      <w:r>
        <w:rPr>
          <w:rFonts w:cs="Arial"/>
        </w:rPr>
        <w:t>2.1 Political Environment</w:t>
      </w:r>
      <w:bookmarkEnd w:id="6"/>
    </w:p>
    <w:p>
      <w:pPr>
        <w:pStyle w:val="Normal"/>
        <w:rPr>
          <w:rFonts w:cs="Arial"/>
          <w:lang w:val="en-IN"/>
        </w:rPr>
      </w:pPr>
      <w:r>
        <w:rPr>
          <w:rFonts w:cs="Arial"/>
          <w:lang w:val="en-IN"/>
        </w:rPr>
        <w:t xml:space="preserve">India presents a comparatively attractive political environment for long-term foreign investment because of its large domestic market, continuing economic liberalisation and established institutional framework for foreign investment. However, for ALDI, political attractiveness cannot be assessed simply through general political stability because the company would enter the </w:t>
      </w:r>
      <w:r>
        <w:rPr>
          <w:rFonts w:cs="Arial"/>
          <w:b/>
          <w:bCs/>
          <w:lang w:val="en-IN"/>
        </w:rPr>
        <w:t>multi-brand retail</w:t>
      </w:r>
      <w:r>
        <w:rPr>
          <w:rFonts w:cs="Arial"/>
          <w:lang w:val="en-IN"/>
        </w:rPr>
        <w:t xml:space="preserve"> sector, where foreign ownership remains more restricted than in several other sectors. Under India's FDI framework, multi-brand retail trading permits foreign investment of up to </w:t>
      </w:r>
      <w:r>
        <w:rPr>
          <w:rFonts w:cs="Arial"/>
          <w:b/>
          <w:bCs/>
          <w:lang w:val="en-IN"/>
        </w:rPr>
        <w:t>51% through the Government route</w:t>
      </w:r>
      <w:r>
        <w:rPr>
          <w:rFonts w:cs="Arial"/>
          <w:lang w:val="en-IN"/>
        </w:rPr>
        <w:t>, meaning that a foreign retailer cannot simply establish a wholly foreign-owned supermarket subsidiary in the same manner as it could in a sector with 100% automatic-route FDI (</w:t>
      </w:r>
      <w:r>
        <w:rPr>
          <w:rFonts w:cs="Arial"/>
        </w:rPr>
        <w:t>Pib, 2011</w:t>
      </w:r>
      <w:r>
        <w:rPr>
          <w:rFonts w:cs="Arial"/>
          <w:lang w:val="en-IN"/>
        </w:rPr>
        <w:t xml:space="preserve">). The policy also imposes conditions concerning minimum investment and domestic sourcing. </w:t>
      </w:r>
    </w:p>
    <w:p>
      <w:pPr>
        <w:pStyle w:val="Normal"/>
        <w:rPr>
          <w:rFonts w:cs="Arial"/>
          <w:lang w:val="en-IN"/>
        </w:rPr>
      </w:pPr>
      <w:r>
        <w:rPr>
          <w:rFonts w:cs="Arial"/>
          <w:lang w:val="en-IN"/>
        </w:rPr>
        <w:t>This is particularly significant for ALDI because its proposed Indian operation would involve selling multiple brands and private-label products across a supermarket format. The Government route therefore creates an institutional barrier to rapid market entry and makes a local partner strategically valuable. India's FDI policy requires a minimum foreign investment of US$100 million for multi-brand retail and requires at least 50% of the first US$100 million to be invested in back-end infrastructure within three years. Such infrastructure includes logistics, warehousing, distribution, packaging and related activities (</w:t>
      </w:r>
      <w:r>
        <w:rPr>
          <w:rFonts w:cs="Arial"/>
        </w:rPr>
        <w:t xml:space="preserve">Kedar </w:t>
      </w:r>
      <w:r>
        <w:rPr>
          <w:rFonts w:cs="Arial"/>
          <w:i/>
          <w:iCs/>
        </w:rPr>
        <w:t>et al.,</w:t>
      </w:r>
      <w:r>
        <w:rPr>
          <w:rFonts w:cs="Arial"/>
        </w:rPr>
        <w:t xml:space="preserve"> 2025</w:t>
      </w:r>
      <w:r>
        <w:rPr>
          <w:rFonts w:cs="Arial"/>
          <w:lang w:val="en-IN"/>
        </w:rPr>
        <w:t>). For ALDI, this requirement is not necessarily entirely negative. Its business model already depends heavily on efficient procurement, distribution and inventory management. Investment in Indian warehouses, logistics and supplier infrastructure could therefore support rather than conflict with ALDI's operational model.</w:t>
      </w:r>
    </w:p>
    <w:p>
      <w:pPr>
        <w:pStyle w:val="Normal"/>
        <w:rPr>
          <w:rFonts w:cs="Arial"/>
          <w:lang w:val="en-IN"/>
        </w:rPr>
      </w:pPr>
      <w:r>
        <w:rPr>
          <w:rFonts w:cs="Arial"/>
          <w:lang w:val="en-IN"/>
        </w:rPr>
        <w:t>The political environment is also influenced by India's federal structure. Retail operations are affected not by national policy and by state-level implementation, local permissions, real-estate conditions and operating requirements (</w:t>
      </w:r>
      <w:r>
        <w:rPr>
          <w:rFonts w:cs="Arial"/>
        </w:rPr>
        <w:t xml:space="preserve">Treskon </w:t>
      </w:r>
      <w:r>
        <w:rPr>
          <w:rFonts w:cs="Arial"/>
          <w:i/>
          <w:iCs/>
        </w:rPr>
        <w:t>et al</w:t>
      </w:r>
      <w:r>
        <w:rPr>
          <w:rFonts w:cs="Arial"/>
        </w:rPr>
        <w:t>., 2021</w:t>
      </w:r>
      <w:r>
        <w:rPr>
          <w:rFonts w:cs="Arial"/>
          <w:lang w:val="en-IN"/>
        </w:rPr>
        <w:t>). Consequently, India should not be treated as a completely homogeneous market. ALDI could face different practical conditions when selecting Maharashtra, Karnataka, Delhi-NCR or other states. This supports a phased metropolitan entry strategy rather than immediate nationwide expansion.</w:t>
      </w:r>
    </w:p>
    <w:p>
      <w:pPr>
        <w:pStyle w:val="Normal"/>
        <w:rPr>
          <w:rFonts w:cs="Arial"/>
          <w:lang w:val="en-IN"/>
        </w:rPr>
      </w:pPr>
      <w:r>
        <w:rPr>
          <w:rFonts w:cs="Arial"/>
          <w:lang w:val="en-IN"/>
        </w:rPr>
        <w:t>Political considerations also create an important strategic tension. India's government has promoted foreign investment, supply-chain development and organised retail (</w:t>
      </w:r>
      <w:r>
        <w:rPr>
          <w:rFonts w:cs="Arial"/>
        </w:rPr>
        <w:t>Kumar, 2023</w:t>
      </w:r>
      <w:r>
        <w:rPr>
          <w:rFonts w:cs="Arial"/>
          <w:lang w:val="en-IN"/>
        </w:rPr>
        <w:t>). Restrictions on multi-brand retail reflect concerns about the impact of large foreign retailers on smaller domestic businesses. Therefore, ALDI would need to demonstrate that its investment contributes to local sourcing, employment, logistics infrastructure and supplier development rather than simply displacing existing retailers.</w:t>
      </w:r>
    </w:p>
    <w:p>
      <w:pPr>
        <w:pStyle w:val="Normal"/>
        <w:rPr>
          <w:rFonts w:cs="Arial"/>
          <w:lang w:val="en-IN"/>
        </w:rPr>
      </w:pPr>
      <w:r>
        <w:rPr>
          <w:rFonts w:cs="Arial"/>
          <w:lang w:val="en-IN"/>
        </w:rPr>
        <w:t xml:space="preserve">India's political environment can be considered </w:t>
      </w:r>
      <w:r>
        <w:rPr>
          <w:rFonts w:cs="Arial"/>
          <w:b/>
          <w:bCs/>
          <w:lang w:val="en-IN"/>
        </w:rPr>
        <w:t>moderately favourable but institutionally restrictive for ALDI</w:t>
      </w:r>
      <w:r>
        <w:rPr>
          <w:rFonts w:cs="Arial"/>
          <w:lang w:val="en-IN"/>
        </w:rPr>
        <w:t>. The major issue is not political instability itself but the regulatory structure surrounding foreign participation in multi-brand retail. This makes partnership, local sourcing and infrastructure investment central to ALDI's potential entry strategy.</w:t>
      </w:r>
    </w:p>
    <w:p>
      <w:pPr>
        <w:pStyle w:val="Heading2"/>
        <w:rPr>
          <w:rFonts w:cs="Arial"/>
        </w:rPr>
      </w:pPr>
      <w:bookmarkStart w:id="7" w:name="__RefHeading___Toc6343_621937267"/>
      <w:bookmarkStart w:id="8" w:name="_Toc237544011"/>
      <w:bookmarkEnd w:id="7"/>
      <w:r>
        <w:rPr>
          <w:rFonts w:cs="Arial"/>
        </w:rPr>
        <w:t>2.2 Economic Environment</w:t>
      </w:r>
      <w:bookmarkEnd w:id="8"/>
    </w:p>
    <w:p>
      <w:pPr>
        <w:pStyle w:val="Normal"/>
        <w:rPr>
          <w:rFonts w:cs="Arial"/>
          <w:lang w:val="en-IN"/>
        </w:rPr>
      </w:pPr>
      <w:r>
        <w:rPr>
          <w:rFonts w:cs="Arial"/>
          <w:lang w:val="en-IN"/>
        </w:rPr>
        <w:t xml:space="preserve">India's economic environment provides one of the strongest arguments for considering ALDI's entry. The World Bank reported that India's economy grew by </w:t>
      </w:r>
      <w:r>
        <w:rPr>
          <w:rFonts w:cs="Arial"/>
          <w:b/>
          <w:bCs/>
          <w:lang w:val="en-IN"/>
        </w:rPr>
        <w:t>7.6% in FY2026</w:t>
      </w:r>
      <w:r>
        <w:rPr>
          <w:rFonts w:cs="Arial"/>
          <w:lang w:val="en-IN"/>
        </w:rPr>
        <w:t xml:space="preserve">, making it the fastest-growing major economy, while growth of around </w:t>
      </w:r>
      <w:r>
        <w:rPr>
          <w:rFonts w:cs="Arial"/>
          <w:b/>
          <w:bCs/>
          <w:lang w:val="en-IN"/>
        </w:rPr>
        <w:t xml:space="preserve">6.6% was projected for FY2027 </w:t>
      </w:r>
      <w:r>
        <w:rPr>
          <w:rFonts w:cs="Arial"/>
          <w:lang w:val="en-IN"/>
        </w:rPr>
        <w:t>(</w:t>
      </w:r>
      <w:r>
        <w:rPr>
          <w:rFonts w:cs="Arial"/>
        </w:rPr>
        <w:t>World Bank Group, 2026</w:t>
      </w:r>
      <w:r>
        <w:rPr>
          <w:rFonts w:cs="Arial"/>
          <w:lang w:val="en-IN"/>
        </w:rPr>
        <w:t xml:space="preserve">). The country's macroeconomic resilience, stable employment conditions and strong domestic demand create a favourable foundation for consumer-oriented businesses. More recent estimates indicate that India's economy expanded by </w:t>
      </w:r>
      <w:r>
        <w:rPr>
          <w:rFonts w:cs="Arial"/>
          <w:b/>
          <w:bCs/>
          <w:lang w:val="en-IN"/>
        </w:rPr>
        <w:t>7.7% during FY2026</w:t>
      </w:r>
      <w:r>
        <w:rPr>
          <w:rFonts w:cs="Arial"/>
          <w:lang w:val="en-IN"/>
        </w:rPr>
        <w:t xml:space="preserve">, although analysts expect some moderation because of external energy and geopolitical pressures. </w:t>
      </w:r>
    </w:p>
    <w:p>
      <w:pPr>
        <w:pStyle w:val="Normal"/>
        <w:rPr>
          <w:rFonts w:cs="Arial"/>
          <w:lang w:val="en-IN"/>
        </w:rPr>
      </w:pPr>
      <w:r>
        <w:rPr>
          <w:rFonts w:cs="Arial"/>
          <w:lang w:val="en-IN"/>
        </w:rPr>
        <w:t xml:space="preserve">For ALDI, economic growth matters because the company's business model is based on selling frequently purchased consumer products at competitive prices. Strong economic expansion can increase household purchasing power and expand the addressable market for organised grocery retail. India's private final consumption expenditure was estimated to account for around </w:t>
      </w:r>
      <w:r>
        <w:rPr>
          <w:rFonts w:cs="Arial"/>
          <w:b/>
          <w:bCs/>
          <w:lang w:val="en-IN"/>
        </w:rPr>
        <w:t>61.5% of GDP in FY2026</w:t>
      </w:r>
      <w:r>
        <w:rPr>
          <w:rFonts w:cs="Arial"/>
          <w:lang w:val="en-IN"/>
        </w:rPr>
        <w:t>, demonstrating the importance of household consumption to the economy (</w:t>
      </w:r>
      <w:r>
        <w:rPr>
          <w:rFonts w:cs="Arial"/>
        </w:rPr>
        <w:t>Pib, 2026</w:t>
      </w:r>
      <w:r>
        <w:rPr>
          <w:rFonts w:cs="Arial"/>
          <w:lang w:val="en-IN"/>
        </w:rPr>
        <w:t>). This is particularly relevant to ALDI because grocery retail depends more on recurring household expenditure than on occasional discretionary purchases.</w:t>
      </w:r>
    </w:p>
    <w:p>
      <w:pPr>
        <w:pStyle w:val="Normal"/>
        <w:rPr>
          <w:rFonts w:cs="Arial"/>
          <w:lang w:val="en-IN"/>
        </w:rPr>
      </w:pPr>
      <w:r>
        <w:rPr>
          <w:rFonts w:cs="Arial"/>
          <w:lang w:val="en-IN"/>
        </w:rPr>
        <w:t xml:space="preserve">India's retail market is also undergoing structural transformation. The retail industry was estimated at approximately </w:t>
      </w:r>
      <w:r>
        <w:rPr>
          <w:rFonts w:cs="Arial"/>
          <w:b/>
          <w:bCs/>
          <w:lang w:val="en-IN"/>
        </w:rPr>
        <w:t>US$1.06 trillion in 2024</w:t>
      </w:r>
      <w:r>
        <w:rPr>
          <w:rFonts w:cs="Arial"/>
          <w:lang w:val="en-IN"/>
        </w:rPr>
        <w:t xml:space="preserve"> and is projected to reach around </w:t>
      </w:r>
      <w:r>
        <w:rPr>
          <w:rFonts w:cs="Arial"/>
          <w:b/>
          <w:bCs/>
          <w:lang w:val="en-IN"/>
        </w:rPr>
        <w:t>US$1.93 trillion by 2030</w:t>
      </w:r>
      <w:r>
        <w:rPr>
          <w:rFonts w:cs="Arial"/>
          <w:lang w:val="en-IN"/>
        </w:rPr>
        <w:t>, according to figures reported by Reliance Retail from the Deloitte-FICCI outlook (</w:t>
      </w:r>
      <w:r>
        <w:rPr>
          <w:rFonts w:cs="Arial"/>
        </w:rPr>
        <w:t>IBEF, 2025</w:t>
      </w:r>
      <w:r>
        <w:rPr>
          <w:rFonts w:cs="Arial"/>
          <w:lang w:val="en-IN"/>
        </w:rPr>
        <w:t>). IBEF similarly identifies rising incomes, urbanisation, digital adoption and changing consumer preferences as important drivers of organised retail expansion. This creates an attractive location advantage for ALDI because the company's discount model could address consumers seeking quality products at lower prices while the overall market is becoming more organised.</w:t>
      </w:r>
    </w:p>
    <w:p>
      <w:pPr>
        <w:pStyle w:val="Normal"/>
        <w:rPr>
          <w:rFonts w:cs="Arial"/>
          <w:lang w:val="en-IN"/>
        </w:rPr>
      </w:pPr>
      <w:r>
        <w:rPr>
          <w:rFonts w:cs="Arial"/>
          <w:lang w:val="en-IN"/>
        </w:rPr>
        <w:t xml:space="preserve">However, </w:t>
      </w:r>
      <w:r>
        <w:rPr>
          <w:rFonts w:cs="Arial"/>
          <w:b/>
          <w:bCs/>
          <w:lang w:val="en-IN"/>
        </w:rPr>
        <w:t>market size alone does not guarantee profitability</w:t>
      </w:r>
      <w:r>
        <w:rPr>
          <w:rFonts w:cs="Arial"/>
          <w:lang w:val="en-IN"/>
        </w:rPr>
        <w:t xml:space="preserve">. India's retail market remains highly competitive and fragmented. Reliance Retail reported more than </w:t>
      </w:r>
      <w:r>
        <w:rPr>
          <w:rFonts w:cs="Arial"/>
          <w:b/>
          <w:bCs/>
          <w:lang w:val="en-IN"/>
        </w:rPr>
        <w:t>20,000 stores and 387 million registered customers in FY2025–26</w:t>
      </w:r>
      <w:r>
        <w:rPr>
          <w:rFonts w:cs="Arial"/>
          <w:lang w:val="en-IN"/>
        </w:rPr>
        <w:t>, demonstrating the scale of an established domestic competitor (</w:t>
      </w:r>
      <w:r>
        <w:rPr>
          <w:rFonts w:cs="Arial"/>
        </w:rPr>
        <w:t>RIL, 2026</w:t>
      </w:r>
      <w:r>
        <w:rPr>
          <w:rFonts w:cs="Arial"/>
          <w:lang w:val="en-IN"/>
        </w:rPr>
        <w:t>). ALDI would therefore enter a market where an established competitor already possesses purchasing scale, extensive physical infrastructure, supplier relationships and customer recognition.</w:t>
      </w:r>
    </w:p>
    <w:p>
      <w:pPr>
        <w:pStyle w:val="Normal"/>
        <w:rPr>
          <w:rFonts w:cs="Arial"/>
          <w:lang w:val="en-IN"/>
        </w:rPr>
      </w:pPr>
      <w:r>
        <w:rPr>
          <w:rFonts w:cs="Arial"/>
          <w:lang w:val="en-IN"/>
        </w:rPr>
        <w:t xml:space="preserve">The economic opportunity is further complicated by the rapid growth of </w:t>
      </w:r>
      <w:r>
        <w:rPr>
          <w:rFonts w:cs="Arial"/>
          <w:b/>
          <w:bCs/>
          <w:lang w:val="en-IN"/>
        </w:rPr>
        <w:t>quick commerce</w:t>
      </w:r>
      <w:r>
        <w:rPr>
          <w:rFonts w:cs="Arial"/>
          <w:lang w:val="en-IN"/>
        </w:rPr>
        <w:t>. In 2024, quick-commerce platforms accounted for more than two-thirds of India's e-grocery orders (</w:t>
      </w:r>
      <w:r>
        <w:rPr>
          <w:rFonts w:cs="Arial"/>
        </w:rPr>
        <w:t>Rueters, 2025</w:t>
      </w:r>
      <w:r>
        <w:rPr>
          <w:rFonts w:cs="Arial"/>
          <w:lang w:val="en-IN"/>
        </w:rPr>
        <w:t>). This changes the competitive basis of grocery retail. ALDI's traditional strength is efficient physical stores and low prices, whereas quick-commerce businesses compete through convenience and rapid delivery. Therefore, ALDI could not rely exclusively on physical stores. It would need an omnichannel model involving online ordering, digital promotions and potentially partnerships with delivery platforms.</w:t>
      </w:r>
    </w:p>
    <w:p>
      <w:pPr>
        <w:pStyle w:val="Normal"/>
        <w:rPr>
          <w:rFonts w:cs="Arial"/>
          <w:lang w:val="en-IN"/>
        </w:rPr>
      </w:pPr>
      <w:r>
        <w:rPr>
          <w:rFonts w:cs="Arial"/>
          <w:lang w:val="en-IN"/>
        </w:rPr>
        <w:t>Inflation also creates a two-sided effect. Higher food and household costs can increase consumers' sensitivity to price, potentially strengthening ALDI's value proposition. However, inflation simultaneously raises procurement, transportation, labour and operating costs. ALDI's cost leadership could therefore become a competitive advantage only if its highly efficient supply-chain model can offset these pressures (</w:t>
      </w:r>
      <w:r>
        <w:rPr>
          <w:rFonts w:cs="Arial"/>
        </w:rPr>
        <w:t>Dujak, 2025)</w:t>
      </w:r>
      <w:r>
        <w:rPr>
          <w:rFonts w:cs="Arial"/>
          <w:lang w:val="en-IN"/>
        </w:rPr>
        <w:t xml:space="preserve">. The exchange rate is another consideration. A depreciation of the Indian rupee against the euro could increase the cost of imported products and reduce the value of profits repatriated to Europe. ALDI could reduce this exposure through </w:t>
      </w:r>
      <w:r>
        <w:rPr>
          <w:rFonts w:cs="Arial"/>
          <w:b/>
          <w:bCs/>
          <w:lang w:val="en-IN"/>
        </w:rPr>
        <w:t>local sourcing</w:t>
      </w:r>
      <w:r>
        <w:rPr>
          <w:rFonts w:cs="Arial"/>
          <w:lang w:val="en-IN"/>
        </w:rPr>
        <w:t>, which would also support compliance with India's retail regulations. Consequently, local sourcing should not be viewed only as a regulatory requirement; it could also be an economic risk-management strategy.</w:t>
      </w:r>
    </w:p>
    <w:p>
      <w:pPr>
        <w:pStyle w:val="Normal"/>
        <w:rPr>
          <w:rFonts w:cs="Arial"/>
          <w:lang w:val="en-IN"/>
        </w:rPr>
      </w:pPr>
      <w:r>
        <w:rPr>
          <w:rFonts w:cs="Arial"/>
          <w:lang w:val="en-IN"/>
        </w:rPr>
        <w:t xml:space="preserve">India's economic environment is </w:t>
      </w:r>
      <w:r>
        <w:rPr>
          <w:rFonts w:cs="Arial"/>
          <w:b/>
          <w:bCs/>
          <w:lang w:val="en-IN"/>
        </w:rPr>
        <w:t>highly attractive but intensely competitive</w:t>
      </w:r>
      <w:r>
        <w:rPr>
          <w:rFonts w:cs="Arial"/>
          <w:lang w:val="en-IN"/>
        </w:rPr>
        <w:t>. Strong economic growth, consumption expenditure and retail expansion provide substantial demand potential, but ALDI would need to differentiate itself through cost efficiency, private-label products, local sourcing and an omnichannel proposition rather than simply competing on store presence.</w:t>
      </w:r>
    </w:p>
    <w:p>
      <w:pPr>
        <w:pStyle w:val="Heading2"/>
        <w:rPr>
          <w:rFonts w:cs="Arial"/>
        </w:rPr>
      </w:pPr>
      <w:bookmarkStart w:id="9" w:name="__RefHeading___Toc6345_621937267"/>
      <w:bookmarkStart w:id="10" w:name="_Toc237544012"/>
      <w:bookmarkEnd w:id="9"/>
      <w:r>
        <w:rPr>
          <w:rFonts w:cs="Arial"/>
        </w:rPr>
        <w:t>2.3 Legal Environment</w:t>
      </w:r>
      <w:bookmarkEnd w:id="10"/>
    </w:p>
    <w:p>
      <w:pPr>
        <w:pStyle w:val="Normal"/>
        <w:rPr>
          <w:rFonts w:cs="Arial"/>
          <w:lang w:val="en-IN"/>
        </w:rPr>
      </w:pPr>
      <w:r>
        <w:rPr>
          <w:rFonts w:cs="Arial"/>
          <w:lang w:val="en-IN"/>
        </w:rPr>
        <w:t xml:space="preserve">The legal environment represents one of the most significant constraints on ALDI's potential Indian expansion. The first issue is </w:t>
      </w:r>
      <w:r>
        <w:rPr>
          <w:rFonts w:cs="Arial"/>
          <w:b/>
          <w:bCs/>
          <w:lang w:val="en-IN"/>
        </w:rPr>
        <w:t>foreign ownership in multi-brand retail</w:t>
      </w:r>
      <w:r>
        <w:rPr>
          <w:rFonts w:cs="Arial"/>
          <w:lang w:val="en-IN"/>
        </w:rPr>
        <w:t>. India's policy permits up to 51% FDI in multi-brand retail through the Government route rather than allowing unrestricted foreign ownership (Pib, 20211). This means that ALDI would need to structure its Indian operation around the regulatory requirement rather than automatically selecting its preferred wholly owned subsidiary model.</w:t>
      </w:r>
    </w:p>
    <w:p>
      <w:pPr>
        <w:pStyle w:val="Normal"/>
        <w:rPr>
          <w:rFonts w:cs="Arial"/>
          <w:lang w:val="en-IN"/>
        </w:rPr>
      </w:pPr>
      <w:r>
        <w:rPr>
          <w:rFonts w:cs="Arial"/>
          <w:lang w:val="en-IN"/>
        </w:rPr>
        <w:t xml:space="preserve">A further requirement is the emphasis on </w:t>
      </w:r>
      <w:r>
        <w:rPr>
          <w:rFonts w:cs="Arial"/>
          <w:b/>
          <w:bCs/>
          <w:lang w:val="en-IN"/>
        </w:rPr>
        <w:t>Indian sourcing</w:t>
      </w:r>
      <w:r>
        <w:rPr>
          <w:rFonts w:cs="Arial"/>
          <w:lang w:val="en-IN"/>
        </w:rPr>
        <w:t>. India's policy requires at least 30% of the value of procurement of manufactured or processed products to be sourced from Indian micro, small and medium industries under the multi-brand retail framework (</w:t>
      </w:r>
      <w:r>
        <w:rPr>
          <w:rFonts w:cs="Arial"/>
        </w:rPr>
        <w:t>Pib, 2019</w:t>
      </w:r>
      <w:r>
        <w:rPr>
          <w:rFonts w:cs="Arial"/>
          <w:lang w:val="en-IN"/>
        </w:rPr>
        <w:t>). For ALDI, this requirement could initially increase supplier-development and compliance costs, but it could also strengthen the business model over the longer term. ALDI is highly dependent on private-label products and efficient procurement; developing Indian suppliers could therefore reduce import dependence and transport costs while creating products better suited to local consumers.</w:t>
      </w:r>
    </w:p>
    <w:p>
      <w:pPr>
        <w:pStyle w:val="Normal"/>
        <w:rPr>
          <w:rFonts w:cs="Arial"/>
          <w:lang w:val="en-IN"/>
        </w:rPr>
      </w:pPr>
      <w:r>
        <w:rPr>
          <w:rFonts w:cs="Arial"/>
          <w:lang w:val="en-IN"/>
        </w:rPr>
        <w:t>Food safety represents another major legal requirement. The Food Safety and Standards Authority of India (FSSAI) states that every food business operator must obtain the appropriate licence or registration under the Food Safety and Standards framework (</w:t>
      </w:r>
      <w:r>
        <w:rPr>
          <w:rFonts w:cs="Arial"/>
        </w:rPr>
        <w:t xml:space="preserve">Dhara </w:t>
      </w:r>
      <w:r>
        <w:rPr>
          <w:rFonts w:cs="Arial"/>
          <w:i/>
          <w:iCs/>
        </w:rPr>
        <w:t>et al.,</w:t>
      </w:r>
      <w:r>
        <w:rPr>
          <w:rFonts w:cs="Arial"/>
        </w:rPr>
        <w:t xml:space="preserve"> 2021</w:t>
      </w:r>
      <w:r>
        <w:rPr>
          <w:rFonts w:cs="Arial"/>
          <w:lang w:val="en-IN"/>
        </w:rPr>
        <w:t>). The system applies to food businesses including retailers, distributors, wholesalers and other operators. For ALDI, this means that its supermarket operations, imported food products, private-label goods and distribution activities would require systematic regulatory compliance.</w:t>
      </w:r>
    </w:p>
    <w:p>
      <w:pPr>
        <w:pStyle w:val="Normal"/>
        <w:rPr>
          <w:rFonts w:cs="Arial"/>
          <w:lang w:val="en-IN"/>
        </w:rPr>
      </w:pPr>
      <w:r>
        <w:rPr>
          <w:rFonts w:cs="Arial"/>
          <w:lang w:val="en-IN"/>
        </w:rPr>
        <w:t>This is particularly relevant because ALDI's private-label strategy means that the company would have substantial responsibility for the products sold under its own brands. Product formulation, labelling, packaging and food safety would need to comply with Indian standards. The FSSAI's regulatory activity in 2026 also demonstrates that food labelling and packaging compliance remains an active enforcement issue (</w:t>
      </w:r>
      <w:r>
        <w:rPr>
          <w:rFonts w:cs="Arial"/>
        </w:rPr>
        <w:t>Prabha, 2026</w:t>
      </w:r>
      <w:r>
        <w:rPr>
          <w:rFonts w:cs="Arial"/>
          <w:lang w:val="en-IN"/>
        </w:rPr>
        <w:t>). Therefore, ALDI should establish strong local compliance capabilities before scaling its Indian operations.</w:t>
      </w:r>
    </w:p>
    <w:p>
      <w:pPr>
        <w:pStyle w:val="Normal"/>
        <w:rPr>
          <w:rFonts w:cs="Arial"/>
          <w:lang w:val="en-IN"/>
        </w:rPr>
      </w:pPr>
      <w:r>
        <w:rPr>
          <w:rFonts w:cs="Arial"/>
          <w:lang w:val="en-IN"/>
        </w:rPr>
        <w:t>Competition regulation is another important consideration because ALDI would enter a market containing large retailers such as Reliance and DMart as well as numerous smaller retailers. The company would need to ensure that its pricing, supplier relationships, procurement practices and promotional activities comply with Indian competition and consumer-protection requirements.</w:t>
      </w:r>
    </w:p>
    <w:p>
      <w:pPr>
        <w:pStyle w:val="Normal"/>
        <w:rPr>
          <w:rFonts w:cs="Arial"/>
          <w:lang w:val="en-IN"/>
        </w:rPr>
      </w:pPr>
      <w:r>
        <w:rPr>
          <w:rFonts w:cs="Arial"/>
          <w:lang w:val="en-IN"/>
        </w:rPr>
        <w:t>Taxation is also relevant. GST affects the pricing and distribution of goods across India's supply chain, while customs duties may influence imported products (</w:t>
      </w:r>
      <w:r>
        <w:rPr>
          <w:rFonts w:cs="Arial"/>
        </w:rPr>
        <w:t>Hoda, 2020</w:t>
      </w:r>
      <w:r>
        <w:rPr>
          <w:rFonts w:cs="Arial"/>
          <w:lang w:val="en-IN"/>
        </w:rPr>
        <w:t>). A supermarket model based excessively on imported products could therefore become more expensive than one built around domestic sourcing. This reinforces the argument that ALDI should develop Indian suppliers rather than simply export its European product range into India.</w:t>
      </w:r>
    </w:p>
    <w:p>
      <w:pPr>
        <w:pStyle w:val="Normal"/>
        <w:rPr>
          <w:rFonts w:cs="Arial"/>
          <w:lang w:val="en-IN"/>
        </w:rPr>
      </w:pPr>
      <w:r>
        <w:rPr>
          <w:rFonts w:cs="Arial"/>
          <w:lang w:val="en-IN"/>
        </w:rPr>
        <w:t xml:space="preserve">India's legal environment creates </w:t>
      </w:r>
      <w:r>
        <w:rPr>
          <w:rFonts w:cs="Arial"/>
          <w:b/>
          <w:bCs/>
          <w:lang w:val="en-IN"/>
        </w:rPr>
        <w:t>high entry complexity but also provides a clear framework for responsible market entry</w:t>
      </w:r>
      <w:r>
        <w:rPr>
          <w:rFonts w:cs="Arial"/>
          <w:lang w:val="en-IN"/>
        </w:rPr>
        <w:t>. The major legal challenge is the restriction on foreign participation in multi-brand retail, while food safety, sourcing, taxation and competition requirements increase operational complexity. However, ALDI's international supply-chain expertise means these requirements could potentially become manageable if the company invests in local compliance and supplier development.</w:t>
      </w:r>
    </w:p>
    <w:p>
      <w:pPr>
        <w:pStyle w:val="Heading2"/>
        <w:rPr>
          <w:rFonts w:cs="Arial"/>
        </w:rPr>
      </w:pPr>
      <w:bookmarkStart w:id="11" w:name="__RefHeading___Toc6347_621937267"/>
      <w:bookmarkStart w:id="12" w:name="_Toc237544013"/>
      <w:bookmarkEnd w:id="11"/>
      <w:r>
        <w:rPr>
          <w:rFonts w:cs="Arial"/>
        </w:rPr>
        <w:t>2.4 Cultural Environment</w:t>
      </w:r>
      <w:bookmarkEnd w:id="12"/>
    </w:p>
    <w:p>
      <w:pPr>
        <w:pStyle w:val="Normal"/>
        <w:rPr>
          <w:rFonts w:cs="Arial"/>
          <w:lang w:val="en-IN"/>
        </w:rPr>
      </w:pPr>
      <w:r>
        <w:rPr>
          <w:rFonts w:cs="Arial"/>
          <w:lang w:val="en-IN"/>
        </w:rPr>
        <w:t>Culture is arguably one of the most important factors determining whether ALDI's established European discount model can succeed in India. Unlike a market where consumer preferences are relatively homogeneous, India contains substantial regional variation in food habits, languages, purchasing behaviour and dietary preferences (</w:t>
      </w:r>
      <w:r>
        <w:rPr>
          <w:rFonts w:cs="Arial"/>
        </w:rPr>
        <w:t xml:space="preserve">Kane-Potaka </w:t>
      </w:r>
      <w:r>
        <w:rPr>
          <w:rFonts w:cs="Arial"/>
          <w:i/>
          <w:iCs/>
        </w:rPr>
        <w:t>et al.,</w:t>
      </w:r>
      <w:r>
        <w:rPr>
          <w:rFonts w:cs="Arial"/>
        </w:rPr>
        <w:t xml:space="preserve"> 2021</w:t>
      </w:r>
      <w:r>
        <w:rPr>
          <w:rFonts w:cs="Arial"/>
          <w:lang w:val="en-IN"/>
        </w:rPr>
        <w:t>). Consequently, simply transferring ALDI's European assortment to India would create a significant risk of product-market mismatch.</w:t>
      </w:r>
    </w:p>
    <w:p>
      <w:pPr>
        <w:pStyle w:val="Normal"/>
        <w:rPr>
          <w:rFonts w:cs="Arial"/>
          <w:lang w:val="en-IN"/>
        </w:rPr>
      </w:pPr>
      <w:r>
        <w:rPr>
          <w:rFonts w:cs="Arial"/>
          <w:lang w:val="en-IN"/>
        </w:rPr>
        <w:t xml:space="preserve">One of the most important differences concerns </w:t>
      </w:r>
      <w:r>
        <w:rPr>
          <w:rFonts w:cs="Arial"/>
          <w:b/>
          <w:bCs/>
          <w:lang w:val="en-IN"/>
        </w:rPr>
        <w:t>food preferences</w:t>
      </w:r>
      <w:r>
        <w:rPr>
          <w:rFonts w:cs="Arial"/>
          <w:lang w:val="en-IN"/>
        </w:rPr>
        <w:t>. Indian consumers have diverse dietary practices, including substantial demand for vegetarian food alongside regional preferences for dairy, grains, pulses, spices, snacks and different forms of meat. ALDI would therefore need to develop a product assortment reflecting local consumption patterns rather than treating India as a single national food market. This does not mean abandoning its standardised model; instead, it means adapting the assortment while retaining its underlying cost structure.</w:t>
      </w:r>
    </w:p>
    <w:p>
      <w:pPr>
        <w:pStyle w:val="Normal"/>
        <w:rPr>
          <w:rFonts w:cs="Arial"/>
          <w:lang w:val="en-IN"/>
        </w:rPr>
      </w:pPr>
      <w:r>
        <w:rPr>
          <w:rFonts w:cs="Arial"/>
          <w:lang w:val="en-IN"/>
        </w:rPr>
        <w:t xml:space="preserve">Consumer attitudes towards </w:t>
      </w:r>
      <w:r>
        <w:rPr>
          <w:rFonts w:cs="Arial"/>
          <w:b/>
          <w:bCs/>
          <w:lang w:val="en-IN"/>
        </w:rPr>
        <w:t>value and affordability</w:t>
      </w:r>
      <w:r>
        <w:rPr>
          <w:rFonts w:cs="Arial"/>
          <w:lang w:val="en-IN"/>
        </w:rPr>
        <w:t xml:space="preserve"> create an important opportunity. PwC's 2025 India consumer research indicates that affordability, nutrition and sustainability are increasingly important to food consumers, while local produce and digital grocery platforms are also gaining relevance. This aligns closely with ALDI's value-for-money positioning. However, affordability in India is not simply about low prices. Consumers may also value freshness, convenience, familiarity and personalised relationships.</w:t>
      </w:r>
    </w:p>
    <w:p>
      <w:pPr>
        <w:pStyle w:val="Normal"/>
        <w:rPr>
          <w:rFonts w:cs="Arial"/>
          <w:lang w:val="en-IN"/>
        </w:rPr>
      </w:pPr>
      <w:r>
        <w:rPr>
          <w:rFonts w:cs="Arial"/>
          <w:lang w:val="en-IN"/>
        </w:rPr>
        <w:t xml:space="preserve">This is where the </w:t>
      </w:r>
      <w:r>
        <w:rPr>
          <w:rFonts w:cs="Arial"/>
          <w:b/>
          <w:bCs/>
          <w:lang w:val="en-IN"/>
        </w:rPr>
        <w:t>kirana ecosystem</w:t>
      </w:r>
      <w:r>
        <w:rPr>
          <w:rFonts w:cs="Arial"/>
          <w:lang w:val="en-IN"/>
        </w:rPr>
        <w:t xml:space="preserve"> becomes strategically important (</w:t>
      </w:r>
      <w:r>
        <w:rPr>
          <w:rFonts w:cs="Arial"/>
        </w:rPr>
        <w:t>Saxena, 2025</w:t>
      </w:r>
      <w:r>
        <w:rPr>
          <w:rFonts w:cs="Arial"/>
          <w:lang w:val="en-IN"/>
        </w:rPr>
        <w:t xml:space="preserve">). Traditional neighbourhood stores have historically provided convenience, familiarity, flexible purchasing and sometimes informal credit. ALDI's limited-assortment supermarket format may therefore struggle if it attempts to compete only through price. The company needs to provide a sufficiently strong combination of </w:t>
      </w:r>
      <w:r>
        <w:rPr>
          <w:rFonts w:cs="Arial"/>
          <w:b/>
          <w:bCs/>
          <w:lang w:val="en-IN"/>
        </w:rPr>
        <w:t>price, quality, convenience and product relevance</w:t>
      </w:r>
      <w:r>
        <w:rPr>
          <w:rFonts w:cs="Arial"/>
          <w:lang w:val="en-IN"/>
        </w:rPr>
        <w:t>.</w:t>
      </w:r>
    </w:p>
    <w:p>
      <w:pPr>
        <w:pStyle w:val="Normal"/>
        <w:rPr>
          <w:rFonts w:cs="Arial"/>
          <w:lang w:val="en-IN"/>
        </w:rPr>
      </w:pPr>
      <w:r>
        <w:rPr>
          <w:rFonts w:cs="Arial"/>
          <w:lang w:val="en-IN"/>
        </w:rPr>
        <w:t>The rapid growth of digital grocery also changes cultural expectations. Indian consumers increasingly expect convenience and fast fulfilment. Reliance's 2025–26 retail reporting highlights the growing importance of hyper-local commerce, while quick-commerce platforms have changed grocery shopping behaviour in major cities (RIL, 2026). ALDI therefore needs to consider digital access as part of its cultural adaptation rather than treating online retail as a separate activity.</w:t>
      </w:r>
    </w:p>
    <w:p>
      <w:pPr>
        <w:pStyle w:val="Normal"/>
        <w:rPr>
          <w:rFonts w:cs="Arial"/>
          <w:lang w:val="en-IN"/>
        </w:rPr>
      </w:pPr>
      <w:r>
        <w:rPr>
          <w:rFonts w:cs="Arial"/>
          <w:lang w:val="en-IN"/>
        </w:rPr>
        <w:t xml:space="preserve">The strongest cultural strategy would therefore be </w:t>
      </w:r>
      <w:r>
        <w:rPr>
          <w:rFonts w:cs="Arial"/>
          <w:b/>
          <w:bCs/>
          <w:lang w:val="en-IN"/>
        </w:rPr>
        <w:t>selective adaptation</w:t>
      </w:r>
      <w:r>
        <w:rPr>
          <w:rFonts w:cs="Arial"/>
          <w:lang w:val="en-IN"/>
        </w:rPr>
        <w:t>. ALDI should retain its core identity that limited assortment, private labels, efficient stores and competitive pricing but adapt products, pack sizes, flavours, vegetarian ranges and local sourcing to Indian consumers.</w:t>
      </w:r>
    </w:p>
    <w:p>
      <w:pPr>
        <w:pStyle w:val="Heading2"/>
        <w:rPr>
          <w:rFonts w:cs="Arial"/>
        </w:rPr>
      </w:pPr>
      <w:bookmarkStart w:id="13" w:name="__RefHeading___Toc6349_621937267"/>
      <w:bookmarkStart w:id="14" w:name="_Toc237544014"/>
      <w:bookmarkEnd w:id="13"/>
      <w:r>
        <w:rPr>
          <w:rFonts w:cs="Arial"/>
        </w:rPr>
        <w:t>2.5 Overall Market Attractiveness</w:t>
      </w:r>
      <w:bookmarkEnd w:id="14"/>
    </w:p>
    <w:p>
      <w:pPr>
        <w:pStyle w:val="Normal"/>
        <w:rPr>
          <w:rFonts w:cs="Arial"/>
          <w:lang w:val="en-IN"/>
        </w:rPr>
      </w:pPr>
      <w:r>
        <w:rPr>
          <w:rFonts w:cs="Arial"/>
          <w:lang w:val="en-IN"/>
        </w:rPr>
        <w:t xml:space="preserve">The combined analysis indicates that </w:t>
      </w:r>
      <w:r>
        <w:rPr>
          <w:rFonts w:cs="Arial"/>
          <w:b/>
          <w:bCs/>
          <w:lang w:val="en-IN"/>
        </w:rPr>
        <w:t>India is an attractive but high-complexity market for ALDI</w:t>
      </w:r>
      <w:r>
        <w:rPr>
          <w:rFonts w:cs="Arial"/>
          <w:lang w:val="en-IN"/>
        </w:rPr>
        <w:t>.</w:t>
      </w:r>
    </w:p>
    <w:tbl>
      <w:tblPr>
        <w:tblStyle w:val="ListTable4-Accent6"/>
        <w:tblW w:w="9016" w:type="dxa"/>
        <w:jc w:val="start"/>
        <w:tblInd w:w="0" w:type="dxa"/>
        <w:tblLayout w:type="fixed"/>
        <w:tblCellMar>
          <w:top w:w="0" w:type="dxa"/>
          <w:start w:w="108" w:type="dxa"/>
          <w:bottom w:w="0" w:type="dxa"/>
          <w:end w:w="108" w:type="dxa"/>
        </w:tblCellMar>
        <w:tblLook w:firstRow="1" w:noVBand="1" w:lastRow="0" w:firstColumn="1" w:lastColumn="0" w:noHBand="0" w:val="04a0"/>
      </w:tblPr>
      <w:tblGrid>
        <w:gridCol w:w="1615"/>
        <w:gridCol w:w="3594"/>
        <w:gridCol w:w="3807"/>
      </w:tblGrid>
      <w:tr>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Borders>
              <w:top w:val="single" w:sz="4" w:space="0" w:color="4EA72E"/>
              <w:start w:val="single" w:sz="4" w:space="0" w:color="4EA72E"/>
              <w:bottom w:val="single" w:sz="4" w:space="0" w:color="4EA72E"/>
              <w:end w:val="single" w:sz="4" w:space="0" w:color="4EA72E"/>
            </w:tcBorders>
            <w:shd w:color="auto" w:fill="4EA72E" w:themeFill="accent6" w:val="clear"/>
          </w:tcPr>
          <w:p>
            <w:pPr>
              <w:pStyle w:val="NoSpacing"/>
              <w:widowControl/>
              <w:spacing w:before="0" w:after="0"/>
              <w:rPr>
                <w:rFonts w:ascii="Arial" w:hAnsi="Arial" w:cs="Arial"/>
                <w:lang w:val="en-IN"/>
              </w:rPr>
            </w:pPr>
            <w:r>
              <w:rPr>
                <w:rFonts w:eastAsia="Aptos" w:cs="Arial" w:ascii="Arial" w:hAnsi="Arial"/>
                <w:b/>
                <w:bCs/>
                <w:color w:themeColor="background1" w:val="FFFFFF"/>
                <w:kern w:val="0"/>
                <w:szCs w:val="22"/>
                <w:lang w:val="en-IN" w:eastAsia="en-US" w:bidi="ar-SA"/>
              </w:rPr>
              <w:t>Factor</w:t>
            </w:r>
          </w:p>
        </w:tc>
        <w:tc>
          <w:tcPr>
            <w:tcW w:w="3594" w:type="dxa"/>
            <w:tcBorders>
              <w:top w:val="single" w:sz="4" w:space="0" w:color="4EA72E"/>
              <w:start w:val="single" w:sz="4" w:space="0" w:color="4EA72E"/>
              <w:bottom w:val="single" w:sz="4" w:space="0" w:color="4EA72E"/>
              <w:end w:val="single" w:sz="4" w:space="0" w:color="4EA72E"/>
            </w:tcBorders>
            <w:shd w:color="auto" w:fill="4EA72E" w:themeFill="accent6" w:val="clear"/>
          </w:tcPr>
          <w:p>
            <w:pPr>
              <w:pStyle w:val="NoSpacing"/>
              <w:widowControl/>
              <w:spacing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Opportunity</w:t>
            </w:r>
          </w:p>
        </w:tc>
        <w:tc>
          <w:tcPr>
            <w:tcW w:w="3807" w:type="dxa"/>
            <w:tcBorders>
              <w:top w:val="single" w:sz="4" w:space="0" w:color="4EA72E"/>
              <w:start w:val="single" w:sz="4" w:space="0" w:color="4EA72E"/>
              <w:bottom w:val="single" w:sz="4" w:space="0" w:color="4EA72E"/>
              <w:end w:val="single" w:sz="4" w:space="0" w:color="4EA72E"/>
            </w:tcBorders>
            <w:shd w:color="auto" w:fill="4EA72E" w:themeFill="accent6" w:val="clear"/>
          </w:tcPr>
          <w:p>
            <w:pPr>
              <w:pStyle w:val="NoSpacing"/>
              <w:widowControl/>
              <w:spacing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ALDI-specific implication</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Borders>
              <w:end w:val="nil"/>
            </w:tcBorders>
            <w:shd w:color="auto" w:fill="D9F2D0" w:themeFill="accent6" w:themeFillTint="33" w:val="clear"/>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Political</w:t>
            </w:r>
          </w:p>
        </w:tc>
        <w:tc>
          <w:tcPr>
            <w:tcW w:w="3594" w:type="dxa"/>
            <w:tcBorders>
              <w:start w:val="nil"/>
              <w:end w:val="nil"/>
            </w:tcBorders>
            <w:shd w:color="auto" w:fill="D9F2D0" w:themeFill="accent6" w:themeFillTint="33"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Large FDI market and policy continuity</w:t>
            </w:r>
          </w:p>
        </w:tc>
        <w:tc>
          <w:tcPr>
            <w:tcW w:w="3807" w:type="dxa"/>
            <w:tcBorders>
              <w:start w:val="nil"/>
            </w:tcBorders>
            <w:shd w:color="auto" w:fill="D9F2D0" w:themeFill="accent6" w:themeFillTint="33"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Government approval creates entry barrier</w:t>
            </w:r>
          </w:p>
        </w:tc>
      </w:tr>
      <w:tr>
        <w:trPr/>
        <w:tc>
          <w:tcPr>
            <w:cnfStyle w:val="001000000000" w:firstRow="0" w:lastRow="0" w:firstColumn="1" w:lastColumn="0" w:oddVBand="0" w:evenVBand="0" w:oddHBand="0" w:evenHBand="0" w:firstRowFirstColumn="0" w:firstRowLastColumn="0" w:lastRowFirstColumn="0" w:lastRowLastColumn="0"/>
            <w:tcW w:w="1615" w:type="dxa"/>
            <w:tcBorders>
              <w:end w:val="nil"/>
            </w:tcBorders>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Economic</w:t>
            </w:r>
          </w:p>
        </w:tc>
        <w:tc>
          <w:tcPr>
            <w:tcW w:w="3594" w:type="dxa"/>
            <w:tcBorders>
              <w:start w:val="nil"/>
              <w:end w:val="nil"/>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7.6% FY2026 growth and expanding retail market</w:t>
            </w:r>
          </w:p>
        </w:tc>
        <w:tc>
          <w:tcPr>
            <w:tcW w:w="3807" w:type="dxa"/>
            <w:tcBorders>
              <w:start w:val="nil"/>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Strong demand potential</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Borders>
              <w:end w:val="nil"/>
            </w:tcBorders>
            <w:shd w:color="auto" w:fill="D9F2D0" w:themeFill="accent6" w:themeFillTint="33" w:val="clear"/>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Legal</w:t>
            </w:r>
          </w:p>
        </w:tc>
        <w:tc>
          <w:tcPr>
            <w:tcW w:w="3594" w:type="dxa"/>
            <w:tcBorders>
              <w:start w:val="nil"/>
              <w:end w:val="nil"/>
            </w:tcBorders>
            <w:shd w:color="auto" w:fill="D9F2D0" w:themeFill="accent6" w:themeFillTint="33"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Clear regulatory framework</w:t>
            </w:r>
          </w:p>
        </w:tc>
        <w:tc>
          <w:tcPr>
            <w:tcW w:w="3807" w:type="dxa"/>
            <w:tcBorders>
              <w:start w:val="nil"/>
            </w:tcBorders>
            <w:shd w:color="auto" w:fill="D9F2D0" w:themeFill="accent6" w:themeFillTint="33"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Multi-brand restrictions increase complexity</w:t>
            </w:r>
          </w:p>
        </w:tc>
      </w:tr>
      <w:tr>
        <w:trPr/>
        <w:tc>
          <w:tcPr>
            <w:cnfStyle w:val="001000000000" w:firstRow="0" w:lastRow="0" w:firstColumn="1" w:lastColumn="0" w:oddVBand="0" w:evenVBand="0" w:oddHBand="0" w:evenHBand="0" w:firstRowFirstColumn="0" w:firstRowLastColumn="0" w:lastRowFirstColumn="0" w:lastRowLastColumn="0"/>
            <w:tcW w:w="1615" w:type="dxa"/>
            <w:tcBorders>
              <w:end w:val="nil"/>
            </w:tcBorders>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Cultural</w:t>
            </w:r>
          </w:p>
        </w:tc>
        <w:tc>
          <w:tcPr>
            <w:tcW w:w="3594" w:type="dxa"/>
            <w:tcBorders>
              <w:start w:val="nil"/>
              <w:end w:val="nil"/>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Strong value orientation and diverse consumers</w:t>
            </w:r>
          </w:p>
        </w:tc>
        <w:tc>
          <w:tcPr>
            <w:tcW w:w="3807" w:type="dxa"/>
            <w:tcBorders>
              <w:start w:val="nil"/>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Local assortment is essential</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Borders>
              <w:end w:val="nil"/>
            </w:tcBorders>
            <w:shd w:color="auto" w:fill="D9F2D0" w:themeFill="accent6" w:themeFillTint="33" w:val="clear"/>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Competition</w:t>
            </w:r>
          </w:p>
        </w:tc>
        <w:tc>
          <w:tcPr>
            <w:tcW w:w="3594" w:type="dxa"/>
            <w:tcBorders>
              <w:start w:val="nil"/>
              <w:end w:val="nil"/>
            </w:tcBorders>
            <w:shd w:color="auto" w:fill="D9F2D0" w:themeFill="accent6" w:themeFillTint="33"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Expanding organised retail</w:t>
            </w:r>
          </w:p>
        </w:tc>
        <w:tc>
          <w:tcPr>
            <w:tcW w:w="3807" w:type="dxa"/>
            <w:tcBorders>
              <w:start w:val="nil"/>
            </w:tcBorders>
            <w:shd w:color="auto" w:fill="D9F2D0" w:themeFill="accent6" w:themeFillTint="33"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Reliance, DMart and quick commerce create pressure</w:t>
            </w:r>
          </w:p>
        </w:tc>
      </w:tr>
    </w:tbl>
    <w:p>
      <w:pPr>
        <w:pStyle w:val="Normal"/>
        <w:rPr>
          <w:rFonts w:cs="Arial"/>
          <w:lang w:val="en-IN"/>
        </w:rPr>
      </w:pPr>
      <w:r>
        <w:rPr>
          <w:rFonts w:cs="Arial"/>
          <w:lang w:val="en-IN"/>
        </w:rPr>
        <w:t xml:space="preserve">India therefore offers a strong </w:t>
      </w:r>
      <w:r>
        <w:rPr>
          <w:rFonts w:cs="Arial"/>
          <w:b/>
          <w:bCs/>
          <w:lang w:val="en-IN"/>
        </w:rPr>
        <w:t>location opportunity</w:t>
      </w:r>
      <w:r>
        <w:rPr>
          <w:rFonts w:cs="Arial"/>
          <w:lang w:val="en-IN"/>
        </w:rPr>
        <w:t>, but the market should not be classified as low-risk. The most attractive proposition for ALDI is likely to be a controlled, locally adapted entry rather than rapid nationwide expansion.</w:t>
      </w:r>
    </w:p>
    <w:p>
      <w:pPr>
        <w:pStyle w:val="Heading2"/>
        <w:rPr>
          <w:rFonts w:cs="Arial"/>
        </w:rPr>
      </w:pPr>
      <w:bookmarkStart w:id="15" w:name="__RefHeading___Toc6351_621937267"/>
      <w:bookmarkStart w:id="16" w:name="_Toc237544015"/>
      <w:bookmarkEnd w:id="15"/>
      <w:r>
        <w:rPr>
          <w:rFonts w:cs="Arial"/>
        </w:rPr>
        <w:t>2.6 Dunning's Eclectic Paradigm (OLI)</w:t>
      </w:r>
      <w:bookmarkEnd w:id="16"/>
    </w:p>
    <w:p>
      <w:pPr>
        <w:pStyle w:val="Normal"/>
        <w:rPr>
          <w:rFonts w:cs="Arial"/>
          <w:lang w:val="en-IN"/>
        </w:rPr>
      </w:pPr>
      <w:r>
        <w:rPr>
          <w:rFonts w:cs="Arial"/>
          <w:lang w:val="en-IN"/>
        </w:rPr>
        <w:t xml:space="preserve">Dunning's OLI framework provides a useful synthesis because it evaluates whether ALDI possesses sufficient </w:t>
      </w:r>
      <w:r>
        <w:rPr>
          <w:rFonts w:cs="Arial"/>
          <w:b/>
          <w:bCs/>
          <w:lang w:val="en-IN"/>
        </w:rPr>
        <w:t>Ownership (O)</w:t>
      </w:r>
      <w:r>
        <w:rPr>
          <w:rFonts w:cs="Arial"/>
          <w:lang w:val="en-IN"/>
        </w:rPr>
        <w:t xml:space="preserve"> advantages, whether India provides adequate </w:t>
      </w:r>
      <w:r>
        <w:rPr>
          <w:rFonts w:cs="Arial"/>
          <w:b/>
          <w:bCs/>
          <w:lang w:val="en-IN"/>
        </w:rPr>
        <w:t>Location (L)</w:t>
      </w:r>
      <w:r>
        <w:rPr>
          <w:rFonts w:cs="Arial"/>
          <w:lang w:val="en-IN"/>
        </w:rPr>
        <w:t xml:space="preserve"> advantages, and whether </w:t>
      </w:r>
      <w:r>
        <w:rPr>
          <w:rFonts w:cs="Arial"/>
          <w:b/>
          <w:bCs/>
          <w:lang w:val="en-IN"/>
        </w:rPr>
        <w:t>Internalisation (I)</w:t>
      </w:r>
      <w:r>
        <w:rPr>
          <w:rFonts w:cs="Arial"/>
          <w:lang w:val="en-IN"/>
        </w:rPr>
        <w:t xml:space="preserve"> offers benefits over alternative forms of market participation.</w:t>
      </w:r>
    </w:p>
    <w:p>
      <w:pPr>
        <w:pStyle w:val="Normal"/>
        <w:rPr>
          <w:rFonts w:cs="Arial"/>
          <w:lang w:val="en-IN"/>
        </w:rPr>
      </w:pPr>
      <w:r>
        <w:rPr/>
        <w:drawing>
          <wp:inline distT="0" distB="0" distL="0" distR="0">
            <wp:extent cx="5731510" cy="2982595"/>
            <wp:effectExtent l="0" t="0" r="0" b="0"/>
            <wp:docPr id="4"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pic:cNvPicPr>
                      <a:picLocks noChangeAspect="1" noChangeArrowheads="1"/>
                    </pic:cNvPicPr>
                  </pic:nvPicPr>
                  <pic:blipFill>
                    <a:blip r:embed="rId5"/>
                    <a:stretch>
                      <a:fillRect/>
                    </a:stretch>
                  </pic:blipFill>
                  <pic:spPr bwMode="auto">
                    <a:xfrm>
                      <a:off x="0" y="0"/>
                      <a:ext cx="5731510" cy="2982595"/>
                    </a:xfrm>
                    <a:prstGeom prst="rect">
                      <a:avLst/>
                    </a:prstGeom>
                    <a:noFill/>
                  </pic:spPr>
                </pic:pic>
              </a:graphicData>
            </a:graphic>
          </wp:inline>
        </w:drawing>
      </w:r>
    </w:p>
    <w:p>
      <w:pPr>
        <w:pStyle w:val="Normal"/>
        <w:rPr>
          <w:rFonts w:cs="Arial"/>
          <w:b/>
          <w:bCs/>
          <w:lang w:val="en-IN"/>
        </w:rPr>
      </w:pPr>
      <w:r>
        <w:rPr>
          <w:rFonts w:cs="Arial"/>
          <w:b/>
          <w:bCs/>
          <w:lang w:val="en-IN"/>
        </w:rPr>
        <w:t>Ownership Advantages (O)</w:t>
      </w:r>
    </w:p>
    <w:p>
      <w:pPr>
        <w:pStyle w:val="Normal"/>
        <w:rPr>
          <w:rFonts w:cs="Arial"/>
          <w:lang w:val="en-IN"/>
        </w:rPr>
      </w:pPr>
      <w:r>
        <w:rPr>
          <w:rFonts w:cs="Arial"/>
          <w:lang w:val="en-IN"/>
        </w:rPr>
        <w:t xml:space="preserve">ALDI possesses several transferable ownership advantages. Its most important is its </w:t>
      </w:r>
      <w:r>
        <w:rPr>
          <w:rFonts w:cs="Arial"/>
          <w:b/>
          <w:bCs/>
          <w:lang w:val="en-IN"/>
        </w:rPr>
        <w:t>discount-retailing capability</w:t>
      </w:r>
      <w:r>
        <w:rPr>
          <w:rFonts w:cs="Arial"/>
          <w:lang w:val="en-IN"/>
        </w:rPr>
        <w:t>, supported by private-label products, limited assortment, central purchasing, operational simplicity and supply-chain efficiency. ALDI's international experience also provides knowledge of adapting its model to different markets. Its Chinese expansion is particularly relevant. ALDI entered China's physical retail market with two Shanghai pilot stores in 2019, explicitly using the stores to learn about Chinese consumers; its Chinese stores combined imported and locally selected products (</w:t>
      </w:r>
      <w:r>
        <w:rPr>
          <w:rFonts w:cs="Arial"/>
        </w:rPr>
        <w:t>Geolytix, 2020</w:t>
      </w:r>
      <w:r>
        <w:rPr>
          <w:rFonts w:cs="Arial"/>
          <w:lang w:val="en-IN"/>
        </w:rPr>
        <w:t>). This demonstrates that ALDI has already used a learning-oriented approach when entering a culturally different Asian market.</w:t>
      </w:r>
    </w:p>
    <w:p>
      <w:pPr>
        <w:pStyle w:val="Normal"/>
        <w:rPr>
          <w:rFonts w:cs="Arial"/>
          <w:lang w:val="en-IN"/>
        </w:rPr>
      </w:pPr>
      <w:r>
        <w:rPr>
          <w:rFonts w:cs="Arial"/>
          <w:lang w:val="en-IN"/>
        </w:rPr>
        <w:t>These ownership advantages are potentially transferable to India because price competitiveness, efficient procurement and private-label development can address Indian consumers' demand for affordability. However, ownership advantages do not automatically guarantee success because ALDI lacks existing Indian market knowledge.</w:t>
      </w:r>
    </w:p>
    <w:p>
      <w:pPr>
        <w:pStyle w:val="Normal"/>
        <w:rPr>
          <w:rFonts w:cs="Arial"/>
          <w:b/>
          <w:bCs/>
          <w:lang w:val="en-IN"/>
        </w:rPr>
      </w:pPr>
      <w:r>
        <w:rPr>
          <w:rFonts w:cs="Arial"/>
          <w:b/>
          <w:bCs/>
          <w:lang w:val="en-IN"/>
        </w:rPr>
        <w:t>Location Advantages (L)</w:t>
      </w:r>
    </w:p>
    <w:p>
      <w:pPr>
        <w:pStyle w:val="Normal"/>
        <w:rPr>
          <w:rFonts w:cs="Arial"/>
          <w:lang w:val="en-IN"/>
        </w:rPr>
      </w:pPr>
      <w:r>
        <w:rPr>
          <w:rFonts w:cs="Arial"/>
          <w:lang w:val="en-IN"/>
        </w:rPr>
        <w:t>India offers substantial location advantages:</w:t>
      </w:r>
    </w:p>
    <w:p>
      <w:pPr>
        <w:pStyle w:val="ListParagraph"/>
        <w:numPr>
          <w:ilvl w:val="0"/>
          <w:numId w:val="3"/>
        </w:numPr>
        <w:rPr>
          <w:rFonts w:cs="Arial"/>
          <w:lang w:val="en-IN"/>
        </w:rPr>
      </w:pPr>
      <w:r>
        <w:rPr>
          <w:rFonts w:cs="Arial"/>
          <w:lang w:val="en-IN"/>
        </w:rPr>
        <w:t xml:space="preserve">large consumer base; </w:t>
      </w:r>
    </w:p>
    <w:p>
      <w:pPr>
        <w:pStyle w:val="ListParagraph"/>
        <w:numPr>
          <w:ilvl w:val="0"/>
          <w:numId w:val="3"/>
        </w:numPr>
        <w:rPr>
          <w:rFonts w:cs="Arial"/>
          <w:lang w:val="en-IN"/>
        </w:rPr>
      </w:pPr>
      <w:r>
        <w:rPr>
          <w:rFonts w:cs="Arial"/>
          <w:lang w:val="en-IN"/>
        </w:rPr>
        <w:t xml:space="preserve">strong economic growth; </w:t>
      </w:r>
    </w:p>
    <w:p>
      <w:pPr>
        <w:pStyle w:val="ListParagraph"/>
        <w:numPr>
          <w:ilvl w:val="0"/>
          <w:numId w:val="3"/>
        </w:numPr>
        <w:rPr>
          <w:rFonts w:cs="Arial"/>
          <w:lang w:val="en-IN"/>
        </w:rPr>
      </w:pPr>
      <w:r>
        <w:rPr>
          <w:rFonts w:cs="Arial"/>
          <w:lang w:val="en-IN"/>
        </w:rPr>
        <w:t xml:space="preserve">expanding retail sector; </w:t>
      </w:r>
    </w:p>
    <w:p>
      <w:pPr>
        <w:pStyle w:val="ListParagraph"/>
        <w:numPr>
          <w:ilvl w:val="0"/>
          <w:numId w:val="3"/>
        </w:numPr>
        <w:rPr>
          <w:rFonts w:cs="Arial"/>
          <w:lang w:val="en-IN"/>
        </w:rPr>
      </w:pPr>
      <w:r>
        <w:rPr>
          <w:rFonts w:cs="Arial"/>
          <w:lang w:val="en-IN"/>
        </w:rPr>
        <w:t xml:space="preserve">increasing consumption; </w:t>
      </w:r>
    </w:p>
    <w:p>
      <w:pPr>
        <w:pStyle w:val="ListParagraph"/>
        <w:numPr>
          <w:ilvl w:val="0"/>
          <w:numId w:val="3"/>
        </w:numPr>
        <w:rPr>
          <w:rFonts w:cs="Arial"/>
          <w:lang w:val="en-IN"/>
        </w:rPr>
      </w:pPr>
      <w:r>
        <w:rPr>
          <w:rFonts w:cs="Arial"/>
          <w:lang w:val="en-IN"/>
        </w:rPr>
        <w:t xml:space="preserve">urbanisation; </w:t>
      </w:r>
    </w:p>
    <w:p>
      <w:pPr>
        <w:pStyle w:val="ListParagraph"/>
        <w:numPr>
          <w:ilvl w:val="0"/>
          <w:numId w:val="3"/>
        </w:numPr>
        <w:rPr>
          <w:rFonts w:cs="Arial"/>
          <w:lang w:val="en-IN"/>
        </w:rPr>
      </w:pPr>
      <w:r>
        <w:rPr>
          <w:rFonts w:cs="Arial"/>
          <w:lang w:val="en-IN"/>
        </w:rPr>
        <w:t xml:space="preserve">digital grocery growth; </w:t>
      </w:r>
    </w:p>
    <w:p>
      <w:pPr>
        <w:pStyle w:val="ListParagraph"/>
        <w:numPr>
          <w:ilvl w:val="0"/>
          <w:numId w:val="3"/>
        </w:numPr>
        <w:rPr>
          <w:rFonts w:cs="Arial"/>
          <w:lang w:val="en-IN"/>
        </w:rPr>
      </w:pPr>
      <w:r>
        <w:rPr>
          <w:rFonts w:cs="Arial"/>
          <w:lang w:val="en-IN"/>
        </w:rPr>
        <w:t xml:space="preserve">supplier opportunities; and </w:t>
      </w:r>
    </w:p>
    <w:p>
      <w:pPr>
        <w:pStyle w:val="ListParagraph"/>
        <w:numPr>
          <w:ilvl w:val="0"/>
          <w:numId w:val="3"/>
        </w:numPr>
        <w:rPr>
          <w:rFonts w:cs="Arial"/>
          <w:lang w:val="en-IN"/>
        </w:rPr>
      </w:pPr>
      <w:r>
        <w:rPr>
          <w:rFonts w:cs="Arial"/>
          <w:lang w:val="en-IN"/>
        </w:rPr>
        <w:t xml:space="preserve">demand for value-oriented products. </w:t>
      </w:r>
    </w:p>
    <w:p>
      <w:pPr>
        <w:pStyle w:val="Normal"/>
        <w:rPr>
          <w:rFonts w:cs="Arial"/>
          <w:lang w:val="en-IN"/>
        </w:rPr>
      </w:pPr>
      <w:r>
        <w:rPr>
          <w:rFonts w:cs="Arial"/>
          <w:lang w:val="en-IN"/>
        </w:rPr>
        <w:t xml:space="preserve">India's retail market is projected to approach US$1.93 trillion by 2030, while consumption remains a major contributor to economic activity. </w:t>
      </w:r>
    </w:p>
    <w:p>
      <w:pPr>
        <w:pStyle w:val="Normal"/>
        <w:rPr>
          <w:rFonts w:cs="Arial"/>
          <w:lang w:val="en-IN"/>
        </w:rPr>
      </w:pPr>
      <w:r>
        <w:rPr>
          <w:rFonts w:cs="Arial"/>
          <w:lang w:val="en-IN"/>
        </w:rPr>
        <w:t>Negative location factors include:</w:t>
      </w:r>
    </w:p>
    <w:p>
      <w:pPr>
        <w:pStyle w:val="Normal"/>
        <w:numPr>
          <w:ilvl w:val="0"/>
          <w:numId w:val="1"/>
        </w:numPr>
        <w:rPr>
          <w:rFonts w:cs="Arial"/>
          <w:lang w:val="en-IN"/>
        </w:rPr>
      </w:pPr>
      <w:r>
        <w:rPr>
          <w:rFonts w:cs="Arial"/>
          <w:lang w:val="en-IN"/>
        </w:rPr>
        <w:t xml:space="preserve">multi-brand FDI restrictions; </w:t>
      </w:r>
    </w:p>
    <w:p>
      <w:pPr>
        <w:pStyle w:val="Normal"/>
        <w:numPr>
          <w:ilvl w:val="0"/>
          <w:numId w:val="1"/>
        </w:numPr>
        <w:rPr>
          <w:rFonts w:cs="Arial"/>
          <w:lang w:val="en-IN"/>
        </w:rPr>
      </w:pPr>
      <w:r>
        <w:rPr>
          <w:rFonts w:cs="Arial"/>
          <w:lang w:val="en-IN"/>
        </w:rPr>
        <w:t xml:space="preserve">intense competition; </w:t>
      </w:r>
    </w:p>
    <w:p>
      <w:pPr>
        <w:pStyle w:val="Normal"/>
        <w:numPr>
          <w:ilvl w:val="0"/>
          <w:numId w:val="1"/>
        </w:numPr>
        <w:rPr>
          <w:rFonts w:cs="Arial"/>
          <w:lang w:val="en-IN"/>
        </w:rPr>
      </w:pPr>
      <w:r>
        <w:rPr>
          <w:rFonts w:cs="Arial"/>
          <w:lang w:val="en-IN"/>
        </w:rPr>
        <w:t xml:space="preserve">fragmented retail; </w:t>
      </w:r>
    </w:p>
    <w:p>
      <w:pPr>
        <w:pStyle w:val="Normal"/>
        <w:numPr>
          <w:ilvl w:val="0"/>
          <w:numId w:val="1"/>
        </w:numPr>
        <w:rPr>
          <w:rFonts w:cs="Arial"/>
          <w:lang w:val="en-IN"/>
        </w:rPr>
      </w:pPr>
      <w:r>
        <w:rPr>
          <w:rFonts w:cs="Arial"/>
          <w:lang w:val="en-IN"/>
        </w:rPr>
        <w:t xml:space="preserve">state-level differences; </w:t>
      </w:r>
    </w:p>
    <w:p>
      <w:pPr>
        <w:pStyle w:val="Normal"/>
        <w:numPr>
          <w:ilvl w:val="0"/>
          <w:numId w:val="1"/>
        </w:numPr>
        <w:rPr>
          <w:rFonts w:cs="Arial"/>
          <w:lang w:val="en-IN"/>
        </w:rPr>
      </w:pPr>
      <w:r>
        <w:rPr>
          <w:rFonts w:cs="Arial"/>
          <w:lang w:val="en-IN"/>
        </w:rPr>
        <w:t xml:space="preserve">logistics complexity; </w:t>
      </w:r>
    </w:p>
    <w:p>
      <w:pPr>
        <w:pStyle w:val="Normal"/>
        <w:numPr>
          <w:ilvl w:val="0"/>
          <w:numId w:val="1"/>
        </w:numPr>
        <w:rPr>
          <w:rFonts w:cs="Arial"/>
          <w:lang w:val="en-IN"/>
        </w:rPr>
      </w:pPr>
      <w:r>
        <w:rPr>
          <w:rFonts w:cs="Arial"/>
          <w:lang w:val="en-IN"/>
        </w:rPr>
        <w:t xml:space="preserve">cultural diversity; and </w:t>
      </w:r>
    </w:p>
    <w:p>
      <w:pPr>
        <w:pStyle w:val="Normal"/>
        <w:numPr>
          <w:ilvl w:val="0"/>
          <w:numId w:val="1"/>
        </w:numPr>
        <w:rPr>
          <w:rFonts w:cs="Arial"/>
          <w:lang w:val="en-IN"/>
        </w:rPr>
      </w:pPr>
      <w:r>
        <w:rPr>
          <w:rFonts w:cs="Arial"/>
          <w:lang w:val="en-IN"/>
        </w:rPr>
        <w:t xml:space="preserve">quick-commerce disruption. </w:t>
      </w:r>
    </w:p>
    <w:p>
      <w:pPr>
        <w:pStyle w:val="Normal"/>
        <w:rPr>
          <w:rFonts w:cs="Arial"/>
          <w:lang w:val="en-IN"/>
        </w:rPr>
      </w:pPr>
      <w:r>
        <w:rPr>
          <w:rFonts w:cs="Arial"/>
          <w:lang w:val="en-IN"/>
        </w:rPr>
        <w:t xml:space="preserve">Therefore, India's location advantages are </w:t>
      </w:r>
      <w:r>
        <w:rPr>
          <w:rFonts w:cs="Arial"/>
          <w:b/>
          <w:bCs/>
          <w:lang w:val="en-IN"/>
        </w:rPr>
        <w:t>strong but conditional</w:t>
      </w:r>
      <w:r>
        <w:rPr>
          <w:rFonts w:cs="Arial"/>
          <w:lang w:val="en-IN"/>
        </w:rPr>
        <w:t>.</w:t>
      </w:r>
    </w:p>
    <w:p>
      <w:pPr>
        <w:pStyle w:val="Normal"/>
        <w:rPr>
          <w:rFonts w:cs="Arial"/>
          <w:b/>
          <w:bCs/>
          <w:lang w:val="en-IN"/>
        </w:rPr>
      </w:pPr>
      <w:r>
        <w:rPr>
          <w:rFonts w:cs="Arial"/>
          <w:b/>
          <w:bCs/>
          <w:lang w:val="en-IN"/>
        </w:rPr>
        <w:t>Internalisation Advantages (I)</w:t>
      </w:r>
    </w:p>
    <w:p>
      <w:pPr>
        <w:pStyle w:val="Normal"/>
        <w:rPr>
          <w:rFonts w:cs="Arial"/>
          <w:lang w:val="en-IN"/>
        </w:rPr>
      </w:pPr>
      <w:r>
        <w:rPr>
          <w:rFonts w:cs="Arial"/>
          <w:lang w:val="en-IN"/>
        </w:rPr>
        <w:t>ALDI has incentives to maintain substantial control over its Indian operations because its competitive advantage depends on proprietary procurement systems, private-label products, quality standards, supply-chain coordination and cost control. Excessive reliance on licensing or franchising could weaken these capabilities and reduce consistency. However, India's regulatory restrictions make complete ownership difficult. This creates a strategic tension between ALDI's need for control and India's requirement for foreign participation through a regulated multi-brand retail structure.</w:t>
      </w:r>
    </w:p>
    <w:p>
      <w:pPr>
        <w:pStyle w:val="Normal"/>
        <w:rPr>
          <w:rFonts w:cs="Arial"/>
          <w:lang w:val="en-IN"/>
        </w:rPr>
      </w:pPr>
      <w:r>
        <w:rPr>
          <w:rFonts w:cs="Arial"/>
          <w:lang w:val="en-IN"/>
        </w:rPr>
        <w:t xml:space="preserve">The OLI analysis provides a moderately strong case for ALDI's Indian market entry, but not for an immediate large-scale commitment. ALDI has substantial ownership advantages, while India provides strong location advantages through economic growth, consumer demand and retail-sector development. However, the institutional and cultural barriers reduce the attractiveness of immediate full-scale investment. The strongest strategic implication is therefore a </w:t>
      </w:r>
      <w:r>
        <w:rPr>
          <w:rFonts w:cs="Arial"/>
          <w:b/>
          <w:bCs/>
          <w:lang w:val="en-IN"/>
        </w:rPr>
        <w:t>phased market-entry approach</w:t>
      </w:r>
      <w:r>
        <w:rPr>
          <w:rFonts w:cs="Arial"/>
          <w:lang w:val="en-IN"/>
        </w:rPr>
        <w:t xml:space="preserve">, potentially involving a local Indian partner to satisfy regulatory requirements and provide market knowledge while allowing ALDI to retain meaningful operational control over procurement, private labels, quality and store economics. ALDI's Chinese experience supports this learning-oriented approach because its initial stores were deliberately used to understand local consumers before broader expansion. </w:t>
      </w:r>
    </w:p>
    <w:p>
      <w:pPr>
        <w:pStyle w:val="Heading1"/>
        <w:rPr>
          <w:rFonts w:cs="Arial"/>
          <w:lang w:val="en-IN"/>
        </w:rPr>
      </w:pPr>
      <w:bookmarkStart w:id="17" w:name="__RefHeading___Toc6353_621937267"/>
      <w:bookmarkStart w:id="18" w:name="_Toc237544016"/>
      <w:bookmarkEnd w:id="17"/>
      <w:r>
        <w:rPr>
          <w:rFonts w:cs="Arial"/>
          <w:lang w:val="en-IN"/>
        </w:rPr>
        <w:t>3. Entry Mode Strategy and Strategic Synthesis</w:t>
      </w:r>
      <w:bookmarkEnd w:id="18"/>
    </w:p>
    <w:p>
      <w:pPr>
        <w:pStyle w:val="Normal"/>
        <w:rPr>
          <w:rFonts w:cs="Arial"/>
          <w:lang w:val="en-IN"/>
        </w:rPr>
      </w:pPr>
      <w:r>
        <w:rPr>
          <w:rFonts w:cs="Arial"/>
          <w:lang w:val="en-IN"/>
        </w:rPr>
        <w:t xml:space="preserve">ALDI's entry-mode decision for India should be based on its previous internationalisation experience, the regulatory characteristics of India's multi-brand retail sector and the level of control required to protect ALDI's cost-based competitive advantage. The evidence suggests that ALDI generally combines substantial organisational control with gradual market development rather than relying on a single-entry method across every country. Therefore, India's entry mode should balance </w:t>
      </w:r>
      <w:r>
        <w:rPr>
          <w:rFonts w:cs="Arial"/>
          <w:b/>
          <w:bCs/>
          <w:lang w:val="en-IN"/>
        </w:rPr>
        <w:t>control, local knowledge, financial commitment, regulatory compliance and flexibility</w:t>
      </w:r>
      <w:r>
        <w:rPr>
          <w:rFonts w:cs="Arial"/>
          <w:lang w:val="en-IN"/>
        </w:rPr>
        <w:t>.</w:t>
      </w:r>
    </w:p>
    <w:p>
      <w:pPr>
        <w:pStyle w:val="Heading2"/>
        <w:rPr>
          <w:rFonts w:cs="Arial"/>
        </w:rPr>
      </w:pPr>
      <w:bookmarkStart w:id="19" w:name="__RefHeading___Toc6355_621937267"/>
      <w:bookmarkStart w:id="20" w:name="_Toc237544017"/>
      <w:bookmarkEnd w:id="19"/>
      <w:r>
        <w:rPr>
          <w:rFonts w:cs="Arial"/>
        </w:rPr>
        <w:t>3.1 ALDI's Historical Entry-Mode Pattern</w:t>
      </w:r>
      <w:bookmarkEnd w:id="20"/>
    </w:p>
    <w:p>
      <w:pPr>
        <w:pStyle w:val="Normal"/>
        <w:rPr>
          <w:rFonts w:cs="Arial"/>
          <w:lang w:val="en-IN"/>
        </w:rPr>
      </w:pPr>
      <w:r>
        <w:rPr>
          <w:rFonts w:cs="Arial"/>
          <w:lang w:val="en-IN"/>
        </w:rPr>
        <w:t xml:space="preserve">ALDI's international expansion demonstrates a pattern of </w:t>
      </w:r>
      <w:r>
        <w:rPr>
          <w:rFonts w:cs="Arial"/>
          <w:b/>
          <w:bCs/>
          <w:lang w:val="en-IN"/>
        </w:rPr>
        <w:t>direct establishment and gradual market development</w:t>
      </w:r>
      <w:r>
        <w:rPr>
          <w:rFonts w:cs="Arial"/>
          <w:lang w:val="en-IN"/>
        </w:rPr>
        <w:t>, supported by substantial control over its retail operations. Its international history shows expansion from Germany into Austria and subsequently into markets including the USA, UK, Ireland, Australia and China. ALDI's own historical information records the establishment of its US operation in 1976, UK operation in 1990, Australian operation in 2001 and Chinese online presence in 2017 (</w:t>
      </w:r>
      <w:r>
        <w:rPr>
          <w:rFonts w:cs="Arial"/>
        </w:rPr>
        <w:t>Aldi, 2026</w:t>
      </w:r>
      <w:r>
        <w:rPr>
          <w:rFonts w:cs="Arial"/>
          <w:lang w:val="en-IN"/>
        </w:rPr>
        <w:t xml:space="preserve">). </w:t>
      </w:r>
    </w:p>
    <w:p>
      <w:pPr>
        <w:pStyle w:val="Normal"/>
        <w:rPr>
          <w:rFonts w:cs="Arial"/>
          <w:lang w:val="en-IN"/>
        </w:rPr>
      </w:pPr>
      <w:r>
        <w:rPr>
          <w:rFonts w:cs="Arial"/>
          <w:lang w:val="en-IN"/>
        </w:rPr>
        <w:t>Australia provides a particularly useful example of direct market development. ALDI entered Australia in 2001 with two stores in New South Wales and subsequently expanded its store network (</w:t>
      </w:r>
      <w:r>
        <w:rPr>
          <w:rFonts w:cs="Arial"/>
        </w:rPr>
        <w:t>Mortimer and Grimmer, 2021</w:t>
      </w:r>
      <w:r>
        <w:rPr>
          <w:rFonts w:cs="Arial"/>
          <w:lang w:val="en-IN"/>
        </w:rPr>
        <w:t>). ALDI Australia describes the business as introducing a new grocery-retailing model based on a focused product range and direct operational management. This suggests that ALDI is comfortable committing significant resources when it believes that its operating model can generate a sustainable competitive advantage.</w:t>
      </w:r>
    </w:p>
    <w:p>
      <w:pPr>
        <w:pStyle w:val="Normal"/>
        <w:rPr>
          <w:rFonts w:cs="Arial"/>
          <w:lang w:val="en-IN"/>
        </w:rPr>
      </w:pPr>
      <w:r>
        <w:rPr>
          <w:rFonts w:cs="Arial"/>
          <w:lang w:val="en-IN"/>
        </w:rPr>
        <w:t xml:space="preserve">China is the </w:t>
      </w:r>
      <w:r>
        <w:rPr>
          <w:rFonts w:cs="Arial"/>
          <w:b/>
          <w:bCs/>
          <w:lang w:val="en-IN"/>
        </w:rPr>
        <w:t>most relevant precedent for India</w:t>
      </w:r>
      <w:r>
        <w:rPr>
          <w:rFonts w:cs="Arial"/>
          <w:lang w:val="en-IN"/>
        </w:rPr>
        <w:t>, because it demonstrates a more cautious approach to a culturally different (</w:t>
      </w:r>
      <w:r>
        <w:rPr>
          <w:rFonts w:cs="Arial"/>
        </w:rPr>
        <w:t>Zhang and Yuan, 2025</w:t>
      </w:r>
      <w:r>
        <w:rPr>
          <w:rFonts w:cs="Arial"/>
          <w:lang w:val="en-IN"/>
        </w:rPr>
        <w:t xml:space="preserve">) Asian market. ALDI first entered China through </w:t>
      </w:r>
      <w:r>
        <w:rPr>
          <w:rFonts w:cs="Arial"/>
          <w:b/>
          <w:bCs/>
          <w:lang w:val="en-IN"/>
        </w:rPr>
        <w:t>Tmall International in 2017</w:t>
      </w:r>
      <w:r>
        <w:rPr>
          <w:rFonts w:cs="Arial"/>
          <w:lang w:val="en-IN"/>
        </w:rPr>
        <w:t xml:space="preserve">, before opening its first two physical pilot stores in Shanghai in June 2019. Rather than immediately pursuing nationwide expansion, ALDI explicitly used the Shanghai stores to collect market feedback and understand Chinese consumer preferences. The Chinese stores also combined imported and locally selected products and were specifically designed around local consumer requirements. </w:t>
      </w:r>
    </w:p>
    <w:p>
      <w:pPr>
        <w:pStyle w:val="Normal"/>
        <w:rPr>
          <w:rFonts w:cs="Arial"/>
          <w:lang w:val="en-IN"/>
        </w:rPr>
      </w:pPr>
      <w:r>
        <w:rPr>
          <w:rFonts w:cs="Arial"/>
          <w:lang w:val="en-IN"/>
        </w:rPr>
        <w:t xml:space="preserve">This approach demonstrates that ALDI's historical pattern is not simply "enter and standardise". Instead, the company can </w:t>
      </w:r>
      <w:r>
        <w:rPr>
          <w:rFonts w:cs="Arial"/>
          <w:b/>
          <w:bCs/>
          <w:lang w:val="en-IN"/>
        </w:rPr>
        <w:t>test demand, learn about consumers, adapt its assortment and then expand</w:t>
      </w:r>
      <w:r>
        <w:rPr>
          <w:rFonts w:cs="Arial"/>
          <w:lang w:val="en-IN"/>
        </w:rPr>
        <w:t>. By 2023, ALDI had expanded its Shanghai network to 36 stores and also operated online through its own WeChat mini-program and platforms including Ele.me, Meituan and JD Daojia. Therefore, the Chinese experience provides a strong strategic precedent for a phased Indian entry.</w:t>
      </w:r>
    </w:p>
    <w:p>
      <w:pPr>
        <w:pStyle w:val="Heading2"/>
        <w:rPr>
          <w:rFonts w:cs="Arial"/>
        </w:rPr>
      </w:pPr>
      <w:bookmarkStart w:id="21" w:name="__RefHeading___Toc6357_621937267"/>
      <w:bookmarkStart w:id="22" w:name="_Toc237544018"/>
      <w:bookmarkEnd w:id="21"/>
      <w:r>
        <w:rPr>
          <w:rFonts w:cs="Arial"/>
        </w:rPr>
        <w:t>3.2 Alternative Entry Modes for India</w:t>
      </w:r>
      <w:bookmarkEnd w:id="22"/>
    </w:p>
    <w:p>
      <w:pPr>
        <w:pStyle w:val="Normal"/>
        <w:rPr>
          <w:rFonts w:cs="Arial"/>
          <w:lang w:val="en-IN"/>
        </w:rPr>
      </w:pPr>
      <w:r>
        <w:rPr>
          <w:rFonts w:cs="Arial"/>
          <w:lang w:val="en-IN"/>
        </w:rPr>
        <w:t xml:space="preserve">Four principal entry modes can be considered: </w:t>
      </w:r>
      <w:r>
        <w:rPr>
          <w:rFonts w:cs="Arial"/>
          <w:b/>
          <w:bCs/>
          <w:lang w:val="en-IN"/>
        </w:rPr>
        <w:t>wholly owned subsidiary, joint venture, franchising and strategic partnership</w:t>
      </w:r>
      <w:r>
        <w:rPr>
          <w:rFonts w:cs="Arial"/>
          <w:lang w:val="en-IN"/>
        </w:rPr>
        <w:t>.</w:t>
      </w:r>
    </w:p>
    <w:tbl>
      <w:tblPr>
        <w:tblStyle w:val="ListTable3-Accent4"/>
        <w:tblW w:w="9016" w:type="dxa"/>
        <w:jc w:val="start"/>
        <w:tblInd w:w="0" w:type="dxa"/>
        <w:tblLayout w:type="fixed"/>
        <w:tblCellMar>
          <w:top w:w="0" w:type="dxa"/>
          <w:start w:w="108" w:type="dxa"/>
          <w:bottom w:w="0" w:type="dxa"/>
          <w:end w:w="108" w:type="dxa"/>
        </w:tblCellMar>
        <w:tblLook w:firstRow="1" w:noVBand="1" w:lastRow="0" w:firstColumn="1" w:lastColumn="0" w:noHBand="0" w:val="04a0"/>
      </w:tblPr>
      <w:tblGrid>
        <w:gridCol w:w="2184"/>
        <w:gridCol w:w="2232"/>
        <w:gridCol w:w="1484"/>
        <w:gridCol w:w="1070"/>
        <w:gridCol w:w="2046"/>
      </w:tblGrid>
      <w:tr>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184" w:type="dxa"/>
            <w:tcBorders>
              <w:bottom w:val="nil"/>
              <w:end w:val="nil"/>
            </w:tcBorders>
            <w:shd w:color="auto" w:fill="0F9ED5" w:themeFill="accent4" w:val="clear"/>
          </w:tcPr>
          <w:p>
            <w:pPr>
              <w:pStyle w:val="NoSpacing"/>
              <w:widowControl/>
              <w:spacing w:before="0" w:after="0"/>
              <w:rPr>
                <w:rFonts w:ascii="Arial" w:hAnsi="Arial" w:cs="Arial"/>
                <w:lang w:val="en-IN"/>
              </w:rPr>
            </w:pPr>
            <w:r>
              <w:rPr>
                <w:rFonts w:eastAsia="Aptos" w:cs="Arial" w:ascii="Arial" w:hAnsi="Arial"/>
                <w:b/>
                <w:bCs/>
                <w:color w:themeColor="background1" w:val="FFFFFF"/>
                <w:kern w:val="0"/>
                <w:szCs w:val="22"/>
                <w:lang w:val="en-IN" w:eastAsia="en-US" w:bidi="ar-SA"/>
              </w:rPr>
              <w:t>Entry mode</w:t>
            </w:r>
          </w:p>
        </w:tc>
        <w:tc>
          <w:tcPr>
            <w:tcW w:w="2232" w:type="dxa"/>
            <w:tcBorders>
              <w:start w:val="nil"/>
              <w:bottom w:val="nil"/>
              <w:end w:val="nil"/>
            </w:tcBorders>
            <w:shd w:color="auto" w:fill="0F9ED5" w:themeFill="accent4" w:val="clear"/>
          </w:tcPr>
          <w:p>
            <w:pPr>
              <w:pStyle w:val="NoSpacing"/>
              <w:widowControl/>
              <w:spacing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Control</w:t>
            </w:r>
          </w:p>
        </w:tc>
        <w:tc>
          <w:tcPr>
            <w:tcW w:w="1484" w:type="dxa"/>
            <w:tcBorders>
              <w:start w:val="nil"/>
              <w:bottom w:val="nil"/>
              <w:end w:val="nil"/>
            </w:tcBorders>
            <w:shd w:color="auto" w:fill="0F9ED5" w:themeFill="accent4" w:val="clear"/>
          </w:tcPr>
          <w:p>
            <w:pPr>
              <w:pStyle w:val="NoSpacing"/>
              <w:widowControl/>
              <w:spacing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Investment</w:t>
            </w:r>
          </w:p>
        </w:tc>
        <w:tc>
          <w:tcPr>
            <w:tcW w:w="1070" w:type="dxa"/>
            <w:tcBorders>
              <w:start w:val="nil"/>
              <w:bottom w:val="nil"/>
              <w:end w:val="nil"/>
            </w:tcBorders>
            <w:shd w:color="auto" w:fill="0F9ED5" w:themeFill="accent4" w:val="clear"/>
          </w:tcPr>
          <w:p>
            <w:pPr>
              <w:pStyle w:val="NoSpacing"/>
              <w:widowControl/>
              <w:spacing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Risk</w:t>
            </w:r>
          </w:p>
        </w:tc>
        <w:tc>
          <w:tcPr>
            <w:tcW w:w="2046" w:type="dxa"/>
            <w:tcBorders>
              <w:start w:val="nil"/>
              <w:bottom w:val="nil"/>
            </w:tcBorders>
            <w:shd w:color="auto" w:fill="0F9ED5" w:themeFill="accent4" w:val="clear"/>
          </w:tcPr>
          <w:p>
            <w:pPr>
              <w:pStyle w:val="NoSpacing"/>
              <w:widowControl/>
              <w:spacing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Suitability for ALDI–India</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84" w:type="dxa"/>
            <w:tcBorders>
              <w:end w:val="nil"/>
            </w:tcBorders>
            <w:shd w:color="auto" w:fill="FFFFFF" w:themeFill="background1" w:val="clear"/>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Wholly owned subsidiary</w:t>
            </w:r>
          </w:p>
        </w:tc>
        <w:tc>
          <w:tcPr>
            <w:tcW w:w="2232" w:type="dxa"/>
            <w:tcBorders>
              <w:start w:val="nil"/>
              <w:end w:val="nil"/>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Very high</w:t>
            </w:r>
          </w:p>
        </w:tc>
        <w:tc>
          <w:tcPr>
            <w:tcW w:w="1484" w:type="dxa"/>
            <w:tcBorders>
              <w:start w:val="nil"/>
              <w:end w:val="nil"/>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Very high</w:t>
            </w:r>
          </w:p>
        </w:tc>
        <w:tc>
          <w:tcPr>
            <w:tcW w:w="1070" w:type="dxa"/>
            <w:tcBorders>
              <w:start w:val="nil"/>
              <w:end w:val="nil"/>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High</w:t>
            </w:r>
          </w:p>
        </w:tc>
        <w:tc>
          <w:tcPr>
            <w:tcW w:w="2046" w:type="dxa"/>
            <w:tcBorders>
              <w:start w:val="nil"/>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Low–Medium</w:t>
            </w:r>
          </w:p>
        </w:tc>
      </w:tr>
      <w:tr>
        <w:trPr/>
        <w:tc>
          <w:tcPr>
            <w:cnfStyle w:val="001000000000" w:firstRow="0" w:lastRow="0" w:firstColumn="1" w:lastColumn="0" w:oddVBand="0" w:evenVBand="0" w:oddHBand="0" w:evenHBand="0" w:firstRowFirstColumn="0" w:firstRowLastColumn="0" w:lastRowFirstColumn="0" w:lastRowLastColumn="0"/>
            <w:tcW w:w="2184" w:type="dxa"/>
            <w:tcBorders>
              <w:top w:val="nil"/>
              <w:bottom w:val="nil"/>
              <w:end w:val="nil"/>
            </w:tcBorders>
            <w:shd w:color="auto" w:fill="FFFFFF" w:themeFill="background1" w:val="clear"/>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Joint venture</w:t>
            </w:r>
          </w:p>
        </w:tc>
        <w:tc>
          <w:tcPr>
            <w:tcW w:w="2232" w:type="dxa"/>
            <w:tcBorders>
              <w:top w:val="nil"/>
              <w:start w:val="nil"/>
              <w:bottom w:val="nil"/>
              <w:end w:val="nil"/>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High/shared</w:t>
            </w:r>
          </w:p>
        </w:tc>
        <w:tc>
          <w:tcPr>
            <w:tcW w:w="1484" w:type="dxa"/>
            <w:tcBorders>
              <w:top w:val="nil"/>
              <w:start w:val="nil"/>
              <w:bottom w:val="nil"/>
              <w:end w:val="nil"/>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High</w:t>
            </w:r>
          </w:p>
        </w:tc>
        <w:tc>
          <w:tcPr>
            <w:tcW w:w="1070" w:type="dxa"/>
            <w:tcBorders>
              <w:top w:val="nil"/>
              <w:start w:val="nil"/>
              <w:bottom w:val="nil"/>
              <w:end w:val="nil"/>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Medium</w:t>
            </w:r>
          </w:p>
        </w:tc>
        <w:tc>
          <w:tcPr>
            <w:tcW w:w="2046" w:type="dxa"/>
            <w:tcBorders>
              <w:top w:val="nil"/>
              <w:start w:val="nil"/>
              <w:bottom w:val="nil"/>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High</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84" w:type="dxa"/>
            <w:tcBorders>
              <w:end w:val="nil"/>
            </w:tcBorders>
            <w:shd w:color="auto" w:fill="FFFFFF" w:themeFill="background1" w:val="clear"/>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Franchising</w:t>
            </w:r>
          </w:p>
        </w:tc>
        <w:tc>
          <w:tcPr>
            <w:tcW w:w="2232" w:type="dxa"/>
            <w:tcBorders>
              <w:start w:val="nil"/>
              <w:end w:val="nil"/>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Low–Medium</w:t>
            </w:r>
          </w:p>
        </w:tc>
        <w:tc>
          <w:tcPr>
            <w:tcW w:w="1484" w:type="dxa"/>
            <w:tcBorders>
              <w:start w:val="nil"/>
              <w:end w:val="nil"/>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Low</w:t>
            </w:r>
          </w:p>
        </w:tc>
        <w:tc>
          <w:tcPr>
            <w:tcW w:w="1070" w:type="dxa"/>
            <w:tcBorders>
              <w:start w:val="nil"/>
              <w:end w:val="nil"/>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Medium</w:t>
            </w:r>
          </w:p>
        </w:tc>
        <w:tc>
          <w:tcPr>
            <w:tcW w:w="2046" w:type="dxa"/>
            <w:tcBorders>
              <w:start w:val="nil"/>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Low</w:t>
            </w:r>
          </w:p>
        </w:tc>
      </w:tr>
      <w:tr>
        <w:trPr/>
        <w:tc>
          <w:tcPr>
            <w:cnfStyle w:val="001000000000" w:firstRow="0" w:lastRow="0" w:firstColumn="1" w:lastColumn="0" w:oddVBand="0" w:evenVBand="0" w:oddHBand="0" w:evenHBand="0" w:firstRowFirstColumn="0" w:firstRowLastColumn="0" w:lastRowFirstColumn="0" w:lastRowLastColumn="0"/>
            <w:tcW w:w="2184" w:type="dxa"/>
            <w:tcBorders>
              <w:top w:val="nil"/>
              <w:end w:val="nil"/>
            </w:tcBorders>
            <w:shd w:color="auto" w:fill="FFFFFF" w:themeFill="background1" w:val="clear"/>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Strategic partnership</w:t>
            </w:r>
          </w:p>
        </w:tc>
        <w:tc>
          <w:tcPr>
            <w:tcW w:w="2232" w:type="dxa"/>
            <w:tcBorders>
              <w:top w:val="nil"/>
              <w:start w:val="nil"/>
              <w:end w:val="nil"/>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Shared/contractual</w:t>
            </w:r>
          </w:p>
        </w:tc>
        <w:tc>
          <w:tcPr>
            <w:tcW w:w="1484" w:type="dxa"/>
            <w:tcBorders>
              <w:top w:val="nil"/>
              <w:start w:val="nil"/>
              <w:end w:val="nil"/>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Medium</w:t>
            </w:r>
          </w:p>
        </w:tc>
        <w:tc>
          <w:tcPr>
            <w:tcW w:w="1070" w:type="dxa"/>
            <w:tcBorders>
              <w:top w:val="nil"/>
              <w:start w:val="nil"/>
              <w:end w:val="nil"/>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Medium</w:t>
            </w:r>
          </w:p>
        </w:tc>
        <w:tc>
          <w:tcPr>
            <w:tcW w:w="2046" w:type="dxa"/>
            <w:tcBorders>
              <w:top w:val="nil"/>
              <w:start w:val="nil"/>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High</w:t>
            </w:r>
          </w:p>
        </w:tc>
      </w:tr>
    </w:tbl>
    <w:p>
      <w:pPr>
        <w:pStyle w:val="Normal"/>
        <w:rPr>
          <w:rFonts w:cs="Arial"/>
          <w:lang w:val="en-IN"/>
        </w:rPr>
      </w:pPr>
      <w:r>
        <w:rPr>
          <w:rFonts w:cs="Arial"/>
          <w:lang w:val="en-IN"/>
        </w:rPr>
        <w:t xml:space="preserve">A </w:t>
      </w:r>
      <w:r>
        <w:rPr>
          <w:rFonts w:cs="Arial"/>
          <w:b/>
          <w:bCs/>
          <w:lang w:val="en-IN"/>
        </w:rPr>
        <w:t>wholly owned subsidiary</w:t>
      </w:r>
      <w:r>
        <w:rPr>
          <w:rFonts w:cs="Arial"/>
          <w:lang w:val="en-IN"/>
        </w:rPr>
        <w:t xml:space="preserve"> would provide ALDI with maximum control over procurement, private-label products, pricing, store design, quality and supply-chain management. These factors are important because ALDI's competitive advantage depends heavily on operational consistency. However, this option is difficult to reconcile with India's current multi-brand retail FDI framework, which permits foreign investment up to </w:t>
      </w:r>
      <w:r>
        <w:rPr>
          <w:rFonts w:cs="Arial"/>
          <w:b/>
          <w:bCs/>
          <w:lang w:val="en-IN"/>
        </w:rPr>
        <w:t>51% through the Government route</w:t>
      </w:r>
      <w:r>
        <w:rPr>
          <w:rFonts w:cs="Arial"/>
          <w:lang w:val="en-IN"/>
        </w:rPr>
        <w:t>. Consequently, full foreign ownership would not represent the most realistic initial structure (Pib, 2012).</w:t>
      </w:r>
    </w:p>
    <w:p>
      <w:pPr>
        <w:pStyle w:val="Normal"/>
        <w:rPr>
          <w:rFonts w:cs="Arial"/>
          <w:lang w:val="en-IN"/>
        </w:rPr>
      </w:pPr>
      <w:r>
        <w:rPr>
          <w:rFonts w:cs="Arial"/>
          <w:b/>
          <w:bCs/>
          <w:lang w:val="en-IN"/>
        </w:rPr>
        <w:t>Franchising</w:t>
      </w:r>
      <w:r>
        <w:rPr>
          <w:rFonts w:cs="Arial"/>
          <w:lang w:val="en-IN"/>
        </w:rPr>
        <w:t xml:space="preserve"> would reduce ALDI's financial exposure and could accelerate geographical expansion. It creates a significant control problem. Franchisees could make decisions affecting product assortment, service quality, supplier relationships and customer experience (</w:t>
      </w:r>
      <w:r>
        <w:rPr>
          <w:rFonts w:cs="Arial"/>
        </w:rPr>
        <w:t>Michael, 2023</w:t>
      </w:r>
      <w:r>
        <w:rPr>
          <w:rFonts w:cs="Arial"/>
          <w:lang w:val="en-IN"/>
        </w:rPr>
        <w:t>). This is particularly problematic for ALDI because its low-cost model depends on tightly coordinated procurement and operations. Therefore, franchising is less appropriate than a controlled partnership.</w:t>
      </w:r>
    </w:p>
    <w:p>
      <w:pPr>
        <w:pStyle w:val="Normal"/>
        <w:rPr>
          <w:rFonts w:cs="Arial"/>
          <w:lang w:val="en-IN"/>
        </w:rPr>
      </w:pPr>
      <w:r>
        <w:rPr>
          <w:rFonts w:cs="Arial"/>
          <w:lang w:val="en-IN"/>
        </w:rPr>
        <w:t xml:space="preserve">A </w:t>
      </w:r>
      <w:r>
        <w:rPr>
          <w:rFonts w:cs="Arial"/>
          <w:b/>
          <w:bCs/>
          <w:lang w:val="en-IN"/>
        </w:rPr>
        <w:t>joint venture (JV)</w:t>
      </w:r>
      <w:r>
        <w:rPr>
          <w:rFonts w:cs="Arial"/>
          <w:lang w:val="en-IN"/>
        </w:rPr>
        <w:t xml:space="preserve"> offers a stronger balance. It could provide ALDI with local knowledge, regulatory expertise, supplier relationships and access to Indian commercial networks while allowing ALDI to contribute its international retail capabilities. The disadvantage is shared decision-making and the possibility of conflicts over strategic priorities. A </w:t>
      </w:r>
      <w:r>
        <w:rPr>
          <w:rFonts w:cs="Arial"/>
          <w:b/>
          <w:bCs/>
          <w:lang w:val="en-IN"/>
        </w:rPr>
        <w:t>strategic partnership</w:t>
      </w:r>
      <w:r>
        <w:rPr>
          <w:rFonts w:cs="Arial"/>
          <w:lang w:val="en-IN"/>
        </w:rPr>
        <w:t xml:space="preserve"> could similarly provide access to local logistics, sourcing, technology or real-estate capabilities without requiring ALDI to transfer complete operational control (</w:t>
      </w:r>
      <w:r>
        <w:rPr>
          <w:rFonts w:cs="Arial"/>
        </w:rPr>
        <w:t xml:space="preserve">Attah </w:t>
      </w:r>
      <w:r>
        <w:rPr>
          <w:rFonts w:cs="Arial"/>
          <w:i/>
          <w:iCs/>
        </w:rPr>
        <w:t>et al.,</w:t>
      </w:r>
      <w:r>
        <w:rPr>
          <w:rFonts w:cs="Arial"/>
        </w:rPr>
        <w:t xml:space="preserve"> 2024</w:t>
      </w:r>
      <w:r>
        <w:rPr>
          <w:rFonts w:cs="Arial"/>
          <w:lang w:val="en-IN"/>
        </w:rPr>
        <w:t>). This could be useful during the initial market-testing phase.</w:t>
      </w:r>
    </w:p>
    <w:p>
      <w:pPr>
        <w:pStyle w:val="Heading2"/>
        <w:rPr>
          <w:rFonts w:cs="Arial"/>
        </w:rPr>
      </w:pPr>
      <w:bookmarkStart w:id="23" w:name="__RefHeading___Toc6359_621937267"/>
      <w:bookmarkStart w:id="24" w:name="_Toc237544019"/>
      <w:bookmarkEnd w:id="23"/>
      <w:r>
        <w:rPr>
          <w:rFonts w:cs="Arial"/>
        </w:rPr>
        <w:t>3.3 Recommended Entry Mode: Phased Joint Venture with Strategic Local Partnerships</w:t>
      </w:r>
      <w:bookmarkEnd w:id="24"/>
    </w:p>
    <w:p>
      <w:pPr>
        <w:pStyle w:val="Normal"/>
        <w:rPr>
          <w:rFonts w:cs="Arial"/>
          <w:lang w:val="en-IN"/>
        </w:rPr>
      </w:pPr>
      <w:r>
        <w:rPr>
          <w:rFonts w:cs="Arial"/>
          <w:lang w:val="en-IN"/>
        </w:rPr>
        <w:t>Based on the preceding analysis, the most suitable approach is a phased entry through a carefully structured joint venture supported by local strategic partnerships.</w:t>
      </w:r>
    </w:p>
    <w:p>
      <w:pPr>
        <w:pStyle w:val="Normal"/>
        <w:rPr>
          <w:rFonts w:cs="Arial"/>
          <w:lang w:val="en-IN"/>
        </w:rPr>
      </w:pPr>
      <w:r>
        <w:rPr>
          <w:rFonts w:cs="Arial"/>
          <w:lang w:val="en-IN"/>
        </w:rPr>
        <w:t>The recommendation reflects both ALDI's Chinese experience and India's regulatory conditions. The first stage should involve a limited number of pilot stores in major metropolitan markets, rather than immediate nationwide expansion. Mumbai, Delhi-NCR, Bengaluru and Hyderabad could be investigated as potential locations because of their large urban consumer bases, established retail infrastructure and purchasing power. However, the final locations should be determined through city-level market research rather than assumed in advance.</w:t>
      </w:r>
    </w:p>
    <w:p>
      <w:pPr>
        <w:pStyle w:val="Normal"/>
        <w:rPr>
          <w:rFonts w:cs="Arial"/>
          <w:lang w:val="en-IN"/>
        </w:rPr>
      </w:pPr>
      <w:r>
        <w:rPr>
          <w:rFonts w:cs="Arial"/>
          <w:lang w:val="en-IN"/>
        </w:rPr>
        <w:t>The initial pilot should be designed as a learning mechanism. ALDI could test:</w:t>
      </w:r>
    </w:p>
    <w:p>
      <w:pPr>
        <w:pStyle w:val="Normal"/>
        <w:numPr>
          <w:ilvl w:val="0"/>
          <w:numId w:val="2"/>
        </w:numPr>
        <w:rPr>
          <w:rFonts w:cs="Arial"/>
          <w:lang w:val="en-IN"/>
        </w:rPr>
      </w:pPr>
      <w:r>
        <w:rPr>
          <w:rFonts w:cs="Arial"/>
          <w:lang w:val="en-IN"/>
        </w:rPr>
        <w:t xml:space="preserve">consumer response to private-label products; </w:t>
      </w:r>
    </w:p>
    <w:p>
      <w:pPr>
        <w:pStyle w:val="Normal"/>
        <w:numPr>
          <w:ilvl w:val="0"/>
          <w:numId w:val="2"/>
        </w:numPr>
        <w:rPr>
          <w:rFonts w:cs="Arial"/>
          <w:lang w:val="en-IN"/>
        </w:rPr>
      </w:pPr>
      <w:r>
        <w:rPr>
          <w:rFonts w:cs="Arial"/>
          <w:lang w:val="en-IN"/>
        </w:rPr>
        <w:t xml:space="preserve">acceptable price points; </w:t>
      </w:r>
    </w:p>
    <w:p>
      <w:pPr>
        <w:pStyle w:val="Normal"/>
        <w:numPr>
          <w:ilvl w:val="0"/>
          <w:numId w:val="2"/>
        </w:numPr>
        <w:rPr>
          <w:rFonts w:cs="Arial"/>
          <w:lang w:val="en-IN"/>
        </w:rPr>
      </w:pPr>
      <w:r>
        <w:rPr>
          <w:rFonts w:cs="Arial"/>
          <w:lang w:val="en-IN"/>
        </w:rPr>
        <w:t xml:space="preserve">demand for imported versus Indian products; </w:t>
      </w:r>
    </w:p>
    <w:p>
      <w:pPr>
        <w:pStyle w:val="Normal"/>
        <w:numPr>
          <w:ilvl w:val="0"/>
          <w:numId w:val="2"/>
        </w:numPr>
        <w:rPr>
          <w:rFonts w:cs="Arial"/>
          <w:lang w:val="en-IN"/>
        </w:rPr>
      </w:pPr>
      <w:r>
        <w:rPr>
          <w:rFonts w:cs="Arial"/>
          <w:lang w:val="en-IN"/>
        </w:rPr>
        <w:t xml:space="preserve">vegetarian and regional product ranges; </w:t>
      </w:r>
    </w:p>
    <w:p>
      <w:pPr>
        <w:pStyle w:val="Normal"/>
        <w:numPr>
          <w:ilvl w:val="0"/>
          <w:numId w:val="2"/>
        </w:numPr>
        <w:rPr>
          <w:rFonts w:cs="Arial"/>
          <w:lang w:val="en-IN"/>
        </w:rPr>
      </w:pPr>
      <w:r>
        <w:rPr>
          <w:rFonts w:cs="Arial"/>
          <w:lang w:val="en-IN"/>
        </w:rPr>
        <w:t xml:space="preserve">store size and location; </w:t>
      </w:r>
    </w:p>
    <w:p>
      <w:pPr>
        <w:pStyle w:val="Normal"/>
        <w:numPr>
          <w:ilvl w:val="0"/>
          <w:numId w:val="2"/>
        </w:numPr>
        <w:rPr>
          <w:rFonts w:cs="Arial"/>
          <w:lang w:val="en-IN"/>
        </w:rPr>
      </w:pPr>
      <w:r>
        <w:rPr>
          <w:rFonts w:cs="Arial"/>
          <w:lang w:val="en-IN"/>
        </w:rPr>
        <w:t xml:space="preserve">digital ordering; </w:t>
      </w:r>
    </w:p>
    <w:p>
      <w:pPr>
        <w:pStyle w:val="Normal"/>
        <w:numPr>
          <w:ilvl w:val="0"/>
          <w:numId w:val="2"/>
        </w:numPr>
        <w:rPr>
          <w:rFonts w:cs="Arial"/>
          <w:lang w:val="en-IN"/>
        </w:rPr>
      </w:pPr>
      <w:r>
        <w:rPr>
          <w:rFonts w:cs="Arial"/>
          <w:lang w:val="en-IN"/>
        </w:rPr>
        <w:t xml:space="preserve">delivery expectations; and </w:t>
      </w:r>
    </w:p>
    <w:p>
      <w:pPr>
        <w:pStyle w:val="Normal"/>
        <w:numPr>
          <w:ilvl w:val="0"/>
          <w:numId w:val="2"/>
        </w:numPr>
        <w:rPr>
          <w:rFonts w:cs="Arial"/>
          <w:lang w:val="en-IN"/>
        </w:rPr>
      </w:pPr>
      <w:r>
        <w:rPr>
          <w:rFonts w:cs="Arial"/>
          <w:lang w:val="en-IN"/>
        </w:rPr>
        <w:t xml:space="preserve">customer response to the ALDI discount proposition. </w:t>
      </w:r>
    </w:p>
    <w:p>
      <w:pPr>
        <w:pStyle w:val="Normal"/>
        <w:rPr>
          <w:rFonts w:cs="Arial"/>
          <w:lang w:val="en-IN"/>
        </w:rPr>
      </w:pPr>
      <w:r>
        <w:rPr>
          <w:rFonts w:cs="Arial"/>
          <w:lang w:val="en-IN"/>
        </w:rPr>
        <w:t xml:space="preserve">This would replicate an important feature of ALDI's Chinese approach, where the first Shanghai stores were explicitly used to understand local consumer behaviour and adapt the offering. </w:t>
      </w:r>
    </w:p>
    <w:p>
      <w:pPr>
        <w:pStyle w:val="Normal"/>
        <w:rPr>
          <w:rFonts w:cs="Arial"/>
          <w:lang w:val="en-IN"/>
        </w:rPr>
      </w:pPr>
      <w:r>
        <w:rPr>
          <w:rFonts w:cs="Arial"/>
          <w:lang w:val="en-IN"/>
        </w:rPr>
        <w:t xml:space="preserve">The second stage should involve </w:t>
      </w:r>
      <w:r>
        <w:rPr>
          <w:rFonts w:cs="Arial"/>
          <w:b/>
          <w:bCs/>
          <w:lang w:val="en-IN"/>
        </w:rPr>
        <w:t>deepening Indian sourcing and supplier development</w:t>
      </w:r>
      <w:r>
        <w:rPr>
          <w:rFonts w:cs="Arial"/>
          <w:lang w:val="en-IN"/>
        </w:rPr>
        <w:t>. India's multi-brand retail policy requires at least 30% of the value of manufactured/processed-product procurement to be sourced from Indian small industries, while the policy also requires significant investment in back-end infrastructure (Pib, 2012). Rather than treating these requirements purely as regulatory burdens, ALDI could use them to develop an Indian procurement base. Local sourcing would reduce dependence on imports, potentially lower logistics costs and allow products to be adapted to Indian tastes.</w:t>
      </w:r>
    </w:p>
    <w:p>
      <w:pPr>
        <w:pStyle w:val="Normal"/>
        <w:rPr>
          <w:rFonts w:cs="Arial"/>
          <w:lang w:val="en-IN"/>
        </w:rPr>
      </w:pPr>
      <w:r>
        <w:rPr>
          <w:rFonts w:cs="Arial"/>
          <w:lang w:val="en-IN"/>
        </w:rPr>
        <w:t xml:space="preserve">The third stage should involve expansion only after the pilot demonstrates satisfactory performance in terms of customer acquisition, store-level profitability, supply-chain efficiency and regulatory compliance. A JV is preferable to immediate full ownership because it reduces the information disadvantage faced by a foreign retailer entering India's complex market. At the same time, ALDI should negotiate strong governance rights over </w:t>
      </w:r>
      <w:r>
        <w:rPr>
          <w:rFonts w:cs="Arial"/>
          <w:b/>
          <w:bCs/>
          <w:lang w:val="en-IN"/>
        </w:rPr>
        <w:t>procurement, private-label standards, quality control, store operations and brand management</w:t>
      </w:r>
      <w:r>
        <w:rPr>
          <w:rFonts w:cs="Arial"/>
          <w:lang w:val="en-IN"/>
        </w:rPr>
        <w:t>. This preserves the ownership advantages identified through the OLI analysis.</w:t>
      </w:r>
    </w:p>
    <w:p>
      <w:pPr>
        <w:pStyle w:val="Heading2"/>
        <w:rPr>
          <w:rFonts w:cs="Arial"/>
        </w:rPr>
      </w:pPr>
      <w:bookmarkStart w:id="25" w:name="__RefHeading___Toc6361_621937267"/>
      <w:bookmarkStart w:id="26" w:name="_Toc237544020"/>
      <w:bookmarkEnd w:id="25"/>
      <w:r>
        <w:rPr>
          <w:rFonts w:cs="Arial"/>
        </w:rPr>
        <w:t>3.4 Risk–Return Analysis</w:t>
      </w:r>
      <w:bookmarkEnd w:id="26"/>
    </w:p>
    <w:tbl>
      <w:tblPr>
        <w:tblStyle w:val="ListTable3-Accent4"/>
        <w:tblW w:w="9016" w:type="dxa"/>
        <w:jc w:val="start"/>
        <w:tblInd w:w="0" w:type="dxa"/>
        <w:tblLayout w:type="fixed"/>
        <w:tblCellMar>
          <w:top w:w="0" w:type="dxa"/>
          <w:start w:w="108" w:type="dxa"/>
          <w:bottom w:w="0" w:type="dxa"/>
          <w:end w:w="108" w:type="dxa"/>
        </w:tblCellMar>
        <w:tblLook w:firstRow="1" w:noVBand="1" w:lastRow="0" w:firstColumn="1" w:lastColumn="0" w:noHBand="0" w:val="04a0"/>
      </w:tblPr>
      <w:tblGrid>
        <w:gridCol w:w="1669"/>
        <w:gridCol w:w="1644"/>
        <w:gridCol w:w="3138"/>
        <w:gridCol w:w="2565"/>
      </w:tblGrid>
      <w:tr>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669" w:type="dxa"/>
            <w:tcBorders>
              <w:top w:val="single" w:sz="4" w:space="0" w:color="4C94D8"/>
              <w:start w:val="single" w:sz="4" w:space="0" w:color="4C94D8"/>
              <w:bottom w:val="single" w:sz="4" w:space="0" w:color="4C94D8"/>
              <w:end w:val="single" w:sz="4" w:space="0" w:color="4C94D8"/>
            </w:tcBorders>
            <w:shd w:color="auto" w:fill="0F9ED5" w:themeFill="accent4" w:val="clear"/>
          </w:tcPr>
          <w:p>
            <w:pPr>
              <w:pStyle w:val="NoSpacing"/>
              <w:widowControl/>
              <w:spacing w:before="0" w:after="0"/>
              <w:rPr>
                <w:rFonts w:ascii="Arial" w:hAnsi="Arial" w:cs="Arial"/>
                <w:lang w:val="en-IN"/>
              </w:rPr>
            </w:pPr>
            <w:r>
              <w:rPr>
                <w:rFonts w:eastAsia="Aptos" w:cs="Arial" w:ascii="Arial" w:hAnsi="Arial"/>
                <w:b/>
                <w:bCs/>
                <w:color w:themeColor="background1" w:val="FFFFFF"/>
                <w:kern w:val="0"/>
                <w:szCs w:val="22"/>
                <w:lang w:val="en-IN" w:eastAsia="en-US" w:bidi="ar-SA"/>
              </w:rPr>
              <w:t>Risk</w:t>
            </w:r>
          </w:p>
        </w:tc>
        <w:tc>
          <w:tcPr>
            <w:tcW w:w="1644" w:type="dxa"/>
            <w:tcBorders>
              <w:top w:val="single" w:sz="4" w:space="0" w:color="4C94D8"/>
              <w:start w:val="single" w:sz="4" w:space="0" w:color="4C94D8"/>
              <w:bottom w:val="single" w:sz="4" w:space="0" w:color="4C94D8"/>
              <w:end w:val="single" w:sz="4" w:space="0" w:color="4C94D8"/>
            </w:tcBorders>
            <w:shd w:color="auto" w:fill="0F9ED5" w:themeFill="accent4" w:val="clear"/>
          </w:tcPr>
          <w:p>
            <w:pPr>
              <w:pStyle w:val="NoSpacing"/>
              <w:widowControl/>
              <w:spacing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Assessment</w:t>
            </w:r>
          </w:p>
        </w:tc>
        <w:tc>
          <w:tcPr>
            <w:tcW w:w="3138" w:type="dxa"/>
            <w:tcBorders>
              <w:top w:val="single" w:sz="4" w:space="0" w:color="4C94D8"/>
              <w:start w:val="single" w:sz="4" w:space="0" w:color="4C94D8"/>
              <w:bottom w:val="single" w:sz="4" w:space="0" w:color="4C94D8"/>
              <w:end w:val="single" w:sz="4" w:space="0" w:color="4C94D8"/>
            </w:tcBorders>
            <w:shd w:color="auto" w:fill="0F9ED5" w:themeFill="accent4" w:val="clear"/>
          </w:tcPr>
          <w:p>
            <w:pPr>
              <w:pStyle w:val="NoSpacing"/>
              <w:widowControl/>
              <w:spacing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Strategic implication</w:t>
            </w:r>
          </w:p>
        </w:tc>
        <w:tc>
          <w:tcPr>
            <w:tcW w:w="2565" w:type="dxa"/>
            <w:tcBorders>
              <w:top w:val="single" w:sz="4" w:space="0" w:color="4C94D8"/>
              <w:start w:val="single" w:sz="4" w:space="0" w:color="4C94D8"/>
              <w:bottom w:val="single" w:sz="4" w:space="0" w:color="4C94D8"/>
              <w:end w:val="single" w:sz="4" w:space="0" w:color="4C94D8"/>
            </w:tcBorders>
            <w:shd w:color="auto" w:fill="0F9ED5" w:themeFill="accent4" w:val="clear"/>
          </w:tcPr>
          <w:p>
            <w:pPr>
              <w:pStyle w:val="NoSpacing"/>
              <w:widowControl/>
              <w:spacing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Mitigation</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9" w:type="dxa"/>
            <w:tcBorders>
              <w:top w:val="nil"/>
              <w:start w:val="single" w:sz="4" w:space="0" w:color="4C94D8"/>
              <w:bottom w:val="nil"/>
              <w:end w:val="single" w:sz="4" w:space="0" w:color="4C94D8"/>
            </w:tcBorders>
            <w:shd w:color="auto" w:fill="FFFFFF" w:themeFill="background1" w:val="clear"/>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Regulatory</w:t>
            </w:r>
          </w:p>
        </w:tc>
        <w:tc>
          <w:tcPr>
            <w:tcW w:w="1644" w:type="dxa"/>
            <w:tcBorders>
              <w:top w:val="nil"/>
              <w:start w:val="single" w:sz="4" w:space="0" w:color="4C94D8"/>
              <w:bottom w:val="nil"/>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High</w:t>
            </w:r>
          </w:p>
        </w:tc>
        <w:tc>
          <w:tcPr>
            <w:tcW w:w="3138" w:type="dxa"/>
            <w:tcBorders>
              <w:top w:val="nil"/>
              <w:start w:val="single" w:sz="4" w:space="0" w:color="4C94D8"/>
              <w:bottom w:val="nil"/>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Multi-brand FDI restrictions may constrain ownership</w:t>
            </w:r>
          </w:p>
        </w:tc>
        <w:tc>
          <w:tcPr>
            <w:tcW w:w="2565" w:type="dxa"/>
            <w:tcBorders>
              <w:top w:val="nil"/>
              <w:start w:val="single" w:sz="4" w:space="0" w:color="4C94D8"/>
              <w:bottom w:val="nil"/>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Experienced Indian JV partner and regulatory specialists</w:t>
            </w:r>
          </w:p>
        </w:tc>
      </w:tr>
      <w:tr>
        <w:trPr/>
        <w:tc>
          <w:tcPr>
            <w:cnfStyle w:val="001000000000" w:firstRow="0" w:lastRow="0" w:firstColumn="1" w:lastColumn="0" w:oddVBand="0" w:evenVBand="0" w:oddHBand="0" w:evenHBand="0" w:firstRowFirstColumn="0" w:firstRowLastColumn="0" w:lastRowFirstColumn="0" w:lastRowLastColumn="0"/>
            <w:tcW w:w="1669" w:type="dxa"/>
            <w:tcBorders>
              <w:top w:val="single" w:sz="4" w:space="0" w:color="4C94D8"/>
              <w:start w:val="single" w:sz="4" w:space="0" w:color="4C94D8"/>
              <w:bottom w:val="single" w:sz="4" w:space="0" w:color="4C94D8"/>
              <w:end w:val="single" w:sz="4" w:space="0" w:color="4C94D8"/>
            </w:tcBorders>
            <w:shd w:color="auto" w:fill="FFFFFF" w:themeFill="background1" w:val="clear"/>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Financial</w:t>
            </w:r>
          </w:p>
        </w:tc>
        <w:tc>
          <w:tcPr>
            <w:tcW w:w="1644" w:type="dxa"/>
            <w:tcBorders>
              <w:top w:val="single" w:sz="4" w:space="0" w:color="4C94D8"/>
              <w:start w:val="single" w:sz="4" w:space="0" w:color="4C94D8"/>
              <w:bottom w:val="single" w:sz="4" w:space="0" w:color="4C94D8"/>
              <w:end w:val="single" w:sz="4" w:space="0" w:color="4C94D8"/>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Medium–High</w:t>
            </w:r>
          </w:p>
        </w:tc>
        <w:tc>
          <w:tcPr>
            <w:tcW w:w="3138" w:type="dxa"/>
            <w:tcBorders>
              <w:top w:val="single" w:sz="4" w:space="0" w:color="4C94D8"/>
              <w:start w:val="single" w:sz="4" w:space="0" w:color="4C94D8"/>
              <w:bottom w:val="single" w:sz="4" w:space="0" w:color="4C94D8"/>
              <w:end w:val="single" w:sz="4" w:space="0" w:color="4C94D8"/>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Store development and infrastructure require substantial investment</w:t>
            </w:r>
          </w:p>
        </w:tc>
        <w:tc>
          <w:tcPr>
            <w:tcW w:w="2565" w:type="dxa"/>
            <w:tcBorders>
              <w:top w:val="single" w:sz="4" w:space="0" w:color="4C94D8"/>
              <w:start w:val="single" w:sz="4" w:space="0" w:color="4C94D8"/>
              <w:bottom w:val="single" w:sz="4" w:space="0" w:color="4C94D8"/>
              <w:end w:val="single" w:sz="4" w:space="0" w:color="4C94D8"/>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Phased investment and pilot stores</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9" w:type="dxa"/>
            <w:tcBorders>
              <w:top w:val="nil"/>
              <w:start w:val="single" w:sz="4" w:space="0" w:color="4C94D8"/>
              <w:bottom w:val="nil"/>
              <w:end w:val="single" w:sz="4" w:space="0" w:color="4C94D8"/>
            </w:tcBorders>
            <w:shd w:color="auto" w:fill="FFFFFF" w:themeFill="background1" w:val="clear"/>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Operational</w:t>
            </w:r>
          </w:p>
        </w:tc>
        <w:tc>
          <w:tcPr>
            <w:tcW w:w="1644" w:type="dxa"/>
            <w:tcBorders>
              <w:top w:val="nil"/>
              <w:start w:val="single" w:sz="4" w:space="0" w:color="4C94D8"/>
              <w:bottom w:val="nil"/>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High</w:t>
            </w:r>
          </w:p>
        </w:tc>
        <w:tc>
          <w:tcPr>
            <w:tcW w:w="3138" w:type="dxa"/>
            <w:tcBorders>
              <w:top w:val="nil"/>
              <w:start w:val="single" w:sz="4" w:space="0" w:color="4C94D8"/>
              <w:bottom w:val="nil"/>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India has a complex and geographically diverse supply chain</w:t>
            </w:r>
          </w:p>
        </w:tc>
        <w:tc>
          <w:tcPr>
            <w:tcW w:w="2565" w:type="dxa"/>
            <w:tcBorders>
              <w:top w:val="nil"/>
              <w:start w:val="single" w:sz="4" w:space="0" w:color="4C94D8"/>
              <w:bottom w:val="nil"/>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Local suppliers and distribution partnerships</w:t>
            </w:r>
          </w:p>
        </w:tc>
      </w:tr>
      <w:tr>
        <w:trPr/>
        <w:tc>
          <w:tcPr>
            <w:cnfStyle w:val="001000000000" w:firstRow="0" w:lastRow="0" w:firstColumn="1" w:lastColumn="0" w:oddVBand="0" w:evenVBand="0" w:oddHBand="0" w:evenHBand="0" w:firstRowFirstColumn="0" w:firstRowLastColumn="0" w:lastRowFirstColumn="0" w:lastRowLastColumn="0"/>
            <w:tcW w:w="1669" w:type="dxa"/>
            <w:tcBorders>
              <w:top w:val="single" w:sz="4" w:space="0" w:color="4C94D8"/>
              <w:start w:val="single" w:sz="4" w:space="0" w:color="4C94D8"/>
              <w:bottom w:val="single" w:sz="4" w:space="0" w:color="4C94D8"/>
              <w:end w:val="single" w:sz="4" w:space="0" w:color="4C94D8"/>
            </w:tcBorders>
            <w:shd w:color="auto" w:fill="FFFFFF" w:themeFill="background1" w:val="clear"/>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Cultural</w:t>
            </w:r>
          </w:p>
        </w:tc>
        <w:tc>
          <w:tcPr>
            <w:tcW w:w="1644" w:type="dxa"/>
            <w:tcBorders>
              <w:top w:val="single" w:sz="4" w:space="0" w:color="4C94D8"/>
              <w:start w:val="single" w:sz="4" w:space="0" w:color="4C94D8"/>
              <w:bottom w:val="single" w:sz="4" w:space="0" w:color="4C94D8"/>
              <w:end w:val="single" w:sz="4" w:space="0" w:color="4C94D8"/>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Medium–High</w:t>
            </w:r>
          </w:p>
        </w:tc>
        <w:tc>
          <w:tcPr>
            <w:tcW w:w="3138" w:type="dxa"/>
            <w:tcBorders>
              <w:top w:val="single" w:sz="4" w:space="0" w:color="4C94D8"/>
              <w:start w:val="single" w:sz="4" w:space="0" w:color="4C94D8"/>
              <w:bottom w:val="single" w:sz="4" w:space="0" w:color="4C94D8"/>
              <w:end w:val="single" w:sz="4" w:space="0" w:color="4C94D8"/>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Standard ALDI assortment may not fully match Indian preferences</w:t>
            </w:r>
          </w:p>
        </w:tc>
        <w:tc>
          <w:tcPr>
            <w:tcW w:w="2565" w:type="dxa"/>
            <w:tcBorders>
              <w:top w:val="single" w:sz="4" w:space="0" w:color="4C94D8"/>
              <w:start w:val="single" w:sz="4" w:space="0" w:color="4C94D8"/>
              <w:bottom w:val="single" w:sz="4" w:space="0" w:color="4C94D8"/>
              <w:end w:val="single" w:sz="4" w:space="0" w:color="4C94D8"/>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Localised product ranges and regional testing</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9" w:type="dxa"/>
            <w:tcBorders>
              <w:top w:val="nil"/>
              <w:start w:val="single" w:sz="4" w:space="0" w:color="4C94D8"/>
              <w:bottom w:val="nil"/>
              <w:end w:val="single" w:sz="4" w:space="0" w:color="4C94D8"/>
            </w:tcBorders>
            <w:shd w:color="auto" w:fill="FFFFFF" w:themeFill="background1" w:val="clear"/>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Competitive</w:t>
            </w:r>
          </w:p>
        </w:tc>
        <w:tc>
          <w:tcPr>
            <w:tcW w:w="1644" w:type="dxa"/>
            <w:tcBorders>
              <w:top w:val="nil"/>
              <w:start w:val="single" w:sz="4" w:space="0" w:color="4C94D8"/>
              <w:bottom w:val="nil"/>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High</w:t>
            </w:r>
          </w:p>
        </w:tc>
        <w:tc>
          <w:tcPr>
            <w:tcW w:w="3138" w:type="dxa"/>
            <w:tcBorders>
              <w:top w:val="nil"/>
              <w:start w:val="single" w:sz="4" w:space="0" w:color="4C94D8"/>
              <w:bottom w:val="nil"/>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Reliance, DMart, kiranas and quick-commerce platforms already compete strongly</w:t>
            </w:r>
          </w:p>
        </w:tc>
        <w:tc>
          <w:tcPr>
            <w:tcW w:w="2565" w:type="dxa"/>
            <w:tcBorders>
              <w:top w:val="nil"/>
              <w:start w:val="single" w:sz="4" w:space="0" w:color="4C94D8"/>
              <w:bottom w:val="nil"/>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Differentiation through value and private labels</w:t>
            </w:r>
          </w:p>
        </w:tc>
      </w:tr>
      <w:tr>
        <w:trPr/>
        <w:tc>
          <w:tcPr>
            <w:cnfStyle w:val="001000000000" w:firstRow="0" w:lastRow="0" w:firstColumn="1" w:lastColumn="0" w:oddVBand="0" w:evenVBand="0" w:oddHBand="0" w:evenHBand="0" w:firstRowFirstColumn="0" w:firstRowLastColumn="0" w:lastRowFirstColumn="0" w:lastRowLastColumn="0"/>
            <w:tcW w:w="1669" w:type="dxa"/>
            <w:tcBorders>
              <w:top w:val="single" w:sz="4" w:space="0" w:color="4C94D8"/>
              <w:start w:val="single" w:sz="4" w:space="0" w:color="4C94D8"/>
              <w:bottom w:val="single" w:sz="4" w:space="0" w:color="4C94D8"/>
              <w:end w:val="single" w:sz="4" w:space="0" w:color="4C94D8"/>
            </w:tcBorders>
            <w:shd w:color="auto" w:fill="FFFFFF" w:themeFill="background1" w:val="clear"/>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Currency</w:t>
            </w:r>
          </w:p>
        </w:tc>
        <w:tc>
          <w:tcPr>
            <w:tcW w:w="1644" w:type="dxa"/>
            <w:tcBorders>
              <w:top w:val="single" w:sz="4" w:space="0" w:color="4C94D8"/>
              <w:start w:val="single" w:sz="4" w:space="0" w:color="4C94D8"/>
              <w:bottom w:val="single" w:sz="4" w:space="0" w:color="4C94D8"/>
              <w:end w:val="single" w:sz="4" w:space="0" w:color="4C94D8"/>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Medium</w:t>
            </w:r>
          </w:p>
        </w:tc>
        <w:tc>
          <w:tcPr>
            <w:tcW w:w="3138" w:type="dxa"/>
            <w:tcBorders>
              <w:top w:val="single" w:sz="4" w:space="0" w:color="4C94D8"/>
              <w:start w:val="single" w:sz="4" w:space="0" w:color="4C94D8"/>
              <w:bottom w:val="single" w:sz="4" w:space="0" w:color="4C94D8"/>
              <w:end w:val="single" w:sz="4" w:space="0" w:color="4C94D8"/>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Rupee movements may affect imported products and returns</w:t>
            </w:r>
          </w:p>
        </w:tc>
        <w:tc>
          <w:tcPr>
            <w:tcW w:w="2565" w:type="dxa"/>
            <w:tcBorders>
              <w:top w:val="single" w:sz="4" w:space="0" w:color="4C94D8"/>
              <w:start w:val="single" w:sz="4" w:space="0" w:color="4C94D8"/>
              <w:bottom w:val="single" w:sz="4" w:space="0" w:color="4C94D8"/>
              <w:end w:val="single" w:sz="4" w:space="0" w:color="4C94D8"/>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Greater local sourcing</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9" w:type="dxa"/>
            <w:tcBorders>
              <w:top w:val="nil"/>
              <w:start w:val="single" w:sz="4" w:space="0" w:color="4C94D8"/>
              <w:bottom w:val="single" w:sz="4" w:space="0" w:color="4C94D8"/>
              <w:end w:val="single" w:sz="4" w:space="0" w:color="4C94D8"/>
            </w:tcBorders>
            <w:shd w:color="auto" w:fill="FFFFFF" w:themeFill="background1" w:val="clear"/>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Reputational</w:t>
            </w:r>
          </w:p>
        </w:tc>
        <w:tc>
          <w:tcPr>
            <w:tcW w:w="1644" w:type="dxa"/>
            <w:tcBorders>
              <w:top w:val="nil"/>
              <w:start w:val="single" w:sz="4" w:space="0" w:color="4C94D8"/>
              <w:bottom w:val="single" w:sz="4" w:space="0" w:color="4C94D8"/>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Medium</w:t>
            </w:r>
          </w:p>
        </w:tc>
        <w:tc>
          <w:tcPr>
            <w:tcW w:w="3138" w:type="dxa"/>
            <w:tcBorders>
              <w:top w:val="nil"/>
              <w:start w:val="single" w:sz="4" w:space="0" w:color="4C94D8"/>
              <w:bottom w:val="single" w:sz="4" w:space="0" w:color="4C94D8"/>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Food-quality or regulatory failures could damage a new brand</w:t>
            </w:r>
          </w:p>
        </w:tc>
        <w:tc>
          <w:tcPr>
            <w:tcW w:w="2565" w:type="dxa"/>
            <w:tcBorders>
              <w:top w:val="nil"/>
              <w:start w:val="single" w:sz="4" w:space="0" w:color="4C94D8"/>
              <w:bottom w:val="single" w:sz="4" w:space="0" w:color="4C94D8"/>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Strong FSSAI and quality-control systems</w:t>
            </w:r>
          </w:p>
        </w:tc>
      </w:tr>
    </w:tbl>
    <w:p>
      <w:pPr>
        <w:pStyle w:val="Normal"/>
        <w:rPr>
          <w:rFonts w:cs="Arial"/>
          <w:lang w:val="en-IN"/>
        </w:rPr>
      </w:pPr>
      <w:r>
        <w:rPr>
          <w:rFonts w:cs="Arial"/>
          <w:lang w:val="en-IN"/>
        </w:rPr>
        <w:t xml:space="preserve">The major strategic issue is therefore not simply the amount of financial investment but the </w:t>
      </w:r>
      <w:r>
        <w:rPr>
          <w:rFonts w:cs="Arial"/>
          <w:b/>
          <w:bCs/>
          <w:lang w:val="en-IN"/>
        </w:rPr>
        <w:t>degree of irreversible commitment before ALDI understands the Indian market</w:t>
      </w:r>
      <w:r>
        <w:rPr>
          <w:rFonts w:cs="Arial"/>
          <w:lang w:val="en-IN"/>
        </w:rPr>
        <w:t>. A phased approach reduces this uncertainty while preserving the opportunity to scale.</w:t>
      </w:r>
    </w:p>
    <w:p>
      <w:pPr>
        <w:pStyle w:val="Heading2"/>
        <w:rPr>
          <w:rFonts w:cs="Arial"/>
        </w:rPr>
      </w:pPr>
      <w:bookmarkStart w:id="27" w:name="__RefHeading___Toc6363_621937267"/>
      <w:bookmarkStart w:id="28" w:name="_Toc237544021"/>
      <w:bookmarkEnd w:id="27"/>
      <w:r>
        <w:rPr>
          <w:rFonts w:cs="Arial"/>
        </w:rPr>
        <w:t>3.5 Strategic Synthesis</w:t>
      </w:r>
      <w:bookmarkEnd w:id="28"/>
    </w:p>
    <w:p>
      <w:pPr>
        <w:pStyle w:val="Normal"/>
        <w:rPr>
          <w:rFonts w:cs="Arial"/>
          <w:lang w:val="en-IN"/>
        </w:rPr>
      </w:pPr>
      <w:r>
        <w:rPr>
          <w:rFonts w:cs="Arial"/>
          <w:lang w:val="en-IN"/>
        </w:rPr>
        <w:t xml:space="preserve">The evidence supports joint venture-led, phased entry rather than immediate wholly owned expansion. ALDI's ownership advantages, private-label expertise, purchasing efficiency, cost leadership and international retail knowledge are transferable to India. However, India's multi-brand FDI restrictions, cultural diversity, fragmented retail structure and strong domestic competitors increase the risk of direct large-scale entry. ALDI's Chinese experience demonstrates the value of testing, learning and adapting before expansion. </w:t>
      </w:r>
    </w:p>
    <w:p>
      <w:pPr>
        <w:pStyle w:val="Normal"/>
        <w:rPr>
          <w:rFonts w:cs="Arial"/>
          <w:lang w:val="en-IN"/>
        </w:rPr>
      </w:pPr>
      <w:r>
        <w:rPr>
          <w:rFonts w:cs="Arial"/>
          <w:lang w:val="en-IN"/>
        </w:rPr>
        <w:t>Therefore, ALDI should initially establish a small, locally supported metropolitan presence, develop Indian suppliers and test its value proposition before scaling. This approach provides a stronger balance between control and flexibility than franchising, while requiring less irreversible commitment than immediate large-scale investment. It also aligns the entry mode with the OLI conclusion: ALDI should retain control over its core proprietary capabilities while using a local partner to overcome India's institutional and market-specific disadvantages.</w:t>
      </w:r>
    </w:p>
    <w:p>
      <w:pPr>
        <w:pStyle w:val="Heading1"/>
        <w:rPr>
          <w:rFonts w:cs="Arial"/>
          <w:lang w:val="en-IN"/>
        </w:rPr>
      </w:pPr>
      <w:bookmarkStart w:id="29" w:name="__RefHeading___Toc6365_621937267"/>
      <w:bookmarkStart w:id="30" w:name="_Toc237544022"/>
      <w:bookmarkEnd w:id="29"/>
      <w:r>
        <w:rPr>
          <w:rFonts w:cs="Arial"/>
          <w:lang w:val="en-IN"/>
        </w:rPr>
        <w:t>4. Reflective Account – Gibbs' Reflective Cycle</w:t>
      </w:r>
      <w:bookmarkEnd w:id="30"/>
    </w:p>
    <w:p>
      <w:pPr>
        <w:pStyle w:val="Normal"/>
        <w:rPr>
          <w:rFonts w:cs="Arial"/>
          <w:lang w:val="en-IN"/>
        </w:rPr>
      </w:pPr>
      <w:r>
        <w:rPr>
          <w:rFonts w:cs="Arial"/>
          <w:lang w:val="en-IN"/>
        </w:rPr>
        <w:t xml:space="preserve">This reflection evaluates my experience of researching and preparing the proposed international market entry strategy for ALDI into India. I have used </w:t>
      </w:r>
      <w:r>
        <w:rPr>
          <w:rFonts w:cs="Arial"/>
          <w:b/>
          <w:bCs/>
          <w:lang w:val="en-IN"/>
        </w:rPr>
        <w:t>Gibbs' Reflective Cycle</w:t>
      </w:r>
      <w:r>
        <w:rPr>
          <w:rFonts w:cs="Arial"/>
          <w:lang w:val="en-IN"/>
        </w:rPr>
        <w:t xml:space="preserve"> to consider what I did, how I felt, what worked well, what challenged me and how the experience has influenced my future approach to international business analysis. The assessment required consideration of the company's international strategy, the political, economic, legal and cultural environment of the host country, Dunning's OLI framework and the suitability of different entry modes. It also required reflection on the research process and the application of theories and learning from the module. </w:t>
      </w:r>
    </w:p>
    <w:p>
      <w:pPr>
        <w:pStyle w:val="Normal"/>
        <w:rPr>
          <w:rFonts w:cs="Arial"/>
          <w:lang w:val="en-IN"/>
        </w:rPr>
      </w:pPr>
      <w:r>
        <w:rPr/>
        <w:drawing>
          <wp:inline distT="0" distB="0" distL="0" distR="0">
            <wp:extent cx="5731510" cy="4203700"/>
            <wp:effectExtent l="0" t="0" r="0" b="0"/>
            <wp:docPr id="5"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
                    <pic:cNvPicPr>
                      <a:picLocks noChangeAspect="1" noChangeArrowheads="1"/>
                    </pic:cNvPicPr>
                  </pic:nvPicPr>
                  <pic:blipFill>
                    <a:blip r:embed="rId6"/>
                    <a:stretch>
                      <a:fillRect/>
                    </a:stretch>
                  </pic:blipFill>
                  <pic:spPr bwMode="auto">
                    <a:xfrm>
                      <a:off x="0" y="0"/>
                      <a:ext cx="5731510" cy="4203700"/>
                    </a:xfrm>
                    <a:prstGeom prst="rect">
                      <a:avLst/>
                    </a:prstGeom>
                    <a:noFill/>
                  </pic:spPr>
                </pic:pic>
              </a:graphicData>
            </a:graphic>
          </wp:inline>
        </w:drawing>
      </w:r>
    </w:p>
    <w:p>
      <w:pPr>
        <w:pStyle w:val="Heading2"/>
        <w:rPr>
          <w:rFonts w:cs="Arial"/>
        </w:rPr>
      </w:pPr>
      <w:bookmarkStart w:id="31" w:name="__RefHeading___Toc6367_621937267"/>
      <w:bookmarkStart w:id="32" w:name="_Toc237544023"/>
      <w:bookmarkEnd w:id="31"/>
      <w:r>
        <w:rPr>
          <w:rFonts w:cs="Arial"/>
        </w:rPr>
        <w:t>4.1 Description</w:t>
      </w:r>
      <w:bookmarkEnd w:id="32"/>
    </w:p>
    <w:p>
      <w:pPr>
        <w:pStyle w:val="Normal"/>
        <w:rPr>
          <w:rFonts w:cs="Arial"/>
          <w:lang w:val="en-IN"/>
        </w:rPr>
      </w:pPr>
      <w:r>
        <w:rPr>
          <w:rFonts w:cs="Arial"/>
          <w:lang w:val="en-IN"/>
        </w:rPr>
        <w:t xml:space="preserve">I began the assessment by selecting </w:t>
      </w:r>
      <w:r>
        <w:rPr>
          <w:rFonts w:cs="Arial"/>
          <w:b/>
          <w:bCs/>
          <w:lang w:val="en-IN"/>
        </w:rPr>
        <w:t>ALDI as the multinational corporation and India as the proposed target market</w:t>
      </w:r>
      <w:r>
        <w:rPr>
          <w:rFonts w:cs="Arial"/>
          <w:lang w:val="en-IN"/>
        </w:rPr>
        <w:t>. My initial research focused on establishing ALDI's existing international footprint and understanding its discount-retailing model. I then examined ALDI's international strategy through the Bartlett and Ghoshal framework before investigating India's political, economic, legal and cultural environment. The next stage involved applying Dunning's OLI framework to determine whether ALDI possessed sufficient ownership advantages and whether India offered appropriate location advantages to justify international investment.</w:t>
      </w:r>
    </w:p>
    <w:p>
      <w:pPr>
        <w:pStyle w:val="Normal"/>
        <w:rPr>
          <w:rFonts w:cs="Arial"/>
          <w:lang w:val="en-IN"/>
        </w:rPr>
      </w:pPr>
      <w:r>
        <w:rPr>
          <w:rFonts w:cs="Arial"/>
          <w:lang w:val="en-IN"/>
        </w:rPr>
        <w:t xml:space="preserve">I also researched ALDI's previous international expansion, particularly its experience in China, because this provided a useful comparison with the proposed Indian market. Finally, I compared possible entry modes, including a wholly owned operation, franchising and joint venture arrangements, before developing a phased entry recommendation. The research process required evidence from company information, government sources, industry information and academic theories. This approach was consistent with the assessment requirement for broad and credible research. </w:t>
      </w:r>
    </w:p>
    <w:p>
      <w:pPr>
        <w:pStyle w:val="Heading2"/>
        <w:rPr>
          <w:rFonts w:cs="Arial"/>
        </w:rPr>
      </w:pPr>
      <w:bookmarkStart w:id="33" w:name="__RefHeading___Toc6369_621937267"/>
      <w:bookmarkStart w:id="34" w:name="_Toc237544024"/>
      <w:bookmarkEnd w:id="33"/>
      <w:r>
        <w:rPr>
          <w:rFonts w:cs="Arial"/>
        </w:rPr>
        <w:t>4.2 Feelings</w:t>
      </w:r>
      <w:bookmarkEnd w:id="34"/>
    </w:p>
    <w:p>
      <w:pPr>
        <w:pStyle w:val="Normal"/>
        <w:rPr>
          <w:rFonts w:cs="Arial"/>
          <w:lang w:val="en-IN"/>
        </w:rPr>
      </w:pPr>
      <w:r>
        <w:rPr>
          <w:rFonts w:cs="Arial"/>
          <w:lang w:val="en-IN"/>
        </w:rPr>
        <w:t>At the beginning, I felt relatively confident about selecting ALDI because I was familiar with its discount supermarket concept. However, I quickly realised that understanding the company as a consumer brand was very different from analysing it as an international business. Initially, I found myself focusing too much on India's large population and economic growth and assuming that these factors automatically made the country attractive. This made me realise that my initial approach was more descriptive than analytical.</w:t>
      </w:r>
    </w:p>
    <w:p>
      <w:pPr>
        <w:pStyle w:val="Normal"/>
        <w:rPr>
          <w:rFonts w:cs="Arial"/>
          <w:lang w:val="en-IN"/>
        </w:rPr>
      </w:pPr>
      <w:r>
        <w:rPr>
          <w:rFonts w:cs="Arial"/>
          <w:lang w:val="en-IN"/>
        </w:rPr>
        <w:t>I also felt uncertain when applying the OLI framework because I initially considered the framework as three separate categories rather than as an integrated explanation of why a company should internationalise. I found the entry-mode decision particularly challenging because there was no single obviously correct option. While a wholly owned operation would provide greater control, India's regulatory environment and ALDI's lack of local market knowledge created significant risks. This uncertainty was useful because it encouraged me to examine the evidence more critically instead of selecting an entry mode simply because it appeared theoretically attractive.</w:t>
      </w:r>
    </w:p>
    <w:p>
      <w:pPr>
        <w:pStyle w:val="Heading2"/>
        <w:rPr>
          <w:rFonts w:cs="Arial"/>
        </w:rPr>
      </w:pPr>
      <w:bookmarkStart w:id="35" w:name="__RefHeading___Toc6371_621937267"/>
      <w:bookmarkStart w:id="36" w:name="_Toc237544025"/>
      <w:bookmarkEnd w:id="35"/>
      <w:r>
        <w:rPr>
          <w:rFonts w:cs="Arial"/>
        </w:rPr>
        <w:t>4.3 Evaluation</w:t>
      </w:r>
      <w:bookmarkEnd w:id="36"/>
    </w:p>
    <w:p>
      <w:pPr>
        <w:pStyle w:val="Normal"/>
        <w:rPr>
          <w:rFonts w:cs="Arial"/>
          <w:lang w:val="en-IN"/>
        </w:rPr>
      </w:pPr>
      <w:r>
        <w:rPr>
          <w:rFonts w:cs="Arial"/>
          <w:lang w:val="en-IN"/>
        </w:rPr>
        <w:t>One positive aspect of my research was that I gradually became more selective about the evidence I used. Instead of relying only on general business websites, I looked for information from ALDI, Indian government sources, international organisations and credible industry sources. This improved my confidence because I could connect factual information directly to strategic decisions.</w:t>
      </w:r>
    </w:p>
    <w:p>
      <w:pPr>
        <w:pStyle w:val="Normal"/>
        <w:rPr>
          <w:rFonts w:cs="Arial"/>
          <w:lang w:val="en-IN"/>
        </w:rPr>
      </w:pPr>
      <w:r>
        <w:rPr>
          <w:rFonts w:cs="Arial"/>
          <w:lang w:val="en-IN"/>
        </w:rPr>
        <w:t>Another positive outcome was comparing ALDI's experience in China with its potential expansion into India. This helped me understand that internationalisation does not necessarily involve transferring an identical business model into every country. ALDI's Chinese experience demonstrated the importance of learning about local consumers and adapting the proposition where necessary.</w:t>
      </w:r>
    </w:p>
    <w:p>
      <w:pPr>
        <w:pStyle w:val="Normal"/>
        <w:rPr>
          <w:rFonts w:cs="Arial"/>
          <w:b/>
          <w:bCs/>
          <w:lang w:val="en-IN"/>
        </w:rPr>
      </w:pPr>
      <w:r>
        <w:rPr>
          <w:rFonts w:cs="Arial"/>
          <w:b/>
          <w:bCs/>
          <w:lang w:val="en-IN"/>
        </w:rPr>
      </w:r>
    </w:p>
    <w:p>
      <w:pPr>
        <w:pStyle w:val="Normal"/>
        <w:rPr>
          <w:rFonts w:cs="Arial"/>
          <w:b/>
          <w:bCs/>
          <w:lang w:val="en-IN"/>
        </w:rPr>
      </w:pPr>
      <w:r>
        <w:rPr>
          <w:rFonts w:cs="Arial"/>
          <w:b/>
          <w:bCs/>
          <w:lang w:val="en-IN"/>
        </w:rPr>
      </w:r>
    </w:p>
    <w:p>
      <w:pPr>
        <w:pStyle w:val="Normal"/>
        <w:rPr>
          <w:rFonts w:cs="Arial"/>
          <w:b/>
          <w:bCs/>
          <w:lang w:val="en-IN"/>
        </w:rPr>
      </w:pPr>
      <w:r>
        <w:rPr>
          <w:rFonts w:cs="Arial"/>
          <w:b/>
          <w:bCs/>
          <w:lang w:val="en-IN"/>
        </w:rPr>
      </w:r>
    </w:p>
    <w:p>
      <w:pPr>
        <w:pStyle w:val="Normal"/>
        <w:rPr>
          <w:rFonts w:cs="Arial"/>
          <w:b/>
          <w:bCs/>
          <w:lang w:val="en-IN"/>
        </w:rPr>
      </w:pPr>
      <w:r>
        <w:rPr>
          <w:rFonts w:cs="Arial"/>
          <w:b/>
          <w:bCs/>
          <w:lang w:val="en-IN"/>
        </w:rPr>
        <w:t>4.4 Analysis</w:t>
      </w:r>
    </w:p>
    <w:p>
      <w:pPr>
        <w:pStyle w:val="Normal"/>
        <w:rPr>
          <w:rFonts w:cs="Arial"/>
          <w:lang w:val="en-IN"/>
        </w:rPr>
      </w:pPr>
      <w:r>
        <w:rPr>
          <w:rFonts w:cs="Arial"/>
          <w:lang w:val="en-IN"/>
        </w:rPr>
        <w:t xml:space="preserve">The most important learning from this assessment was that </w:t>
      </w:r>
      <w:r>
        <w:rPr>
          <w:rFonts w:cs="Arial"/>
          <w:b/>
          <w:bCs/>
          <w:lang w:val="en-IN"/>
        </w:rPr>
        <w:t>international market attractiveness is multidimensional</w:t>
      </w:r>
      <w:r>
        <w:rPr>
          <w:rFonts w:cs="Arial"/>
          <w:lang w:val="en-IN"/>
        </w:rPr>
        <w:t>. Before completing the research, I tended to associate market attractiveness mainly with market size and economic growth. However, analysing ALDI's potential entry demonstrated that a large and rapidly growing economy can simultaneously contain substantial institutional, cultural and competitive barriers.</w:t>
      </w:r>
    </w:p>
    <w:p>
      <w:pPr>
        <w:pStyle w:val="Normal"/>
        <w:rPr>
          <w:rFonts w:cs="Arial"/>
          <w:lang w:val="en-IN"/>
        </w:rPr>
      </w:pPr>
      <w:r>
        <w:rPr>
          <w:rFonts w:cs="Arial"/>
          <w:lang w:val="en-IN"/>
        </w:rPr>
        <w:t xml:space="preserve">The application of Bartlett and Ghoshal helped me understand the tension between </w:t>
      </w:r>
      <w:r>
        <w:rPr>
          <w:rFonts w:cs="Arial"/>
          <w:b/>
          <w:bCs/>
          <w:lang w:val="en-IN"/>
        </w:rPr>
        <w:t>global integration and local responsiveness</w:t>
      </w:r>
      <w:r>
        <w:rPr>
          <w:rFonts w:cs="Arial"/>
          <w:lang w:val="en-IN"/>
        </w:rPr>
        <w:t>. ALDI's competitive advantage depends on standardisation, limited product ranges, private-label products and cost efficiency. Nevertheless, India's regional food preferences, consumer behaviour and regulatory environment mean that complete standardisation could reduce market acceptance. I therefore learned that international strategy requires finding an appropriate balance rather than automatically choosing either standardisation or adaptation.</w:t>
      </w:r>
    </w:p>
    <w:p>
      <w:pPr>
        <w:pStyle w:val="Normal"/>
        <w:rPr>
          <w:rFonts w:cs="Arial"/>
          <w:lang w:val="en-IN"/>
        </w:rPr>
      </w:pPr>
      <w:r>
        <w:rPr>
          <w:rFonts w:cs="Arial"/>
          <w:lang w:val="en-IN"/>
        </w:rPr>
        <w:t>The OLI framework was particularly valuable because it helped me connect different parts of the analysis. ALDI's ownership advantages include its purchasing expertise, private-label capability, operational efficiency and international retail experience. India's location advantages include its large consumer market, economic growth and expanding organised retail sector. However, India's regulatory complexity and ALDI's limited local knowledge create disadvantages that influence the internalisation decision.</w:t>
      </w:r>
    </w:p>
    <w:p>
      <w:pPr>
        <w:pStyle w:val="Normal"/>
        <w:rPr>
          <w:rFonts w:cs="Arial"/>
          <w:lang w:val="en-IN"/>
        </w:rPr>
      </w:pPr>
      <w:r>
        <w:rPr>
          <w:rFonts w:cs="Arial"/>
          <w:lang w:val="en-IN"/>
        </w:rPr>
        <w:t xml:space="preserve">I also developed a better understanding of </w:t>
      </w:r>
      <w:r>
        <w:rPr>
          <w:rFonts w:cs="Arial"/>
          <w:b/>
          <w:bCs/>
          <w:lang w:val="en-IN"/>
        </w:rPr>
        <w:t>entry mode as a strategic risk decision</w:t>
      </w:r>
      <w:r>
        <w:rPr>
          <w:rFonts w:cs="Arial"/>
          <w:lang w:val="en-IN"/>
        </w:rPr>
        <w:t>. A joint venture is not necessarily superior simply because it reduces investment risk. It can also reduce managerial control. Similarly, a wholly owned operation provides control but exposes the company to greater financial and operational risk. I therefore learned that the appropriate entry mode must reflect the relationship between risk, control, flexibility, resources and long-term strategic objectives.</w:t>
      </w:r>
    </w:p>
    <w:p>
      <w:pPr>
        <w:pStyle w:val="Heading2"/>
        <w:rPr>
          <w:rFonts w:cs="Arial"/>
        </w:rPr>
      </w:pPr>
      <w:bookmarkStart w:id="37" w:name="__RefHeading___Toc6373_621937267"/>
      <w:bookmarkStart w:id="38" w:name="_Toc237544026"/>
      <w:bookmarkEnd w:id="37"/>
      <w:r>
        <w:rPr>
          <w:rFonts w:cs="Arial"/>
        </w:rPr>
        <w:t>4.5 Conclusion</w:t>
      </w:r>
      <w:bookmarkEnd w:id="38"/>
    </w:p>
    <w:p>
      <w:pPr>
        <w:pStyle w:val="Normal"/>
        <w:rPr>
          <w:rFonts w:cs="Arial"/>
          <w:lang w:val="en-IN"/>
        </w:rPr>
      </w:pPr>
      <w:r>
        <w:rPr>
          <w:rFonts w:cs="Arial"/>
          <w:lang w:val="en-IN"/>
        </w:rPr>
        <w:t>Overall, the assessment significantly improved my understanding of international business strategy. I learned that successful international expansion cannot be justified through market size or economic growth alone. Political regulations, legal requirements, consumer culture, competitive intensity and organisational capabilities must be considered together.</w:t>
      </w:r>
    </w:p>
    <w:p>
      <w:pPr>
        <w:pStyle w:val="Normal"/>
        <w:rPr>
          <w:rFonts w:cs="Arial"/>
          <w:lang w:val="en-IN"/>
        </w:rPr>
      </w:pPr>
      <w:r>
        <w:rPr>
          <w:rFonts w:cs="Arial"/>
          <w:lang w:val="en-IN"/>
        </w:rPr>
        <w:t>I also became more confident in applying theoretical frameworks to real business situations. Rather than treating Bartlett and Ghoshal or OLI as theoretical descriptions, I learned to use them to develop and challenge strategic arguments. The research also demonstrated the importance of comparing a company's previous international experiences before recommending an entry strategy. In particular, ALDI's experience in China helped me understand the value of phased market testing and local adaptation. Overall, the process strengthened my ability to develop evidence-based international business recommendations.</w:t>
      </w:r>
    </w:p>
    <w:p>
      <w:pPr>
        <w:pStyle w:val="Heading2"/>
        <w:rPr>
          <w:rFonts w:cs="Arial"/>
        </w:rPr>
      </w:pPr>
      <w:bookmarkStart w:id="39" w:name="__RefHeading___Toc6375_621937267"/>
      <w:bookmarkStart w:id="40" w:name="_Toc237544027"/>
      <w:bookmarkEnd w:id="39"/>
      <w:r>
        <w:rPr>
          <w:rFonts w:cs="Arial"/>
        </w:rPr>
        <w:t>4.6 Action Plan</w:t>
      </w:r>
      <w:bookmarkEnd w:id="40"/>
    </w:p>
    <w:tbl>
      <w:tblPr>
        <w:tblStyle w:val="ListTable3-Accent4"/>
        <w:tblW w:w="9016" w:type="dxa"/>
        <w:jc w:val="start"/>
        <w:tblInd w:w="0" w:type="dxa"/>
        <w:tblLayout w:type="fixed"/>
        <w:tblCellMar>
          <w:top w:w="0" w:type="dxa"/>
          <w:start w:w="108" w:type="dxa"/>
          <w:bottom w:w="0" w:type="dxa"/>
          <w:end w:w="108" w:type="dxa"/>
        </w:tblCellMar>
        <w:tblLook w:firstRow="1" w:noVBand="1" w:lastRow="0" w:firstColumn="1" w:lastColumn="0" w:noHBand="0" w:val="04a0"/>
      </w:tblPr>
      <w:tblGrid>
        <w:gridCol w:w="1799"/>
        <w:gridCol w:w="3000"/>
        <w:gridCol w:w="2503"/>
        <w:gridCol w:w="1714"/>
      </w:tblGrid>
      <w:tr>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99" w:type="dxa"/>
            <w:tcBorders>
              <w:top w:val="single" w:sz="4" w:space="0" w:color="4C94D8"/>
              <w:start w:val="single" w:sz="4" w:space="0" w:color="4C94D8"/>
              <w:bottom w:val="single" w:sz="4" w:space="0" w:color="4C94D8"/>
              <w:end w:val="single" w:sz="4" w:space="0" w:color="4C94D8"/>
            </w:tcBorders>
            <w:shd w:color="auto" w:fill="0F9ED5" w:themeFill="accent4" w:val="clear"/>
          </w:tcPr>
          <w:p>
            <w:pPr>
              <w:pStyle w:val="NoSpacing"/>
              <w:widowControl/>
              <w:spacing w:before="0" w:after="0"/>
              <w:rPr>
                <w:rFonts w:ascii="Arial" w:hAnsi="Arial" w:cs="Arial"/>
                <w:lang w:val="en-IN"/>
              </w:rPr>
            </w:pPr>
            <w:r>
              <w:rPr>
                <w:rFonts w:eastAsia="Aptos" w:cs="Arial" w:ascii="Arial" w:hAnsi="Arial"/>
                <w:b/>
                <w:bCs/>
                <w:color w:themeColor="background1" w:val="FFFFFF"/>
                <w:kern w:val="0"/>
                <w:szCs w:val="22"/>
                <w:lang w:val="en-IN" w:eastAsia="en-US" w:bidi="ar-SA"/>
              </w:rPr>
              <w:t>Development area</w:t>
            </w:r>
          </w:p>
        </w:tc>
        <w:tc>
          <w:tcPr>
            <w:tcW w:w="3000" w:type="dxa"/>
            <w:tcBorders>
              <w:top w:val="single" w:sz="4" w:space="0" w:color="4C94D8"/>
              <w:start w:val="single" w:sz="4" w:space="0" w:color="4C94D8"/>
              <w:bottom w:val="single" w:sz="4" w:space="0" w:color="4C94D8"/>
              <w:end w:val="single" w:sz="4" w:space="0" w:color="4C94D8"/>
            </w:tcBorders>
            <w:shd w:color="auto" w:fill="0F9ED5" w:themeFill="accent4" w:val="clear"/>
          </w:tcPr>
          <w:p>
            <w:pPr>
              <w:pStyle w:val="NoSpacing"/>
              <w:widowControl/>
              <w:spacing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SMART objective</w:t>
            </w:r>
          </w:p>
        </w:tc>
        <w:tc>
          <w:tcPr>
            <w:tcW w:w="2503" w:type="dxa"/>
            <w:tcBorders>
              <w:top w:val="single" w:sz="4" w:space="0" w:color="4C94D8"/>
              <w:start w:val="single" w:sz="4" w:space="0" w:color="4C94D8"/>
              <w:bottom w:val="single" w:sz="4" w:space="0" w:color="4C94D8"/>
              <w:end w:val="single" w:sz="4" w:space="0" w:color="4C94D8"/>
            </w:tcBorders>
            <w:shd w:color="auto" w:fill="0F9ED5" w:themeFill="accent4" w:val="clear"/>
          </w:tcPr>
          <w:p>
            <w:pPr>
              <w:pStyle w:val="NoSpacing"/>
              <w:widowControl/>
              <w:spacing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Measurement</w:t>
            </w:r>
          </w:p>
        </w:tc>
        <w:tc>
          <w:tcPr>
            <w:tcW w:w="1714" w:type="dxa"/>
            <w:tcBorders>
              <w:top w:val="single" w:sz="4" w:space="0" w:color="4C94D8"/>
              <w:start w:val="single" w:sz="4" w:space="0" w:color="4C94D8"/>
              <w:bottom w:val="single" w:sz="4" w:space="0" w:color="4C94D8"/>
              <w:end w:val="single" w:sz="4" w:space="0" w:color="4C94D8"/>
            </w:tcBorders>
            <w:shd w:color="auto" w:fill="0F9ED5" w:themeFill="accent4" w:val="clear"/>
          </w:tcPr>
          <w:p>
            <w:pPr>
              <w:pStyle w:val="NoSpacing"/>
              <w:widowControl/>
              <w:spacing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Deadline</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9" w:type="dxa"/>
            <w:tcBorders>
              <w:top w:val="nil"/>
              <w:start w:val="single" w:sz="4" w:space="0" w:color="4C94D8"/>
              <w:bottom w:val="nil"/>
              <w:end w:val="single" w:sz="4" w:space="0" w:color="4C94D8"/>
            </w:tcBorders>
            <w:shd w:color="auto" w:fill="FFFFFF" w:themeFill="background1" w:val="clear"/>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Critical analysis</w:t>
            </w:r>
          </w:p>
        </w:tc>
        <w:tc>
          <w:tcPr>
            <w:tcW w:w="3000" w:type="dxa"/>
            <w:tcBorders>
              <w:top w:val="nil"/>
              <w:start w:val="single" w:sz="4" w:space="0" w:color="4C94D8"/>
              <w:bottom w:val="nil"/>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I will improve my ability to distinguish description from critical evaluation by applying an evidence–implication–judgement structure to every major argument in my next academic report.</w:t>
            </w:r>
          </w:p>
        </w:tc>
        <w:tc>
          <w:tcPr>
            <w:tcW w:w="2503" w:type="dxa"/>
            <w:tcBorders>
              <w:top w:val="nil"/>
              <w:start w:val="single" w:sz="4" w:space="0" w:color="4C94D8"/>
              <w:bottom w:val="nil"/>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At least 90% of analytical paragraphs will contain evidence, company-specific implications and a clear judgement.</w:t>
            </w:r>
          </w:p>
        </w:tc>
        <w:tc>
          <w:tcPr>
            <w:tcW w:w="1714" w:type="dxa"/>
            <w:tcBorders>
              <w:top w:val="nil"/>
              <w:start w:val="single" w:sz="4" w:space="0" w:color="4C94D8"/>
              <w:bottom w:val="nil"/>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By completion of my next assignment</w:t>
            </w:r>
          </w:p>
        </w:tc>
      </w:tr>
      <w:tr>
        <w:trPr/>
        <w:tc>
          <w:tcPr>
            <w:cnfStyle w:val="001000000000" w:firstRow="0" w:lastRow="0" w:firstColumn="1" w:lastColumn="0" w:oddVBand="0" w:evenVBand="0" w:oddHBand="0" w:evenHBand="0" w:firstRowFirstColumn="0" w:firstRowLastColumn="0" w:lastRowFirstColumn="0" w:lastRowLastColumn="0"/>
            <w:tcW w:w="1799" w:type="dxa"/>
            <w:tcBorders>
              <w:top w:val="single" w:sz="4" w:space="0" w:color="4C94D8"/>
              <w:start w:val="single" w:sz="4" w:space="0" w:color="4C94D8"/>
              <w:bottom w:val="single" w:sz="4" w:space="0" w:color="4C94D8"/>
              <w:end w:val="single" w:sz="4" w:space="0" w:color="4C94D8"/>
            </w:tcBorders>
            <w:shd w:color="auto" w:fill="FFFFFF" w:themeFill="background1" w:val="clear"/>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Source evaluation</w:t>
            </w:r>
          </w:p>
        </w:tc>
        <w:tc>
          <w:tcPr>
            <w:tcW w:w="3000" w:type="dxa"/>
            <w:tcBorders>
              <w:top w:val="single" w:sz="4" w:space="0" w:color="4C94D8"/>
              <w:start w:val="single" w:sz="4" w:space="0" w:color="4C94D8"/>
              <w:bottom w:val="single" w:sz="4" w:space="0" w:color="4C94D8"/>
              <w:end w:val="single" w:sz="4" w:space="0" w:color="4C94D8"/>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I will strengthen my research skills by prioritising academic, governmental, company and recognised industry sources before using general websites.</w:t>
            </w:r>
          </w:p>
        </w:tc>
        <w:tc>
          <w:tcPr>
            <w:tcW w:w="2503" w:type="dxa"/>
            <w:tcBorders>
              <w:top w:val="single" w:sz="4" w:space="0" w:color="4C94D8"/>
              <w:start w:val="single" w:sz="4" w:space="0" w:color="4C94D8"/>
              <w:bottom w:val="single" w:sz="4" w:space="0" w:color="4C94D8"/>
              <w:end w:val="single" w:sz="4" w:space="0" w:color="4C94D8"/>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Use at least 15 credible sources, with the majority being recent and directly relevant to the research question.</w:t>
            </w:r>
          </w:p>
        </w:tc>
        <w:tc>
          <w:tcPr>
            <w:tcW w:w="1714" w:type="dxa"/>
            <w:tcBorders>
              <w:top w:val="single" w:sz="4" w:space="0" w:color="4C94D8"/>
              <w:start w:val="single" w:sz="4" w:space="0" w:color="4C94D8"/>
              <w:bottom w:val="single" w:sz="4" w:space="0" w:color="4C94D8"/>
              <w:end w:val="single" w:sz="4" w:space="0" w:color="4C94D8"/>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By the final submission of my next report</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9" w:type="dxa"/>
            <w:tcBorders>
              <w:top w:val="nil"/>
              <w:start w:val="single" w:sz="4" w:space="0" w:color="4C94D8"/>
              <w:bottom w:val="nil"/>
              <w:end w:val="single" w:sz="4" w:space="0" w:color="4C94D8"/>
            </w:tcBorders>
            <w:shd w:color="auto" w:fill="FFFFFF" w:themeFill="background1" w:val="clear"/>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Theory application</w:t>
            </w:r>
          </w:p>
        </w:tc>
        <w:tc>
          <w:tcPr>
            <w:tcW w:w="3000" w:type="dxa"/>
            <w:tcBorders>
              <w:top w:val="nil"/>
              <w:start w:val="single" w:sz="4" w:space="0" w:color="4C94D8"/>
              <w:bottom w:val="nil"/>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I will improve theoretical integration by explicitly linking every major framework to the organisation and market being analysed rather than explaining theories separately.</w:t>
            </w:r>
          </w:p>
        </w:tc>
        <w:tc>
          <w:tcPr>
            <w:tcW w:w="2503" w:type="dxa"/>
            <w:tcBorders>
              <w:top w:val="nil"/>
              <w:start w:val="single" w:sz="4" w:space="0" w:color="4C94D8"/>
              <w:bottom w:val="nil"/>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Each major theoretical section will include at least two direct theory-to-case applications.</w:t>
            </w:r>
          </w:p>
        </w:tc>
        <w:tc>
          <w:tcPr>
            <w:tcW w:w="1714" w:type="dxa"/>
            <w:tcBorders>
              <w:top w:val="nil"/>
              <w:start w:val="single" w:sz="4" w:space="0" w:color="4C94D8"/>
              <w:bottom w:val="nil"/>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Throughout my next assignment</w:t>
            </w:r>
          </w:p>
        </w:tc>
      </w:tr>
      <w:tr>
        <w:trPr/>
        <w:tc>
          <w:tcPr>
            <w:cnfStyle w:val="001000000000" w:firstRow="0" w:lastRow="0" w:firstColumn="1" w:lastColumn="0" w:oddVBand="0" w:evenVBand="0" w:oddHBand="0" w:evenHBand="0" w:firstRowFirstColumn="0" w:firstRowLastColumn="0" w:lastRowFirstColumn="0" w:lastRowLastColumn="0"/>
            <w:tcW w:w="1799" w:type="dxa"/>
            <w:tcBorders>
              <w:top w:val="single" w:sz="4" w:space="0" w:color="4C94D8"/>
              <w:start w:val="single" w:sz="4" w:space="0" w:color="4C94D8"/>
              <w:bottom w:val="single" w:sz="4" w:space="0" w:color="4C94D8"/>
              <w:end w:val="single" w:sz="4" w:space="0" w:color="4C94D8"/>
            </w:tcBorders>
            <w:shd w:color="auto" w:fill="FFFFFF" w:themeFill="background1" w:val="clear"/>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Research organisation</w:t>
            </w:r>
          </w:p>
        </w:tc>
        <w:tc>
          <w:tcPr>
            <w:tcW w:w="3000" w:type="dxa"/>
            <w:tcBorders>
              <w:top w:val="single" w:sz="4" w:space="0" w:color="4C94D8"/>
              <w:start w:val="single" w:sz="4" w:space="0" w:color="4C94D8"/>
              <w:bottom w:val="single" w:sz="4" w:space="0" w:color="4C94D8"/>
              <w:end w:val="single" w:sz="4" w:space="0" w:color="4C94D8"/>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I will maintain a structured research log recording the source, key evidence, relevance and potential argument for each important reference.</w:t>
            </w:r>
          </w:p>
        </w:tc>
        <w:tc>
          <w:tcPr>
            <w:tcW w:w="2503" w:type="dxa"/>
            <w:tcBorders>
              <w:top w:val="single" w:sz="4" w:space="0" w:color="4C94D8"/>
              <w:start w:val="single" w:sz="4" w:space="0" w:color="4C94D8"/>
              <w:bottom w:val="single" w:sz="4" w:space="0" w:color="4C94D8"/>
              <w:end w:val="single" w:sz="4" w:space="0" w:color="4C94D8"/>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Maintain a research table for 100% of core sources used in the report.</w:t>
            </w:r>
          </w:p>
        </w:tc>
        <w:tc>
          <w:tcPr>
            <w:tcW w:w="1714" w:type="dxa"/>
            <w:tcBorders>
              <w:top w:val="single" w:sz="4" w:space="0" w:color="4C94D8"/>
              <w:start w:val="single" w:sz="4" w:space="0" w:color="4C94D8"/>
              <w:bottom w:val="single" w:sz="4" w:space="0" w:color="4C94D8"/>
              <w:end w:val="single" w:sz="4" w:space="0" w:color="4C94D8"/>
            </w:tcBorders>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From the first research session until submission</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9" w:type="dxa"/>
            <w:tcBorders>
              <w:top w:val="nil"/>
              <w:start w:val="single" w:sz="4" w:space="0" w:color="4C94D8"/>
              <w:bottom w:val="single" w:sz="4" w:space="0" w:color="4C94D8"/>
              <w:end w:val="single" w:sz="4" w:space="0" w:color="4C94D8"/>
            </w:tcBorders>
            <w:shd w:color="auto" w:fill="FFFFFF" w:themeFill="background1" w:val="clear"/>
          </w:tcPr>
          <w:p>
            <w:pPr>
              <w:pStyle w:val="NoSpacing"/>
              <w:widowControl/>
              <w:spacing w:before="0" w:after="0"/>
              <w:rPr>
                <w:rFonts w:ascii="Arial" w:hAnsi="Arial" w:cs="Arial"/>
                <w:lang w:val="en-IN"/>
              </w:rPr>
            </w:pPr>
            <w:r>
              <w:rPr>
                <w:rFonts w:eastAsia="Aptos" w:cs="Arial" w:ascii="Arial" w:hAnsi="Arial"/>
                <w:b/>
                <w:bCs/>
                <w:kern w:val="0"/>
                <w:szCs w:val="22"/>
                <w:lang w:val="en-IN" w:eastAsia="en-US" w:bidi="ar-SA"/>
              </w:rPr>
              <w:t>Reflective practice</w:t>
            </w:r>
          </w:p>
        </w:tc>
        <w:tc>
          <w:tcPr>
            <w:tcW w:w="3000" w:type="dxa"/>
            <w:tcBorders>
              <w:top w:val="nil"/>
              <w:start w:val="single" w:sz="4" w:space="0" w:color="4C94D8"/>
              <w:bottom w:val="single" w:sz="4" w:space="0" w:color="4C94D8"/>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I will record difficulties, decisions and learning points during future assignments instead of reconstructing my reflection at the end.</w:t>
            </w:r>
          </w:p>
        </w:tc>
        <w:tc>
          <w:tcPr>
            <w:tcW w:w="2503" w:type="dxa"/>
            <w:tcBorders>
              <w:top w:val="nil"/>
              <w:start w:val="single" w:sz="4" w:space="0" w:color="4C94D8"/>
              <w:bottom w:val="single" w:sz="4" w:space="0" w:color="4C94D8"/>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Complete one short reflection entry after each major research stage.</w:t>
            </w:r>
          </w:p>
        </w:tc>
        <w:tc>
          <w:tcPr>
            <w:tcW w:w="1714" w:type="dxa"/>
            <w:tcBorders>
              <w:top w:val="nil"/>
              <w:start w:val="single" w:sz="4" w:space="0" w:color="4C94D8"/>
              <w:bottom w:val="single" w:sz="4" w:space="0" w:color="4C94D8"/>
              <w:end w:val="single" w:sz="4" w:space="0" w:color="4C94D8"/>
            </w:tcBorders>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Throughout the next academic project</w:t>
            </w:r>
          </w:p>
        </w:tc>
      </w:tr>
    </w:tbl>
    <w:p>
      <w:pPr>
        <w:pStyle w:val="Normal"/>
        <w:rPr>
          <w:rFonts w:cs="Arial"/>
          <w:lang w:val="en-IN"/>
        </w:rPr>
      </w:pPr>
      <w:r>
        <w:rPr>
          <w:rFonts w:cs="Arial"/>
          <w:lang w:val="en-IN"/>
        </w:rPr>
      </w:r>
    </w:p>
    <w:p>
      <w:pPr>
        <w:pStyle w:val="Normal"/>
        <w:spacing w:lineRule="auto" w:line="259" w:before="0" w:after="160"/>
        <w:jc w:val="start"/>
        <w:rPr>
          <w:rFonts w:cs="Arial"/>
        </w:rPr>
      </w:pPr>
      <w:r>
        <w:rPr>
          <w:rFonts w:cs="Arial"/>
        </w:rPr>
      </w:r>
      <w:r>
        <w:br w:type="page"/>
      </w:r>
    </w:p>
    <w:p>
      <w:pPr>
        <w:pStyle w:val="Heading1"/>
        <w:spacing w:before="0" w:after="120"/>
        <w:rPr>
          <w:rFonts w:cs="Arial"/>
        </w:rPr>
      </w:pPr>
      <w:bookmarkStart w:id="41" w:name="__RefHeading___Toc6377_621937267"/>
      <w:bookmarkStart w:id="42" w:name="_Toc237544028"/>
      <w:bookmarkEnd w:id="41"/>
      <w:r>
        <w:rPr>
          <w:rFonts w:cs="Arial"/>
        </w:rPr>
        <w:t>5. References</w:t>
      </w:r>
      <w:bookmarkEnd w:id="42"/>
    </w:p>
    <w:p>
      <w:pPr>
        <w:pStyle w:val="Normal"/>
        <w:rPr>
          <w:rFonts w:cs="Arial"/>
        </w:rPr>
      </w:pPr>
      <w:r>
        <w:rPr>
          <w:rFonts w:cs="Arial"/>
        </w:rPr>
        <w:t xml:space="preserve">Adli, 2026. </w:t>
      </w:r>
      <w:r>
        <w:rPr>
          <w:rFonts w:cs="Arial"/>
          <w:i/>
          <w:iCs/>
        </w:rPr>
        <w:t>Company Profile.</w:t>
      </w:r>
      <w:r>
        <w:rPr>
          <w:rFonts w:cs="Arial"/>
        </w:rPr>
        <w:t xml:space="preserve"> [online] available at </w:t>
      </w:r>
      <w:hyperlink r:id="rId7">
        <w:r>
          <w:rPr>
            <w:rStyle w:val="Hyperlink"/>
            <w:rFonts w:cs="Arial"/>
          </w:rPr>
          <w:t>https://sustainability.aldisouthgroup.com/about-aldi/company-profile</w:t>
        </w:r>
      </w:hyperlink>
    </w:p>
    <w:p>
      <w:pPr>
        <w:pStyle w:val="Normal"/>
        <w:rPr>
          <w:rFonts w:cs="Arial"/>
        </w:rPr>
      </w:pPr>
      <w:r>
        <w:rPr>
          <w:rFonts w:cs="Arial"/>
        </w:rPr>
        <w:t xml:space="preserve">Aldi, 2026. </w:t>
      </w:r>
      <w:r>
        <w:rPr>
          <w:rFonts w:cs="Arial"/>
          <w:i/>
          <w:iCs/>
        </w:rPr>
        <w:t>ALDI History.</w:t>
      </w:r>
      <w:r>
        <w:rPr>
          <w:rFonts w:cs="Arial"/>
        </w:rPr>
        <w:t xml:space="preserve"> [online] available at </w:t>
      </w:r>
      <w:hyperlink r:id="rId8">
        <w:r>
          <w:rPr>
            <w:rStyle w:val="Hyperlink"/>
            <w:rFonts w:cs="Arial"/>
          </w:rPr>
          <w:t>https://geolytix.com/blog/aldi-in-shanghai/</w:t>
        </w:r>
      </w:hyperlink>
    </w:p>
    <w:p>
      <w:pPr>
        <w:pStyle w:val="Normal"/>
        <w:rPr>
          <w:rFonts w:cs="Arial"/>
        </w:rPr>
      </w:pPr>
      <w:r>
        <w:rPr>
          <w:rFonts w:cs="Arial"/>
        </w:rPr>
        <w:t>Attah, R.U., Garba, B.M.P., Gil-Ozoudeh, I. and Iwuanyanwu, O., 2024. Evaluating strategic technology partnerships: Providing conceptual insights into their role in corporate strategy and technological innovation. </w:t>
      </w:r>
      <w:r>
        <w:rPr>
          <w:rFonts w:cs="Arial"/>
          <w:i/>
          <w:iCs/>
        </w:rPr>
        <w:t>Int J Front Sci Technol Res</w:t>
      </w:r>
      <w:r>
        <w:rPr>
          <w:rFonts w:cs="Arial"/>
        </w:rPr>
        <w:t>, </w:t>
      </w:r>
      <w:r>
        <w:rPr>
          <w:rFonts w:cs="Arial"/>
          <w:i/>
          <w:iCs/>
        </w:rPr>
        <w:t>7</w:t>
      </w:r>
      <w:r>
        <w:rPr>
          <w:rFonts w:cs="Arial"/>
        </w:rPr>
        <w:t>(2), pp.77-89.</w:t>
      </w:r>
    </w:p>
    <w:p>
      <w:pPr>
        <w:pStyle w:val="Normal"/>
        <w:rPr>
          <w:rFonts w:cs="Arial"/>
        </w:rPr>
      </w:pPr>
      <w:r>
        <w:rPr>
          <w:rFonts w:cs="Arial"/>
        </w:rPr>
        <w:t>De Mooij, M., 2022. </w:t>
      </w:r>
      <w:r>
        <w:rPr>
          <w:rFonts w:cs="Arial"/>
          <w:i/>
          <w:iCs/>
        </w:rPr>
        <w:t>Global marketing and advertising: Understanding cultural paradoxes</w:t>
      </w:r>
      <w:r>
        <w:rPr>
          <w:rFonts w:cs="Arial"/>
        </w:rPr>
        <w:t>. SAGE Publications Ltd.</w:t>
      </w:r>
    </w:p>
    <w:p>
      <w:pPr>
        <w:pStyle w:val="Normal"/>
        <w:rPr>
          <w:rFonts w:cs="Arial"/>
        </w:rPr>
      </w:pPr>
      <w:r>
        <w:rPr>
          <w:rFonts w:cs="Arial"/>
        </w:rPr>
        <w:t>Dhara, D., Biswas, S., Das, S. and Biswas, O., 2021. Status of food safety and food security in India in the perspective of FSSAI. </w:t>
      </w:r>
      <w:r>
        <w:rPr>
          <w:rFonts w:cs="Arial"/>
          <w:i/>
          <w:iCs/>
        </w:rPr>
        <w:t>Indian Journal of Animal Health</w:t>
      </w:r>
      <w:r>
        <w:rPr>
          <w:rFonts w:cs="Arial"/>
        </w:rPr>
        <w:t>, </w:t>
      </w:r>
      <w:r>
        <w:rPr>
          <w:rFonts w:cs="Arial"/>
          <w:i/>
          <w:iCs/>
        </w:rPr>
        <w:t>60</w:t>
      </w:r>
      <w:r>
        <w:rPr>
          <w:rFonts w:cs="Arial"/>
        </w:rPr>
        <w:t>(2), pp.167-173.</w:t>
      </w:r>
    </w:p>
    <w:p>
      <w:pPr>
        <w:pStyle w:val="Normal"/>
        <w:rPr>
          <w:rFonts w:cs="Arial"/>
        </w:rPr>
      </w:pPr>
      <w:r>
        <w:rPr>
          <w:rFonts w:cs="Arial"/>
        </w:rPr>
        <w:t>Dujak, D., 2025. Comparative analysis of distribution network design models in European and Croatian grocery sectors. </w:t>
      </w:r>
      <w:r>
        <w:rPr>
          <w:rFonts w:cs="Arial"/>
          <w:i/>
          <w:iCs/>
        </w:rPr>
        <w:t>Ekonomska misao i praksa</w:t>
      </w:r>
      <w:r>
        <w:rPr>
          <w:rFonts w:cs="Arial"/>
        </w:rPr>
        <w:t>, pp.0-0.</w:t>
      </w:r>
    </w:p>
    <w:p>
      <w:pPr>
        <w:pStyle w:val="Normal"/>
        <w:rPr>
          <w:rFonts w:cs="Arial"/>
        </w:rPr>
      </w:pPr>
      <w:r>
        <w:rPr>
          <w:rFonts w:cs="Arial"/>
        </w:rPr>
        <w:t xml:space="preserve">Geolytix, 2020. </w:t>
      </w:r>
      <w:r>
        <w:rPr>
          <w:rFonts w:cs="Arial"/>
          <w:i/>
          <w:iCs/>
        </w:rPr>
        <w:t>Aldi in Shanghai.</w:t>
      </w:r>
      <w:r>
        <w:rPr>
          <w:rFonts w:cs="Arial"/>
        </w:rPr>
        <w:t xml:space="preserve"> [online] available at </w:t>
      </w:r>
      <w:hyperlink r:id="rId9">
        <w:r>
          <w:rPr>
            <w:rStyle w:val="Hyperlink"/>
            <w:rFonts w:cs="Arial"/>
          </w:rPr>
          <w:t>https://geolytix.com/blog/aldi-in-shanghai/</w:t>
        </w:r>
      </w:hyperlink>
    </w:p>
    <w:p>
      <w:pPr>
        <w:pStyle w:val="Normal"/>
        <w:rPr>
          <w:rFonts w:cs="Arial"/>
        </w:rPr>
      </w:pPr>
      <w:r>
        <w:rPr>
          <w:rFonts w:cs="Arial"/>
        </w:rPr>
        <w:t>Hoda, A., 2020. </w:t>
      </w:r>
      <w:r>
        <w:rPr>
          <w:rFonts w:cs="Arial"/>
          <w:i/>
          <w:iCs/>
        </w:rPr>
        <w:t>Rethinking export incentives in India</w:t>
      </w:r>
      <w:r>
        <w:rPr>
          <w:rFonts w:cs="Arial"/>
        </w:rPr>
        <w:t> (No. 390). Working Paper.</w:t>
      </w:r>
    </w:p>
    <w:p>
      <w:pPr>
        <w:pStyle w:val="Normal"/>
        <w:rPr>
          <w:rFonts w:cs="Arial"/>
        </w:rPr>
      </w:pPr>
      <w:r>
        <w:rPr>
          <w:rFonts w:cs="Arial"/>
        </w:rPr>
        <w:t xml:space="preserve">IBEF, 2025. </w:t>
      </w:r>
      <w:r>
        <w:rPr>
          <w:rFonts w:cs="Arial"/>
          <w:i/>
          <w:iCs/>
        </w:rPr>
        <w:t>India's retail sector projected to nearly double to Rs. 1,68,00,650 crore (US$ 1.93 trillion) by 2030: Deloitte-FICCI.</w:t>
      </w:r>
      <w:r>
        <w:rPr>
          <w:rFonts w:cs="Arial"/>
        </w:rPr>
        <w:t xml:space="preserve"> [online] available at </w:t>
      </w:r>
      <w:hyperlink r:id="rId10">
        <w:r>
          <w:rPr>
            <w:rStyle w:val="Hyperlink"/>
            <w:rFonts w:cs="Arial"/>
          </w:rPr>
          <w:t>https://www.ibef.org/news/india-s-retail-sector-projected-to-nearly-double-to-rs-1-68-00-650-crore-us-1-93-trillion-by-2030-deloitte-ficci</w:t>
        </w:r>
      </w:hyperlink>
    </w:p>
    <w:p>
      <w:pPr>
        <w:pStyle w:val="Normal"/>
        <w:rPr>
          <w:rFonts w:cs="Arial"/>
        </w:rPr>
      </w:pPr>
      <w:r>
        <w:rPr>
          <w:rFonts w:cs="Arial"/>
        </w:rPr>
        <w:t>Kane-Potaka, J., Anitha, S., Tsusaka, T.W., Botha, R., Budumuru, M., Upadhyay, S., Kumar, P., Mallesh, K., Hunasgi, R., Jalagam, A.K. and Nedumaran, S., 2021. Assessing millets and sorghum consumption behavior in urban India: A large-scale survey. </w:t>
      </w:r>
      <w:r>
        <w:rPr>
          <w:rFonts w:cs="Arial"/>
          <w:i/>
          <w:iCs/>
        </w:rPr>
        <w:t>Frontiers in sustainable food systems</w:t>
      </w:r>
      <w:r>
        <w:rPr>
          <w:rFonts w:cs="Arial"/>
        </w:rPr>
        <w:t>, </w:t>
      </w:r>
      <w:r>
        <w:rPr>
          <w:rFonts w:cs="Arial"/>
          <w:i/>
          <w:iCs/>
        </w:rPr>
        <w:t>5</w:t>
      </w:r>
      <w:r>
        <w:rPr>
          <w:rFonts w:cs="Arial"/>
        </w:rPr>
        <w:t>, p.680777.</w:t>
      </w:r>
    </w:p>
    <w:p>
      <w:pPr>
        <w:pStyle w:val="Normal"/>
        <w:rPr>
          <w:rFonts w:cs="Arial"/>
        </w:rPr>
      </w:pPr>
      <w:r>
        <w:rPr>
          <w:rFonts w:cs="Arial"/>
        </w:rPr>
        <w:t>Kedar, M.S., Karlekar, S. and Gosavi, G., 2025. Foreign Direct Investment in Indian Retail Market: Challenges and Opportunities. </w:t>
      </w:r>
      <w:r>
        <w:rPr>
          <w:rFonts w:cs="Arial"/>
          <w:i/>
          <w:iCs/>
        </w:rPr>
        <w:t>ACADEMICIA: An International Multidisciplinary Research Journal</w:t>
      </w:r>
      <w:r>
        <w:rPr>
          <w:rFonts w:cs="Arial"/>
        </w:rPr>
        <w:t>, </w:t>
      </w:r>
      <w:r>
        <w:rPr>
          <w:rFonts w:cs="Arial"/>
          <w:i/>
          <w:iCs/>
        </w:rPr>
        <w:t>15</w:t>
      </w:r>
      <w:r>
        <w:rPr>
          <w:rFonts w:cs="Arial"/>
        </w:rPr>
        <w:t>(7), pp.40-48.</w:t>
      </w:r>
    </w:p>
    <w:p>
      <w:pPr>
        <w:pStyle w:val="Normal"/>
        <w:rPr>
          <w:rFonts w:cs="Arial"/>
        </w:rPr>
      </w:pPr>
      <w:r>
        <w:rPr>
          <w:rFonts w:cs="Arial"/>
        </w:rPr>
        <w:t>Kumar, K., 2023. The Rapid Transformation of India's Retail Sector and Its Economic Impacts. </w:t>
      </w:r>
      <w:r>
        <w:rPr>
          <w:rFonts w:cs="Arial"/>
          <w:i/>
          <w:iCs/>
        </w:rPr>
        <w:t>Journal of Policy Options</w:t>
      </w:r>
      <w:r>
        <w:rPr>
          <w:rFonts w:cs="Arial"/>
        </w:rPr>
        <w:t>, </w:t>
      </w:r>
      <w:r>
        <w:rPr>
          <w:rFonts w:cs="Arial"/>
          <w:i/>
          <w:iCs/>
        </w:rPr>
        <w:t>6</w:t>
      </w:r>
      <w:r>
        <w:rPr>
          <w:rFonts w:cs="Arial"/>
        </w:rPr>
        <w:t>(1), pp.11-16.</w:t>
      </w:r>
    </w:p>
    <w:p>
      <w:pPr>
        <w:pStyle w:val="Normal"/>
        <w:rPr>
          <w:rFonts w:cs="Arial"/>
        </w:rPr>
      </w:pPr>
      <w:r>
        <w:rPr>
          <w:rFonts w:cs="Arial"/>
        </w:rPr>
        <w:t>Michael, S.C., 2023. Empowerment and customer decision rules in franchise networks. In </w:t>
      </w:r>
      <w:r>
        <w:rPr>
          <w:rFonts w:cs="Arial"/>
          <w:i/>
          <w:iCs/>
        </w:rPr>
        <w:t>Networks in International Business: Managing Cooperatives, Franchises and Alliances</w:t>
      </w:r>
      <w:r>
        <w:rPr>
          <w:rFonts w:cs="Arial"/>
        </w:rPr>
        <w:t> (pp. 135-149). Cham: Springer International Publishing.</w:t>
      </w:r>
    </w:p>
    <w:p>
      <w:pPr>
        <w:pStyle w:val="Normal"/>
        <w:rPr>
          <w:rFonts w:cs="Arial"/>
        </w:rPr>
      </w:pPr>
      <w:r>
        <w:rPr>
          <w:rFonts w:cs="Arial"/>
        </w:rPr>
        <w:t xml:space="preserve">Mortimer, G., and Grimmer, L., 2021. </w:t>
      </w:r>
      <w:r>
        <w:rPr>
          <w:rFonts w:cs="Arial"/>
          <w:i/>
          <w:iCs/>
        </w:rPr>
        <w:t>The rise of Aldi: two decades that changed supermarket shopping in Australia.</w:t>
      </w:r>
      <w:r>
        <w:rPr>
          <w:rFonts w:cs="Arial"/>
        </w:rPr>
        <w:t xml:space="preserve"> [online] available at </w:t>
      </w:r>
      <w:hyperlink r:id="rId11">
        <w:r>
          <w:rPr>
            <w:rStyle w:val="Hyperlink"/>
            <w:rFonts w:cs="Arial"/>
          </w:rPr>
          <w:t>https://www.abc.net.au/news/2021-01-22/aldi-changed-supermarket-shopping-in-australia-in-two-decades/13079180</w:t>
        </w:r>
      </w:hyperlink>
    </w:p>
    <w:p>
      <w:pPr>
        <w:pStyle w:val="Normal"/>
        <w:rPr>
          <w:rFonts w:cs="Arial"/>
        </w:rPr>
      </w:pPr>
      <w:r>
        <w:rPr>
          <w:rFonts w:cs="Arial"/>
        </w:rPr>
        <w:t xml:space="preserve">Pib, 2011. FDI Policy in Multi Brand Retail. [online] available at </w:t>
      </w:r>
      <w:hyperlink r:id="rId12">
        <w:r>
          <w:rPr>
            <w:rStyle w:val="Hyperlink"/>
            <w:rFonts w:cs="Arial"/>
          </w:rPr>
          <w:t>https://www.pib.gov.in/newsite/PrintRelease.aspx?relid=77725&amp;reg=48&amp;lang=2</w:t>
        </w:r>
      </w:hyperlink>
    </w:p>
    <w:p>
      <w:pPr>
        <w:pStyle w:val="Normal"/>
        <w:rPr>
          <w:rFonts w:cs="Arial"/>
        </w:rPr>
      </w:pPr>
      <w:r>
        <w:rPr>
          <w:rFonts w:cs="Arial"/>
        </w:rPr>
        <w:t xml:space="preserve">Pib, 2019. </w:t>
      </w:r>
      <w:r>
        <w:rPr>
          <w:rFonts w:cs="Arial"/>
          <w:i/>
          <w:iCs/>
        </w:rPr>
        <w:t>FDI Policy in Multi Brand Retail Trading,</w:t>
      </w:r>
      <w:r>
        <w:rPr>
          <w:rFonts w:cs="Arial"/>
        </w:rPr>
        <w:t xml:space="preserve"> [online] available at </w:t>
      </w:r>
      <w:hyperlink r:id="rId13">
        <w:r>
          <w:rPr>
            <w:rStyle w:val="Hyperlink"/>
            <w:rFonts w:cs="Arial"/>
          </w:rPr>
          <w:t>https://www.reuters.com/world/india/indias-quick-commerce-sector-made-two-thirds-all-2024-e-retail-orders-report-2025-03-27/</w:t>
        </w:r>
      </w:hyperlink>
    </w:p>
    <w:p>
      <w:pPr>
        <w:pStyle w:val="Normal"/>
        <w:rPr>
          <w:rFonts w:cs="Arial"/>
        </w:rPr>
      </w:pPr>
      <w:r>
        <w:rPr>
          <w:rFonts w:cs="Arial"/>
        </w:rPr>
        <w:t xml:space="preserve">Pib, 2026. INDIA’S GDP GROWTH FOR FY26 IS ESTIMATED AT 7.4 PER CENT DRIVEN BY THE DOUBLE ENGINE OF CONSUMPTION AND INVESTMENT. [online] available at </w:t>
      </w:r>
      <w:hyperlink r:id="rId14">
        <w:r>
          <w:rPr>
            <w:rStyle w:val="Hyperlink"/>
            <w:rFonts w:cs="Arial"/>
          </w:rPr>
          <w:t>https://www.pib.gov.in/PressReleasePage.aspx?PRID=2219912&amp;reg=48&amp;lang=2</w:t>
        </w:r>
      </w:hyperlink>
    </w:p>
    <w:p>
      <w:pPr>
        <w:pStyle w:val="Normal"/>
        <w:rPr>
          <w:rFonts w:cs="Arial"/>
        </w:rPr>
      </w:pPr>
      <w:r>
        <w:rPr>
          <w:rFonts w:cs="Arial"/>
        </w:rPr>
        <w:t>Prabha, D., 2026. FSSAI Perpetual License 2026: No Renewal, Bigger Penalties| IncorpX.</w:t>
      </w:r>
    </w:p>
    <w:p>
      <w:pPr>
        <w:pStyle w:val="Normal"/>
        <w:rPr>
          <w:rFonts w:cs="Arial"/>
        </w:rPr>
      </w:pPr>
      <w:r>
        <w:rPr>
          <w:rFonts w:cs="Arial"/>
          <w:lang w:val="en-IN"/>
        </w:rPr>
        <w:t xml:space="preserve">PwC's 2025. </w:t>
      </w:r>
      <w:r>
        <w:rPr>
          <w:rFonts w:cs="Arial"/>
          <w:i/>
          <w:iCs/>
          <w:lang w:val="en-IN"/>
        </w:rPr>
        <w:t>PwC’s Voice of the Consumer 2025: India perspective.</w:t>
      </w:r>
      <w:r>
        <w:rPr>
          <w:rFonts w:cs="Arial"/>
          <w:lang w:val="en-IN"/>
        </w:rPr>
        <w:t xml:space="preserve"> </w:t>
      </w:r>
      <w:r>
        <w:rPr>
          <w:rFonts w:cs="Arial"/>
        </w:rPr>
        <w:t xml:space="preserve">[online] available at </w:t>
      </w:r>
      <w:hyperlink r:id="rId15">
        <w:r>
          <w:rPr>
            <w:rStyle w:val="Hyperlink"/>
            <w:rFonts w:cs="Arial"/>
          </w:rPr>
          <w:t>https://www.reuters.com/world/india/indias-quick-commerce-sector-made-two-thirds-all-2024-e-retail-orders-report-2025-03-27/</w:t>
        </w:r>
      </w:hyperlink>
    </w:p>
    <w:p>
      <w:pPr>
        <w:pStyle w:val="Normal"/>
        <w:rPr>
          <w:rFonts w:cs="Arial"/>
          <w:i/>
          <w:iCs/>
        </w:rPr>
      </w:pPr>
      <w:r>
        <w:rPr>
          <w:rFonts w:cs="Arial"/>
        </w:rPr>
        <w:t xml:space="preserve">RIL, 2026. </w:t>
      </w:r>
      <w:r>
        <w:rPr>
          <w:rFonts w:cs="Arial"/>
          <w:i/>
          <w:iCs/>
        </w:rPr>
        <w:t>Integrated Annual Report 2025-26.</w:t>
      </w:r>
      <w:r>
        <w:rPr>
          <w:rFonts w:cs="Arial"/>
        </w:rPr>
        <w:t xml:space="preserve"> [online] available at </w:t>
      </w:r>
      <w:hyperlink r:id="rId16">
        <w:r>
          <w:rPr>
            <w:rStyle w:val="Hyperlink"/>
            <w:rFonts w:cs="Arial"/>
          </w:rPr>
          <w:t>https://www.ibef.org/news/india-s-retail-sector-projected-to-nearly-double-to-rs-1-68-00-650-crore-us-1-93-trillion-by-2030-deloitte-ficci</w:t>
        </w:r>
      </w:hyperlink>
    </w:p>
    <w:p>
      <w:pPr>
        <w:pStyle w:val="Normal"/>
        <w:rPr>
          <w:rFonts w:cs="Arial"/>
        </w:rPr>
      </w:pPr>
      <w:r>
        <w:rPr>
          <w:rFonts w:cs="Arial"/>
        </w:rPr>
        <w:t xml:space="preserve">Rueters, 2025. </w:t>
      </w:r>
      <w:r>
        <w:rPr>
          <w:rFonts w:cs="Arial"/>
          <w:i/>
          <w:iCs/>
        </w:rPr>
        <w:t>India's quick commerce sector made two-thirds of all 2024 e-grocery orders, report says.</w:t>
      </w:r>
      <w:r>
        <w:rPr>
          <w:rFonts w:cs="Arial"/>
        </w:rPr>
        <w:t xml:space="preserve"> [online] available at </w:t>
      </w:r>
      <w:hyperlink r:id="rId17">
        <w:r>
          <w:rPr>
            <w:rStyle w:val="Hyperlink"/>
            <w:rFonts w:cs="Arial"/>
          </w:rPr>
          <w:t>https://www.reuters.com/world/india/indias-quick-commerce-sector-made-two-thirds-all-2024-e-retail-orders-report-2025-03-27/</w:t>
        </w:r>
      </w:hyperlink>
    </w:p>
    <w:p>
      <w:pPr>
        <w:pStyle w:val="Normal"/>
        <w:rPr>
          <w:rFonts w:cs="Arial"/>
        </w:rPr>
      </w:pPr>
      <w:r>
        <w:rPr>
          <w:rFonts w:cs="Arial"/>
        </w:rPr>
        <w:t>Sarisa, L., 2021. Business strategies in the retail supermarkets industry: A comparative case study analysis of Costco and Aldi.</w:t>
      </w:r>
    </w:p>
    <w:p>
      <w:pPr>
        <w:pStyle w:val="Normal"/>
        <w:rPr>
          <w:rFonts w:cs="Arial"/>
        </w:rPr>
      </w:pPr>
      <w:r>
        <w:rPr>
          <w:rFonts w:cs="Arial"/>
        </w:rPr>
        <w:t>Saxena, A., 2025. The Impact of E-commerce on Kirana Stores in Urban India: A Gen Z Perspective. </w:t>
      </w:r>
      <w:r>
        <w:rPr>
          <w:rFonts w:cs="Arial"/>
          <w:i/>
          <w:iCs/>
        </w:rPr>
        <w:t>Available at SSRN 5497601</w:t>
      </w:r>
      <w:r>
        <w:rPr>
          <w:rFonts w:cs="Arial"/>
        </w:rPr>
        <w:t>.</w:t>
      </w:r>
    </w:p>
    <w:p>
      <w:pPr>
        <w:pStyle w:val="Normal"/>
        <w:rPr>
          <w:rFonts w:cs="Arial"/>
        </w:rPr>
      </w:pPr>
      <w:r>
        <w:rPr>
          <w:rFonts w:cs="Arial"/>
        </w:rPr>
        <w:t>Treskon, M., Marotta, J., Rajasekaran, P., Ramakrishnan, K., Shroyer, A. and Greene, S., 2021. Do the Effects of a Regulatory Patchwork Justify State Preemption of Local Laws?.</w:t>
      </w:r>
    </w:p>
    <w:p>
      <w:pPr>
        <w:pStyle w:val="Normal"/>
        <w:rPr>
          <w:rFonts w:cs="Arial"/>
        </w:rPr>
      </w:pPr>
      <w:r>
        <w:rPr>
          <w:rFonts w:cs="Arial"/>
        </w:rPr>
        <w:t xml:space="preserve">World Bank Group, 2026. </w:t>
      </w:r>
      <w:r>
        <w:rPr>
          <w:rFonts w:cs="Arial"/>
          <w:i/>
          <w:iCs/>
        </w:rPr>
        <w:t>India Remains Among the Fastest-Growing Economies Even As Growth Slows Amid Middle East Conflict; Outlook Vulnerable to Risks and Uncertainty.</w:t>
      </w:r>
      <w:r>
        <w:rPr>
          <w:rFonts w:cs="Arial"/>
        </w:rPr>
        <w:t xml:space="preserve"> [online] available at </w:t>
      </w:r>
      <w:hyperlink r:id="rId18">
        <w:r>
          <w:rPr>
            <w:rStyle w:val="Hyperlink"/>
            <w:rFonts w:cs="Arial"/>
          </w:rPr>
          <w:t>https://www.worldbank.org/en/news/press-release/2026/04/09/india-remains-among-the-fastest-growing-economies</w:t>
        </w:r>
      </w:hyperlink>
    </w:p>
    <w:p>
      <w:pPr>
        <w:pStyle w:val="Normal"/>
        <w:rPr>
          <w:rFonts w:cs="Arial"/>
        </w:rPr>
      </w:pPr>
      <w:r>
        <w:rPr>
          <w:rFonts w:cs="Arial"/>
        </w:rPr>
        <w:t>Zhang, L. and Yuan, J.E., 2025. Platformize Asia—reimagining Asia in platform capitalism. </w:t>
      </w:r>
      <w:r>
        <w:rPr>
          <w:rFonts w:cs="Arial"/>
          <w:i/>
          <w:iCs/>
        </w:rPr>
        <w:t>Social Media+ Society</w:t>
      </w:r>
      <w:r>
        <w:rPr>
          <w:rFonts w:cs="Arial"/>
        </w:rPr>
        <w:t>, </w:t>
      </w:r>
      <w:r>
        <w:rPr>
          <w:rFonts w:cs="Arial"/>
          <w:i/>
          <w:iCs/>
        </w:rPr>
        <w:t>11</w:t>
      </w:r>
      <w:r>
        <w:rPr>
          <w:rFonts w:cs="Arial"/>
        </w:rPr>
        <w:t>(4), p.20563051251392753.</w:t>
      </w:r>
    </w:p>
    <w:p>
      <w:pPr>
        <w:pStyle w:val="Normal"/>
        <w:rPr>
          <w:rFonts w:cs="Arial"/>
        </w:rPr>
      </w:pPr>
      <w:r>
        <w:rPr>
          <w:rFonts w:cs="Arial"/>
        </w:rPr>
      </w:r>
    </w:p>
    <w:p>
      <w:pPr>
        <w:pStyle w:val="Normal"/>
        <w:rPr>
          <w:rFonts w:cs="Arial"/>
        </w:rPr>
      </w:pPr>
      <w:r>
        <w:rPr>
          <w:rFonts w:cs="Arial"/>
        </w:rPr>
      </w:r>
    </w:p>
    <w:p>
      <w:pPr>
        <w:pStyle w:val="Normal"/>
        <w:spacing w:before="120" w:after="120"/>
        <w:rPr>
          <w:rFonts w:cs="Arial"/>
        </w:rPr>
      </w:pPr>
      <w:r>
        <w:rPr>
          <w:rFonts w:cs="Arial"/>
        </w:rPr>
      </w:r>
    </w:p>
    <w:sectPr>
      <w:footerReference w:type="even" r:id="rId19"/>
      <w:footerReference w:type="default" r:id="rId20"/>
      <w:footerReference w:type="first" r:id="rId21"/>
      <w:type w:val="nextPage"/>
      <w:pgSz w:w="11906" w:h="16838"/>
      <w:pgMar w:left="1440" w:right="1440" w:gutter="0" w:header="0" w:top="1440" w:footer="708" w:bottom="1440"/>
      <w:pgBorders w:display="allPages" w:offsetFrom="page">
        <w:top w:val="thickThinSmallGap" w:sz="24" w:space="24" w:color="000000"/>
        <w:left w:val="thickThinSmallGap" w:sz="24" w:space="24" w:color="000000"/>
        <w:bottom w:val="thickThinSmallGap" w:sz="24" w:space="24" w:color="000000"/>
        <w:right w:val="thickThinSmallGap" w:sz="24" w:space="24" w:color="000000"/>
      </w:pgBorders>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Aptos">
    <w:charset w:val="00" w:characterSet="windows-1252"/>
    <w:family w:val="roman"/>
    <w:pitch w:val="variable"/>
  </w:font>
  <w:font w:name="Aptos">
    <w:charset w:val="00" w:characterSet="windows-1252"/>
    <w:family w:val="swiss"/>
    <w:pitch w:val="variable"/>
  </w:font>
  <w:font w:name="Aptos Display">
    <w:charset w:val="00" w:characterSet="windows-1252"/>
    <w:family w:val="roman"/>
    <w:pitch w:val="variable"/>
  </w:font>
  <w:font w:name="Liberation Sans">
    <w:altName w:val="Arial"/>
    <w:charset w:val="00" w:characterSet="windows-1252"/>
    <w:family w:val="swiss"/>
    <w:pitch w:val="variable"/>
  </w:font>
  <w:font w:name="Aptos Display">
    <w:charset w:val="00" w:characterSet="windows-1252"/>
    <w:family w:val="swiss"/>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id w:val="1453207460"/>
      <w:docPartObj>
        <w:docPartGallery w:val="Page Numbers (Bottom of Page)"/>
        <w:docPartUnique w:val="true"/>
      </w:docPartObj>
    </w:sdtPr>
    <w:sdtContent>
      <w:p>
        <w:pPr>
          <w:pStyle w:val="Footer"/>
          <w:rPr/>
        </w:pPr>
        <w:r>
          <w:rPr/>
          <w:fldChar w:fldCharType="begin"/>
        </w:r>
        <w:r>
          <w:rPr/>
          <w:instrText xml:space="preserve"> PAGE </w:instrText>
        </w:r>
        <w:r>
          <w:rPr/>
          <w:fldChar w:fldCharType="separate"/>
        </w:r>
        <w:r>
          <w:rPr/>
          <w:t>26</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id w:val="1453207460"/>
      <w:docPartObj>
        <w:docPartGallery w:val="Page Numbers (Bottom of Page)"/>
        <w:docPartUnique w:val="true"/>
      </w:docPartObj>
    </w:sdtPr>
    <w:sdtContent>
      <w:p>
        <w:pPr>
          <w:pStyle w:val="Footer"/>
          <w:rPr/>
        </w:pPr>
        <w:r>
          <w:rPr/>
          <w:fldChar w:fldCharType="begin"/>
        </w:r>
        <w:r>
          <w:rPr/>
          <w:instrText xml:space="preserve"> PAGE </w:instrText>
        </w:r>
        <w:r>
          <w:rPr/>
          <w:fldChar w:fldCharType="separate"/>
        </w:r>
        <w:r>
          <w:rPr/>
          <w:t>26</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start"/>
      <w:pPr>
        <w:tabs>
          <w:tab w:val="num" w:pos="720"/>
        </w:tabs>
        <w:ind w:start="720" w:hanging="360"/>
      </w:pPr>
      <w:rPr>
        <w:rFonts w:ascii="Symbol" w:hAnsi="Symbol" w:cs="Symbol" w:hint="default"/>
        <w:sz w:val="20"/>
      </w:rPr>
    </w:lvl>
    <w:lvl w:ilvl="1">
      <w:start w:val="1"/>
      <w:numFmt w:val="bullet"/>
      <w:lvlText w:val="o"/>
      <w:lvlJc w:val="start"/>
      <w:pPr>
        <w:tabs>
          <w:tab w:val="num" w:pos="1440"/>
        </w:tabs>
        <w:ind w:start="1440" w:hanging="360"/>
      </w:pPr>
      <w:rPr>
        <w:rFonts w:ascii="Courier New" w:hAnsi="Courier New" w:cs="Courier New" w:hint="default"/>
        <w:sz w:val="20"/>
      </w:rPr>
    </w:lvl>
    <w:lvl w:ilvl="2">
      <w:start w:val="1"/>
      <w:numFmt w:val="bullet"/>
      <w:lvlText w:val=""/>
      <w:lvlJc w:val="start"/>
      <w:pPr>
        <w:tabs>
          <w:tab w:val="num" w:pos="2160"/>
        </w:tabs>
        <w:ind w:start="2160" w:hanging="360"/>
      </w:pPr>
      <w:rPr>
        <w:rFonts w:ascii="Wingdings" w:hAnsi="Wingdings" w:cs="Wingdings" w:hint="default"/>
        <w:sz w:val="20"/>
      </w:rPr>
    </w:lvl>
    <w:lvl w:ilvl="3">
      <w:start w:val="1"/>
      <w:numFmt w:val="bullet"/>
      <w:lvlText w:val=""/>
      <w:lvlJc w:val="start"/>
      <w:pPr>
        <w:tabs>
          <w:tab w:val="num" w:pos="2880"/>
        </w:tabs>
        <w:ind w:start="2880" w:hanging="360"/>
      </w:pPr>
      <w:rPr>
        <w:rFonts w:ascii="Wingdings" w:hAnsi="Wingdings" w:cs="Wingdings" w:hint="default"/>
        <w:sz w:val="20"/>
      </w:rPr>
    </w:lvl>
    <w:lvl w:ilvl="4">
      <w:start w:val="1"/>
      <w:numFmt w:val="bullet"/>
      <w:lvlText w:val=""/>
      <w:lvlJc w:val="start"/>
      <w:pPr>
        <w:tabs>
          <w:tab w:val="num" w:pos="3600"/>
        </w:tabs>
        <w:ind w:start="3600" w:hanging="360"/>
      </w:pPr>
      <w:rPr>
        <w:rFonts w:ascii="Wingdings" w:hAnsi="Wingdings" w:cs="Wingdings" w:hint="default"/>
        <w:sz w:val="20"/>
      </w:rPr>
    </w:lvl>
    <w:lvl w:ilvl="5">
      <w:start w:val="1"/>
      <w:numFmt w:val="bullet"/>
      <w:lvlText w:val=""/>
      <w:lvlJc w:val="start"/>
      <w:pPr>
        <w:tabs>
          <w:tab w:val="num" w:pos="4320"/>
        </w:tabs>
        <w:ind w:start="4320" w:hanging="360"/>
      </w:pPr>
      <w:rPr>
        <w:rFonts w:ascii="Wingdings" w:hAnsi="Wingdings" w:cs="Wingdings" w:hint="default"/>
        <w:sz w:val="20"/>
      </w:rPr>
    </w:lvl>
    <w:lvl w:ilvl="6">
      <w:start w:val="1"/>
      <w:numFmt w:val="bullet"/>
      <w:lvlText w:val=""/>
      <w:lvlJc w:val="start"/>
      <w:pPr>
        <w:tabs>
          <w:tab w:val="num" w:pos="5040"/>
        </w:tabs>
        <w:ind w:start="5040" w:hanging="360"/>
      </w:pPr>
      <w:rPr>
        <w:rFonts w:ascii="Wingdings" w:hAnsi="Wingdings" w:cs="Wingdings" w:hint="default"/>
        <w:sz w:val="20"/>
      </w:rPr>
    </w:lvl>
    <w:lvl w:ilvl="7">
      <w:start w:val="1"/>
      <w:numFmt w:val="bullet"/>
      <w:lvlText w:val=""/>
      <w:lvlJc w:val="start"/>
      <w:pPr>
        <w:tabs>
          <w:tab w:val="num" w:pos="5760"/>
        </w:tabs>
        <w:ind w:start="5760" w:hanging="360"/>
      </w:pPr>
      <w:rPr>
        <w:rFonts w:ascii="Wingdings" w:hAnsi="Wingdings" w:cs="Wingdings" w:hint="default"/>
        <w:sz w:val="20"/>
      </w:rPr>
    </w:lvl>
    <w:lvl w:ilvl="8">
      <w:start w:val="1"/>
      <w:numFmt w:val="bullet"/>
      <w:lvlText w:val=""/>
      <w:lvlJc w:val="start"/>
      <w:pPr>
        <w:tabs>
          <w:tab w:val="num" w:pos="6480"/>
        </w:tabs>
        <w:ind w:start="6480" w:hanging="360"/>
      </w:pPr>
      <w:rPr>
        <w:rFonts w:ascii="Wingdings" w:hAnsi="Wingdings" w:cs="Wingdings" w:hint="default"/>
        <w:sz w:val="20"/>
      </w:rPr>
    </w:lvl>
  </w:abstractNum>
  <w:abstractNum w:abstractNumId="2">
    <w:lvl w:ilvl="0">
      <w:start w:val="1"/>
      <w:numFmt w:val="bullet"/>
      <w:lvlText w:val=""/>
      <w:lvlJc w:val="start"/>
      <w:pPr>
        <w:tabs>
          <w:tab w:val="num" w:pos="720"/>
        </w:tabs>
        <w:ind w:start="720" w:hanging="360"/>
      </w:pPr>
      <w:rPr>
        <w:rFonts w:ascii="Symbol" w:hAnsi="Symbol" w:cs="Symbol" w:hint="default"/>
        <w:sz w:val="20"/>
      </w:rPr>
    </w:lvl>
    <w:lvl w:ilvl="1">
      <w:start w:val="1"/>
      <w:numFmt w:val="bullet"/>
      <w:lvlText w:val="o"/>
      <w:lvlJc w:val="start"/>
      <w:pPr>
        <w:tabs>
          <w:tab w:val="num" w:pos="1440"/>
        </w:tabs>
        <w:ind w:start="1440" w:hanging="360"/>
      </w:pPr>
      <w:rPr>
        <w:rFonts w:ascii="Courier New" w:hAnsi="Courier New" w:cs="Courier New" w:hint="default"/>
        <w:sz w:val="20"/>
      </w:rPr>
    </w:lvl>
    <w:lvl w:ilvl="2">
      <w:start w:val="1"/>
      <w:numFmt w:val="bullet"/>
      <w:lvlText w:val=""/>
      <w:lvlJc w:val="start"/>
      <w:pPr>
        <w:tabs>
          <w:tab w:val="num" w:pos="2160"/>
        </w:tabs>
        <w:ind w:start="2160" w:hanging="360"/>
      </w:pPr>
      <w:rPr>
        <w:rFonts w:ascii="Wingdings" w:hAnsi="Wingdings" w:cs="Wingdings" w:hint="default"/>
        <w:sz w:val="20"/>
      </w:rPr>
    </w:lvl>
    <w:lvl w:ilvl="3">
      <w:start w:val="1"/>
      <w:numFmt w:val="bullet"/>
      <w:lvlText w:val=""/>
      <w:lvlJc w:val="start"/>
      <w:pPr>
        <w:tabs>
          <w:tab w:val="num" w:pos="2880"/>
        </w:tabs>
        <w:ind w:start="2880" w:hanging="360"/>
      </w:pPr>
      <w:rPr>
        <w:rFonts w:ascii="Wingdings" w:hAnsi="Wingdings" w:cs="Wingdings" w:hint="default"/>
        <w:sz w:val="20"/>
      </w:rPr>
    </w:lvl>
    <w:lvl w:ilvl="4">
      <w:start w:val="1"/>
      <w:numFmt w:val="bullet"/>
      <w:lvlText w:val=""/>
      <w:lvlJc w:val="start"/>
      <w:pPr>
        <w:tabs>
          <w:tab w:val="num" w:pos="3600"/>
        </w:tabs>
        <w:ind w:start="3600" w:hanging="360"/>
      </w:pPr>
      <w:rPr>
        <w:rFonts w:ascii="Wingdings" w:hAnsi="Wingdings" w:cs="Wingdings" w:hint="default"/>
        <w:sz w:val="20"/>
      </w:rPr>
    </w:lvl>
    <w:lvl w:ilvl="5">
      <w:start w:val="1"/>
      <w:numFmt w:val="bullet"/>
      <w:lvlText w:val=""/>
      <w:lvlJc w:val="start"/>
      <w:pPr>
        <w:tabs>
          <w:tab w:val="num" w:pos="4320"/>
        </w:tabs>
        <w:ind w:start="4320" w:hanging="360"/>
      </w:pPr>
      <w:rPr>
        <w:rFonts w:ascii="Wingdings" w:hAnsi="Wingdings" w:cs="Wingdings" w:hint="default"/>
        <w:sz w:val="20"/>
      </w:rPr>
    </w:lvl>
    <w:lvl w:ilvl="6">
      <w:start w:val="1"/>
      <w:numFmt w:val="bullet"/>
      <w:lvlText w:val=""/>
      <w:lvlJc w:val="start"/>
      <w:pPr>
        <w:tabs>
          <w:tab w:val="num" w:pos="5040"/>
        </w:tabs>
        <w:ind w:start="5040" w:hanging="360"/>
      </w:pPr>
      <w:rPr>
        <w:rFonts w:ascii="Wingdings" w:hAnsi="Wingdings" w:cs="Wingdings" w:hint="default"/>
        <w:sz w:val="20"/>
      </w:rPr>
    </w:lvl>
    <w:lvl w:ilvl="7">
      <w:start w:val="1"/>
      <w:numFmt w:val="bullet"/>
      <w:lvlText w:val=""/>
      <w:lvlJc w:val="start"/>
      <w:pPr>
        <w:tabs>
          <w:tab w:val="num" w:pos="5760"/>
        </w:tabs>
        <w:ind w:start="5760" w:hanging="360"/>
      </w:pPr>
      <w:rPr>
        <w:rFonts w:ascii="Wingdings" w:hAnsi="Wingdings" w:cs="Wingdings" w:hint="default"/>
        <w:sz w:val="20"/>
      </w:rPr>
    </w:lvl>
    <w:lvl w:ilvl="8">
      <w:start w:val="1"/>
      <w:numFmt w:val="bullet"/>
      <w:lvlText w:val=""/>
      <w:lvlJc w:val="start"/>
      <w:pPr>
        <w:tabs>
          <w:tab w:val="num" w:pos="6480"/>
        </w:tabs>
        <w:ind w:start="6480" w:hanging="360"/>
      </w:pPr>
      <w:rPr>
        <w:rFonts w:ascii="Wingdings" w:hAnsi="Wingdings" w:cs="Wingdings" w:hint="default"/>
        <w:sz w:val="20"/>
      </w:rPr>
    </w:lvl>
  </w:abstractNum>
  <w:abstractNum w:abstractNumId="3">
    <w:lvl w:ilvl="0">
      <w:start w:val="1"/>
      <w:numFmt w:val="bullet"/>
      <w:lvlText w:val=""/>
      <w:lvlJc w:val="start"/>
      <w:pPr>
        <w:tabs>
          <w:tab w:val="num" w:pos="0"/>
        </w:tabs>
        <w:ind w:start="720" w:hanging="360"/>
      </w:pPr>
      <w:rPr>
        <w:rFonts w:ascii="Symbol" w:hAnsi="Symbol" w:cs="Symbol" w:hint="default"/>
      </w:rPr>
    </w:lvl>
    <w:lvl w:ilvl="1">
      <w:start w:val="1"/>
      <w:numFmt w:val="bullet"/>
      <w:lvlText w:val="o"/>
      <w:lvlJc w:val="start"/>
      <w:pPr>
        <w:tabs>
          <w:tab w:val="num" w:pos="0"/>
        </w:tabs>
        <w:ind w:start="1440" w:hanging="360"/>
      </w:pPr>
      <w:rPr>
        <w:rFonts w:ascii="Courier New" w:hAnsi="Courier New" w:cs="Courier New" w:hint="default"/>
      </w:rPr>
    </w:lvl>
    <w:lvl w:ilvl="2">
      <w:start w:val="1"/>
      <w:numFmt w:val="bullet"/>
      <w:lvlText w:val=""/>
      <w:lvlJc w:val="start"/>
      <w:pPr>
        <w:tabs>
          <w:tab w:val="num" w:pos="0"/>
        </w:tabs>
        <w:ind w:start="2160" w:hanging="360"/>
      </w:pPr>
      <w:rPr>
        <w:rFonts w:ascii="Wingdings" w:hAnsi="Wingdings" w:cs="Wingdings" w:hint="default"/>
      </w:rPr>
    </w:lvl>
    <w:lvl w:ilvl="3">
      <w:start w:val="1"/>
      <w:numFmt w:val="bullet"/>
      <w:lvlText w:val=""/>
      <w:lvlJc w:val="start"/>
      <w:pPr>
        <w:tabs>
          <w:tab w:val="num" w:pos="0"/>
        </w:tabs>
        <w:ind w:start="2880" w:hanging="360"/>
      </w:pPr>
      <w:rPr>
        <w:rFonts w:ascii="Symbol" w:hAnsi="Symbol" w:cs="Symbol" w:hint="default"/>
      </w:rPr>
    </w:lvl>
    <w:lvl w:ilvl="4">
      <w:start w:val="1"/>
      <w:numFmt w:val="bullet"/>
      <w:lvlText w:val="o"/>
      <w:lvlJc w:val="start"/>
      <w:pPr>
        <w:tabs>
          <w:tab w:val="num" w:pos="0"/>
        </w:tabs>
        <w:ind w:start="3600" w:hanging="360"/>
      </w:pPr>
      <w:rPr>
        <w:rFonts w:ascii="Courier New" w:hAnsi="Courier New" w:cs="Courier New" w:hint="default"/>
      </w:rPr>
    </w:lvl>
    <w:lvl w:ilvl="5">
      <w:start w:val="1"/>
      <w:numFmt w:val="bullet"/>
      <w:lvlText w:val=""/>
      <w:lvlJc w:val="start"/>
      <w:pPr>
        <w:tabs>
          <w:tab w:val="num" w:pos="0"/>
        </w:tabs>
        <w:ind w:start="4320" w:hanging="360"/>
      </w:pPr>
      <w:rPr>
        <w:rFonts w:ascii="Wingdings" w:hAnsi="Wingdings" w:cs="Wingdings" w:hint="default"/>
      </w:rPr>
    </w:lvl>
    <w:lvl w:ilvl="6">
      <w:start w:val="1"/>
      <w:numFmt w:val="bullet"/>
      <w:lvlText w:val=""/>
      <w:lvlJc w:val="start"/>
      <w:pPr>
        <w:tabs>
          <w:tab w:val="num" w:pos="0"/>
        </w:tabs>
        <w:ind w:start="5040" w:hanging="360"/>
      </w:pPr>
      <w:rPr>
        <w:rFonts w:ascii="Symbol" w:hAnsi="Symbol" w:cs="Symbol" w:hint="default"/>
      </w:rPr>
    </w:lvl>
    <w:lvl w:ilvl="7">
      <w:start w:val="1"/>
      <w:numFmt w:val="bullet"/>
      <w:lvlText w:val="o"/>
      <w:lvlJc w:val="start"/>
      <w:pPr>
        <w:tabs>
          <w:tab w:val="num" w:pos="0"/>
        </w:tabs>
        <w:ind w:start="5760" w:hanging="360"/>
      </w:pPr>
      <w:rPr>
        <w:rFonts w:ascii="Courier New" w:hAnsi="Courier New" w:cs="Courier New" w:hint="default"/>
      </w:rPr>
    </w:lvl>
    <w:lvl w:ilvl="8">
      <w:start w:val="1"/>
      <w:numFmt w:val="bullet"/>
      <w:lvlText w:val=""/>
      <w:lvlJc w:val="start"/>
      <w:pPr>
        <w:tabs>
          <w:tab w:val="num" w:pos="0"/>
        </w:tabs>
        <w:ind w:start="6480" w:hanging="360"/>
      </w:pPr>
      <w:rPr>
        <w:rFonts w:ascii="Wingdings" w:hAnsi="Wingdings" w:cs="Wingdings" w:hint="default"/>
      </w:rPr>
    </w:lvl>
  </w:abstractNum>
  <w:abstractNum w:abstractNumId="4">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 w:numId="3">
    <w:abstractNumId w:val="3"/>
  </w:num>
  <w:num w:numId="4">
    <w:abstractNumId w:val="4"/>
  </w:num>
</w:numbering>
</file>

<file path=word/settings.xml><?xml version="1.0" encoding="utf-8"?>
<w:settings xmlns:w="http://schemas.openxmlformats.org/wordprocessingml/2006/main">
  <w:zoom w:percent="60"/>
  <w:defaultTabStop w:val="720"/>
  <w:autoHyphenation w:val="true"/>
  <w:hyphenationZone w:val="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SwtDA0MrKwtDAztDBS0lEKTi0uzszPAykwrAUAVlAQ1iwAAAA="/>
  </w:docVars>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 w:asciiTheme="minorHAnsi" w:cstheme="minorBidi" w:eastAsiaTheme="minorHAnsi" w:hAnsiTheme="minorHAnsi"/>
        <w:sz w:val="22"/>
        <w:szCs w:val="22"/>
        <w:lang w:val="en-IN"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c0e04"/>
    <w:pPr>
      <w:widowControl/>
      <w:bidi w:val="0"/>
      <w:spacing w:lineRule="auto" w:line="360" w:before="120" w:after="120"/>
      <w:jc w:val="both"/>
    </w:pPr>
    <w:rPr>
      <w:rFonts w:ascii="Arial" w:hAnsi="Arial" w:eastAsia="Aptos" w:cs="" w:cstheme="minorBidi" w:eastAsiaTheme="minorHAnsi"/>
      <w:color w:val="auto"/>
      <w:kern w:val="0"/>
      <w:sz w:val="24"/>
      <w:szCs w:val="22"/>
      <w:lang w:val="en-GB" w:eastAsia="en-US" w:bidi="ar-SA"/>
    </w:rPr>
  </w:style>
  <w:style w:type="paragraph" w:styleId="Heading1">
    <w:name w:val="heading 1"/>
    <w:basedOn w:val="Normal"/>
    <w:next w:val="Normal"/>
    <w:link w:val="Heading1Char"/>
    <w:autoRedefine/>
    <w:uiPriority w:val="9"/>
    <w:qFormat/>
    <w:rsid w:val="00d93aa0"/>
    <w:pPr>
      <w:keepNext w:val="true"/>
      <w:keepLines/>
      <w:outlineLvl w:val="0"/>
    </w:pPr>
    <w:rPr>
      <w:rFonts w:eastAsia="" w:eastAsiaTheme="majorEastAsia"/>
      <w:b/>
      <w:bCs/>
      <w:color w:themeColor="text1" w:val="000000"/>
      <w:kern w:val="2"/>
      <w:szCs w:val="48"/>
      <w:lang w:eastAsia="en-IN"/>
    </w:rPr>
  </w:style>
  <w:style w:type="paragraph" w:styleId="Heading2">
    <w:name w:val="heading 2"/>
    <w:basedOn w:val="Normal"/>
    <w:next w:val="Normal"/>
    <w:link w:val="Heading2Char"/>
    <w:autoRedefine/>
    <w:uiPriority w:val="9"/>
    <w:unhideWhenUsed/>
    <w:qFormat/>
    <w:rsid w:val="00a821eb"/>
    <w:pPr>
      <w:keepNext w:val="true"/>
      <w:keepLines/>
      <w:outlineLvl w:val="1"/>
    </w:pPr>
    <w:rPr>
      <w:rFonts w:eastAsia="" w:cs="" w:cstheme="majorBidi" w:eastAsiaTheme="majorEastAsia"/>
      <w:szCs w:val="32"/>
      <w:u w:val="single"/>
      <w:lang w:val="en-IN"/>
    </w:rPr>
  </w:style>
  <w:style w:type="paragraph" w:styleId="Heading3">
    <w:name w:val="heading 3"/>
    <w:basedOn w:val="Normal"/>
    <w:next w:val="Normal"/>
    <w:link w:val="Heading3Char"/>
    <w:uiPriority w:val="9"/>
    <w:unhideWhenUsed/>
    <w:qFormat/>
    <w:rsid w:val="00600139"/>
    <w:pPr>
      <w:keepNext w:val="true"/>
      <w:keepLines/>
      <w:outlineLvl w:val="2"/>
    </w:pPr>
    <w:rPr>
      <w:rFonts w:eastAsia="" w:cs="" w:cstheme="majorBidi" w:eastAsiaTheme="majorEastAsia"/>
      <w:b/>
      <w:i/>
      <w:color w:themeColor="text1" w:val="000000"/>
      <w:szCs w:val="28"/>
    </w:rPr>
  </w:style>
  <w:style w:type="paragraph" w:styleId="Heading4">
    <w:name w:val="heading 4"/>
    <w:basedOn w:val="Normal"/>
    <w:next w:val="Normal"/>
    <w:link w:val="Heading4Char"/>
    <w:uiPriority w:val="9"/>
    <w:semiHidden/>
    <w:unhideWhenUsed/>
    <w:qFormat/>
    <w:rsid w:val="00a4546b"/>
    <w:pPr>
      <w:keepNext w:val="true"/>
      <w:keepLines/>
      <w:spacing w:before="80" w:after="40"/>
      <w:outlineLvl w:val="3"/>
    </w:pPr>
    <w:rPr>
      <w:rFonts w:ascii="Aptos" w:hAnsi="Aptos" w:eastAsia="" w:cs="" w:asciiTheme="minorHAnsi" w:cstheme="majorBidi" w:eastAsiaTheme="majorEastAsia" w:hAnsiTheme="minorHAnsi"/>
      <w:i/>
      <w:iCs/>
      <w:color w:themeColor="accent1" w:themeShade="bf" w:val="0F4761"/>
    </w:rPr>
  </w:style>
  <w:style w:type="paragraph" w:styleId="Heading5">
    <w:name w:val="heading 5"/>
    <w:basedOn w:val="Normal"/>
    <w:next w:val="Normal"/>
    <w:link w:val="Heading5Char"/>
    <w:uiPriority w:val="9"/>
    <w:semiHidden/>
    <w:unhideWhenUsed/>
    <w:qFormat/>
    <w:rsid w:val="00a4546b"/>
    <w:pPr>
      <w:keepNext w:val="true"/>
      <w:keepLines/>
      <w:spacing w:before="80" w:after="40"/>
      <w:outlineLvl w:val="4"/>
    </w:pPr>
    <w:rPr>
      <w:rFonts w:ascii="Aptos" w:hAnsi="Aptos" w:eastAsia="" w:cs="" w:asciiTheme="minorHAnsi" w:cstheme="majorBidi" w:eastAsiaTheme="majorEastAsia" w:hAnsiTheme="minorHAnsi"/>
      <w:color w:themeColor="accent1" w:themeShade="bf" w:val="0F4761"/>
    </w:rPr>
  </w:style>
  <w:style w:type="paragraph" w:styleId="Heading6">
    <w:name w:val="heading 6"/>
    <w:basedOn w:val="Normal"/>
    <w:next w:val="Normal"/>
    <w:link w:val="Heading6Char"/>
    <w:uiPriority w:val="9"/>
    <w:semiHidden/>
    <w:unhideWhenUsed/>
    <w:qFormat/>
    <w:rsid w:val="00a4546b"/>
    <w:pPr>
      <w:keepNext w:val="true"/>
      <w:keepLines/>
      <w:spacing w:before="40" w:after="0"/>
      <w:outlineLvl w:val="5"/>
    </w:pPr>
    <w:rPr>
      <w:rFonts w:ascii="Aptos" w:hAnsi="Aptos" w:eastAsia="" w:cs="" w:asciiTheme="minorHAnsi" w:cstheme="majorBidi" w:eastAsiaTheme="majorEastAsia" w:hAnsiTheme="minorHAnsi"/>
      <w:i/>
      <w:iCs/>
      <w:color w:themeColor="text1" w:themeTint="a6" w:val="595959"/>
    </w:rPr>
  </w:style>
  <w:style w:type="paragraph" w:styleId="Heading7">
    <w:name w:val="heading 7"/>
    <w:basedOn w:val="Normal"/>
    <w:next w:val="Normal"/>
    <w:link w:val="Heading7Char"/>
    <w:uiPriority w:val="9"/>
    <w:semiHidden/>
    <w:unhideWhenUsed/>
    <w:qFormat/>
    <w:rsid w:val="00a4546b"/>
    <w:pPr>
      <w:keepNext w:val="true"/>
      <w:keepLines/>
      <w:spacing w:before="40" w:after="0"/>
      <w:outlineLvl w:val="6"/>
    </w:pPr>
    <w:rPr>
      <w:rFonts w:ascii="Aptos" w:hAnsi="Aptos" w:eastAsia="" w:cs="" w:asciiTheme="minorHAnsi" w:cstheme="majorBidi" w:eastAsiaTheme="majorEastAsia" w:hAnsiTheme="minorHAnsi"/>
      <w:color w:themeColor="text1" w:themeTint="a6" w:val="595959"/>
    </w:rPr>
  </w:style>
  <w:style w:type="paragraph" w:styleId="Heading8">
    <w:name w:val="heading 8"/>
    <w:basedOn w:val="Normal"/>
    <w:next w:val="Normal"/>
    <w:link w:val="Heading8Char"/>
    <w:uiPriority w:val="9"/>
    <w:semiHidden/>
    <w:unhideWhenUsed/>
    <w:qFormat/>
    <w:rsid w:val="00a4546b"/>
    <w:pPr>
      <w:keepNext w:val="true"/>
      <w:keepLines/>
      <w:spacing w:before="0" w:after="0"/>
      <w:outlineLvl w:val="7"/>
    </w:pPr>
    <w:rPr>
      <w:rFonts w:ascii="Aptos" w:hAnsi="Aptos" w:eastAsia="" w:cs="" w:asciiTheme="minorHAnsi" w:cstheme="majorBidi" w:eastAsiaTheme="majorEastAsia" w:hAnsiTheme="minorHAnsi"/>
      <w:i/>
      <w:iCs/>
      <w:color w:themeColor="text1" w:themeTint="d8" w:val="272727"/>
    </w:rPr>
  </w:style>
  <w:style w:type="paragraph" w:styleId="Heading9">
    <w:name w:val="heading 9"/>
    <w:basedOn w:val="Normal"/>
    <w:next w:val="Normal"/>
    <w:link w:val="Heading9Char"/>
    <w:uiPriority w:val="9"/>
    <w:semiHidden/>
    <w:unhideWhenUsed/>
    <w:qFormat/>
    <w:rsid w:val="00a4546b"/>
    <w:pPr>
      <w:keepNext w:val="true"/>
      <w:keepLines/>
      <w:spacing w:before="0" w:after="0"/>
      <w:outlineLvl w:val="8"/>
    </w:pPr>
    <w:rPr>
      <w:rFonts w:ascii="Aptos" w:hAnsi="Aptos" w:eastAsia="" w:cs="" w:asciiTheme="minorHAnsi" w:cstheme="majorBidi" w:eastAsiaTheme="majorEastAsia" w:hAnsiTheme="minorHAnsi"/>
      <w:color w:themeColor="text1" w:themeTint="d8" w:val="272727"/>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d93aa0"/>
    <w:rPr>
      <w:rFonts w:ascii="Times New Roman" w:hAnsi="Times New Roman" w:eastAsia="" w:eastAsiaTheme="majorEastAsia"/>
      <w:b/>
      <w:bCs/>
      <w:color w:themeColor="text1" w:val="000000"/>
      <w:kern w:val="2"/>
      <w:sz w:val="24"/>
      <w:szCs w:val="48"/>
      <w:lang w:eastAsia="en-IN"/>
    </w:rPr>
  </w:style>
  <w:style w:type="character" w:styleId="Heading2Char" w:customStyle="1">
    <w:name w:val="Heading 2 Char"/>
    <w:basedOn w:val="DefaultParagraphFont"/>
    <w:link w:val="Heading2"/>
    <w:uiPriority w:val="9"/>
    <w:qFormat/>
    <w:rsid w:val="00a821eb"/>
    <w:rPr>
      <w:rFonts w:ascii="Times New Roman" w:hAnsi="Times New Roman" w:eastAsia="" w:cs="" w:cstheme="majorBidi" w:eastAsiaTheme="majorEastAsia"/>
      <w:sz w:val="24"/>
      <w:szCs w:val="32"/>
      <w:u w:val="single"/>
    </w:rPr>
  </w:style>
  <w:style w:type="character" w:styleId="BodyTextChar" w:customStyle="1">
    <w:name w:val="Body Text Char"/>
    <w:basedOn w:val="DefaultParagraphFont"/>
    <w:uiPriority w:val="1"/>
    <w:qFormat/>
    <w:rsid w:val="00c77653"/>
    <w:rPr>
      <w:rFonts w:ascii="Times New Roman" w:hAnsi="Times New Roman" w:eastAsia="Times New Roman" w:cs="Times New Roman"/>
      <w:lang w:val="en-US"/>
    </w:rPr>
  </w:style>
  <w:style w:type="character" w:styleId="Heading3Char" w:customStyle="1">
    <w:name w:val="Heading 3 Char"/>
    <w:basedOn w:val="DefaultParagraphFont"/>
    <w:link w:val="Heading3"/>
    <w:uiPriority w:val="9"/>
    <w:qFormat/>
    <w:rsid w:val="00600139"/>
    <w:rPr>
      <w:rFonts w:ascii="Times New Roman" w:hAnsi="Times New Roman" w:eastAsia="" w:cs="" w:cstheme="majorBidi" w:eastAsiaTheme="majorEastAsia"/>
      <w:b/>
      <w:i/>
      <w:color w:themeColor="text1" w:val="000000"/>
      <w:kern w:val="2"/>
      <w:sz w:val="24"/>
      <w:szCs w:val="28"/>
      <w14:ligatures w14:val="standardContextual"/>
    </w:rPr>
  </w:style>
  <w:style w:type="character" w:styleId="Heading4Char" w:customStyle="1">
    <w:name w:val="Heading 4 Char"/>
    <w:basedOn w:val="DefaultParagraphFont"/>
    <w:link w:val="Heading4"/>
    <w:uiPriority w:val="9"/>
    <w:semiHidden/>
    <w:qFormat/>
    <w:rsid w:val="00a4546b"/>
    <w:rPr>
      <w:rFonts w:eastAsia="" w:cs="" w:cstheme="majorBidi" w:eastAsiaTheme="majorEastAsia"/>
      <w:i/>
      <w:iCs/>
      <w:color w:themeColor="accent1" w:themeShade="bf" w:val="0F4761"/>
      <w:sz w:val="24"/>
      <w:lang w:val="en-GB"/>
    </w:rPr>
  </w:style>
  <w:style w:type="character" w:styleId="Heading5Char" w:customStyle="1">
    <w:name w:val="Heading 5 Char"/>
    <w:basedOn w:val="DefaultParagraphFont"/>
    <w:link w:val="Heading5"/>
    <w:uiPriority w:val="9"/>
    <w:semiHidden/>
    <w:qFormat/>
    <w:rsid w:val="00a4546b"/>
    <w:rPr>
      <w:rFonts w:eastAsia="" w:cs="" w:cstheme="majorBidi" w:eastAsiaTheme="majorEastAsia"/>
      <w:color w:themeColor="accent1" w:themeShade="bf" w:val="0F4761"/>
      <w:sz w:val="24"/>
      <w:lang w:val="en-GB"/>
    </w:rPr>
  </w:style>
  <w:style w:type="character" w:styleId="Heading6Char" w:customStyle="1">
    <w:name w:val="Heading 6 Char"/>
    <w:basedOn w:val="DefaultParagraphFont"/>
    <w:link w:val="Heading6"/>
    <w:uiPriority w:val="9"/>
    <w:semiHidden/>
    <w:qFormat/>
    <w:rsid w:val="00a4546b"/>
    <w:rPr>
      <w:rFonts w:eastAsia="" w:cs="" w:cstheme="majorBidi" w:eastAsiaTheme="majorEastAsia"/>
      <w:i/>
      <w:iCs/>
      <w:color w:themeColor="text1" w:themeTint="a6" w:val="595959"/>
      <w:sz w:val="24"/>
      <w:lang w:val="en-GB"/>
    </w:rPr>
  </w:style>
  <w:style w:type="character" w:styleId="Heading7Char" w:customStyle="1">
    <w:name w:val="Heading 7 Char"/>
    <w:basedOn w:val="DefaultParagraphFont"/>
    <w:link w:val="Heading7"/>
    <w:uiPriority w:val="9"/>
    <w:semiHidden/>
    <w:qFormat/>
    <w:rsid w:val="00a4546b"/>
    <w:rPr>
      <w:rFonts w:eastAsia="" w:cs="" w:cstheme="majorBidi" w:eastAsiaTheme="majorEastAsia"/>
      <w:color w:themeColor="text1" w:themeTint="a6" w:val="595959"/>
      <w:sz w:val="24"/>
      <w:lang w:val="en-GB"/>
    </w:rPr>
  </w:style>
  <w:style w:type="character" w:styleId="Heading8Char" w:customStyle="1">
    <w:name w:val="Heading 8 Char"/>
    <w:basedOn w:val="DefaultParagraphFont"/>
    <w:link w:val="Heading8"/>
    <w:uiPriority w:val="9"/>
    <w:semiHidden/>
    <w:qFormat/>
    <w:rsid w:val="00a4546b"/>
    <w:rPr>
      <w:rFonts w:eastAsia="" w:cs="" w:cstheme="majorBidi" w:eastAsiaTheme="majorEastAsia"/>
      <w:i/>
      <w:iCs/>
      <w:color w:themeColor="text1" w:themeTint="d8" w:val="272727"/>
      <w:sz w:val="24"/>
      <w:lang w:val="en-GB"/>
    </w:rPr>
  </w:style>
  <w:style w:type="character" w:styleId="Heading9Char" w:customStyle="1">
    <w:name w:val="Heading 9 Char"/>
    <w:basedOn w:val="DefaultParagraphFont"/>
    <w:link w:val="Heading9"/>
    <w:uiPriority w:val="9"/>
    <w:semiHidden/>
    <w:qFormat/>
    <w:rsid w:val="00a4546b"/>
    <w:rPr>
      <w:rFonts w:eastAsia="" w:cs="" w:cstheme="majorBidi" w:eastAsiaTheme="majorEastAsia"/>
      <w:color w:themeColor="text1" w:themeTint="d8" w:val="272727"/>
      <w:sz w:val="24"/>
      <w:lang w:val="en-GB"/>
    </w:rPr>
  </w:style>
  <w:style w:type="character" w:styleId="TitleChar" w:customStyle="1">
    <w:name w:val="Title Char"/>
    <w:basedOn w:val="DefaultParagraphFont"/>
    <w:link w:val="Title"/>
    <w:uiPriority w:val="10"/>
    <w:qFormat/>
    <w:rsid w:val="00a4546b"/>
    <w:rPr>
      <w:rFonts w:ascii="Aptos Display" w:hAnsi="Aptos Display" w:eastAsia="" w:cs="" w:asciiTheme="majorHAnsi" w:cstheme="majorBidi" w:eastAsiaTheme="majorEastAsia" w:hAnsiTheme="majorHAnsi"/>
      <w:spacing w:val="-10"/>
      <w:kern w:val="2"/>
      <w:sz w:val="56"/>
      <w:szCs w:val="56"/>
      <w:lang w:val="en-GB"/>
    </w:rPr>
  </w:style>
  <w:style w:type="character" w:styleId="SubtitleChar" w:customStyle="1">
    <w:name w:val="Subtitle Char"/>
    <w:basedOn w:val="DefaultParagraphFont"/>
    <w:link w:val="Subtitle"/>
    <w:uiPriority w:val="11"/>
    <w:qFormat/>
    <w:rsid w:val="00a4546b"/>
    <w:rPr>
      <w:rFonts w:eastAsia="" w:cs="" w:cstheme="majorBidi" w:eastAsiaTheme="majorEastAsia"/>
      <w:color w:themeColor="text1" w:themeTint="a6" w:val="595959"/>
      <w:spacing w:val="15"/>
      <w:sz w:val="28"/>
      <w:szCs w:val="28"/>
      <w:lang w:val="en-GB"/>
    </w:rPr>
  </w:style>
  <w:style w:type="character" w:styleId="QuoteChar" w:customStyle="1">
    <w:name w:val="Quote Char"/>
    <w:basedOn w:val="DefaultParagraphFont"/>
    <w:link w:val="Quote"/>
    <w:uiPriority w:val="29"/>
    <w:qFormat/>
    <w:rsid w:val="00a4546b"/>
    <w:rPr>
      <w:rFonts w:ascii="Times New Roman" w:hAnsi="Times New Roman"/>
      <w:i/>
      <w:iCs/>
      <w:color w:themeColor="text1" w:themeTint="bf" w:val="404040"/>
      <w:sz w:val="24"/>
      <w:lang w:val="en-GB"/>
    </w:rPr>
  </w:style>
  <w:style w:type="character" w:styleId="IntenseEmphasis">
    <w:name w:val="Intense Emphasis"/>
    <w:basedOn w:val="DefaultParagraphFont"/>
    <w:uiPriority w:val="21"/>
    <w:qFormat/>
    <w:rsid w:val="00a4546b"/>
    <w:rPr>
      <w:i/>
      <w:iCs/>
      <w:color w:themeColor="accent1" w:themeShade="bf" w:val="0F4761"/>
    </w:rPr>
  </w:style>
  <w:style w:type="character" w:styleId="IntenseQuoteChar" w:customStyle="1">
    <w:name w:val="Intense Quote Char"/>
    <w:basedOn w:val="DefaultParagraphFont"/>
    <w:link w:val="IntenseQuote"/>
    <w:uiPriority w:val="30"/>
    <w:qFormat/>
    <w:rsid w:val="00a4546b"/>
    <w:rPr>
      <w:rFonts w:ascii="Times New Roman" w:hAnsi="Times New Roman"/>
      <w:i/>
      <w:iCs/>
      <w:color w:themeColor="accent1" w:themeShade="bf" w:val="0F4761"/>
      <w:sz w:val="24"/>
      <w:lang w:val="en-GB"/>
    </w:rPr>
  </w:style>
  <w:style w:type="character" w:styleId="IntenseReference">
    <w:name w:val="Intense Reference"/>
    <w:basedOn w:val="DefaultParagraphFont"/>
    <w:uiPriority w:val="32"/>
    <w:qFormat/>
    <w:rsid w:val="00a4546b"/>
    <w:rPr>
      <w:b/>
      <w:bCs/>
      <w:smallCaps/>
      <w:color w:themeColor="accent1" w:themeShade="bf" w:val="0F4761"/>
      <w:spacing w:val="5"/>
    </w:rPr>
  </w:style>
  <w:style w:type="character" w:styleId="HeaderChar" w:customStyle="1">
    <w:name w:val="Header Char"/>
    <w:basedOn w:val="DefaultParagraphFont"/>
    <w:link w:val="Header"/>
    <w:uiPriority w:val="99"/>
    <w:qFormat/>
    <w:rsid w:val="00d3068d"/>
    <w:rPr>
      <w:rFonts w:ascii="Times New Roman" w:hAnsi="Times New Roman"/>
      <w:sz w:val="24"/>
      <w:lang w:val="en-GB"/>
    </w:rPr>
  </w:style>
  <w:style w:type="character" w:styleId="FooterChar" w:customStyle="1">
    <w:name w:val="Footer Char"/>
    <w:basedOn w:val="DefaultParagraphFont"/>
    <w:link w:val="Footer"/>
    <w:uiPriority w:val="99"/>
    <w:qFormat/>
    <w:rsid w:val="00d3068d"/>
    <w:rPr>
      <w:rFonts w:ascii="Times New Roman" w:hAnsi="Times New Roman"/>
      <w:sz w:val="24"/>
      <w:lang w:val="en-GB"/>
    </w:rPr>
  </w:style>
  <w:style w:type="character" w:styleId="Hyperlink">
    <w:name w:val="Hyperlink"/>
    <w:basedOn w:val="DefaultParagraphFont"/>
    <w:uiPriority w:val="99"/>
    <w:unhideWhenUsed/>
    <w:rsid w:val="0005268d"/>
    <w:rPr>
      <w:color w:themeColor="hyperlink" w:val="467886"/>
      <w:u w:val="single"/>
    </w:rPr>
  </w:style>
  <w:style w:type="character" w:styleId="UnresolvedMention">
    <w:name w:val="Unresolved Mention"/>
    <w:basedOn w:val="DefaultParagraphFont"/>
    <w:uiPriority w:val="99"/>
    <w:semiHidden/>
    <w:unhideWhenUsed/>
    <w:qFormat/>
    <w:rsid w:val="004f065a"/>
    <w:rPr>
      <w:color w:val="605E5C"/>
      <w:shd w:fill="E1DFDD" w:val="clear"/>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link w:val="BodyTextChar"/>
    <w:uiPriority w:val="1"/>
    <w:qFormat/>
    <w:rsid w:val="00c77653"/>
    <w:pPr>
      <w:widowControl w:val="false"/>
    </w:pPr>
    <w:rPr>
      <w:sz w:val="22"/>
      <w:lang w:val="en-US"/>
    </w:rPr>
  </w:style>
  <w:style w:type="paragraph" w:styleId="List">
    <w:name w:val="List"/>
    <w:basedOn w:val="BodyText"/>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a4546b"/>
    <w:pPr>
      <w:spacing w:lineRule="auto" w:line="240" w:before="0" w:after="80"/>
      <w:contextualSpacing/>
    </w:pPr>
    <w:rPr>
      <w:rFonts w:ascii="Aptos Display" w:hAnsi="Aptos Display" w:eastAsia="" w:cs=""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a4546b"/>
    <w:pPr>
      <w:spacing w:before="120" w:after="160"/>
    </w:pPr>
    <w:rPr>
      <w:rFonts w:ascii="Aptos" w:hAnsi="Aptos" w:eastAsia="" w:cs="" w:asciiTheme="minorHAnsi" w:cstheme="majorBidi" w:eastAsiaTheme="majorEastAsia" w:hAnsiTheme="minorHAnsi"/>
      <w:color w:themeColor="text1" w:themeTint="a6" w:val="595959"/>
      <w:spacing w:val="15"/>
      <w:sz w:val="28"/>
      <w:szCs w:val="28"/>
    </w:rPr>
  </w:style>
  <w:style w:type="paragraph" w:styleId="Quote">
    <w:name w:val="Quote"/>
    <w:basedOn w:val="Normal"/>
    <w:next w:val="Normal"/>
    <w:link w:val="QuoteChar"/>
    <w:uiPriority w:val="29"/>
    <w:qFormat/>
    <w:rsid w:val="00a4546b"/>
    <w:pPr>
      <w:spacing w:before="160" w:after="160"/>
      <w:jc w:val="center"/>
    </w:pPr>
    <w:rPr>
      <w:i/>
      <w:iCs/>
      <w:color w:themeColor="text1" w:themeTint="bf" w:val="404040"/>
    </w:rPr>
  </w:style>
  <w:style w:type="paragraph" w:styleId="ListParagraph">
    <w:name w:val="List Paragraph"/>
    <w:basedOn w:val="Normal"/>
    <w:uiPriority w:val="34"/>
    <w:qFormat/>
    <w:rsid w:val="00a4546b"/>
    <w:pPr>
      <w:spacing w:before="120" w:after="120"/>
      <w:ind w:start="720"/>
      <w:contextualSpacing/>
    </w:pPr>
    <w:rPr/>
  </w:style>
  <w:style w:type="paragraph" w:styleId="IntenseQuote">
    <w:name w:val="Intense Quote"/>
    <w:basedOn w:val="Normal"/>
    <w:next w:val="Normal"/>
    <w:link w:val="IntenseQuoteChar"/>
    <w:uiPriority w:val="30"/>
    <w:qFormat/>
    <w:rsid w:val="00a4546b"/>
    <w:pPr>
      <w:pBdr>
        <w:top w:val="single" w:sz="4" w:space="10" w:color="0F4761" w:themeColor="accent1" w:themeShade="bf"/>
        <w:bottom w:val="single" w:sz="4" w:space="10" w:color="0F4761" w:themeColor="accent1" w:themeShade="bf"/>
      </w:pBdr>
      <w:spacing w:before="360" w:after="360"/>
      <w:ind w:start="864" w:end="864"/>
      <w:jc w:val="center"/>
    </w:pPr>
    <w:rPr>
      <w:i/>
      <w:iCs/>
      <w:color w:themeColor="accent1" w:themeShade="bf" w:val="0F4761"/>
    </w:rPr>
  </w:style>
  <w:style w:type="paragraph" w:styleId="HeaderandFooter">
    <w:name w:val="Header and Footer"/>
    <w:basedOn w:val="Normal"/>
    <w:qFormat/>
    <w:pPr/>
    <w:rPr/>
  </w:style>
  <w:style w:type="paragraph" w:styleId="Header">
    <w:name w:val="header"/>
    <w:basedOn w:val="Normal"/>
    <w:link w:val="HeaderChar"/>
    <w:uiPriority w:val="99"/>
    <w:unhideWhenUsed/>
    <w:rsid w:val="00d3068d"/>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d3068d"/>
    <w:pPr>
      <w:tabs>
        <w:tab w:val="clear" w:pos="720"/>
        <w:tab w:val="center" w:pos="4513" w:leader="none"/>
        <w:tab w:val="right" w:pos="9026" w:leader="none"/>
      </w:tabs>
      <w:spacing w:lineRule="auto" w:line="240" w:before="0" w:after="0"/>
    </w:pPr>
    <w:rPr/>
  </w:style>
  <w:style w:type="paragraph" w:styleId="NoSpacing">
    <w:name w:val="No Spacing"/>
    <w:uiPriority w:val="1"/>
    <w:qFormat/>
    <w:rsid w:val="00a821eb"/>
    <w:pPr>
      <w:widowControl/>
      <w:bidi w:val="0"/>
      <w:spacing w:lineRule="auto" w:line="240" w:before="0" w:after="0"/>
      <w:jc w:val="both"/>
    </w:pPr>
    <w:rPr>
      <w:rFonts w:ascii="Times New Roman" w:hAnsi="Times New Roman" w:eastAsia="Aptos" w:cs="" w:cstheme="minorBidi" w:eastAsiaTheme="minorHAnsi"/>
      <w:color w:val="auto"/>
      <w:kern w:val="0"/>
      <w:sz w:val="24"/>
      <w:szCs w:val="22"/>
      <w:lang w:val="en-GB" w:eastAsia="en-US" w:bidi="ar-SA"/>
    </w:rPr>
  </w:style>
  <w:style w:type="paragraph" w:styleId="IndexHeading">
    <w:name w:val="index heading"/>
    <w:basedOn w:val="Heading"/>
    <w:pPr/>
    <w:rPr/>
  </w:style>
  <w:style w:type="paragraph" w:styleId="TOCHeading">
    <w:name w:val="TOC Heading"/>
    <w:basedOn w:val="Heading1"/>
    <w:next w:val="Normal"/>
    <w:uiPriority w:val="39"/>
    <w:unhideWhenUsed/>
    <w:qFormat/>
    <w:rsid w:val="0005268d"/>
    <w:pPr>
      <w:spacing w:lineRule="auto" w:line="259" w:before="240" w:after="0"/>
      <w:jc w:val="start"/>
      <w:outlineLvl w:val="9"/>
    </w:pPr>
    <w:rPr>
      <w:rFonts w:ascii="Aptos Display" w:hAnsi="Aptos Display" w:cs="" w:asciiTheme="majorHAnsi" w:cstheme="majorBidi" w:hAnsiTheme="majorHAnsi"/>
      <w:b w:val="false"/>
      <w:bCs w:val="false"/>
      <w:color w:themeColor="accent1" w:themeShade="bf" w:val="0F4761"/>
      <w:kern w:val="0"/>
      <w:sz w:val="32"/>
      <w:szCs w:val="32"/>
      <w:lang w:val="en-US" w:eastAsia="en-US"/>
    </w:rPr>
  </w:style>
  <w:style w:type="paragraph" w:styleId="TOC1">
    <w:name w:val="toc 1"/>
    <w:basedOn w:val="Normal"/>
    <w:next w:val="Normal"/>
    <w:autoRedefine/>
    <w:uiPriority w:val="39"/>
    <w:unhideWhenUsed/>
    <w:rsid w:val="0005268d"/>
    <w:pPr>
      <w:spacing w:before="120" w:after="100"/>
    </w:pPr>
    <w:rPr/>
  </w:style>
  <w:style w:type="paragraph" w:styleId="TOC2">
    <w:name w:val="toc 2"/>
    <w:basedOn w:val="Normal"/>
    <w:next w:val="Normal"/>
    <w:autoRedefine/>
    <w:uiPriority w:val="39"/>
    <w:unhideWhenUsed/>
    <w:rsid w:val="0005268d"/>
    <w:pPr>
      <w:spacing w:before="120" w:after="100"/>
      <w:ind w:start="24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ListTable4-Accent6">
    <w:name w:val="List Table 4 Accent 6"/>
    <w:basedOn w:val="TableNormal"/>
    <w:uiPriority w:val="49"/>
    <w:rsid w:val="00a821eb"/>
    <w:pPr>
      <w:spacing w:after="0" w:line="240" w:lineRule="auto"/>
    </w:pPr>
    <w:tblPr>
      <w:tblStyleRowBandSize w:val="1"/>
      <w:tblStyleColBandSize w:val="1"/>
      <w:tblBorders>
        <w:top w:val="single" w:color="8DD873" w:themeColor="accent6" w:themeTint="99" w:sz="4" w:space="0"/>
        <w:left w:val="single" w:color="8DD873" w:themeColor="accent6" w:themeTint="99" w:sz="4" w:space="0"/>
        <w:bottom w:val="single" w:color="8DD873" w:themeColor="accent6" w:themeTint="99" w:sz="4" w:space="0"/>
        <w:right w:val="single" w:color="8DD873" w:themeColor="accent6" w:themeTint="99" w:sz="4" w:space="0"/>
        <w:insideH w:val="single" w:color="8DD873" w:themeColor="accent6" w:themeTint="99" w:sz="4" w:space="0"/>
      </w:tblBorders>
    </w:tblPr>
    <w:tblStylePr w:type="firstRow">
      <w:rPr>
        <w:b/>
        <w:bCs/>
        <w:color w:val="ffffff" w:themeColor="background1"/>
      </w:rPr>
      <w:tblPr/>
      <w:tcPr>
        <w:tcBorders>
          <w:top w:val="single" w:color="4EA72E" w:themeColor="accent6" w:sz="4" w:space="0"/>
          <w:left w:val="single" w:color="4EA72E" w:themeColor="accent6" w:sz="4" w:space="0"/>
          <w:bottom w:val="single" w:color="4EA72E" w:themeColor="accent6" w:sz="4" w:space="0"/>
          <w:right w:val="single" w:color="4EA72E" w:themeColor="accent6" w:sz="4" w:space="0"/>
          <w:insideH w:val="nil"/>
        </w:tcBorders>
        <w:shd w:val="clear" w:color="auto" w:fill="4EA72E" w:themeFill="accent6"/>
      </w:tcPr>
    </w:tblStylePr>
    <w:tblStylePr w:type="lastRow">
      <w:rPr>
        <w:b/>
        <w:bCs/>
      </w:rPr>
      <w:tblPr/>
      <w:tcPr>
        <w:tcBorders>
          <w:top w:val="double" w:color="8DD873" w:themeColor="accent6" w:sz="4" w:space="0"/>
        </w:tcBorders>
      </w:tcPr>
    </w:tblStylePr>
    <w:tblStylePr w:type="firstCol">
      <w:rPr>
        <w:b/>
        <w:bCs/>
      </w:rPr>
      <w:tblPr/>
    </w:tblStylePr>
    <w:tblStylePr w:type="lastCol">
      <w:rPr>
        <w:b/>
        <w:bCs/>
      </w:rPr>
      <w:tbl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3-Accent4">
    <w:name w:val="List Table 3 Accent 4"/>
    <w:basedOn w:val="TableNormal"/>
    <w:uiPriority w:val="48"/>
    <w:rsid w:val="00653b0d"/>
    <w:pPr>
      <w:spacing w:after="0" w:line="240" w:lineRule="auto"/>
    </w:pPr>
    <w:tblPr>
      <w:tblStyleRowBandSize w:val="1"/>
      <w:tblStyleColBandSize w:val="1"/>
      <w:tblBorders>
        <w:top w:val="single" w:color="0F9ED5" w:themeColor="accent4" w:sz="4" w:space="0"/>
        <w:left w:val="single" w:color="0F9ED5" w:themeColor="accent4" w:sz="4" w:space="0"/>
        <w:bottom w:val="single" w:color="0F9ED5" w:themeColor="accent4" w:sz="4" w:space="0"/>
        <w:right w:val="single" w:color="0F9ED5" w:themeColor="accent4" w:sz="4" w:space="0"/>
      </w:tblBorders>
    </w:tblPr>
    <w:tblStylePr w:type="firstRow">
      <w:rPr>
        <w:b/>
        <w:bCs/>
        <w:color w:val="ffffff" w:themeColor="background1"/>
      </w:rPr>
      <w:tblPr/>
      <w:tcPr>
        <w:shd w:val="clear" w:color="auto" w:fill="0F9ED5" w:themeFill="accent4"/>
      </w:tcPr>
    </w:tblStylePr>
    <w:tblStylePr w:type="lastRow">
      <w:rPr>
        <w:b/>
        <w:bCs/>
      </w:rPr>
      <w:tblPr/>
      <w:tcPr>
        <w:tcBorders>
          <w:top w:val="double" w:color="0F9ED5"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F9ED5" w:themeColor="accent4" w:sz="4" w:space="0"/>
          <w:right w:val="single" w:color="0F9ED5" w:themeColor="accent4" w:sz="4" w:space="0"/>
        </w:tcBorders>
      </w:tcPr>
    </w:tblStylePr>
    <w:tblStylePr w:type="band1Horz">
      <w:tblPr/>
      <w:tcPr>
        <w:tcBorders>
          <w:top w:val="single" w:color="0F9ED5" w:themeColor="accent4" w:sz="4" w:space="0"/>
          <w:bottom w:val="single" w:color="0F9ED5"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F9ED5" w:themeColor="accent4" w:sz="4" w:space="0"/>
          <w:left w:val="nil"/>
        </w:tcBorders>
      </w:tcPr>
    </w:tblStylePr>
    <w:tblStylePr w:type="swCell">
      <w:tblPr/>
      <w:tcPr>
        <w:tcBorders>
          <w:top w:val="double" w:color="0F9ED5" w:themeColor="accent4" w:sz="4" w:space="0"/>
          <w:right w:val="nil"/>
        </w:tcBorders>
      </w:tcPr>
    </w:tblStyle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hyperlink" Target="https://sustainability.aldisouthgroup.com/about-aldi/company-profile" TargetMode="External"/><Relationship Id="rId8" Type="http://schemas.openxmlformats.org/officeDocument/2006/relationships/hyperlink" Target="https://geolytix.com/blog/aldi-in-shanghai/" TargetMode="External"/><Relationship Id="rId9" Type="http://schemas.openxmlformats.org/officeDocument/2006/relationships/hyperlink" Target="https://geolytix.com/blog/aldi-in-shanghai/" TargetMode="External"/><Relationship Id="rId10" Type="http://schemas.openxmlformats.org/officeDocument/2006/relationships/hyperlink" Target="https://www.ibef.org/news/india-s-retail-sector-projected-to-nearly-double-to-rs-1-68-00-650-crore-us-1-93-trillion-by-2030-deloitte-ficci" TargetMode="External"/><Relationship Id="rId11" Type="http://schemas.openxmlformats.org/officeDocument/2006/relationships/hyperlink" Target="https://www.abc.net.au/news/2021-01-22/aldi-changed-supermarket-shopping-in-australia-in-two-decades/13079180" TargetMode="External"/><Relationship Id="rId12" Type="http://schemas.openxmlformats.org/officeDocument/2006/relationships/hyperlink" Target="https://www.pib.gov.in/newsite/PrintRelease.aspx?relid=77725&amp;reg=48&amp;lang=2" TargetMode="External"/><Relationship Id="rId13" Type="http://schemas.openxmlformats.org/officeDocument/2006/relationships/hyperlink" Target="https://www.reuters.com/world/india/indias-quick-commerce-sector-made-two-thirds-all-2024-e-retail-orders-report-2025-03-27/" TargetMode="External"/><Relationship Id="rId14" Type="http://schemas.openxmlformats.org/officeDocument/2006/relationships/hyperlink" Target="https://www.pib.gov.in/PressReleasePage.aspx?PRID=2219912&amp;reg=48&amp;lang=2" TargetMode="External"/><Relationship Id="rId15" Type="http://schemas.openxmlformats.org/officeDocument/2006/relationships/hyperlink" Target="https://www.reuters.com/world/india/indias-quick-commerce-sector-made-two-thirds-all-2024-e-retail-orders-report-2025-03-27/" TargetMode="External"/><Relationship Id="rId16" Type="http://schemas.openxmlformats.org/officeDocument/2006/relationships/hyperlink" Target="https://www.ibef.org/news/india-s-retail-sector-projected-to-nearly-double-to-rs-1-68-00-650-crore-us-1-93-trillion-by-2030-deloitte-ficci" TargetMode="External"/><Relationship Id="rId17" Type="http://schemas.openxmlformats.org/officeDocument/2006/relationships/hyperlink" Target="https://www.reuters.com/world/india/indias-quick-commerce-sector-made-two-thirds-all-2024-e-retail-orders-report-2025-03-27/" TargetMode="External"/><Relationship Id="rId18" Type="http://schemas.openxmlformats.org/officeDocument/2006/relationships/hyperlink" Target="https://www.worldbank.org/en/news/press-release/2026/04/09/india-remains-among-the-fastest-growing-economies" TargetMode="External"/><Relationship Id="rId19" Type="http://schemas.openxmlformats.org/officeDocument/2006/relationships/footer" Target="footer1.xml"/><Relationship Id="rId20" Type="http://schemas.openxmlformats.org/officeDocument/2006/relationships/footer" Target="footer2.xml"/><Relationship Id="rId21" Type="http://schemas.openxmlformats.org/officeDocument/2006/relationships/footer" Target="footer3.xml"/><Relationship Id="rId22" Type="http://schemas.openxmlformats.org/officeDocument/2006/relationships/numbering" Target="numbering.xml"/><Relationship Id="rId23" Type="http://schemas.openxmlformats.org/officeDocument/2006/relationships/fontTable" Target="fontTable.xml"/><Relationship Id="rId24" Type="http://schemas.openxmlformats.org/officeDocument/2006/relationships/settings" Target="settings.xml"/><Relationship Id="rId25" Type="http://schemas.openxmlformats.org/officeDocument/2006/relationships/theme" Target="theme/theme1.xml"/><Relationship Id="rId26"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pitchFamily="0" charset="1"/>
        <a:ea typeface=""/>
        <a:cs typeface=""/>
      </a:majorFont>
      <a:minorFont>
        <a:latin typeface="Aptos" panose="0211000402020202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88DB6E-4D26-425B-A353-6AA59D2C39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Application>LibreOffice/26.2.1.2$Windows_X86_64 LibreOffice_project/620$Build-2</Application>
  <AppVersion>15.0000</AppVersion>
  <Pages>26</Pages>
  <Words>5928</Words>
  <Characters>39595</Characters>
  <CharactersWithSpaces>45252</CharactersWithSpaces>
  <Paragraphs>281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2026-08-13T12:35:00Z</dcterms:created>
  <dc:creator/>
  <dc:description/>
  <dc:language>en-IN</dc:language>
  <cp:lastModifiedBy/>
  <dcterms:modified xsi:type="dcterms:W3CDTF">2026-08-14T12:08:28Z</dcterms:modified>
  <cp:revision>1</cp:revision>
  <dc:subject/>
  <dc:title/>
</cp:coreProperties>
</file>

<file path=docProps/custom.xml><?xml version="1.0" encoding="utf-8"?>
<Properties xmlns="http://schemas.openxmlformats.org/officeDocument/2006/custom-properties" xmlns:vt="http://schemas.openxmlformats.org/officeDocument/2006/docPropsVTypes"/>
</file>