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A60CA" w14:textId="77777777" w:rsidR="009F2980" w:rsidRPr="00091C20" w:rsidRDefault="009F2980" w:rsidP="00091C20">
      <w:pPr>
        <w:spacing w:before="240" w:after="240" w:line="360" w:lineRule="auto"/>
        <w:jc w:val="center"/>
        <w:rPr>
          <w:rFonts w:asciiTheme="minorBidi" w:hAnsiTheme="minorBidi" w:cstheme="minorBidi"/>
          <w:b/>
          <w:bCs/>
          <w:sz w:val="32"/>
          <w:szCs w:val="32"/>
          <w:lang w:val="en-GB"/>
        </w:rPr>
      </w:pPr>
    </w:p>
    <w:p w14:paraId="753A60CB" w14:textId="77777777" w:rsidR="009F2980" w:rsidRPr="00091C20" w:rsidRDefault="009F2980" w:rsidP="00091C20">
      <w:pPr>
        <w:spacing w:before="240" w:after="240" w:line="360" w:lineRule="auto"/>
        <w:jc w:val="center"/>
        <w:rPr>
          <w:rFonts w:asciiTheme="minorBidi" w:hAnsiTheme="minorBidi" w:cstheme="minorBidi"/>
          <w:b/>
          <w:bCs/>
          <w:sz w:val="32"/>
          <w:szCs w:val="32"/>
          <w:lang w:val="en-GB"/>
        </w:rPr>
      </w:pPr>
    </w:p>
    <w:p w14:paraId="753A60CC" w14:textId="77777777" w:rsidR="009F2980" w:rsidRPr="00091C20" w:rsidRDefault="00000A17" w:rsidP="00091C20">
      <w:pPr>
        <w:spacing w:before="240" w:after="240" w:line="360" w:lineRule="auto"/>
        <w:jc w:val="center"/>
        <w:rPr>
          <w:rFonts w:asciiTheme="minorBidi" w:hAnsiTheme="minorBidi" w:cstheme="minorBidi"/>
          <w:b/>
          <w:bCs/>
          <w:sz w:val="32"/>
          <w:szCs w:val="32"/>
          <w:lang w:val="en-GB"/>
        </w:rPr>
      </w:pPr>
      <w:r w:rsidRPr="00091C20">
        <w:rPr>
          <w:rFonts w:asciiTheme="minorBidi" w:hAnsiTheme="minorBidi" w:cstheme="minorBidi"/>
          <w:b/>
          <w:bCs/>
          <w:sz w:val="32"/>
          <w:szCs w:val="32"/>
          <w:lang w:val="en-GB"/>
        </w:rPr>
        <w:t>PROGRAMME: MASTER OF BUSINESS ADMINISTRATION</w:t>
      </w:r>
    </w:p>
    <w:p w14:paraId="753A60CD" w14:textId="77777777" w:rsidR="009F2980" w:rsidRPr="00091C20" w:rsidRDefault="00000A17" w:rsidP="00091C20">
      <w:pPr>
        <w:spacing w:before="240" w:after="240" w:line="360" w:lineRule="auto"/>
        <w:jc w:val="center"/>
        <w:rPr>
          <w:rFonts w:asciiTheme="minorBidi" w:hAnsiTheme="minorBidi" w:cstheme="minorBidi"/>
          <w:b/>
          <w:bCs/>
          <w:sz w:val="32"/>
          <w:szCs w:val="32"/>
          <w:lang w:val="en-GB"/>
        </w:rPr>
      </w:pPr>
      <w:r w:rsidRPr="00091C20">
        <w:rPr>
          <w:rFonts w:asciiTheme="minorBidi" w:hAnsiTheme="minorBidi" w:cstheme="minorBidi"/>
          <w:b/>
          <w:bCs/>
          <w:sz w:val="32"/>
          <w:szCs w:val="32"/>
          <w:lang w:val="en-GB"/>
        </w:rPr>
        <w:t>MODULE: FINANCIAL MANAGEMENT</w:t>
      </w:r>
    </w:p>
    <w:p w14:paraId="753A60CE" w14:textId="77777777" w:rsidR="009F2980" w:rsidRPr="00091C20" w:rsidRDefault="00000A17" w:rsidP="00091C20">
      <w:pPr>
        <w:spacing w:before="240" w:after="240" w:line="360" w:lineRule="auto"/>
        <w:jc w:val="center"/>
        <w:rPr>
          <w:rFonts w:asciiTheme="minorBidi" w:hAnsiTheme="minorBidi" w:cstheme="minorBidi"/>
          <w:b/>
          <w:bCs/>
          <w:sz w:val="32"/>
          <w:szCs w:val="32"/>
          <w:lang w:val="en-GB"/>
        </w:rPr>
      </w:pPr>
      <w:r w:rsidRPr="00091C20">
        <w:rPr>
          <w:rFonts w:asciiTheme="minorBidi" w:hAnsiTheme="minorBidi" w:cstheme="minorBidi"/>
          <w:b/>
          <w:bCs/>
          <w:sz w:val="32"/>
          <w:szCs w:val="32"/>
          <w:lang w:val="en-GB"/>
        </w:rPr>
        <w:t>MODULE CODE: LCMB7002</w:t>
      </w:r>
    </w:p>
    <w:p w14:paraId="753A60CF" w14:textId="77777777" w:rsidR="009F2980" w:rsidRPr="00091C20" w:rsidRDefault="00000A17" w:rsidP="00091C20">
      <w:pPr>
        <w:spacing w:before="240" w:after="240" w:line="360" w:lineRule="auto"/>
        <w:jc w:val="center"/>
        <w:rPr>
          <w:rFonts w:asciiTheme="minorBidi" w:hAnsiTheme="minorBidi" w:cstheme="minorBidi"/>
          <w:b/>
          <w:bCs/>
          <w:sz w:val="32"/>
          <w:szCs w:val="32"/>
          <w:lang w:val="en-GB"/>
        </w:rPr>
      </w:pPr>
      <w:r w:rsidRPr="00091C20">
        <w:rPr>
          <w:rFonts w:asciiTheme="minorBidi" w:hAnsiTheme="minorBidi" w:cstheme="minorBidi"/>
          <w:b/>
          <w:bCs/>
          <w:sz w:val="32"/>
          <w:szCs w:val="32"/>
          <w:lang w:val="en-GB"/>
        </w:rPr>
        <w:t>ASSIGNMENT TITLE: FINANCIAL PERFORMANCE AND MANAGEMENT</w:t>
      </w:r>
    </w:p>
    <w:p w14:paraId="753A60D0" w14:textId="77777777" w:rsidR="009F2980" w:rsidRPr="00091C20" w:rsidRDefault="00000A17" w:rsidP="00091C20">
      <w:pPr>
        <w:spacing w:before="240" w:after="240" w:line="360" w:lineRule="auto"/>
        <w:jc w:val="center"/>
        <w:rPr>
          <w:rFonts w:asciiTheme="minorBidi" w:hAnsiTheme="minorBidi" w:cstheme="minorBidi"/>
          <w:b/>
          <w:bCs/>
          <w:sz w:val="32"/>
          <w:szCs w:val="32"/>
          <w:lang w:val="en-GB"/>
        </w:rPr>
      </w:pPr>
      <w:r w:rsidRPr="00091C20">
        <w:rPr>
          <w:rFonts w:asciiTheme="minorBidi" w:hAnsiTheme="minorBidi" w:cstheme="minorBidi"/>
          <w:b/>
          <w:bCs/>
          <w:sz w:val="32"/>
          <w:szCs w:val="32"/>
          <w:lang w:val="en-GB"/>
        </w:rPr>
        <w:t>CHOSEN COMPANY: NEXT PLC</w:t>
      </w:r>
    </w:p>
    <w:p w14:paraId="753A60D1" w14:textId="0B9CD735" w:rsidR="009F2980" w:rsidRPr="000762FB" w:rsidRDefault="000762FB" w:rsidP="00091C20">
      <w:pPr>
        <w:spacing w:before="240" w:after="240" w:line="360" w:lineRule="auto"/>
        <w:jc w:val="center"/>
        <w:rPr>
          <w:rFonts w:asciiTheme="minorBidi" w:hAnsiTheme="minorBidi" w:cstheme="minorBidi"/>
          <w:b/>
          <w:bCs/>
          <w:sz w:val="32"/>
          <w:szCs w:val="32"/>
          <w:lang w:val="en-GB"/>
        </w:rPr>
      </w:pPr>
      <w:r w:rsidRPr="000762FB">
        <w:rPr>
          <w:rFonts w:asciiTheme="minorBidi" w:hAnsiTheme="minorBidi" w:cstheme="minorBidi"/>
          <w:b/>
          <w:bCs/>
          <w:sz w:val="32"/>
          <w:szCs w:val="32"/>
          <w:lang w:val="en-GB"/>
        </w:rPr>
        <w:t xml:space="preserve">    </w:t>
      </w:r>
      <w:r w:rsidR="00000A17" w:rsidRPr="000762FB">
        <w:rPr>
          <w:rFonts w:asciiTheme="minorBidi" w:hAnsiTheme="minorBidi" w:cstheme="minorBidi"/>
          <w:b/>
          <w:bCs/>
          <w:sz w:val="32"/>
          <w:szCs w:val="32"/>
          <w:lang w:val="en-GB"/>
        </w:rPr>
        <w:t>Student Name:</w:t>
      </w:r>
      <w:r w:rsidRPr="000762FB">
        <w:rPr>
          <w:rFonts w:asciiTheme="minorBidi" w:hAnsiTheme="minorBidi" w:cstheme="minorBidi"/>
          <w:b/>
          <w:bCs/>
          <w:sz w:val="32"/>
          <w:szCs w:val="32"/>
          <w:lang w:val="en-GB"/>
        </w:rPr>
        <w:t xml:space="preserve"> Rumen Ivanov Kovachev</w:t>
      </w:r>
      <w:r w:rsidRPr="000762FB">
        <w:rPr>
          <w:rFonts w:asciiTheme="minorBidi" w:hAnsiTheme="minorBidi" w:cstheme="minorBidi"/>
          <w:b/>
          <w:bCs/>
          <w:sz w:val="32"/>
          <w:szCs w:val="32"/>
          <w:lang w:val="en-GB"/>
        </w:rPr>
        <w:tab/>
      </w:r>
    </w:p>
    <w:p w14:paraId="753A60D2" w14:textId="35CFAF93" w:rsidR="009F2980" w:rsidRPr="000762FB" w:rsidRDefault="00000A17" w:rsidP="00091C20">
      <w:pPr>
        <w:spacing w:before="240" w:after="240" w:line="360" w:lineRule="auto"/>
        <w:jc w:val="center"/>
        <w:rPr>
          <w:rFonts w:asciiTheme="minorBidi" w:hAnsiTheme="minorBidi" w:cstheme="minorBidi"/>
          <w:b/>
          <w:bCs/>
          <w:sz w:val="32"/>
          <w:szCs w:val="32"/>
          <w:lang w:val="en-GB"/>
        </w:rPr>
      </w:pPr>
      <w:r w:rsidRPr="000762FB">
        <w:rPr>
          <w:rFonts w:asciiTheme="minorBidi" w:hAnsiTheme="minorBidi" w:cstheme="minorBidi"/>
          <w:b/>
          <w:bCs/>
          <w:sz w:val="32"/>
          <w:szCs w:val="32"/>
          <w:lang w:val="en-GB"/>
        </w:rPr>
        <w:t>Student ID:</w:t>
      </w:r>
      <w:r w:rsidR="000762FB" w:rsidRPr="000762FB">
        <w:rPr>
          <w:rFonts w:asciiTheme="minorBidi" w:hAnsiTheme="minorBidi" w:cstheme="minorBidi"/>
          <w:b/>
          <w:bCs/>
          <w:sz w:val="32"/>
          <w:szCs w:val="32"/>
          <w:lang w:val="en-GB"/>
        </w:rPr>
        <w:t xml:space="preserve"> 2119897</w:t>
      </w:r>
    </w:p>
    <w:p w14:paraId="753A60D3" w14:textId="77777777" w:rsidR="009F2980" w:rsidRPr="000762FB" w:rsidRDefault="00000A17" w:rsidP="00091C20">
      <w:pPr>
        <w:spacing w:before="240" w:after="240" w:line="360" w:lineRule="auto"/>
        <w:jc w:val="center"/>
        <w:rPr>
          <w:rFonts w:asciiTheme="minorBidi" w:hAnsiTheme="minorBidi" w:cstheme="minorBidi"/>
          <w:b/>
          <w:bCs/>
          <w:sz w:val="32"/>
          <w:szCs w:val="32"/>
          <w:lang w:val="en-GB"/>
        </w:rPr>
      </w:pPr>
      <w:r w:rsidRPr="000762FB">
        <w:rPr>
          <w:rFonts w:asciiTheme="minorBidi" w:hAnsiTheme="minorBidi" w:cstheme="minorBidi"/>
          <w:b/>
          <w:bCs/>
          <w:sz w:val="32"/>
          <w:szCs w:val="32"/>
          <w:lang w:val="en-GB"/>
        </w:rPr>
        <w:t>Words: 5000</w:t>
      </w:r>
    </w:p>
    <w:p w14:paraId="753A60D4" w14:textId="77777777" w:rsidR="009F2980" w:rsidRPr="00091C20" w:rsidRDefault="00000A17" w:rsidP="00091C20">
      <w:pPr>
        <w:spacing w:before="200" w:after="200" w:line="360" w:lineRule="auto"/>
        <w:jc w:val="center"/>
        <w:rPr>
          <w:rFonts w:asciiTheme="minorBidi" w:hAnsiTheme="minorBidi" w:cstheme="minorBidi"/>
          <w:b/>
          <w:bCs/>
          <w:sz w:val="24"/>
          <w:szCs w:val="24"/>
          <w:lang w:val="en-GB"/>
        </w:rPr>
      </w:pPr>
      <w:r w:rsidRPr="00091C20">
        <w:rPr>
          <w:rFonts w:asciiTheme="minorBidi" w:hAnsiTheme="minorBidi" w:cstheme="minorBidi"/>
          <w:lang w:val="en-GB"/>
        </w:rPr>
        <w:br w:type="page"/>
      </w:r>
    </w:p>
    <w:p w14:paraId="753A60D5" w14:textId="77777777" w:rsidR="009F2980" w:rsidRPr="00091C20" w:rsidRDefault="00000A17" w:rsidP="00091C20">
      <w:pPr>
        <w:spacing w:before="200" w:after="200"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lastRenderedPageBreak/>
        <w:t>Table of Contents</w:t>
      </w:r>
    </w:p>
    <w:sdt>
      <w:sdtPr>
        <w:rPr>
          <w:rFonts w:asciiTheme="minorBidi" w:hAnsiTheme="minorBidi" w:cstheme="minorBidi"/>
          <w:lang w:val="en-GB"/>
        </w:rPr>
        <w:id w:val="-1751785323"/>
        <w:docPartObj>
          <w:docPartGallery w:val="Table of Contents"/>
          <w:docPartUnique/>
        </w:docPartObj>
      </w:sdtPr>
      <w:sdtContent>
        <w:p w14:paraId="753A60D6" w14:textId="77777777" w:rsidR="009F2980" w:rsidRPr="00091C20" w:rsidRDefault="00000A17" w:rsidP="00091C20">
          <w:pPr>
            <w:widowControl w:val="0"/>
            <w:tabs>
              <w:tab w:val="right" w:pos="9360"/>
            </w:tabs>
            <w:spacing w:before="60" w:after="200" w:line="360" w:lineRule="auto"/>
            <w:jc w:val="both"/>
            <w:rPr>
              <w:rFonts w:asciiTheme="minorBidi" w:hAnsiTheme="minorBidi" w:cstheme="minorBidi"/>
              <w:sz w:val="24"/>
              <w:szCs w:val="24"/>
              <w:lang w:val="en-GB"/>
            </w:rPr>
          </w:pPr>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TOC \h \u \z \t "Heading 1,1,Heading 2,2,Heading 3,3,Heading 4,4,Heading 5,5,Heading 6,6,"</w:instrText>
          </w:r>
          <w:r w:rsidRPr="00091C20">
            <w:rPr>
              <w:rFonts w:asciiTheme="minorBidi" w:hAnsiTheme="minorBidi" w:cstheme="minorBidi"/>
              <w:lang w:val="en-GB"/>
            </w:rPr>
            <w:fldChar w:fldCharType="separate"/>
          </w:r>
          <w:hyperlink w:anchor="_ad1165t1ejp">
            <w:r w:rsidRPr="00091C20">
              <w:rPr>
                <w:rFonts w:asciiTheme="minorBidi" w:hAnsiTheme="minorBidi" w:cstheme="minorBidi"/>
                <w:sz w:val="24"/>
                <w:szCs w:val="24"/>
                <w:lang w:val="en-GB"/>
              </w:rPr>
              <w:t>Task 1: Informal Business Report</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_ad1165t1ejp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3</w:t>
          </w:r>
          <w:r w:rsidRPr="00091C20">
            <w:rPr>
              <w:rFonts w:asciiTheme="minorBidi" w:hAnsiTheme="minorBidi" w:cstheme="minorBidi"/>
              <w:lang w:val="en-GB"/>
            </w:rPr>
            <w:fldChar w:fldCharType="end"/>
          </w:r>
        </w:p>
        <w:p w14:paraId="753A60D7"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8andzaqrvyku">
            <w:r w:rsidRPr="00091C20">
              <w:rPr>
                <w:rFonts w:asciiTheme="minorBidi" w:hAnsiTheme="minorBidi" w:cstheme="minorBidi"/>
                <w:sz w:val="24"/>
                <w:szCs w:val="24"/>
                <w:lang w:val="en-GB"/>
              </w:rPr>
              <w:t>1. Company Overview</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_8andzaqrvyku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3</w:t>
          </w:r>
          <w:r w:rsidRPr="00091C20">
            <w:rPr>
              <w:rFonts w:asciiTheme="minorBidi" w:hAnsiTheme="minorBidi" w:cstheme="minorBidi"/>
              <w:lang w:val="en-GB"/>
            </w:rPr>
            <w:fldChar w:fldCharType="end"/>
          </w:r>
        </w:p>
        <w:p w14:paraId="753A60D8"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bxzc8a7owlj1">
            <w:r w:rsidRPr="00091C20">
              <w:rPr>
                <w:rFonts w:asciiTheme="minorBidi" w:hAnsiTheme="minorBidi" w:cstheme="minorBidi"/>
                <w:sz w:val="24"/>
                <w:szCs w:val="24"/>
                <w:lang w:val="en-GB"/>
              </w:rPr>
              <w:t>2. Trend Analysis</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_bxzc8a7owlj1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3</w:t>
          </w:r>
          <w:r w:rsidRPr="00091C20">
            <w:rPr>
              <w:rFonts w:asciiTheme="minorBidi" w:hAnsiTheme="minorBidi" w:cstheme="minorBidi"/>
              <w:lang w:val="en-GB"/>
            </w:rPr>
            <w:fldChar w:fldCharType="end"/>
          </w:r>
        </w:p>
        <w:p w14:paraId="753A60D9"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osjhdph30s2k">
            <w:r w:rsidRPr="00091C20">
              <w:rPr>
                <w:rFonts w:asciiTheme="minorBidi" w:hAnsiTheme="minorBidi" w:cstheme="minorBidi"/>
                <w:sz w:val="24"/>
                <w:szCs w:val="24"/>
                <w:lang w:val="en-GB"/>
              </w:rPr>
              <w:t>3. Financial Ratio Analysis</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_osjhdph30s2k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4</w:t>
          </w:r>
          <w:r w:rsidRPr="00091C20">
            <w:rPr>
              <w:rFonts w:asciiTheme="minorBidi" w:hAnsiTheme="minorBidi" w:cstheme="minorBidi"/>
              <w:lang w:val="en-GB"/>
            </w:rPr>
            <w:fldChar w:fldCharType="end"/>
          </w:r>
        </w:p>
        <w:p w14:paraId="753A60DA"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lr3r2fl57wg3">
            <w:r w:rsidRPr="00091C20">
              <w:rPr>
                <w:rFonts w:asciiTheme="minorBidi" w:hAnsiTheme="minorBidi" w:cstheme="minorBidi"/>
                <w:sz w:val="24"/>
                <w:szCs w:val="24"/>
                <w:lang w:val="en-GB"/>
              </w:rPr>
              <w:t>4. Working Capital Management</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_lr3r2fl57wg3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13</w:t>
          </w:r>
          <w:r w:rsidRPr="00091C20">
            <w:rPr>
              <w:rFonts w:asciiTheme="minorBidi" w:hAnsiTheme="minorBidi" w:cstheme="minorBidi"/>
              <w:lang w:val="en-GB"/>
            </w:rPr>
            <w:fldChar w:fldCharType="end"/>
          </w:r>
        </w:p>
        <w:p w14:paraId="753A60DB"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gr0wdequ6uas">
            <w:r w:rsidRPr="00091C20">
              <w:rPr>
                <w:rFonts w:asciiTheme="minorBidi" w:hAnsiTheme="minorBidi" w:cstheme="minorBidi"/>
                <w:sz w:val="24"/>
                <w:szCs w:val="24"/>
                <w:lang w:val="en-GB"/>
              </w:rPr>
              <w:t>5. Overall Financial Performance Summary</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_gr0wdequ6uas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16</w:t>
          </w:r>
          <w:r w:rsidRPr="00091C20">
            <w:rPr>
              <w:rFonts w:asciiTheme="minorBidi" w:hAnsiTheme="minorBidi" w:cstheme="minorBidi"/>
              <w:lang w:val="en-GB"/>
            </w:rPr>
            <w:fldChar w:fldCharType="end"/>
          </w:r>
        </w:p>
        <w:p w14:paraId="753A60DC" w14:textId="77777777" w:rsidR="009F2980" w:rsidRPr="00091C20" w:rsidRDefault="00000A17" w:rsidP="00091C20">
          <w:pPr>
            <w:widowControl w:val="0"/>
            <w:tabs>
              <w:tab w:val="right" w:pos="9360"/>
            </w:tabs>
            <w:spacing w:before="60" w:after="200" w:line="360" w:lineRule="auto"/>
            <w:jc w:val="both"/>
            <w:rPr>
              <w:rFonts w:asciiTheme="minorBidi" w:hAnsiTheme="minorBidi" w:cstheme="minorBidi"/>
              <w:sz w:val="24"/>
              <w:szCs w:val="24"/>
              <w:lang w:val="en-GB"/>
            </w:rPr>
          </w:pPr>
          <w:hyperlink w:anchor="_7l17hx7qt03k">
            <w:r w:rsidRPr="00091C20">
              <w:rPr>
                <w:rFonts w:asciiTheme="minorBidi" w:hAnsiTheme="minorBidi" w:cstheme="minorBidi"/>
                <w:sz w:val="24"/>
                <w:szCs w:val="24"/>
                <w:lang w:val="en-GB"/>
              </w:rPr>
              <w:t>Task 2: Academic Essay on Investment Appraisal Methods</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_7l17hx7qt03k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17</w:t>
          </w:r>
          <w:r w:rsidRPr="00091C20">
            <w:rPr>
              <w:rFonts w:asciiTheme="minorBidi" w:hAnsiTheme="minorBidi" w:cstheme="minorBidi"/>
              <w:lang w:val="en-GB"/>
            </w:rPr>
            <w:fldChar w:fldCharType="end"/>
          </w:r>
        </w:p>
        <w:p w14:paraId="753A60DD"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yam1iclmnss6">
            <w:r w:rsidRPr="00091C20">
              <w:rPr>
                <w:rFonts w:asciiTheme="minorBidi" w:hAnsiTheme="minorBidi" w:cstheme="minorBidi"/>
                <w:sz w:val="24"/>
                <w:szCs w:val="24"/>
                <w:lang w:val="en-GB"/>
              </w:rPr>
              <w:t>1. Introduction</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_yam1iclmnss6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17</w:t>
          </w:r>
          <w:r w:rsidRPr="00091C20">
            <w:rPr>
              <w:rFonts w:asciiTheme="minorBidi" w:hAnsiTheme="minorBidi" w:cstheme="minorBidi"/>
              <w:lang w:val="en-GB"/>
            </w:rPr>
            <w:fldChar w:fldCharType="end"/>
          </w:r>
        </w:p>
        <w:p w14:paraId="753A60DE"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ly4e3cerbgj4">
            <w:r w:rsidRPr="00091C20">
              <w:rPr>
                <w:rFonts w:asciiTheme="minorBidi" w:hAnsiTheme="minorBidi" w:cstheme="minorBidi"/>
                <w:sz w:val="24"/>
                <w:szCs w:val="24"/>
                <w:lang w:val="en-GB"/>
              </w:rPr>
              <w:t>2. Main Body</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_ly4e3cerbgj4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17</w:t>
          </w:r>
          <w:r w:rsidRPr="00091C20">
            <w:rPr>
              <w:rFonts w:asciiTheme="minorBidi" w:hAnsiTheme="minorBidi" w:cstheme="minorBidi"/>
              <w:lang w:val="en-GB"/>
            </w:rPr>
            <w:fldChar w:fldCharType="end"/>
          </w:r>
        </w:p>
        <w:p w14:paraId="753A60DF"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10g8lt9g4s4j">
            <w:r w:rsidRPr="00091C20">
              <w:rPr>
                <w:rFonts w:asciiTheme="minorBidi" w:hAnsiTheme="minorBidi" w:cstheme="minorBidi"/>
                <w:sz w:val="24"/>
                <w:szCs w:val="24"/>
                <w:lang w:val="en-GB"/>
              </w:rPr>
              <w:t>3. Conclusions</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_10g8lt9g4s4j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21</w:t>
          </w:r>
          <w:r w:rsidRPr="00091C20">
            <w:rPr>
              <w:rFonts w:asciiTheme="minorBidi" w:hAnsiTheme="minorBidi" w:cstheme="minorBidi"/>
              <w:lang w:val="en-GB"/>
            </w:rPr>
            <w:fldChar w:fldCharType="end"/>
          </w:r>
        </w:p>
        <w:p w14:paraId="753A60E0" w14:textId="77777777" w:rsidR="009F2980" w:rsidRPr="00091C20" w:rsidRDefault="00000A17" w:rsidP="00091C20">
          <w:pPr>
            <w:widowControl w:val="0"/>
            <w:tabs>
              <w:tab w:val="right" w:pos="9360"/>
            </w:tabs>
            <w:spacing w:before="60" w:after="200" w:line="360" w:lineRule="auto"/>
            <w:ind w:left="360"/>
            <w:jc w:val="both"/>
            <w:rPr>
              <w:rFonts w:asciiTheme="minorBidi" w:hAnsiTheme="minorBidi" w:cstheme="minorBidi"/>
              <w:sz w:val="24"/>
              <w:szCs w:val="24"/>
              <w:lang w:val="en-GB"/>
            </w:rPr>
          </w:pPr>
          <w:hyperlink w:anchor="_fidhxybnffua">
            <w:r w:rsidRPr="00091C20">
              <w:rPr>
                <w:rFonts w:asciiTheme="minorBidi" w:hAnsiTheme="minorBidi" w:cstheme="minorBidi"/>
                <w:sz w:val="24"/>
                <w:szCs w:val="24"/>
                <w:lang w:val="en-GB"/>
              </w:rPr>
              <w:t>References</w:t>
            </w:r>
            <w:r w:rsidRPr="00091C20">
              <w:rPr>
                <w:rFonts w:asciiTheme="minorBidi" w:hAnsiTheme="minorBidi" w:cstheme="minorBidi"/>
                <w:sz w:val="24"/>
                <w:szCs w:val="24"/>
                <w:lang w:val="en-GB"/>
              </w:rPr>
              <w:tab/>
            </w:r>
          </w:hyperlink>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PAGEREF _fidhxybnffua \h </w:instrText>
          </w:r>
          <w:r w:rsidRPr="00091C20">
            <w:rPr>
              <w:rFonts w:asciiTheme="minorBidi" w:hAnsiTheme="minorBidi" w:cstheme="minorBidi"/>
              <w:lang w:val="en-GB"/>
            </w:rPr>
          </w:r>
          <w:r w:rsidRPr="00091C20">
            <w:rPr>
              <w:rFonts w:asciiTheme="minorBidi" w:hAnsiTheme="minorBidi" w:cstheme="minorBidi"/>
              <w:lang w:val="en-GB"/>
            </w:rPr>
            <w:fldChar w:fldCharType="separate"/>
          </w:r>
          <w:r w:rsidRPr="00091C20">
            <w:rPr>
              <w:rFonts w:asciiTheme="minorBidi" w:hAnsiTheme="minorBidi" w:cstheme="minorBidi"/>
              <w:sz w:val="24"/>
              <w:szCs w:val="24"/>
              <w:lang w:val="en-GB"/>
            </w:rPr>
            <w:t>22</w:t>
          </w:r>
          <w:r w:rsidRPr="00091C20">
            <w:rPr>
              <w:rFonts w:asciiTheme="minorBidi" w:hAnsiTheme="minorBidi" w:cstheme="minorBidi"/>
              <w:lang w:val="en-GB"/>
            </w:rPr>
            <w:fldChar w:fldCharType="end"/>
          </w:r>
          <w:r w:rsidRPr="00091C20">
            <w:rPr>
              <w:rFonts w:asciiTheme="minorBidi" w:hAnsiTheme="minorBidi" w:cstheme="minorBidi"/>
              <w:lang w:val="en-GB"/>
            </w:rPr>
            <w:fldChar w:fldCharType="end"/>
          </w:r>
        </w:p>
      </w:sdtContent>
    </w:sdt>
    <w:p w14:paraId="753A60E1" w14:textId="77777777" w:rsidR="009F2980" w:rsidRPr="00091C20" w:rsidRDefault="00000A17" w:rsidP="00091C20">
      <w:pPr>
        <w:spacing w:before="200" w:after="200" w:line="360" w:lineRule="auto"/>
        <w:jc w:val="center"/>
        <w:rPr>
          <w:rFonts w:asciiTheme="minorBidi" w:hAnsiTheme="minorBidi" w:cstheme="minorBidi"/>
          <w:b/>
          <w:bCs/>
          <w:sz w:val="24"/>
          <w:szCs w:val="24"/>
          <w:lang w:val="en-GB"/>
        </w:rPr>
      </w:pPr>
      <w:r w:rsidRPr="00091C20">
        <w:rPr>
          <w:rFonts w:asciiTheme="minorBidi" w:hAnsiTheme="minorBidi" w:cstheme="minorBidi"/>
          <w:lang w:val="en-GB"/>
        </w:rPr>
        <w:br w:type="page"/>
      </w:r>
    </w:p>
    <w:p w14:paraId="4EC153EE" w14:textId="213EA89F" w:rsidR="00CF78C0" w:rsidRPr="00091C20" w:rsidRDefault="00CF78C0" w:rsidP="00091C20">
      <w:pPr>
        <w:spacing w:before="240" w:after="240" w:line="360" w:lineRule="auto"/>
        <w:jc w:val="center"/>
        <w:rPr>
          <w:rFonts w:asciiTheme="minorBidi" w:hAnsiTheme="minorBidi" w:cstheme="minorBidi"/>
          <w:b/>
          <w:bCs/>
          <w:sz w:val="24"/>
          <w:szCs w:val="24"/>
          <w:lang w:val="en-GB"/>
        </w:rPr>
      </w:pPr>
      <w:bookmarkStart w:id="0" w:name="_ad1165t1ejp" w:colFirst="0" w:colLast="0"/>
      <w:bookmarkEnd w:id="0"/>
      <w:r w:rsidRPr="00091C20">
        <w:rPr>
          <w:rFonts w:asciiTheme="minorBidi" w:hAnsiTheme="minorBidi" w:cstheme="minorBidi"/>
          <w:b/>
          <w:bCs/>
          <w:sz w:val="24"/>
          <w:szCs w:val="24"/>
          <w:lang w:val="en-GB"/>
        </w:rPr>
        <w:lastRenderedPageBreak/>
        <w:t xml:space="preserve">List of </w:t>
      </w:r>
      <w:r w:rsidR="00091C20" w:rsidRPr="00091C20">
        <w:rPr>
          <w:rFonts w:asciiTheme="minorBidi" w:hAnsiTheme="minorBidi" w:cstheme="minorBidi"/>
          <w:b/>
          <w:bCs/>
          <w:sz w:val="24"/>
          <w:szCs w:val="24"/>
          <w:lang w:val="en-GB"/>
        </w:rPr>
        <w:t>Figures</w:t>
      </w:r>
    </w:p>
    <w:p w14:paraId="41B72FA5" w14:textId="1B3F08F6" w:rsidR="00091C20" w:rsidRPr="00091C20" w:rsidRDefault="00091C20" w:rsidP="00091C20">
      <w:pPr>
        <w:pStyle w:val="TableofFigures"/>
        <w:tabs>
          <w:tab w:val="right" w:leader="dot" w:pos="9350"/>
        </w:tabs>
        <w:spacing w:before="240" w:after="240" w:line="360" w:lineRule="auto"/>
        <w:jc w:val="both"/>
        <w:rPr>
          <w:rFonts w:asciiTheme="minorBidi" w:hAnsiTheme="minorBidi" w:cstheme="minorBidi"/>
          <w:noProof/>
          <w:sz w:val="24"/>
          <w:szCs w:val="24"/>
        </w:rPr>
      </w:pPr>
      <w:r w:rsidRPr="00091C20">
        <w:rPr>
          <w:rFonts w:asciiTheme="minorBidi" w:hAnsiTheme="minorBidi" w:cstheme="minorBidi"/>
          <w:b/>
          <w:bCs/>
          <w:sz w:val="24"/>
          <w:szCs w:val="24"/>
          <w:lang w:val="en-GB"/>
        </w:rPr>
        <w:fldChar w:fldCharType="begin"/>
      </w:r>
      <w:r w:rsidRPr="00091C20">
        <w:rPr>
          <w:rFonts w:asciiTheme="minorBidi" w:hAnsiTheme="minorBidi" w:cstheme="minorBidi"/>
          <w:b/>
          <w:bCs/>
          <w:sz w:val="24"/>
          <w:szCs w:val="24"/>
          <w:lang w:val="en-GB"/>
        </w:rPr>
        <w:instrText xml:space="preserve"> TOC \h \z \t "Heading 5" \c </w:instrText>
      </w:r>
      <w:r w:rsidRPr="00091C20">
        <w:rPr>
          <w:rFonts w:asciiTheme="minorBidi" w:hAnsiTheme="minorBidi" w:cstheme="minorBidi"/>
          <w:b/>
          <w:bCs/>
          <w:sz w:val="24"/>
          <w:szCs w:val="24"/>
          <w:lang w:val="en-GB"/>
        </w:rPr>
        <w:fldChar w:fldCharType="separate"/>
      </w:r>
      <w:hyperlink w:anchor="_Toc215854918" w:history="1">
        <w:r w:rsidRPr="00091C20">
          <w:rPr>
            <w:rStyle w:val="Hyperlink"/>
            <w:rFonts w:asciiTheme="minorBidi" w:hAnsiTheme="minorBidi" w:cstheme="minorBidi"/>
            <w:noProof/>
            <w:color w:val="auto"/>
            <w:sz w:val="24"/>
            <w:szCs w:val="24"/>
          </w:rPr>
          <w:t>Figure 1: 5-year trends</w:t>
        </w:r>
        <w:r w:rsidRPr="00091C20">
          <w:rPr>
            <w:rFonts w:asciiTheme="minorBidi" w:hAnsiTheme="minorBidi" w:cstheme="minorBidi"/>
            <w:noProof/>
            <w:webHidden/>
            <w:sz w:val="24"/>
            <w:szCs w:val="24"/>
          </w:rPr>
          <w:tab/>
        </w:r>
        <w:r w:rsidRPr="00091C20">
          <w:rPr>
            <w:rFonts w:asciiTheme="minorBidi" w:hAnsiTheme="minorBidi" w:cstheme="minorBidi"/>
            <w:noProof/>
            <w:webHidden/>
            <w:sz w:val="24"/>
            <w:szCs w:val="24"/>
          </w:rPr>
          <w:fldChar w:fldCharType="begin"/>
        </w:r>
        <w:r w:rsidRPr="00091C20">
          <w:rPr>
            <w:rFonts w:asciiTheme="minorBidi" w:hAnsiTheme="minorBidi" w:cstheme="minorBidi"/>
            <w:noProof/>
            <w:webHidden/>
            <w:sz w:val="24"/>
            <w:szCs w:val="24"/>
          </w:rPr>
          <w:instrText xml:space="preserve"> PAGEREF _Toc215854918 \h </w:instrText>
        </w:r>
        <w:r w:rsidRPr="00091C20">
          <w:rPr>
            <w:rFonts w:asciiTheme="minorBidi" w:hAnsiTheme="minorBidi" w:cstheme="minorBidi"/>
            <w:noProof/>
            <w:webHidden/>
            <w:sz w:val="24"/>
            <w:szCs w:val="24"/>
          </w:rPr>
        </w:r>
        <w:r w:rsidRPr="00091C20">
          <w:rPr>
            <w:rFonts w:asciiTheme="minorBidi" w:hAnsiTheme="minorBidi" w:cstheme="minorBidi"/>
            <w:noProof/>
            <w:webHidden/>
            <w:sz w:val="24"/>
            <w:szCs w:val="24"/>
          </w:rPr>
          <w:fldChar w:fldCharType="separate"/>
        </w:r>
        <w:r w:rsidRPr="00091C20">
          <w:rPr>
            <w:rFonts w:asciiTheme="minorBidi" w:hAnsiTheme="minorBidi" w:cstheme="minorBidi"/>
            <w:noProof/>
            <w:webHidden/>
            <w:sz w:val="24"/>
            <w:szCs w:val="24"/>
          </w:rPr>
          <w:t>5</w:t>
        </w:r>
        <w:r w:rsidRPr="00091C20">
          <w:rPr>
            <w:rFonts w:asciiTheme="minorBidi" w:hAnsiTheme="minorBidi" w:cstheme="minorBidi"/>
            <w:noProof/>
            <w:webHidden/>
            <w:sz w:val="24"/>
            <w:szCs w:val="24"/>
          </w:rPr>
          <w:fldChar w:fldCharType="end"/>
        </w:r>
      </w:hyperlink>
    </w:p>
    <w:p w14:paraId="2BABA74E" w14:textId="3E52785D" w:rsidR="00091C20" w:rsidRPr="00091C20" w:rsidRDefault="00091C20" w:rsidP="00091C20">
      <w:pPr>
        <w:pStyle w:val="TableofFigures"/>
        <w:tabs>
          <w:tab w:val="right" w:leader="dot" w:pos="9350"/>
        </w:tabs>
        <w:spacing w:before="240" w:after="240" w:line="360" w:lineRule="auto"/>
        <w:jc w:val="both"/>
        <w:rPr>
          <w:rFonts w:asciiTheme="minorBidi" w:hAnsiTheme="minorBidi" w:cstheme="minorBidi"/>
          <w:noProof/>
          <w:sz w:val="24"/>
          <w:szCs w:val="24"/>
        </w:rPr>
      </w:pPr>
      <w:hyperlink w:anchor="_Toc215854919" w:history="1">
        <w:r w:rsidRPr="00091C20">
          <w:rPr>
            <w:rStyle w:val="Hyperlink"/>
            <w:rFonts w:asciiTheme="minorBidi" w:hAnsiTheme="minorBidi" w:cstheme="minorBidi"/>
            <w:noProof/>
            <w:color w:val="auto"/>
            <w:sz w:val="24"/>
            <w:szCs w:val="24"/>
          </w:rPr>
          <w:t>Figure 2: Profitability Ratios</w:t>
        </w:r>
        <w:r w:rsidRPr="00091C20">
          <w:rPr>
            <w:rFonts w:asciiTheme="minorBidi" w:hAnsiTheme="minorBidi" w:cstheme="minorBidi"/>
            <w:noProof/>
            <w:webHidden/>
            <w:sz w:val="24"/>
            <w:szCs w:val="24"/>
          </w:rPr>
          <w:tab/>
        </w:r>
        <w:r w:rsidRPr="00091C20">
          <w:rPr>
            <w:rFonts w:asciiTheme="minorBidi" w:hAnsiTheme="minorBidi" w:cstheme="minorBidi"/>
            <w:noProof/>
            <w:webHidden/>
            <w:sz w:val="24"/>
            <w:szCs w:val="24"/>
          </w:rPr>
          <w:fldChar w:fldCharType="begin"/>
        </w:r>
        <w:r w:rsidRPr="00091C20">
          <w:rPr>
            <w:rFonts w:asciiTheme="minorBidi" w:hAnsiTheme="minorBidi" w:cstheme="minorBidi"/>
            <w:noProof/>
            <w:webHidden/>
            <w:sz w:val="24"/>
            <w:szCs w:val="24"/>
          </w:rPr>
          <w:instrText xml:space="preserve"> PAGEREF _Toc215854919 \h </w:instrText>
        </w:r>
        <w:r w:rsidRPr="00091C20">
          <w:rPr>
            <w:rFonts w:asciiTheme="minorBidi" w:hAnsiTheme="minorBidi" w:cstheme="minorBidi"/>
            <w:noProof/>
            <w:webHidden/>
            <w:sz w:val="24"/>
            <w:szCs w:val="24"/>
          </w:rPr>
        </w:r>
        <w:r w:rsidRPr="00091C20">
          <w:rPr>
            <w:rFonts w:asciiTheme="minorBidi" w:hAnsiTheme="minorBidi" w:cstheme="minorBidi"/>
            <w:noProof/>
            <w:webHidden/>
            <w:sz w:val="24"/>
            <w:szCs w:val="24"/>
          </w:rPr>
          <w:fldChar w:fldCharType="separate"/>
        </w:r>
        <w:r w:rsidRPr="00091C20">
          <w:rPr>
            <w:rFonts w:asciiTheme="minorBidi" w:hAnsiTheme="minorBidi" w:cstheme="minorBidi"/>
            <w:noProof/>
            <w:webHidden/>
            <w:sz w:val="24"/>
            <w:szCs w:val="24"/>
          </w:rPr>
          <w:t>8</w:t>
        </w:r>
        <w:r w:rsidRPr="00091C20">
          <w:rPr>
            <w:rFonts w:asciiTheme="minorBidi" w:hAnsiTheme="minorBidi" w:cstheme="minorBidi"/>
            <w:noProof/>
            <w:webHidden/>
            <w:sz w:val="24"/>
            <w:szCs w:val="24"/>
          </w:rPr>
          <w:fldChar w:fldCharType="end"/>
        </w:r>
      </w:hyperlink>
    </w:p>
    <w:p w14:paraId="733E376C" w14:textId="4661908E" w:rsidR="00091C20" w:rsidRPr="00091C20" w:rsidRDefault="00091C20" w:rsidP="00091C20">
      <w:pPr>
        <w:pStyle w:val="TableofFigures"/>
        <w:tabs>
          <w:tab w:val="right" w:leader="dot" w:pos="9350"/>
        </w:tabs>
        <w:spacing w:before="240" w:after="240" w:line="360" w:lineRule="auto"/>
        <w:jc w:val="both"/>
        <w:rPr>
          <w:rFonts w:asciiTheme="minorBidi" w:hAnsiTheme="minorBidi" w:cstheme="minorBidi"/>
          <w:noProof/>
          <w:sz w:val="24"/>
          <w:szCs w:val="24"/>
        </w:rPr>
      </w:pPr>
      <w:hyperlink w:anchor="_Toc215854920" w:history="1">
        <w:r w:rsidRPr="00091C20">
          <w:rPr>
            <w:rStyle w:val="Hyperlink"/>
            <w:rFonts w:asciiTheme="minorBidi" w:hAnsiTheme="minorBidi" w:cstheme="minorBidi"/>
            <w:noProof/>
            <w:color w:val="auto"/>
            <w:sz w:val="24"/>
            <w:szCs w:val="24"/>
          </w:rPr>
          <w:t>Figure 3: Liquidity Ratios</w:t>
        </w:r>
        <w:r w:rsidRPr="00091C20">
          <w:rPr>
            <w:rFonts w:asciiTheme="minorBidi" w:hAnsiTheme="minorBidi" w:cstheme="minorBidi"/>
            <w:noProof/>
            <w:webHidden/>
            <w:sz w:val="24"/>
            <w:szCs w:val="24"/>
          </w:rPr>
          <w:tab/>
        </w:r>
        <w:r w:rsidRPr="00091C20">
          <w:rPr>
            <w:rFonts w:asciiTheme="minorBidi" w:hAnsiTheme="minorBidi" w:cstheme="minorBidi"/>
            <w:noProof/>
            <w:webHidden/>
            <w:sz w:val="24"/>
            <w:szCs w:val="24"/>
          </w:rPr>
          <w:fldChar w:fldCharType="begin"/>
        </w:r>
        <w:r w:rsidRPr="00091C20">
          <w:rPr>
            <w:rFonts w:asciiTheme="minorBidi" w:hAnsiTheme="minorBidi" w:cstheme="minorBidi"/>
            <w:noProof/>
            <w:webHidden/>
            <w:sz w:val="24"/>
            <w:szCs w:val="24"/>
          </w:rPr>
          <w:instrText xml:space="preserve"> PAGEREF _Toc215854920 \h </w:instrText>
        </w:r>
        <w:r w:rsidRPr="00091C20">
          <w:rPr>
            <w:rFonts w:asciiTheme="minorBidi" w:hAnsiTheme="minorBidi" w:cstheme="minorBidi"/>
            <w:noProof/>
            <w:webHidden/>
            <w:sz w:val="24"/>
            <w:szCs w:val="24"/>
          </w:rPr>
        </w:r>
        <w:r w:rsidRPr="00091C20">
          <w:rPr>
            <w:rFonts w:asciiTheme="minorBidi" w:hAnsiTheme="minorBidi" w:cstheme="minorBidi"/>
            <w:noProof/>
            <w:webHidden/>
            <w:sz w:val="24"/>
            <w:szCs w:val="24"/>
          </w:rPr>
          <w:fldChar w:fldCharType="separate"/>
        </w:r>
        <w:r w:rsidRPr="00091C20">
          <w:rPr>
            <w:rFonts w:asciiTheme="minorBidi" w:hAnsiTheme="minorBidi" w:cstheme="minorBidi"/>
            <w:noProof/>
            <w:webHidden/>
            <w:sz w:val="24"/>
            <w:szCs w:val="24"/>
          </w:rPr>
          <w:t>9</w:t>
        </w:r>
        <w:r w:rsidRPr="00091C20">
          <w:rPr>
            <w:rFonts w:asciiTheme="minorBidi" w:hAnsiTheme="minorBidi" w:cstheme="minorBidi"/>
            <w:noProof/>
            <w:webHidden/>
            <w:sz w:val="24"/>
            <w:szCs w:val="24"/>
          </w:rPr>
          <w:fldChar w:fldCharType="end"/>
        </w:r>
      </w:hyperlink>
    </w:p>
    <w:p w14:paraId="34E10D24" w14:textId="43D7174D" w:rsidR="00091C20" w:rsidRPr="00091C20" w:rsidRDefault="00091C20" w:rsidP="00091C20">
      <w:pPr>
        <w:pStyle w:val="TableofFigures"/>
        <w:tabs>
          <w:tab w:val="right" w:leader="dot" w:pos="9350"/>
        </w:tabs>
        <w:spacing w:before="240" w:after="240" w:line="360" w:lineRule="auto"/>
        <w:jc w:val="both"/>
        <w:rPr>
          <w:rFonts w:asciiTheme="minorBidi" w:hAnsiTheme="minorBidi" w:cstheme="minorBidi"/>
          <w:noProof/>
          <w:sz w:val="24"/>
          <w:szCs w:val="24"/>
        </w:rPr>
      </w:pPr>
      <w:hyperlink w:anchor="_Toc215854921" w:history="1">
        <w:r w:rsidRPr="00091C20">
          <w:rPr>
            <w:rStyle w:val="Hyperlink"/>
            <w:rFonts w:asciiTheme="minorBidi" w:hAnsiTheme="minorBidi" w:cstheme="minorBidi"/>
            <w:noProof/>
            <w:color w:val="auto"/>
            <w:sz w:val="24"/>
            <w:szCs w:val="24"/>
          </w:rPr>
          <w:t>Figure 4: Gearing Ratios</w:t>
        </w:r>
        <w:r w:rsidRPr="00091C20">
          <w:rPr>
            <w:rFonts w:asciiTheme="minorBidi" w:hAnsiTheme="minorBidi" w:cstheme="minorBidi"/>
            <w:noProof/>
            <w:webHidden/>
            <w:sz w:val="24"/>
            <w:szCs w:val="24"/>
          </w:rPr>
          <w:tab/>
        </w:r>
        <w:r w:rsidRPr="00091C20">
          <w:rPr>
            <w:rFonts w:asciiTheme="minorBidi" w:hAnsiTheme="minorBidi" w:cstheme="minorBidi"/>
            <w:noProof/>
            <w:webHidden/>
            <w:sz w:val="24"/>
            <w:szCs w:val="24"/>
          </w:rPr>
          <w:fldChar w:fldCharType="begin"/>
        </w:r>
        <w:r w:rsidRPr="00091C20">
          <w:rPr>
            <w:rFonts w:asciiTheme="minorBidi" w:hAnsiTheme="minorBidi" w:cstheme="minorBidi"/>
            <w:noProof/>
            <w:webHidden/>
            <w:sz w:val="24"/>
            <w:szCs w:val="24"/>
          </w:rPr>
          <w:instrText xml:space="preserve"> PAGEREF _Toc215854921 \h </w:instrText>
        </w:r>
        <w:r w:rsidRPr="00091C20">
          <w:rPr>
            <w:rFonts w:asciiTheme="minorBidi" w:hAnsiTheme="minorBidi" w:cstheme="minorBidi"/>
            <w:noProof/>
            <w:webHidden/>
            <w:sz w:val="24"/>
            <w:szCs w:val="24"/>
          </w:rPr>
        </w:r>
        <w:r w:rsidRPr="00091C20">
          <w:rPr>
            <w:rFonts w:asciiTheme="minorBidi" w:hAnsiTheme="minorBidi" w:cstheme="minorBidi"/>
            <w:noProof/>
            <w:webHidden/>
            <w:sz w:val="24"/>
            <w:szCs w:val="24"/>
          </w:rPr>
          <w:fldChar w:fldCharType="separate"/>
        </w:r>
        <w:r w:rsidRPr="00091C20">
          <w:rPr>
            <w:rFonts w:asciiTheme="minorBidi" w:hAnsiTheme="minorBidi" w:cstheme="minorBidi"/>
            <w:noProof/>
            <w:webHidden/>
            <w:sz w:val="24"/>
            <w:szCs w:val="24"/>
          </w:rPr>
          <w:t>10</w:t>
        </w:r>
        <w:r w:rsidRPr="00091C20">
          <w:rPr>
            <w:rFonts w:asciiTheme="minorBidi" w:hAnsiTheme="minorBidi" w:cstheme="minorBidi"/>
            <w:noProof/>
            <w:webHidden/>
            <w:sz w:val="24"/>
            <w:szCs w:val="24"/>
          </w:rPr>
          <w:fldChar w:fldCharType="end"/>
        </w:r>
      </w:hyperlink>
    </w:p>
    <w:p w14:paraId="38C1EEED" w14:textId="4A28C826" w:rsidR="00091C20" w:rsidRPr="00091C20" w:rsidRDefault="00091C20" w:rsidP="00091C20">
      <w:pPr>
        <w:pStyle w:val="TableofFigures"/>
        <w:tabs>
          <w:tab w:val="right" w:leader="dot" w:pos="9350"/>
        </w:tabs>
        <w:spacing w:before="240" w:after="240" w:line="360" w:lineRule="auto"/>
        <w:jc w:val="both"/>
        <w:rPr>
          <w:rFonts w:asciiTheme="minorBidi" w:hAnsiTheme="minorBidi" w:cstheme="minorBidi"/>
          <w:noProof/>
          <w:sz w:val="24"/>
          <w:szCs w:val="24"/>
        </w:rPr>
      </w:pPr>
      <w:hyperlink w:anchor="_Toc215854922" w:history="1">
        <w:r w:rsidRPr="00091C20">
          <w:rPr>
            <w:rStyle w:val="Hyperlink"/>
            <w:rFonts w:asciiTheme="minorBidi" w:hAnsiTheme="minorBidi" w:cstheme="minorBidi"/>
            <w:noProof/>
            <w:color w:val="auto"/>
            <w:sz w:val="24"/>
            <w:szCs w:val="24"/>
          </w:rPr>
          <w:t>Figure 5: Efficiency Ratios</w:t>
        </w:r>
        <w:r w:rsidRPr="00091C20">
          <w:rPr>
            <w:rFonts w:asciiTheme="minorBidi" w:hAnsiTheme="minorBidi" w:cstheme="minorBidi"/>
            <w:noProof/>
            <w:webHidden/>
            <w:sz w:val="24"/>
            <w:szCs w:val="24"/>
          </w:rPr>
          <w:tab/>
        </w:r>
        <w:r w:rsidRPr="00091C20">
          <w:rPr>
            <w:rFonts w:asciiTheme="minorBidi" w:hAnsiTheme="minorBidi" w:cstheme="minorBidi"/>
            <w:noProof/>
            <w:webHidden/>
            <w:sz w:val="24"/>
            <w:szCs w:val="24"/>
          </w:rPr>
          <w:fldChar w:fldCharType="begin"/>
        </w:r>
        <w:r w:rsidRPr="00091C20">
          <w:rPr>
            <w:rFonts w:asciiTheme="minorBidi" w:hAnsiTheme="minorBidi" w:cstheme="minorBidi"/>
            <w:noProof/>
            <w:webHidden/>
            <w:sz w:val="24"/>
            <w:szCs w:val="24"/>
          </w:rPr>
          <w:instrText xml:space="preserve"> PAGEREF _Toc215854922 \h </w:instrText>
        </w:r>
        <w:r w:rsidRPr="00091C20">
          <w:rPr>
            <w:rFonts w:asciiTheme="minorBidi" w:hAnsiTheme="minorBidi" w:cstheme="minorBidi"/>
            <w:noProof/>
            <w:webHidden/>
            <w:sz w:val="24"/>
            <w:szCs w:val="24"/>
          </w:rPr>
        </w:r>
        <w:r w:rsidRPr="00091C20">
          <w:rPr>
            <w:rFonts w:asciiTheme="minorBidi" w:hAnsiTheme="minorBidi" w:cstheme="minorBidi"/>
            <w:noProof/>
            <w:webHidden/>
            <w:sz w:val="24"/>
            <w:szCs w:val="24"/>
          </w:rPr>
          <w:fldChar w:fldCharType="separate"/>
        </w:r>
        <w:r w:rsidRPr="00091C20">
          <w:rPr>
            <w:rFonts w:asciiTheme="minorBidi" w:hAnsiTheme="minorBidi" w:cstheme="minorBidi"/>
            <w:noProof/>
            <w:webHidden/>
            <w:sz w:val="24"/>
            <w:szCs w:val="24"/>
          </w:rPr>
          <w:t>12</w:t>
        </w:r>
        <w:r w:rsidRPr="00091C20">
          <w:rPr>
            <w:rFonts w:asciiTheme="minorBidi" w:hAnsiTheme="minorBidi" w:cstheme="minorBidi"/>
            <w:noProof/>
            <w:webHidden/>
            <w:sz w:val="24"/>
            <w:szCs w:val="24"/>
          </w:rPr>
          <w:fldChar w:fldCharType="end"/>
        </w:r>
      </w:hyperlink>
    </w:p>
    <w:p w14:paraId="02F7D391" w14:textId="3F988DF5" w:rsidR="00091C20" w:rsidRPr="00091C20" w:rsidRDefault="00091C20" w:rsidP="00091C20">
      <w:pPr>
        <w:pStyle w:val="TableofFigures"/>
        <w:tabs>
          <w:tab w:val="right" w:leader="dot" w:pos="9350"/>
        </w:tabs>
        <w:spacing w:before="240" w:after="240" w:line="360" w:lineRule="auto"/>
        <w:jc w:val="both"/>
        <w:rPr>
          <w:rFonts w:asciiTheme="minorBidi" w:hAnsiTheme="minorBidi" w:cstheme="minorBidi"/>
          <w:noProof/>
          <w:sz w:val="24"/>
          <w:szCs w:val="24"/>
        </w:rPr>
      </w:pPr>
      <w:hyperlink w:anchor="_Toc215854923" w:history="1">
        <w:r w:rsidRPr="00091C20">
          <w:rPr>
            <w:rStyle w:val="Hyperlink"/>
            <w:rFonts w:asciiTheme="minorBidi" w:hAnsiTheme="minorBidi" w:cstheme="minorBidi"/>
            <w:noProof/>
            <w:color w:val="auto"/>
            <w:sz w:val="24"/>
            <w:szCs w:val="24"/>
          </w:rPr>
          <w:t>Figure 6: Investment Ratios</w:t>
        </w:r>
        <w:r w:rsidRPr="00091C20">
          <w:rPr>
            <w:rFonts w:asciiTheme="minorBidi" w:hAnsiTheme="minorBidi" w:cstheme="minorBidi"/>
            <w:noProof/>
            <w:webHidden/>
            <w:sz w:val="24"/>
            <w:szCs w:val="24"/>
          </w:rPr>
          <w:tab/>
        </w:r>
        <w:r w:rsidRPr="00091C20">
          <w:rPr>
            <w:rFonts w:asciiTheme="minorBidi" w:hAnsiTheme="minorBidi" w:cstheme="minorBidi"/>
            <w:noProof/>
            <w:webHidden/>
            <w:sz w:val="24"/>
            <w:szCs w:val="24"/>
          </w:rPr>
          <w:fldChar w:fldCharType="begin"/>
        </w:r>
        <w:r w:rsidRPr="00091C20">
          <w:rPr>
            <w:rFonts w:asciiTheme="minorBidi" w:hAnsiTheme="minorBidi" w:cstheme="minorBidi"/>
            <w:noProof/>
            <w:webHidden/>
            <w:sz w:val="24"/>
            <w:szCs w:val="24"/>
          </w:rPr>
          <w:instrText xml:space="preserve"> PAGEREF _Toc215854923 \h </w:instrText>
        </w:r>
        <w:r w:rsidRPr="00091C20">
          <w:rPr>
            <w:rFonts w:asciiTheme="minorBidi" w:hAnsiTheme="minorBidi" w:cstheme="minorBidi"/>
            <w:noProof/>
            <w:webHidden/>
            <w:sz w:val="24"/>
            <w:szCs w:val="24"/>
          </w:rPr>
        </w:r>
        <w:r w:rsidRPr="00091C20">
          <w:rPr>
            <w:rFonts w:asciiTheme="minorBidi" w:hAnsiTheme="minorBidi" w:cstheme="minorBidi"/>
            <w:noProof/>
            <w:webHidden/>
            <w:sz w:val="24"/>
            <w:szCs w:val="24"/>
          </w:rPr>
          <w:fldChar w:fldCharType="separate"/>
        </w:r>
        <w:r w:rsidRPr="00091C20">
          <w:rPr>
            <w:rFonts w:asciiTheme="minorBidi" w:hAnsiTheme="minorBidi" w:cstheme="minorBidi"/>
            <w:noProof/>
            <w:webHidden/>
            <w:sz w:val="24"/>
            <w:szCs w:val="24"/>
          </w:rPr>
          <w:t>12</w:t>
        </w:r>
        <w:r w:rsidRPr="00091C20">
          <w:rPr>
            <w:rFonts w:asciiTheme="minorBidi" w:hAnsiTheme="minorBidi" w:cstheme="minorBidi"/>
            <w:noProof/>
            <w:webHidden/>
            <w:sz w:val="24"/>
            <w:szCs w:val="24"/>
          </w:rPr>
          <w:fldChar w:fldCharType="end"/>
        </w:r>
      </w:hyperlink>
    </w:p>
    <w:p w14:paraId="787C1081" w14:textId="1A206D20" w:rsidR="00091C20" w:rsidRPr="00091C20" w:rsidRDefault="00091C20" w:rsidP="00091C20">
      <w:pPr>
        <w:pStyle w:val="TableofFigures"/>
        <w:tabs>
          <w:tab w:val="right" w:leader="dot" w:pos="9350"/>
        </w:tabs>
        <w:spacing w:before="240" w:after="240" w:line="360" w:lineRule="auto"/>
        <w:jc w:val="both"/>
        <w:rPr>
          <w:rFonts w:asciiTheme="minorBidi" w:hAnsiTheme="minorBidi" w:cstheme="minorBidi"/>
          <w:noProof/>
          <w:sz w:val="24"/>
          <w:szCs w:val="24"/>
        </w:rPr>
      </w:pPr>
      <w:hyperlink w:anchor="_Toc215854924" w:history="1">
        <w:r w:rsidRPr="00091C20">
          <w:rPr>
            <w:rStyle w:val="Hyperlink"/>
            <w:rFonts w:asciiTheme="minorBidi" w:hAnsiTheme="minorBidi" w:cstheme="minorBidi"/>
            <w:noProof/>
            <w:color w:val="auto"/>
            <w:sz w:val="24"/>
            <w:szCs w:val="24"/>
          </w:rPr>
          <w:t>Figure 7: Working Capital</w:t>
        </w:r>
        <w:r w:rsidRPr="00091C20">
          <w:rPr>
            <w:rFonts w:asciiTheme="minorBidi" w:hAnsiTheme="minorBidi" w:cstheme="minorBidi"/>
            <w:noProof/>
            <w:webHidden/>
            <w:sz w:val="24"/>
            <w:szCs w:val="24"/>
          </w:rPr>
          <w:tab/>
        </w:r>
        <w:r w:rsidRPr="00091C20">
          <w:rPr>
            <w:rFonts w:asciiTheme="minorBidi" w:hAnsiTheme="minorBidi" w:cstheme="minorBidi"/>
            <w:noProof/>
            <w:webHidden/>
            <w:sz w:val="24"/>
            <w:szCs w:val="24"/>
          </w:rPr>
          <w:fldChar w:fldCharType="begin"/>
        </w:r>
        <w:r w:rsidRPr="00091C20">
          <w:rPr>
            <w:rFonts w:asciiTheme="minorBidi" w:hAnsiTheme="minorBidi" w:cstheme="minorBidi"/>
            <w:noProof/>
            <w:webHidden/>
            <w:sz w:val="24"/>
            <w:szCs w:val="24"/>
          </w:rPr>
          <w:instrText xml:space="preserve"> PAGEREF _Toc215854924 \h </w:instrText>
        </w:r>
        <w:r w:rsidRPr="00091C20">
          <w:rPr>
            <w:rFonts w:asciiTheme="minorBidi" w:hAnsiTheme="minorBidi" w:cstheme="minorBidi"/>
            <w:noProof/>
            <w:webHidden/>
            <w:sz w:val="24"/>
            <w:szCs w:val="24"/>
          </w:rPr>
        </w:r>
        <w:r w:rsidRPr="00091C20">
          <w:rPr>
            <w:rFonts w:asciiTheme="minorBidi" w:hAnsiTheme="minorBidi" w:cstheme="minorBidi"/>
            <w:noProof/>
            <w:webHidden/>
            <w:sz w:val="24"/>
            <w:szCs w:val="24"/>
          </w:rPr>
          <w:fldChar w:fldCharType="separate"/>
        </w:r>
        <w:r w:rsidRPr="00091C20">
          <w:rPr>
            <w:rFonts w:asciiTheme="minorBidi" w:hAnsiTheme="minorBidi" w:cstheme="minorBidi"/>
            <w:noProof/>
            <w:webHidden/>
            <w:sz w:val="24"/>
            <w:szCs w:val="24"/>
          </w:rPr>
          <w:t>14</w:t>
        </w:r>
        <w:r w:rsidRPr="00091C20">
          <w:rPr>
            <w:rFonts w:asciiTheme="minorBidi" w:hAnsiTheme="minorBidi" w:cstheme="minorBidi"/>
            <w:noProof/>
            <w:webHidden/>
            <w:sz w:val="24"/>
            <w:szCs w:val="24"/>
          </w:rPr>
          <w:fldChar w:fldCharType="end"/>
        </w:r>
      </w:hyperlink>
    </w:p>
    <w:p w14:paraId="712D5144" w14:textId="4A9212DC" w:rsidR="00091C20" w:rsidRPr="00091C20" w:rsidRDefault="00091C20" w:rsidP="00091C20">
      <w:pPr>
        <w:spacing w:before="240" w:after="24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fldChar w:fldCharType="end"/>
      </w:r>
    </w:p>
    <w:p w14:paraId="2DDCE993" w14:textId="77777777" w:rsidR="00CF78C0" w:rsidRPr="00091C20" w:rsidRDefault="00CF78C0"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br w:type="page"/>
      </w:r>
    </w:p>
    <w:p w14:paraId="6EA72B35" w14:textId="77777777" w:rsidR="00091C20" w:rsidRPr="00091C20" w:rsidRDefault="00CF78C0"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lastRenderedPageBreak/>
        <w:t xml:space="preserve">List of </w:t>
      </w:r>
      <w:r w:rsidR="00091C20" w:rsidRPr="00091C20">
        <w:rPr>
          <w:rFonts w:asciiTheme="minorBidi" w:hAnsiTheme="minorBidi" w:cstheme="minorBidi"/>
          <w:b/>
          <w:bCs/>
          <w:sz w:val="24"/>
          <w:szCs w:val="24"/>
          <w:lang w:val="en-GB"/>
        </w:rPr>
        <w:t>Tables</w:t>
      </w:r>
    </w:p>
    <w:p w14:paraId="050DD652" w14:textId="0A4AA2FA" w:rsidR="00091C20" w:rsidRPr="00091C20" w:rsidRDefault="00091C20" w:rsidP="00091C20">
      <w:pPr>
        <w:pStyle w:val="TableofFigures"/>
        <w:tabs>
          <w:tab w:val="right" w:leader="dot" w:pos="9350"/>
        </w:tabs>
        <w:spacing w:before="240" w:after="240" w:line="360" w:lineRule="auto"/>
        <w:jc w:val="both"/>
        <w:rPr>
          <w:rFonts w:asciiTheme="minorHAnsi" w:eastAsiaTheme="minorEastAsia" w:hAnsiTheme="minorHAnsi" w:cstheme="minorBidi"/>
          <w:noProof/>
          <w:kern w:val="2"/>
          <w:sz w:val="28"/>
          <w:szCs w:val="28"/>
          <w:lang w:val="en-IN"/>
          <w14:ligatures w14:val="standardContextual"/>
        </w:rPr>
      </w:pPr>
      <w:r w:rsidRPr="00091C20">
        <w:rPr>
          <w:rFonts w:asciiTheme="minorBidi" w:hAnsiTheme="minorBidi" w:cstheme="minorBidi"/>
          <w:lang w:val="en-GB"/>
        </w:rPr>
        <w:fldChar w:fldCharType="begin"/>
      </w:r>
      <w:r w:rsidRPr="00091C20">
        <w:rPr>
          <w:rFonts w:asciiTheme="minorBidi" w:hAnsiTheme="minorBidi" w:cstheme="minorBidi"/>
          <w:lang w:val="en-GB"/>
        </w:rPr>
        <w:instrText xml:space="preserve"> TOC \h \z \t "Heading 4" \c </w:instrText>
      </w:r>
      <w:r w:rsidRPr="00091C20">
        <w:rPr>
          <w:rFonts w:asciiTheme="minorBidi" w:hAnsiTheme="minorBidi" w:cstheme="minorBidi"/>
          <w:lang w:val="en-GB"/>
        </w:rPr>
        <w:fldChar w:fldCharType="separate"/>
      </w:r>
      <w:hyperlink w:anchor="_Toc215854968" w:history="1">
        <w:r w:rsidRPr="00091C20">
          <w:rPr>
            <w:rStyle w:val="Hyperlink"/>
            <w:noProof/>
            <w:color w:val="auto"/>
            <w:sz w:val="24"/>
            <w:szCs w:val="24"/>
          </w:rPr>
          <w:t>Table 1: Ratio Calculation for Next plc</w:t>
        </w:r>
        <w:r w:rsidRPr="00091C20">
          <w:rPr>
            <w:noProof/>
            <w:webHidden/>
            <w:sz w:val="24"/>
            <w:szCs w:val="24"/>
          </w:rPr>
          <w:tab/>
        </w:r>
        <w:r w:rsidRPr="00091C20">
          <w:rPr>
            <w:noProof/>
            <w:webHidden/>
            <w:sz w:val="24"/>
            <w:szCs w:val="24"/>
          </w:rPr>
          <w:fldChar w:fldCharType="begin"/>
        </w:r>
        <w:r w:rsidRPr="00091C20">
          <w:rPr>
            <w:noProof/>
            <w:webHidden/>
            <w:sz w:val="24"/>
            <w:szCs w:val="24"/>
          </w:rPr>
          <w:instrText xml:space="preserve"> PAGEREF _Toc215854968 \h </w:instrText>
        </w:r>
        <w:r w:rsidRPr="00091C20">
          <w:rPr>
            <w:noProof/>
            <w:webHidden/>
            <w:sz w:val="24"/>
            <w:szCs w:val="24"/>
          </w:rPr>
        </w:r>
        <w:r w:rsidRPr="00091C20">
          <w:rPr>
            <w:noProof/>
            <w:webHidden/>
            <w:sz w:val="24"/>
            <w:szCs w:val="24"/>
          </w:rPr>
          <w:fldChar w:fldCharType="separate"/>
        </w:r>
        <w:r w:rsidRPr="00091C20">
          <w:rPr>
            <w:noProof/>
            <w:webHidden/>
            <w:sz w:val="24"/>
            <w:szCs w:val="24"/>
          </w:rPr>
          <w:t>8</w:t>
        </w:r>
        <w:r w:rsidRPr="00091C20">
          <w:rPr>
            <w:noProof/>
            <w:webHidden/>
            <w:sz w:val="24"/>
            <w:szCs w:val="24"/>
          </w:rPr>
          <w:fldChar w:fldCharType="end"/>
        </w:r>
      </w:hyperlink>
    </w:p>
    <w:p w14:paraId="5260ECC7" w14:textId="7EE3B08C" w:rsidR="00CF78C0" w:rsidRPr="00091C20" w:rsidRDefault="00091C20"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lang w:val="en-GB"/>
        </w:rPr>
        <w:fldChar w:fldCharType="end"/>
      </w:r>
      <w:r w:rsidR="00CF78C0" w:rsidRPr="00091C20">
        <w:rPr>
          <w:rFonts w:asciiTheme="minorBidi" w:hAnsiTheme="minorBidi" w:cstheme="minorBidi"/>
          <w:lang w:val="en-GB"/>
        </w:rPr>
        <w:br w:type="page"/>
      </w:r>
    </w:p>
    <w:p w14:paraId="753A60E2" w14:textId="0D60B734" w:rsidR="009F2980" w:rsidRPr="00091C20" w:rsidRDefault="00000A17" w:rsidP="00091C20">
      <w:pPr>
        <w:pStyle w:val="Heading1"/>
        <w:rPr>
          <w:rFonts w:asciiTheme="minorBidi" w:hAnsiTheme="minorBidi" w:cstheme="minorBidi"/>
          <w:lang w:val="en-GB"/>
        </w:rPr>
      </w:pPr>
      <w:r w:rsidRPr="00091C20">
        <w:rPr>
          <w:rFonts w:asciiTheme="minorBidi" w:hAnsiTheme="minorBidi" w:cstheme="minorBidi"/>
          <w:lang w:val="en-GB"/>
        </w:rPr>
        <w:lastRenderedPageBreak/>
        <w:t>Task 1: Informal Business Report</w:t>
      </w:r>
    </w:p>
    <w:p w14:paraId="753A60E3" w14:textId="77777777" w:rsidR="009F2980" w:rsidRPr="00091C20" w:rsidRDefault="00000A17" w:rsidP="00091C20">
      <w:pPr>
        <w:pStyle w:val="Heading2"/>
        <w:rPr>
          <w:rFonts w:asciiTheme="minorBidi" w:hAnsiTheme="minorBidi" w:cstheme="minorBidi"/>
          <w:lang w:val="en-GB"/>
        </w:rPr>
      </w:pPr>
      <w:bookmarkStart w:id="1" w:name="_8andzaqrvyku" w:colFirst="0" w:colLast="0"/>
      <w:bookmarkEnd w:id="1"/>
      <w:r w:rsidRPr="00091C20">
        <w:rPr>
          <w:rFonts w:asciiTheme="minorBidi" w:hAnsiTheme="minorBidi" w:cstheme="minorBidi"/>
          <w:lang w:val="en-GB"/>
        </w:rPr>
        <w:t xml:space="preserve">1. Company Overview </w:t>
      </w:r>
    </w:p>
    <w:p w14:paraId="753A60E4"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Introduction to chosen company:</w:t>
      </w:r>
    </w:p>
    <w:p w14:paraId="753A60E5"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Next Plc is a FTSE 100 listed company operating in the retail sector of the UK. The company is a multinational clothing, footwear as well as home products retailer of Britain (Next Plc, 2025). Key people involved in the business are David Jones as the Chairperson and the CEO. The company has been selected in this study because of its strong position within the market and strong disclosure of financial statements. The main source of information involves annual reports of the company for 2021 - 2025 that has been used in computing financial ratios.</w:t>
      </w:r>
    </w:p>
    <w:p w14:paraId="753A60E6"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Company Overview:</w:t>
      </w:r>
    </w:p>
    <w:p w14:paraId="753A60E7" w14:textId="514671B1"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The company was founded in 1864 which was 161 years ago by Joseph Hepworth (Next Plc, 2023). The headquarters of the business is located at ‘Enderby, England, UK</w:t>
      </w:r>
      <w:r w:rsidR="000762FB" w:rsidRPr="00091C20">
        <w:rPr>
          <w:rFonts w:asciiTheme="minorBidi" w:hAnsiTheme="minorBidi" w:cstheme="minorBidi"/>
          <w:sz w:val="24"/>
          <w:szCs w:val="24"/>
          <w:lang w:val="en-GB"/>
        </w:rPr>
        <w:t>.’</w:t>
      </w:r>
      <w:r w:rsidRPr="00091C20">
        <w:rPr>
          <w:rFonts w:asciiTheme="minorBidi" w:hAnsiTheme="minorBidi" w:cstheme="minorBidi"/>
          <w:sz w:val="24"/>
          <w:szCs w:val="24"/>
          <w:lang w:val="en-GB"/>
        </w:rPr>
        <w:t xml:space="preserve"> There are </w:t>
      </w:r>
      <w:r w:rsidR="000762FB" w:rsidRPr="00091C20">
        <w:rPr>
          <w:rFonts w:asciiTheme="minorBidi" w:hAnsiTheme="minorBidi" w:cstheme="minorBidi"/>
          <w:sz w:val="24"/>
          <w:szCs w:val="24"/>
          <w:lang w:val="en-GB"/>
        </w:rPr>
        <w:t>700</w:t>
      </w:r>
      <w:r w:rsidRPr="00091C20">
        <w:rPr>
          <w:rFonts w:asciiTheme="minorBidi" w:hAnsiTheme="minorBidi" w:cstheme="minorBidi"/>
          <w:sz w:val="24"/>
          <w:szCs w:val="24"/>
          <w:lang w:val="en-GB"/>
        </w:rPr>
        <w:t xml:space="preserve"> stores of the business serving across the UK, Europe, </w:t>
      </w:r>
      <w:r w:rsidR="000762FB" w:rsidRPr="00091C20">
        <w:rPr>
          <w:rFonts w:asciiTheme="minorBidi" w:hAnsiTheme="minorBidi" w:cstheme="minorBidi"/>
          <w:sz w:val="24"/>
          <w:szCs w:val="24"/>
          <w:lang w:val="en-GB"/>
        </w:rPr>
        <w:t>Asia,</w:t>
      </w:r>
      <w:r w:rsidRPr="00091C20">
        <w:rPr>
          <w:rFonts w:asciiTheme="minorBidi" w:hAnsiTheme="minorBidi" w:cstheme="minorBidi"/>
          <w:sz w:val="24"/>
          <w:szCs w:val="24"/>
          <w:lang w:val="en-GB"/>
        </w:rPr>
        <w:t xml:space="preserve"> and Middle East. Main brands that Next Plc has are “Lipsy, Victoria's Secret UK, Gap UK, Joules, Cath Kidston, </w:t>
      </w:r>
      <w:r w:rsidR="000762FB" w:rsidRPr="00091C20">
        <w:rPr>
          <w:rFonts w:asciiTheme="minorBidi" w:hAnsiTheme="minorBidi" w:cstheme="minorBidi"/>
          <w:sz w:val="24"/>
          <w:szCs w:val="24"/>
          <w:lang w:val="en-GB"/>
        </w:rPr>
        <w:t>Fat Face</w:t>
      </w:r>
      <w:r w:rsidRPr="00091C20">
        <w:rPr>
          <w:rFonts w:asciiTheme="minorBidi" w:hAnsiTheme="minorBidi" w:cstheme="minorBidi"/>
          <w:sz w:val="24"/>
          <w:szCs w:val="24"/>
          <w:lang w:val="en-GB"/>
        </w:rPr>
        <w:t>, Made.com and Seraphine</w:t>
      </w:r>
      <w:r w:rsidR="000762FB" w:rsidRPr="00091C20">
        <w:rPr>
          <w:rFonts w:asciiTheme="minorBidi" w:hAnsiTheme="minorBidi" w:cstheme="minorBidi"/>
          <w:sz w:val="24"/>
          <w:szCs w:val="24"/>
          <w:lang w:val="en-GB"/>
        </w:rPr>
        <w:t>.”</w:t>
      </w:r>
      <w:r w:rsidRPr="00091C20">
        <w:rPr>
          <w:rFonts w:asciiTheme="minorBidi" w:hAnsiTheme="minorBidi" w:cstheme="minorBidi"/>
          <w:sz w:val="24"/>
          <w:szCs w:val="24"/>
          <w:lang w:val="en-GB"/>
        </w:rPr>
        <w:t xml:space="preserve"> Nearly, 48,417 employees are working in the company. Core business activities of the business are selling clothes on a retail basis. Main subsidiaries of the company are JoJo Maman Bébé and Reiss</w:t>
      </w:r>
      <w:r w:rsidR="00742FC9">
        <w:rPr>
          <w:rFonts w:asciiTheme="minorBidi" w:hAnsiTheme="minorBidi" w:cstheme="minorBidi"/>
          <w:sz w:val="24"/>
          <w:szCs w:val="24"/>
          <w:lang w:val="en-GB"/>
        </w:rPr>
        <w:t xml:space="preserve"> </w:t>
      </w:r>
      <w:r w:rsidRPr="00091C20">
        <w:rPr>
          <w:rFonts w:asciiTheme="minorBidi" w:hAnsiTheme="minorBidi" w:cstheme="minorBidi"/>
          <w:sz w:val="24"/>
          <w:szCs w:val="24"/>
          <w:lang w:val="en-GB"/>
        </w:rPr>
        <w:t xml:space="preserve">and current market position. Revenue earned by the business was 6118.1 million pounds in 2025 and 5491 million pounds in 2024 (Next Plc, 2024). In addition, Net Profit was 743.2 million pounds for 2025 and 800.5 million pounds for 2024. Current share price is 14200 GBP. Next plc has achieved the position of the leading high street retailer of Britain, along with a strong presence across the UK (Statista, 2025). Till November 2025, the company created a market capitalization of 1.941 </w:t>
      </w:r>
      <w:r w:rsidR="00091C20" w:rsidRPr="00091C20">
        <w:rPr>
          <w:rFonts w:asciiTheme="minorBidi" w:hAnsiTheme="minorBidi" w:cstheme="minorBidi"/>
          <w:sz w:val="24"/>
          <w:szCs w:val="24"/>
          <w:lang w:val="en-GB"/>
        </w:rPr>
        <w:t>trillion</w:t>
      </w:r>
      <w:r w:rsidRPr="00091C20">
        <w:rPr>
          <w:rFonts w:asciiTheme="minorBidi" w:hAnsiTheme="minorBidi" w:cstheme="minorBidi"/>
          <w:sz w:val="24"/>
          <w:szCs w:val="24"/>
          <w:lang w:val="en-GB"/>
        </w:rPr>
        <w:t xml:space="preserve"> making it the 1030th most valuable firm of the world (Companies Market Cap, 2025).</w:t>
      </w:r>
    </w:p>
    <w:p w14:paraId="753A60E8" w14:textId="77777777" w:rsidR="009F2980" w:rsidRPr="00091C20" w:rsidRDefault="00000A17" w:rsidP="00091C20">
      <w:pPr>
        <w:pStyle w:val="Heading2"/>
        <w:rPr>
          <w:rFonts w:asciiTheme="minorBidi" w:hAnsiTheme="minorBidi" w:cstheme="minorBidi"/>
          <w:lang w:val="en-GB"/>
        </w:rPr>
      </w:pPr>
      <w:bookmarkStart w:id="2" w:name="_bxzc8a7owlj1" w:colFirst="0" w:colLast="0"/>
      <w:bookmarkEnd w:id="2"/>
      <w:r w:rsidRPr="00091C20">
        <w:rPr>
          <w:rFonts w:asciiTheme="minorBidi" w:hAnsiTheme="minorBidi" w:cstheme="minorBidi"/>
          <w:lang w:val="en-GB"/>
        </w:rPr>
        <w:t>2. Trend Analysis</w:t>
      </w:r>
    </w:p>
    <w:p w14:paraId="753A60E9"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Graphical illustration of five-year trends:</w:t>
      </w:r>
    </w:p>
    <w:p w14:paraId="753A60EA"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noProof/>
          <w:sz w:val="24"/>
          <w:szCs w:val="24"/>
          <w:lang w:val="en-GB"/>
        </w:rPr>
        <w:lastRenderedPageBreak/>
        <w:drawing>
          <wp:inline distT="114300" distB="114300" distL="114300" distR="114300" wp14:anchorId="753A624C" wp14:editId="753A624D">
            <wp:extent cx="5943600" cy="3568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3568700"/>
                    </a:xfrm>
                    <a:prstGeom prst="rect">
                      <a:avLst/>
                    </a:prstGeom>
                    <a:ln/>
                  </pic:spPr>
                </pic:pic>
              </a:graphicData>
            </a:graphic>
          </wp:inline>
        </w:drawing>
      </w:r>
    </w:p>
    <w:p w14:paraId="753A60EB" w14:textId="6BEFD16B" w:rsidR="009F2980" w:rsidRPr="00091C20" w:rsidRDefault="00000A17" w:rsidP="00091C20">
      <w:pPr>
        <w:pStyle w:val="Heading5"/>
      </w:pPr>
      <w:bookmarkStart w:id="3" w:name="_Toc215854918"/>
      <w:r w:rsidRPr="00091C20">
        <w:t xml:space="preserve">Figure 1: </w:t>
      </w:r>
      <w:r w:rsidR="00CF78C0" w:rsidRPr="00091C20">
        <w:t>5-year</w:t>
      </w:r>
      <w:r w:rsidRPr="00091C20">
        <w:t xml:space="preserve"> trends</w:t>
      </w:r>
      <w:bookmarkEnd w:id="3"/>
    </w:p>
    <w:p w14:paraId="753A60EC" w14:textId="77777777" w:rsidR="009F2980" w:rsidRPr="00091C20" w:rsidRDefault="00000A17" w:rsidP="00091C20">
      <w:pPr>
        <w:spacing w:before="200" w:after="200" w:line="360" w:lineRule="auto"/>
        <w:jc w:val="center"/>
        <w:rPr>
          <w:rFonts w:asciiTheme="minorBidi" w:hAnsiTheme="minorBidi" w:cstheme="minorBidi"/>
          <w:sz w:val="24"/>
          <w:szCs w:val="24"/>
          <w:lang w:val="en-GB"/>
        </w:rPr>
      </w:pPr>
      <w:r w:rsidRPr="00091C20">
        <w:rPr>
          <w:rFonts w:asciiTheme="minorBidi" w:hAnsiTheme="minorBidi" w:cstheme="minorBidi"/>
          <w:sz w:val="24"/>
          <w:szCs w:val="24"/>
          <w:lang w:val="en-GB"/>
        </w:rPr>
        <w:t>(Source: Excel)</w:t>
      </w:r>
    </w:p>
    <w:p w14:paraId="753A60ED"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Summary:</w:t>
      </w:r>
    </w:p>
    <w:p w14:paraId="753A60EE" w14:textId="05A3ED0C"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sz w:val="24"/>
          <w:szCs w:val="24"/>
          <w:lang w:val="en-GB"/>
        </w:rPr>
        <w:t xml:space="preserve">Figure 1 shows the changes in Sales, Profits, Costs, and Dividends of Next Plc over the last 5 years. Sales and profits of the company are increasing as shown above which is an indication of improved performance and position. Costs can be seen increasing which is </w:t>
      </w:r>
      <w:r w:rsidR="00742FC9" w:rsidRPr="00091C20">
        <w:rPr>
          <w:rFonts w:asciiTheme="minorBidi" w:hAnsiTheme="minorBidi" w:cstheme="minorBidi"/>
          <w:sz w:val="24"/>
          <w:szCs w:val="24"/>
          <w:lang w:val="en-GB"/>
        </w:rPr>
        <w:t>made</w:t>
      </w:r>
      <w:r w:rsidRPr="00091C20">
        <w:rPr>
          <w:rFonts w:asciiTheme="minorBidi" w:hAnsiTheme="minorBidi" w:cstheme="minorBidi"/>
          <w:sz w:val="24"/>
          <w:szCs w:val="24"/>
          <w:lang w:val="en-GB"/>
        </w:rPr>
        <w:t xml:space="preserve"> up of production costs and other operating expenses. Dividends can be seen in a decreasing trend which means the company is willing to reinvest the profit within the business instead of distributing the same among the stakeholders. </w:t>
      </w:r>
    </w:p>
    <w:p w14:paraId="753A60EF" w14:textId="77777777" w:rsidR="009F2980" w:rsidRPr="00091C20" w:rsidRDefault="00000A17" w:rsidP="00091C20">
      <w:pPr>
        <w:pStyle w:val="Heading2"/>
        <w:rPr>
          <w:rFonts w:asciiTheme="minorBidi" w:hAnsiTheme="minorBidi" w:cstheme="minorBidi"/>
          <w:lang w:val="en-GB"/>
        </w:rPr>
      </w:pPr>
      <w:bookmarkStart w:id="4" w:name="_osjhdph30s2k" w:colFirst="0" w:colLast="0"/>
      <w:bookmarkEnd w:id="4"/>
      <w:r w:rsidRPr="00091C20">
        <w:rPr>
          <w:rFonts w:asciiTheme="minorBidi" w:hAnsiTheme="minorBidi" w:cstheme="minorBidi"/>
          <w:lang w:val="en-GB"/>
        </w:rPr>
        <w:t xml:space="preserve">3. Financial Ratio Analysis </w:t>
      </w:r>
    </w:p>
    <w:p w14:paraId="753A60F0"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b/>
          <w:bCs/>
          <w:sz w:val="24"/>
          <w:szCs w:val="24"/>
          <w:lang w:val="en-GB"/>
        </w:rPr>
        <w:t>Calculation of main financial ratios for 5 years:</w:t>
      </w:r>
    </w:p>
    <w:tbl>
      <w:tblPr>
        <w:tblStyle w:val="a"/>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65"/>
        <w:gridCol w:w="1320"/>
        <w:gridCol w:w="1350"/>
        <w:gridCol w:w="1035"/>
        <w:gridCol w:w="1035"/>
        <w:gridCol w:w="1035"/>
      </w:tblGrid>
      <w:tr w:rsidR="00091C20" w:rsidRPr="00091C20" w14:paraId="753A60F2" w14:textId="77777777">
        <w:trPr>
          <w:trHeight w:val="360"/>
        </w:trPr>
        <w:tc>
          <w:tcPr>
            <w:tcW w:w="8940" w:type="dxa"/>
            <w:gridSpan w:val="6"/>
            <w:tcBorders>
              <w:top w:val="single" w:sz="4" w:space="0" w:color="000000"/>
              <w:left w:val="single" w:sz="4" w:space="0" w:color="000000"/>
              <w:bottom w:val="single" w:sz="4" w:space="0" w:color="000000"/>
              <w:right w:val="single" w:sz="4" w:space="0" w:color="000000"/>
            </w:tcBorders>
            <w:shd w:val="clear" w:color="auto" w:fill="EA9999"/>
            <w:tcMar>
              <w:top w:w="40" w:type="dxa"/>
              <w:left w:w="40" w:type="dxa"/>
              <w:bottom w:w="40" w:type="dxa"/>
              <w:right w:w="40" w:type="dxa"/>
            </w:tcMar>
          </w:tcPr>
          <w:p w14:paraId="753A60F1"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Key Financial Ratios of Next Plc</w:t>
            </w:r>
          </w:p>
        </w:tc>
      </w:tr>
      <w:tr w:rsidR="00091C20" w:rsidRPr="00091C20" w14:paraId="753A60F4" w14:textId="77777777">
        <w:trPr>
          <w:trHeight w:val="360"/>
        </w:trPr>
        <w:tc>
          <w:tcPr>
            <w:tcW w:w="8940" w:type="dxa"/>
            <w:gridSpan w:val="6"/>
            <w:tcBorders>
              <w:top w:val="nil"/>
              <w:left w:val="single" w:sz="4" w:space="0" w:color="000000"/>
              <w:bottom w:val="single" w:sz="4" w:space="0" w:color="000000"/>
              <w:right w:val="single" w:sz="4" w:space="0" w:color="000000"/>
            </w:tcBorders>
            <w:shd w:val="clear" w:color="auto" w:fill="F6B26B"/>
            <w:tcMar>
              <w:top w:w="40" w:type="dxa"/>
              <w:left w:w="40" w:type="dxa"/>
              <w:bottom w:w="40" w:type="dxa"/>
              <w:right w:w="40" w:type="dxa"/>
            </w:tcMar>
          </w:tcPr>
          <w:p w14:paraId="753A60F3"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Profitability Ratios (£ m)</w:t>
            </w:r>
          </w:p>
        </w:tc>
      </w:tr>
      <w:tr w:rsidR="00091C20" w:rsidRPr="00091C20" w14:paraId="753A60FB"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0F5"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lastRenderedPageBreak/>
              <w:t>Ratio Name and Formula</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0F6"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2025</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0F7"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2024</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0F8"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2023</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0F9"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2022</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0FA"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2021</w:t>
            </w:r>
          </w:p>
        </w:tc>
      </w:tr>
      <w:tr w:rsidR="00091C20" w:rsidRPr="00091C20" w14:paraId="753A6102"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0FC"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Net Profit</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0F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£ 743.20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0FE"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£ 800.50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0FF"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£ 710.70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0"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£ 677.50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1"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£ 286.70</w:t>
            </w:r>
          </w:p>
        </w:tc>
      </w:tr>
      <w:tr w:rsidR="00091C20" w:rsidRPr="00091C20" w14:paraId="753A6109"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03"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Revenue</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04"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£ 6118.10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05"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£ 5491.00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6"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£ 5034.00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7"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£ 4376.50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8"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£ 3284.10</w:t>
            </w:r>
          </w:p>
        </w:tc>
      </w:tr>
      <w:tr w:rsidR="00091C20" w:rsidRPr="00091C20" w14:paraId="753A6110"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0A"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Gross Profit</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0B"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£ 2642.20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0C"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£ 2420.50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£ 2175.30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E"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£ 1972.00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0F"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£ 1247.90</w:t>
            </w:r>
          </w:p>
        </w:tc>
      </w:tr>
      <w:tr w:rsidR="00091C20" w:rsidRPr="00091C20" w14:paraId="753A6117" w14:textId="77777777">
        <w:trPr>
          <w:trHeight w:val="645"/>
        </w:trPr>
        <w:tc>
          <w:tcPr>
            <w:tcW w:w="3165" w:type="dxa"/>
            <w:tcBorders>
              <w:top w:val="nil"/>
              <w:left w:val="single" w:sz="4" w:space="0" w:color="000000"/>
              <w:bottom w:val="single" w:sz="4" w:space="0" w:color="000000"/>
              <w:right w:val="single" w:sz="4" w:space="0" w:color="000000"/>
            </w:tcBorders>
            <w:shd w:val="clear" w:color="auto" w:fill="F6B26B"/>
            <w:tcMar>
              <w:top w:w="40" w:type="dxa"/>
              <w:left w:w="40" w:type="dxa"/>
              <w:bottom w:w="40" w:type="dxa"/>
              <w:right w:w="40" w:type="dxa"/>
            </w:tcMar>
          </w:tcPr>
          <w:p w14:paraId="753A6111"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Net Profit Margin (Net Profit/Revenue*100)</w:t>
            </w:r>
          </w:p>
        </w:tc>
        <w:tc>
          <w:tcPr>
            <w:tcW w:w="1320"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2"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12.15%</w:t>
            </w:r>
          </w:p>
        </w:tc>
        <w:tc>
          <w:tcPr>
            <w:tcW w:w="1350"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3"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14.58%</w:t>
            </w:r>
          </w:p>
        </w:tc>
        <w:tc>
          <w:tcPr>
            <w:tcW w:w="1035"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4"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14.12%</w:t>
            </w:r>
          </w:p>
        </w:tc>
        <w:tc>
          <w:tcPr>
            <w:tcW w:w="1035"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5"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15.48%</w:t>
            </w:r>
          </w:p>
        </w:tc>
        <w:tc>
          <w:tcPr>
            <w:tcW w:w="1035"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6"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8.73%</w:t>
            </w:r>
          </w:p>
        </w:tc>
      </w:tr>
      <w:tr w:rsidR="00091C20" w:rsidRPr="00091C20" w14:paraId="753A611E" w14:textId="77777777">
        <w:trPr>
          <w:trHeight w:val="645"/>
        </w:trPr>
        <w:tc>
          <w:tcPr>
            <w:tcW w:w="3165" w:type="dxa"/>
            <w:tcBorders>
              <w:top w:val="nil"/>
              <w:left w:val="single" w:sz="4" w:space="0" w:color="000000"/>
              <w:bottom w:val="single" w:sz="4" w:space="0" w:color="000000"/>
              <w:right w:val="single" w:sz="4" w:space="0" w:color="000000"/>
            </w:tcBorders>
            <w:shd w:val="clear" w:color="auto" w:fill="F6B26B"/>
            <w:tcMar>
              <w:top w:w="40" w:type="dxa"/>
              <w:left w:w="40" w:type="dxa"/>
              <w:bottom w:w="40" w:type="dxa"/>
              <w:right w:w="40" w:type="dxa"/>
            </w:tcMar>
          </w:tcPr>
          <w:p w14:paraId="753A6118"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Gross Profit Margin (Gross Profit/Revenue*100)</w:t>
            </w:r>
          </w:p>
        </w:tc>
        <w:tc>
          <w:tcPr>
            <w:tcW w:w="1320"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9"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43.19%</w:t>
            </w:r>
          </w:p>
        </w:tc>
        <w:tc>
          <w:tcPr>
            <w:tcW w:w="1350"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A"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44.08%</w:t>
            </w:r>
          </w:p>
        </w:tc>
        <w:tc>
          <w:tcPr>
            <w:tcW w:w="1035"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B"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43.21%</w:t>
            </w:r>
          </w:p>
        </w:tc>
        <w:tc>
          <w:tcPr>
            <w:tcW w:w="1035"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C"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45.06%</w:t>
            </w:r>
          </w:p>
        </w:tc>
        <w:tc>
          <w:tcPr>
            <w:tcW w:w="1035" w:type="dxa"/>
            <w:tcBorders>
              <w:top w:val="nil"/>
              <w:left w:val="nil"/>
              <w:bottom w:val="single" w:sz="4" w:space="0" w:color="000000"/>
              <w:right w:val="single" w:sz="4" w:space="0" w:color="000000"/>
            </w:tcBorders>
            <w:shd w:val="clear" w:color="auto" w:fill="F6B26B"/>
            <w:tcMar>
              <w:top w:w="40" w:type="dxa"/>
              <w:left w:w="40" w:type="dxa"/>
              <w:bottom w:w="40" w:type="dxa"/>
              <w:right w:w="40" w:type="dxa"/>
            </w:tcMar>
          </w:tcPr>
          <w:p w14:paraId="753A611D"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38.00%</w:t>
            </w:r>
          </w:p>
        </w:tc>
      </w:tr>
      <w:tr w:rsidR="00091C20" w:rsidRPr="00091C20" w14:paraId="753A6120" w14:textId="77777777">
        <w:trPr>
          <w:trHeight w:val="360"/>
        </w:trPr>
        <w:tc>
          <w:tcPr>
            <w:tcW w:w="8940" w:type="dxa"/>
            <w:gridSpan w:val="6"/>
            <w:tcBorders>
              <w:top w:val="nil"/>
              <w:left w:val="single" w:sz="4" w:space="0" w:color="000000"/>
              <w:bottom w:val="single" w:sz="4" w:space="0" w:color="000000"/>
              <w:right w:val="single" w:sz="4" w:space="0" w:color="000000"/>
            </w:tcBorders>
            <w:shd w:val="clear" w:color="auto" w:fill="B4A7D6"/>
            <w:tcMar>
              <w:top w:w="40" w:type="dxa"/>
              <w:left w:w="40" w:type="dxa"/>
              <w:bottom w:w="40" w:type="dxa"/>
              <w:right w:w="40" w:type="dxa"/>
            </w:tcMar>
          </w:tcPr>
          <w:p w14:paraId="753A611F"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Efficiency Ratios (£ m)</w:t>
            </w:r>
          </w:p>
        </w:tc>
      </w:tr>
      <w:tr w:rsidR="00091C20" w:rsidRPr="00091C20" w14:paraId="753A6127"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21"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Ratio Name and Formula</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22"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2025</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23"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2024</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24"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2023</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25"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2022</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26"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2021</w:t>
            </w:r>
          </w:p>
        </w:tc>
      </w:tr>
      <w:tr w:rsidR="00091C20" w:rsidRPr="00091C20" w14:paraId="753A612E"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28"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COGS</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29"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£ 3456.50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2A"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£ 3034.50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2B"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£ 2827.70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2C"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£ 2625.30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2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£ 2231.70</w:t>
            </w:r>
          </w:p>
        </w:tc>
      </w:tr>
      <w:tr w:rsidR="00091C20" w:rsidRPr="00091C20" w14:paraId="753A6135"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2F"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Inventory</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30"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£ 865.20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31"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£ 769.00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32"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£ 662.20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33"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£ 633.00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34"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£ 536.90</w:t>
            </w:r>
          </w:p>
        </w:tc>
      </w:tr>
      <w:tr w:rsidR="00091C20" w:rsidRPr="00091C20" w14:paraId="753A613C"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36"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Revenue</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37"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£ 6118.10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38"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£ 5491.00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39"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£ 5034.00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3A"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£ 4376.50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3B"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£ 3284.10</w:t>
            </w:r>
          </w:p>
        </w:tc>
      </w:tr>
      <w:tr w:rsidR="00091C20" w:rsidRPr="00091C20" w14:paraId="753A6143"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3D"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Total Assets</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3E"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£ 4872.50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3F"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£ 4724.30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40"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£ 3983.80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41"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£ 3981.80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42"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£ 3758.00</w:t>
            </w:r>
          </w:p>
        </w:tc>
      </w:tr>
      <w:tr w:rsidR="00091C20" w:rsidRPr="00091C20" w14:paraId="753A614A" w14:textId="77777777">
        <w:trPr>
          <w:trHeight w:val="645"/>
        </w:trPr>
        <w:tc>
          <w:tcPr>
            <w:tcW w:w="3165" w:type="dxa"/>
            <w:tcBorders>
              <w:top w:val="nil"/>
              <w:left w:val="single" w:sz="4" w:space="0" w:color="000000"/>
              <w:bottom w:val="single" w:sz="4" w:space="0" w:color="000000"/>
              <w:right w:val="single" w:sz="4" w:space="0" w:color="000000"/>
            </w:tcBorders>
            <w:shd w:val="clear" w:color="auto" w:fill="B4A7D6"/>
            <w:tcMar>
              <w:top w:w="40" w:type="dxa"/>
              <w:left w:w="40" w:type="dxa"/>
              <w:bottom w:w="40" w:type="dxa"/>
              <w:right w:w="40" w:type="dxa"/>
            </w:tcMar>
          </w:tcPr>
          <w:p w14:paraId="753A6144"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Inventory Turnover Ratio (COGS/Inventory)</w:t>
            </w:r>
          </w:p>
        </w:tc>
        <w:tc>
          <w:tcPr>
            <w:tcW w:w="1320"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5"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4.00</w:t>
            </w:r>
          </w:p>
        </w:tc>
        <w:tc>
          <w:tcPr>
            <w:tcW w:w="1350"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6"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3.95</w:t>
            </w:r>
          </w:p>
        </w:tc>
        <w:tc>
          <w:tcPr>
            <w:tcW w:w="1035"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7"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4.27</w:t>
            </w:r>
          </w:p>
        </w:tc>
        <w:tc>
          <w:tcPr>
            <w:tcW w:w="1035"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8"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4.15</w:t>
            </w:r>
          </w:p>
        </w:tc>
        <w:tc>
          <w:tcPr>
            <w:tcW w:w="1035"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9"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4.16</w:t>
            </w:r>
          </w:p>
        </w:tc>
      </w:tr>
      <w:tr w:rsidR="00091C20" w:rsidRPr="00091C20" w14:paraId="753A6151" w14:textId="77777777">
        <w:trPr>
          <w:trHeight w:val="645"/>
        </w:trPr>
        <w:tc>
          <w:tcPr>
            <w:tcW w:w="3165" w:type="dxa"/>
            <w:tcBorders>
              <w:top w:val="nil"/>
              <w:left w:val="single" w:sz="4" w:space="0" w:color="000000"/>
              <w:bottom w:val="single" w:sz="4" w:space="0" w:color="000000"/>
              <w:right w:val="single" w:sz="4" w:space="0" w:color="000000"/>
            </w:tcBorders>
            <w:shd w:val="clear" w:color="auto" w:fill="B4A7D6"/>
            <w:tcMar>
              <w:top w:w="40" w:type="dxa"/>
              <w:left w:w="40" w:type="dxa"/>
              <w:bottom w:w="40" w:type="dxa"/>
              <w:right w:w="40" w:type="dxa"/>
            </w:tcMar>
          </w:tcPr>
          <w:p w14:paraId="753A614B"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Asset Turnover Ratio (Revenue/Total Assets)</w:t>
            </w:r>
          </w:p>
        </w:tc>
        <w:tc>
          <w:tcPr>
            <w:tcW w:w="1320"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C"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1.26</w:t>
            </w:r>
          </w:p>
        </w:tc>
        <w:tc>
          <w:tcPr>
            <w:tcW w:w="1350"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D"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1.16</w:t>
            </w:r>
          </w:p>
        </w:tc>
        <w:tc>
          <w:tcPr>
            <w:tcW w:w="1035"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E"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1.26</w:t>
            </w:r>
          </w:p>
        </w:tc>
        <w:tc>
          <w:tcPr>
            <w:tcW w:w="1035"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4F"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1.10</w:t>
            </w:r>
          </w:p>
        </w:tc>
        <w:tc>
          <w:tcPr>
            <w:tcW w:w="1035" w:type="dxa"/>
            <w:tcBorders>
              <w:top w:val="nil"/>
              <w:left w:val="nil"/>
              <w:bottom w:val="single" w:sz="4" w:space="0" w:color="000000"/>
              <w:right w:val="single" w:sz="4" w:space="0" w:color="000000"/>
            </w:tcBorders>
            <w:shd w:val="clear" w:color="auto" w:fill="B4A7D6"/>
            <w:tcMar>
              <w:top w:w="40" w:type="dxa"/>
              <w:left w:w="40" w:type="dxa"/>
              <w:bottom w:w="40" w:type="dxa"/>
              <w:right w:w="40" w:type="dxa"/>
            </w:tcMar>
          </w:tcPr>
          <w:p w14:paraId="753A6150"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0.87</w:t>
            </w:r>
          </w:p>
        </w:tc>
      </w:tr>
      <w:tr w:rsidR="00091C20" w:rsidRPr="00091C20" w14:paraId="753A6153" w14:textId="77777777">
        <w:trPr>
          <w:trHeight w:val="360"/>
        </w:trPr>
        <w:tc>
          <w:tcPr>
            <w:tcW w:w="8940" w:type="dxa"/>
            <w:gridSpan w:val="6"/>
            <w:tcBorders>
              <w:top w:val="nil"/>
              <w:left w:val="single" w:sz="4" w:space="0" w:color="000000"/>
              <w:bottom w:val="single" w:sz="4" w:space="0" w:color="000000"/>
              <w:right w:val="single" w:sz="4" w:space="0" w:color="000000"/>
            </w:tcBorders>
            <w:shd w:val="clear" w:color="auto" w:fill="B6D7A8"/>
            <w:tcMar>
              <w:top w:w="40" w:type="dxa"/>
              <w:left w:w="40" w:type="dxa"/>
              <w:bottom w:w="40" w:type="dxa"/>
              <w:right w:w="40" w:type="dxa"/>
            </w:tcMar>
          </w:tcPr>
          <w:p w14:paraId="753A6152"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Liquidity Ratios (£ m)</w:t>
            </w:r>
          </w:p>
        </w:tc>
      </w:tr>
      <w:tr w:rsidR="00091C20" w:rsidRPr="00091C20" w14:paraId="753A615A"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54"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Ratio Name and Formula</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55"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2025</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56"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2024</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57"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2023</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58"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2022</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59"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2021</w:t>
            </w:r>
          </w:p>
        </w:tc>
      </w:tr>
      <w:tr w:rsidR="00091C20" w:rsidRPr="00091C20" w14:paraId="753A6161"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5B"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Current Assets</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5C"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£ 2649.90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5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£ 2447.70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5E"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£ 2234.50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5F"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£ 2407.20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60"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£ 2288.60</w:t>
            </w:r>
          </w:p>
        </w:tc>
      </w:tr>
      <w:tr w:rsidR="00091C20" w:rsidRPr="00091C20" w14:paraId="753A6168"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62"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lastRenderedPageBreak/>
              <w:t>Inventories</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63"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£ 865.20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64"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£ 769.00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65"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£ 662.20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66"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£ 633.00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67"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£ 536.90</w:t>
            </w:r>
          </w:p>
        </w:tc>
      </w:tr>
      <w:tr w:rsidR="00091C20" w:rsidRPr="00091C20" w14:paraId="753A616F"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69"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Current Liabilities</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6A"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£ 1566.40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6B"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£ 1245.70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6C"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£ 1093.30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6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£ 1208.10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6E"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£ 1196.80</w:t>
            </w:r>
          </w:p>
        </w:tc>
      </w:tr>
      <w:tr w:rsidR="00091C20" w:rsidRPr="00091C20" w14:paraId="753A6176" w14:textId="77777777">
        <w:trPr>
          <w:trHeight w:val="645"/>
        </w:trPr>
        <w:tc>
          <w:tcPr>
            <w:tcW w:w="3165" w:type="dxa"/>
            <w:tcBorders>
              <w:top w:val="nil"/>
              <w:left w:val="single" w:sz="4" w:space="0" w:color="000000"/>
              <w:bottom w:val="single" w:sz="4" w:space="0" w:color="000000"/>
              <w:right w:val="single" w:sz="4" w:space="0" w:color="000000"/>
            </w:tcBorders>
            <w:shd w:val="clear" w:color="auto" w:fill="B6D7A8"/>
            <w:tcMar>
              <w:top w:w="40" w:type="dxa"/>
              <w:left w:w="40" w:type="dxa"/>
              <w:bottom w:w="40" w:type="dxa"/>
              <w:right w:w="40" w:type="dxa"/>
            </w:tcMar>
          </w:tcPr>
          <w:p w14:paraId="753A6170"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Current Ratio (Current Assets/Current Liabilities)</w:t>
            </w:r>
          </w:p>
        </w:tc>
        <w:tc>
          <w:tcPr>
            <w:tcW w:w="1320"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1"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1.69</w:t>
            </w:r>
          </w:p>
        </w:tc>
        <w:tc>
          <w:tcPr>
            <w:tcW w:w="1350"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2"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1.96</w:t>
            </w:r>
          </w:p>
        </w:tc>
        <w:tc>
          <w:tcPr>
            <w:tcW w:w="1035"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3"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2.04</w:t>
            </w:r>
          </w:p>
        </w:tc>
        <w:tc>
          <w:tcPr>
            <w:tcW w:w="1035"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4"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1.99</w:t>
            </w:r>
          </w:p>
        </w:tc>
        <w:tc>
          <w:tcPr>
            <w:tcW w:w="1035"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5"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1.91</w:t>
            </w:r>
          </w:p>
        </w:tc>
      </w:tr>
      <w:tr w:rsidR="00091C20" w:rsidRPr="00091C20" w14:paraId="753A617D" w14:textId="77777777">
        <w:trPr>
          <w:trHeight w:val="915"/>
        </w:trPr>
        <w:tc>
          <w:tcPr>
            <w:tcW w:w="3165" w:type="dxa"/>
            <w:tcBorders>
              <w:top w:val="nil"/>
              <w:left w:val="single" w:sz="4" w:space="0" w:color="000000"/>
              <w:bottom w:val="single" w:sz="4" w:space="0" w:color="000000"/>
              <w:right w:val="single" w:sz="4" w:space="0" w:color="000000"/>
            </w:tcBorders>
            <w:shd w:val="clear" w:color="auto" w:fill="B6D7A8"/>
            <w:tcMar>
              <w:top w:w="40" w:type="dxa"/>
              <w:left w:w="40" w:type="dxa"/>
              <w:bottom w:w="40" w:type="dxa"/>
              <w:right w:w="40" w:type="dxa"/>
            </w:tcMar>
          </w:tcPr>
          <w:p w14:paraId="753A6177"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Quick Ratio (Current Assets - Inventories) / Current Liabilities</w:t>
            </w:r>
          </w:p>
        </w:tc>
        <w:tc>
          <w:tcPr>
            <w:tcW w:w="1320"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8"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1.14</w:t>
            </w:r>
          </w:p>
        </w:tc>
        <w:tc>
          <w:tcPr>
            <w:tcW w:w="1350"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9"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1.35</w:t>
            </w:r>
          </w:p>
        </w:tc>
        <w:tc>
          <w:tcPr>
            <w:tcW w:w="1035"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A"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1.44</w:t>
            </w:r>
          </w:p>
        </w:tc>
        <w:tc>
          <w:tcPr>
            <w:tcW w:w="1035"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B"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1.47</w:t>
            </w:r>
          </w:p>
        </w:tc>
        <w:tc>
          <w:tcPr>
            <w:tcW w:w="1035" w:type="dxa"/>
            <w:tcBorders>
              <w:top w:val="nil"/>
              <w:left w:val="nil"/>
              <w:bottom w:val="single" w:sz="4" w:space="0" w:color="000000"/>
              <w:right w:val="single" w:sz="4" w:space="0" w:color="000000"/>
            </w:tcBorders>
            <w:shd w:val="clear" w:color="auto" w:fill="B6D7A8"/>
            <w:tcMar>
              <w:top w:w="40" w:type="dxa"/>
              <w:left w:w="40" w:type="dxa"/>
              <w:bottom w:w="40" w:type="dxa"/>
              <w:right w:w="40" w:type="dxa"/>
            </w:tcMar>
          </w:tcPr>
          <w:p w14:paraId="753A617C"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1.46</w:t>
            </w:r>
          </w:p>
        </w:tc>
      </w:tr>
      <w:tr w:rsidR="00091C20" w:rsidRPr="00091C20" w14:paraId="753A617F" w14:textId="77777777">
        <w:trPr>
          <w:trHeight w:val="360"/>
        </w:trPr>
        <w:tc>
          <w:tcPr>
            <w:tcW w:w="8940" w:type="dxa"/>
            <w:gridSpan w:val="6"/>
            <w:tcBorders>
              <w:top w:val="nil"/>
              <w:left w:val="single" w:sz="4" w:space="0" w:color="000000"/>
              <w:bottom w:val="single" w:sz="4" w:space="0" w:color="000000"/>
              <w:right w:val="single" w:sz="4" w:space="0" w:color="000000"/>
            </w:tcBorders>
            <w:shd w:val="clear" w:color="auto" w:fill="6FA8DC"/>
            <w:tcMar>
              <w:top w:w="40" w:type="dxa"/>
              <w:left w:w="40" w:type="dxa"/>
              <w:bottom w:w="40" w:type="dxa"/>
              <w:right w:w="40" w:type="dxa"/>
            </w:tcMar>
          </w:tcPr>
          <w:p w14:paraId="753A617E"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Gearing Ratio (£ m)</w:t>
            </w:r>
          </w:p>
        </w:tc>
      </w:tr>
      <w:tr w:rsidR="00091C20" w:rsidRPr="00091C20" w14:paraId="753A6186"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80"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Ratio Name and Formula</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81"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2025</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82"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2024</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83"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2023</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84"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2022</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85"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2021</w:t>
            </w:r>
          </w:p>
        </w:tc>
      </w:tr>
      <w:tr w:rsidR="00091C20" w:rsidRPr="00091C20" w14:paraId="753A618D"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87"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EBIT</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88"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£ 1075.40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89"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£ 987.90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8A"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£ 941.50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8B"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£ 905.40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8C"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£ 444.50</w:t>
            </w:r>
          </w:p>
        </w:tc>
      </w:tr>
      <w:tr w:rsidR="00091C20" w:rsidRPr="00091C20" w14:paraId="753A6194"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8E"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Interest Expenses</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8F"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£ 96.60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90"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£ 87.50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91"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£ 77.90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92"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£ 86.50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93"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£ 102.70</w:t>
            </w:r>
          </w:p>
        </w:tc>
      </w:tr>
      <w:tr w:rsidR="00091C20" w:rsidRPr="00091C20" w14:paraId="753A619B"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95"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Total Debt</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96"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£ 3118.20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97"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£ 3085.50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98"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£ 2818.70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99"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£ 2971.80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9A"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£ 3097.10</w:t>
            </w:r>
          </w:p>
        </w:tc>
      </w:tr>
      <w:tr w:rsidR="00091C20" w:rsidRPr="00091C20" w14:paraId="753A61A2"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9C"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Total Equity</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9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£ 1754.30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9E"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£ 1638.80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9F"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£ 1165.10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A0"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£ 1010.00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A1"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£ 660.90</w:t>
            </w:r>
          </w:p>
        </w:tc>
      </w:tr>
      <w:tr w:rsidR="00091C20" w:rsidRPr="00091C20" w14:paraId="753A61A9" w14:textId="77777777">
        <w:trPr>
          <w:trHeight w:val="645"/>
        </w:trPr>
        <w:tc>
          <w:tcPr>
            <w:tcW w:w="3165" w:type="dxa"/>
            <w:tcBorders>
              <w:top w:val="nil"/>
              <w:left w:val="single" w:sz="4" w:space="0" w:color="000000"/>
              <w:bottom w:val="single" w:sz="4" w:space="0" w:color="000000"/>
              <w:right w:val="single" w:sz="4" w:space="0" w:color="000000"/>
            </w:tcBorders>
            <w:shd w:val="clear" w:color="auto" w:fill="6FA8DC"/>
            <w:tcMar>
              <w:top w:w="40" w:type="dxa"/>
              <w:left w:w="40" w:type="dxa"/>
              <w:bottom w:w="40" w:type="dxa"/>
              <w:right w:w="40" w:type="dxa"/>
            </w:tcMar>
          </w:tcPr>
          <w:p w14:paraId="753A61A3"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Interest Coverage Ratio (EBIT/Interest Expenses)</w:t>
            </w:r>
          </w:p>
        </w:tc>
        <w:tc>
          <w:tcPr>
            <w:tcW w:w="1320"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4"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11.13</w:t>
            </w:r>
          </w:p>
        </w:tc>
        <w:tc>
          <w:tcPr>
            <w:tcW w:w="1350"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5"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11.29</w:t>
            </w:r>
          </w:p>
        </w:tc>
        <w:tc>
          <w:tcPr>
            <w:tcW w:w="1035"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6"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12.09</w:t>
            </w:r>
          </w:p>
        </w:tc>
        <w:tc>
          <w:tcPr>
            <w:tcW w:w="1035"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7"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10.47</w:t>
            </w:r>
          </w:p>
        </w:tc>
        <w:tc>
          <w:tcPr>
            <w:tcW w:w="1035"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8"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4.33</w:t>
            </w:r>
          </w:p>
        </w:tc>
      </w:tr>
      <w:tr w:rsidR="00091C20" w:rsidRPr="00091C20" w14:paraId="753A61B0" w14:textId="77777777">
        <w:trPr>
          <w:trHeight w:val="645"/>
        </w:trPr>
        <w:tc>
          <w:tcPr>
            <w:tcW w:w="3165" w:type="dxa"/>
            <w:tcBorders>
              <w:top w:val="nil"/>
              <w:left w:val="single" w:sz="4" w:space="0" w:color="000000"/>
              <w:bottom w:val="single" w:sz="4" w:space="0" w:color="000000"/>
              <w:right w:val="single" w:sz="4" w:space="0" w:color="000000"/>
            </w:tcBorders>
            <w:shd w:val="clear" w:color="auto" w:fill="6FA8DC"/>
            <w:tcMar>
              <w:top w:w="40" w:type="dxa"/>
              <w:left w:w="40" w:type="dxa"/>
              <w:bottom w:w="40" w:type="dxa"/>
              <w:right w:w="40" w:type="dxa"/>
            </w:tcMar>
          </w:tcPr>
          <w:p w14:paraId="753A61AA"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Debt-to-Equity Ratio (Total Debt/Total Equity)</w:t>
            </w:r>
          </w:p>
        </w:tc>
        <w:tc>
          <w:tcPr>
            <w:tcW w:w="1320"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B"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1.78</w:t>
            </w:r>
          </w:p>
        </w:tc>
        <w:tc>
          <w:tcPr>
            <w:tcW w:w="1350"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C"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1.88</w:t>
            </w:r>
          </w:p>
        </w:tc>
        <w:tc>
          <w:tcPr>
            <w:tcW w:w="1035"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D"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2.42</w:t>
            </w:r>
          </w:p>
        </w:tc>
        <w:tc>
          <w:tcPr>
            <w:tcW w:w="1035"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E"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2.94</w:t>
            </w:r>
          </w:p>
        </w:tc>
        <w:tc>
          <w:tcPr>
            <w:tcW w:w="1035" w:type="dxa"/>
            <w:tcBorders>
              <w:top w:val="nil"/>
              <w:left w:val="nil"/>
              <w:bottom w:val="single" w:sz="4" w:space="0" w:color="000000"/>
              <w:right w:val="single" w:sz="4" w:space="0" w:color="000000"/>
            </w:tcBorders>
            <w:shd w:val="clear" w:color="auto" w:fill="6FA8DC"/>
            <w:tcMar>
              <w:top w:w="40" w:type="dxa"/>
              <w:left w:w="40" w:type="dxa"/>
              <w:bottom w:w="40" w:type="dxa"/>
              <w:right w:w="40" w:type="dxa"/>
            </w:tcMar>
          </w:tcPr>
          <w:p w14:paraId="753A61AF"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4.69</w:t>
            </w:r>
          </w:p>
        </w:tc>
      </w:tr>
      <w:tr w:rsidR="00091C20" w:rsidRPr="00091C20" w14:paraId="753A61B2" w14:textId="77777777">
        <w:trPr>
          <w:trHeight w:val="360"/>
        </w:trPr>
        <w:tc>
          <w:tcPr>
            <w:tcW w:w="8940" w:type="dxa"/>
            <w:gridSpan w:val="6"/>
            <w:tcBorders>
              <w:top w:val="nil"/>
              <w:left w:val="single" w:sz="4" w:space="0" w:color="000000"/>
              <w:bottom w:val="single" w:sz="4" w:space="0" w:color="000000"/>
              <w:right w:val="single" w:sz="4" w:space="0" w:color="000000"/>
            </w:tcBorders>
            <w:shd w:val="clear" w:color="auto" w:fill="DD7E6B"/>
            <w:tcMar>
              <w:top w:w="40" w:type="dxa"/>
              <w:left w:w="40" w:type="dxa"/>
              <w:bottom w:w="40" w:type="dxa"/>
              <w:right w:w="40" w:type="dxa"/>
            </w:tcMar>
          </w:tcPr>
          <w:p w14:paraId="753A61B1"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Investment Ratios (£ m)</w:t>
            </w:r>
          </w:p>
        </w:tc>
      </w:tr>
      <w:tr w:rsidR="00091C20" w:rsidRPr="00091C20" w14:paraId="753A61B9"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B3"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Ratio Name and Formula</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B4"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2025</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B5"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2024</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B6"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2023</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B7"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2022</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B8" w14:textId="77777777" w:rsidR="009F2980" w:rsidRPr="00091C20" w:rsidRDefault="00000A17" w:rsidP="00091C20">
            <w:pPr>
              <w:spacing w:line="360" w:lineRule="auto"/>
              <w:jc w:val="center"/>
              <w:rPr>
                <w:rFonts w:asciiTheme="minorBidi" w:hAnsiTheme="minorBidi" w:cstheme="minorBidi"/>
                <w:b/>
                <w:bCs/>
                <w:sz w:val="24"/>
                <w:szCs w:val="24"/>
                <w:lang w:val="en-GB"/>
              </w:rPr>
            </w:pPr>
            <w:r w:rsidRPr="00091C20">
              <w:rPr>
                <w:rFonts w:asciiTheme="minorBidi" w:hAnsiTheme="minorBidi" w:cstheme="minorBidi"/>
                <w:b/>
                <w:bCs/>
                <w:sz w:val="24"/>
                <w:szCs w:val="24"/>
                <w:lang w:val="en-GB"/>
              </w:rPr>
              <w:t>2021</w:t>
            </w:r>
          </w:p>
        </w:tc>
      </w:tr>
      <w:tr w:rsidR="00091C20" w:rsidRPr="00091C20" w14:paraId="753A61C0"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BA"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Dividend Paid</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BB"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£ 257.80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BC"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£ 248.30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B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£ 237.40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BE"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£ 344.50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BF"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£ 0.00</w:t>
            </w:r>
          </w:p>
        </w:tc>
      </w:tr>
      <w:tr w:rsidR="00091C20" w:rsidRPr="00091C20" w14:paraId="753A61C7" w14:textId="77777777">
        <w:trPr>
          <w:trHeight w:val="360"/>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C1"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Net Income</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C2"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£ 743.20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C3"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£ 800.50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C4"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£ 710.70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C5"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£ 677.50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C6"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£ 286.70</w:t>
            </w:r>
          </w:p>
        </w:tc>
      </w:tr>
      <w:tr w:rsidR="00091C20" w:rsidRPr="00091C20" w14:paraId="753A61CE" w14:textId="77777777">
        <w:trPr>
          <w:trHeight w:val="645"/>
        </w:trPr>
        <w:tc>
          <w:tcPr>
            <w:tcW w:w="3165"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53A61C8" w14:textId="77777777" w:rsidR="009F2980" w:rsidRPr="00091C20" w:rsidRDefault="00000A17" w:rsidP="00091C20">
            <w:pPr>
              <w:spacing w:line="360" w:lineRule="auto"/>
              <w:rPr>
                <w:rFonts w:asciiTheme="minorBidi" w:hAnsiTheme="minorBidi" w:cstheme="minorBidi"/>
                <w:sz w:val="24"/>
                <w:szCs w:val="24"/>
                <w:lang w:val="en-GB"/>
              </w:rPr>
            </w:pPr>
            <w:r w:rsidRPr="00091C20">
              <w:rPr>
                <w:rFonts w:asciiTheme="minorBidi" w:hAnsiTheme="minorBidi" w:cstheme="minorBidi"/>
                <w:sz w:val="24"/>
                <w:szCs w:val="24"/>
                <w:lang w:val="en-GB"/>
              </w:rPr>
              <w:t>Total Assets</w:t>
            </w:r>
          </w:p>
        </w:tc>
        <w:tc>
          <w:tcPr>
            <w:tcW w:w="1320" w:type="dxa"/>
            <w:tcBorders>
              <w:top w:val="nil"/>
              <w:left w:val="nil"/>
              <w:bottom w:val="single" w:sz="4" w:space="0" w:color="000000"/>
              <w:right w:val="single" w:sz="4" w:space="0" w:color="000000"/>
            </w:tcBorders>
            <w:tcMar>
              <w:top w:w="40" w:type="dxa"/>
              <w:left w:w="40" w:type="dxa"/>
              <w:bottom w:w="40" w:type="dxa"/>
              <w:right w:w="40" w:type="dxa"/>
            </w:tcMar>
          </w:tcPr>
          <w:p w14:paraId="753A61C9"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£ 4872.50</w:t>
            </w:r>
          </w:p>
        </w:tc>
        <w:tc>
          <w:tcPr>
            <w:tcW w:w="1350" w:type="dxa"/>
            <w:tcBorders>
              <w:top w:val="nil"/>
              <w:left w:val="nil"/>
              <w:bottom w:val="single" w:sz="4" w:space="0" w:color="000000"/>
              <w:right w:val="single" w:sz="4" w:space="0" w:color="000000"/>
            </w:tcBorders>
            <w:tcMar>
              <w:top w:w="40" w:type="dxa"/>
              <w:left w:w="40" w:type="dxa"/>
              <w:bottom w:w="40" w:type="dxa"/>
              <w:right w:w="40" w:type="dxa"/>
            </w:tcMar>
          </w:tcPr>
          <w:p w14:paraId="753A61CA"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£ 4724.30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CB"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£ 3983.80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CC"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£ 3981.80</w:t>
            </w:r>
          </w:p>
        </w:tc>
        <w:tc>
          <w:tcPr>
            <w:tcW w:w="1035" w:type="dxa"/>
            <w:tcBorders>
              <w:top w:val="nil"/>
              <w:left w:val="nil"/>
              <w:bottom w:val="single" w:sz="4" w:space="0" w:color="000000"/>
              <w:right w:val="single" w:sz="4" w:space="0" w:color="000000"/>
            </w:tcBorders>
            <w:tcMar>
              <w:top w:w="40" w:type="dxa"/>
              <w:left w:w="40" w:type="dxa"/>
              <w:bottom w:w="40" w:type="dxa"/>
              <w:right w:w="40" w:type="dxa"/>
            </w:tcMar>
          </w:tcPr>
          <w:p w14:paraId="753A61CD" w14:textId="77777777" w:rsidR="009F2980" w:rsidRPr="00091C20" w:rsidRDefault="00000A17" w:rsidP="00091C20">
            <w:pPr>
              <w:spacing w:line="360" w:lineRule="auto"/>
              <w:jc w:val="right"/>
              <w:rPr>
                <w:rFonts w:asciiTheme="minorBidi" w:hAnsiTheme="minorBidi" w:cstheme="minorBidi"/>
                <w:sz w:val="24"/>
                <w:szCs w:val="24"/>
                <w:lang w:val="en-GB"/>
              </w:rPr>
            </w:pPr>
            <w:r w:rsidRPr="00091C20">
              <w:rPr>
                <w:rFonts w:asciiTheme="minorBidi" w:hAnsiTheme="minorBidi" w:cstheme="minorBidi"/>
                <w:sz w:val="24"/>
                <w:szCs w:val="24"/>
                <w:lang w:val="en-GB"/>
              </w:rPr>
              <w:t>£ 3758.00</w:t>
            </w:r>
          </w:p>
        </w:tc>
      </w:tr>
      <w:tr w:rsidR="00091C20" w:rsidRPr="00091C20" w14:paraId="753A61D5" w14:textId="77777777">
        <w:trPr>
          <w:trHeight w:val="645"/>
        </w:trPr>
        <w:tc>
          <w:tcPr>
            <w:tcW w:w="3165" w:type="dxa"/>
            <w:tcBorders>
              <w:top w:val="nil"/>
              <w:left w:val="single" w:sz="4" w:space="0" w:color="000000"/>
              <w:bottom w:val="single" w:sz="4" w:space="0" w:color="000000"/>
              <w:right w:val="single" w:sz="4" w:space="0" w:color="000000"/>
            </w:tcBorders>
            <w:shd w:val="clear" w:color="auto" w:fill="DD7E6B"/>
            <w:tcMar>
              <w:top w:w="40" w:type="dxa"/>
              <w:left w:w="40" w:type="dxa"/>
              <w:bottom w:w="40" w:type="dxa"/>
              <w:right w:w="40" w:type="dxa"/>
            </w:tcMar>
          </w:tcPr>
          <w:p w14:paraId="753A61CF"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lastRenderedPageBreak/>
              <w:t>Dividend Payout Ratio (Dividend Paid/Net Income)</w:t>
            </w:r>
          </w:p>
        </w:tc>
        <w:tc>
          <w:tcPr>
            <w:tcW w:w="1320"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D0"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0.35</w:t>
            </w:r>
          </w:p>
        </w:tc>
        <w:tc>
          <w:tcPr>
            <w:tcW w:w="1350"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D1"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0.31</w:t>
            </w:r>
          </w:p>
        </w:tc>
        <w:tc>
          <w:tcPr>
            <w:tcW w:w="1035"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D2"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0.33</w:t>
            </w:r>
          </w:p>
        </w:tc>
        <w:tc>
          <w:tcPr>
            <w:tcW w:w="1035"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D3"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0.51</w:t>
            </w:r>
          </w:p>
        </w:tc>
        <w:tc>
          <w:tcPr>
            <w:tcW w:w="1035"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D4"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0.00</w:t>
            </w:r>
          </w:p>
        </w:tc>
      </w:tr>
      <w:tr w:rsidR="00091C20" w:rsidRPr="00091C20" w14:paraId="753A61DC" w14:textId="77777777">
        <w:trPr>
          <w:trHeight w:val="645"/>
        </w:trPr>
        <w:tc>
          <w:tcPr>
            <w:tcW w:w="3165" w:type="dxa"/>
            <w:tcBorders>
              <w:top w:val="nil"/>
              <w:left w:val="single" w:sz="4" w:space="0" w:color="000000"/>
              <w:bottom w:val="single" w:sz="4" w:space="0" w:color="CCCCCC"/>
              <w:right w:val="single" w:sz="4" w:space="0" w:color="000000"/>
            </w:tcBorders>
            <w:shd w:val="clear" w:color="auto" w:fill="DD7E6B"/>
            <w:tcMar>
              <w:top w:w="40" w:type="dxa"/>
              <w:left w:w="40" w:type="dxa"/>
              <w:bottom w:w="40" w:type="dxa"/>
              <w:right w:w="40" w:type="dxa"/>
            </w:tcMar>
          </w:tcPr>
          <w:p w14:paraId="753A61D6"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Return on Assets (Net Income/Total Assets)</w:t>
            </w:r>
          </w:p>
        </w:tc>
        <w:tc>
          <w:tcPr>
            <w:tcW w:w="1320" w:type="dxa"/>
            <w:tcBorders>
              <w:top w:val="nil"/>
              <w:left w:val="nil"/>
              <w:bottom w:val="single" w:sz="4" w:space="0" w:color="CCCCCC"/>
              <w:right w:val="single" w:sz="4" w:space="0" w:color="000000"/>
            </w:tcBorders>
            <w:shd w:val="clear" w:color="auto" w:fill="DD7E6B"/>
            <w:tcMar>
              <w:top w:w="40" w:type="dxa"/>
              <w:left w:w="40" w:type="dxa"/>
              <w:bottom w:w="40" w:type="dxa"/>
              <w:right w:w="40" w:type="dxa"/>
            </w:tcMar>
          </w:tcPr>
          <w:p w14:paraId="753A61D7"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0.15</w:t>
            </w:r>
          </w:p>
        </w:tc>
        <w:tc>
          <w:tcPr>
            <w:tcW w:w="1350" w:type="dxa"/>
            <w:tcBorders>
              <w:top w:val="nil"/>
              <w:left w:val="nil"/>
              <w:bottom w:val="single" w:sz="4" w:space="0" w:color="CCCCCC"/>
              <w:right w:val="single" w:sz="4" w:space="0" w:color="000000"/>
            </w:tcBorders>
            <w:shd w:val="clear" w:color="auto" w:fill="DD7E6B"/>
            <w:tcMar>
              <w:top w:w="40" w:type="dxa"/>
              <w:left w:w="40" w:type="dxa"/>
              <w:bottom w:w="40" w:type="dxa"/>
              <w:right w:w="40" w:type="dxa"/>
            </w:tcMar>
          </w:tcPr>
          <w:p w14:paraId="753A61D8"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0.17</w:t>
            </w:r>
          </w:p>
        </w:tc>
        <w:tc>
          <w:tcPr>
            <w:tcW w:w="1035" w:type="dxa"/>
            <w:tcBorders>
              <w:top w:val="nil"/>
              <w:left w:val="nil"/>
              <w:bottom w:val="single" w:sz="4" w:space="0" w:color="CCCCCC"/>
              <w:right w:val="single" w:sz="4" w:space="0" w:color="000000"/>
            </w:tcBorders>
            <w:shd w:val="clear" w:color="auto" w:fill="DD7E6B"/>
            <w:tcMar>
              <w:top w:w="40" w:type="dxa"/>
              <w:left w:w="40" w:type="dxa"/>
              <w:bottom w:w="40" w:type="dxa"/>
              <w:right w:w="40" w:type="dxa"/>
            </w:tcMar>
          </w:tcPr>
          <w:p w14:paraId="753A61D9"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0.18</w:t>
            </w:r>
          </w:p>
        </w:tc>
        <w:tc>
          <w:tcPr>
            <w:tcW w:w="1035" w:type="dxa"/>
            <w:tcBorders>
              <w:top w:val="nil"/>
              <w:left w:val="nil"/>
              <w:bottom w:val="single" w:sz="4" w:space="0" w:color="CCCCCC"/>
              <w:right w:val="single" w:sz="4" w:space="0" w:color="000000"/>
            </w:tcBorders>
            <w:shd w:val="clear" w:color="auto" w:fill="DD7E6B"/>
            <w:tcMar>
              <w:top w:w="40" w:type="dxa"/>
              <w:left w:w="40" w:type="dxa"/>
              <w:bottom w:w="40" w:type="dxa"/>
              <w:right w:w="40" w:type="dxa"/>
            </w:tcMar>
          </w:tcPr>
          <w:p w14:paraId="753A61DA"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0.17</w:t>
            </w:r>
          </w:p>
        </w:tc>
        <w:tc>
          <w:tcPr>
            <w:tcW w:w="1035" w:type="dxa"/>
            <w:tcBorders>
              <w:top w:val="nil"/>
              <w:left w:val="nil"/>
              <w:bottom w:val="single" w:sz="4" w:space="0" w:color="CCCCCC"/>
              <w:right w:val="single" w:sz="4" w:space="0" w:color="000000"/>
            </w:tcBorders>
            <w:shd w:val="clear" w:color="auto" w:fill="DD7E6B"/>
            <w:tcMar>
              <w:top w:w="40" w:type="dxa"/>
              <w:left w:w="40" w:type="dxa"/>
              <w:bottom w:w="40" w:type="dxa"/>
              <w:right w:w="40" w:type="dxa"/>
            </w:tcMar>
          </w:tcPr>
          <w:p w14:paraId="753A61DB"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0.08</w:t>
            </w:r>
          </w:p>
        </w:tc>
      </w:tr>
      <w:tr w:rsidR="00091C20" w:rsidRPr="00091C20" w14:paraId="753A61E3" w14:textId="77777777">
        <w:trPr>
          <w:trHeight w:val="360"/>
        </w:trPr>
        <w:tc>
          <w:tcPr>
            <w:tcW w:w="3165" w:type="dxa"/>
            <w:tcBorders>
              <w:top w:val="nil"/>
              <w:left w:val="single" w:sz="4" w:space="0" w:color="000000"/>
              <w:bottom w:val="single" w:sz="4" w:space="0" w:color="000000"/>
              <w:right w:val="single" w:sz="4" w:space="0" w:color="000000"/>
            </w:tcBorders>
            <w:shd w:val="clear" w:color="auto" w:fill="DD7E6B"/>
            <w:tcMar>
              <w:top w:w="40" w:type="dxa"/>
              <w:left w:w="40" w:type="dxa"/>
              <w:bottom w:w="40" w:type="dxa"/>
              <w:right w:w="40" w:type="dxa"/>
            </w:tcMar>
          </w:tcPr>
          <w:p w14:paraId="753A61DD" w14:textId="77777777" w:rsidR="009F2980" w:rsidRPr="00091C20" w:rsidRDefault="00000A17" w:rsidP="00091C20">
            <w:pPr>
              <w:spacing w:line="360" w:lineRule="auto"/>
              <w:rPr>
                <w:rFonts w:asciiTheme="minorBidi" w:hAnsiTheme="minorBidi" w:cstheme="minorBidi"/>
                <w:b/>
                <w:bCs/>
                <w:sz w:val="24"/>
                <w:szCs w:val="24"/>
                <w:lang w:val="en-GB"/>
              </w:rPr>
            </w:pPr>
            <w:r w:rsidRPr="00091C20">
              <w:rPr>
                <w:rFonts w:asciiTheme="minorBidi" w:hAnsiTheme="minorBidi" w:cstheme="minorBidi"/>
                <w:b/>
                <w:bCs/>
                <w:sz w:val="24"/>
                <w:szCs w:val="24"/>
                <w:lang w:val="en-GB"/>
              </w:rPr>
              <w:t>EPS</w:t>
            </w:r>
          </w:p>
        </w:tc>
        <w:tc>
          <w:tcPr>
            <w:tcW w:w="1320"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DE"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615.1p</w:t>
            </w:r>
          </w:p>
        </w:tc>
        <w:tc>
          <w:tcPr>
            <w:tcW w:w="1350"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DF"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661.6p</w:t>
            </w:r>
          </w:p>
        </w:tc>
        <w:tc>
          <w:tcPr>
            <w:tcW w:w="1035"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E0"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573.4p</w:t>
            </w:r>
          </w:p>
        </w:tc>
        <w:tc>
          <w:tcPr>
            <w:tcW w:w="1035"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E1"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530.8p</w:t>
            </w:r>
          </w:p>
        </w:tc>
        <w:tc>
          <w:tcPr>
            <w:tcW w:w="1035" w:type="dxa"/>
            <w:tcBorders>
              <w:top w:val="nil"/>
              <w:left w:val="nil"/>
              <w:bottom w:val="single" w:sz="4" w:space="0" w:color="000000"/>
              <w:right w:val="single" w:sz="4" w:space="0" w:color="000000"/>
            </w:tcBorders>
            <w:shd w:val="clear" w:color="auto" w:fill="DD7E6B"/>
            <w:tcMar>
              <w:top w:w="40" w:type="dxa"/>
              <w:left w:w="40" w:type="dxa"/>
              <w:bottom w:w="40" w:type="dxa"/>
              <w:right w:w="40" w:type="dxa"/>
            </w:tcMar>
          </w:tcPr>
          <w:p w14:paraId="753A61E2" w14:textId="77777777" w:rsidR="009F2980" w:rsidRPr="00091C20" w:rsidRDefault="00000A17" w:rsidP="00091C20">
            <w:pPr>
              <w:spacing w:line="360" w:lineRule="auto"/>
              <w:jc w:val="right"/>
              <w:rPr>
                <w:rFonts w:asciiTheme="minorBidi" w:hAnsiTheme="minorBidi" w:cstheme="minorBidi"/>
                <w:b/>
                <w:bCs/>
                <w:sz w:val="24"/>
                <w:szCs w:val="24"/>
                <w:lang w:val="en-GB"/>
              </w:rPr>
            </w:pPr>
            <w:r w:rsidRPr="00091C20">
              <w:rPr>
                <w:rFonts w:asciiTheme="minorBidi" w:hAnsiTheme="minorBidi" w:cstheme="minorBidi"/>
                <w:b/>
                <w:bCs/>
                <w:sz w:val="24"/>
                <w:szCs w:val="24"/>
                <w:lang w:val="en-GB"/>
              </w:rPr>
              <w:t>223.3p</w:t>
            </w:r>
          </w:p>
        </w:tc>
      </w:tr>
    </w:tbl>
    <w:p w14:paraId="753A61E4" w14:textId="77777777" w:rsidR="009F2980" w:rsidRPr="00091C20" w:rsidRDefault="00000A17" w:rsidP="00091C20">
      <w:pPr>
        <w:pStyle w:val="Heading4"/>
      </w:pPr>
      <w:bookmarkStart w:id="5" w:name="_Toc215854968"/>
      <w:r w:rsidRPr="00091C20">
        <w:t>Table 1: Ratio Calculation for Next plc</w:t>
      </w:r>
      <w:bookmarkEnd w:id="5"/>
    </w:p>
    <w:p w14:paraId="753A61E5" w14:textId="77777777" w:rsidR="009F2980" w:rsidRPr="00091C20" w:rsidRDefault="00000A17" w:rsidP="00091C20">
      <w:pPr>
        <w:spacing w:before="200" w:after="200" w:line="360" w:lineRule="auto"/>
        <w:jc w:val="center"/>
        <w:rPr>
          <w:rFonts w:asciiTheme="minorBidi" w:hAnsiTheme="minorBidi" w:cstheme="minorBidi"/>
          <w:sz w:val="24"/>
          <w:szCs w:val="24"/>
          <w:lang w:val="en-GB"/>
        </w:rPr>
      </w:pPr>
      <w:r w:rsidRPr="00091C20">
        <w:rPr>
          <w:rFonts w:asciiTheme="minorBidi" w:hAnsiTheme="minorBidi" w:cstheme="minorBidi"/>
          <w:sz w:val="24"/>
          <w:szCs w:val="24"/>
          <w:lang w:val="en-GB"/>
        </w:rPr>
        <w:t>(Source: Excel)</w:t>
      </w:r>
    </w:p>
    <w:p w14:paraId="753A61E6"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Analysis of ratios:</w:t>
      </w:r>
    </w:p>
    <w:p w14:paraId="753A61E7"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Profitability Ratios:</w:t>
      </w:r>
    </w:p>
    <w:p w14:paraId="753A61E8"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noProof/>
          <w:sz w:val="24"/>
          <w:szCs w:val="24"/>
          <w:lang w:val="en-GB"/>
        </w:rPr>
        <w:drawing>
          <wp:inline distT="114300" distB="114300" distL="114300" distR="114300" wp14:anchorId="753A624E" wp14:editId="753A624F">
            <wp:extent cx="5943600" cy="3568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568700"/>
                    </a:xfrm>
                    <a:prstGeom prst="rect">
                      <a:avLst/>
                    </a:prstGeom>
                    <a:ln/>
                  </pic:spPr>
                </pic:pic>
              </a:graphicData>
            </a:graphic>
          </wp:inline>
        </w:drawing>
      </w:r>
    </w:p>
    <w:p w14:paraId="753A61E9" w14:textId="77777777" w:rsidR="009F2980" w:rsidRPr="00091C20" w:rsidRDefault="00000A17" w:rsidP="00091C20">
      <w:pPr>
        <w:pStyle w:val="Heading5"/>
      </w:pPr>
      <w:bookmarkStart w:id="6" w:name="_Toc215854919"/>
      <w:r w:rsidRPr="00091C20">
        <w:t>Figure 2: Profitability Ratios</w:t>
      </w:r>
      <w:bookmarkEnd w:id="6"/>
    </w:p>
    <w:p w14:paraId="753A61EA" w14:textId="77777777" w:rsidR="009F2980" w:rsidRPr="00091C20" w:rsidRDefault="00000A17" w:rsidP="00091C20">
      <w:pPr>
        <w:spacing w:before="200" w:after="200" w:line="360" w:lineRule="auto"/>
        <w:jc w:val="center"/>
        <w:rPr>
          <w:rFonts w:asciiTheme="minorBidi" w:hAnsiTheme="minorBidi" w:cstheme="minorBidi"/>
          <w:sz w:val="24"/>
          <w:szCs w:val="24"/>
          <w:lang w:val="en-GB"/>
        </w:rPr>
      </w:pPr>
      <w:r w:rsidRPr="00091C20">
        <w:rPr>
          <w:rFonts w:asciiTheme="minorBidi" w:hAnsiTheme="minorBidi" w:cstheme="minorBidi"/>
          <w:sz w:val="24"/>
          <w:szCs w:val="24"/>
          <w:lang w:val="en-GB"/>
        </w:rPr>
        <w:t>(Source: Excel)</w:t>
      </w:r>
    </w:p>
    <w:p w14:paraId="753A61EB" w14:textId="63045262"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lastRenderedPageBreak/>
        <w:t xml:space="preserve">Net Profit Margin of Next Plc was </w:t>
      </w:r>
      <w:r w:rsidRPr="00091C20">
        <w:rPr>
          <w:rFonts w:asciiTheme="minorBidi" w:hAnsiTheme="minorBidi" w:cstheme="minorBidi"/>
          <w:sz w:val="24"/>
          <w:szCs w:val="24"/>
          <w:lang w:val="en-GB"/>
        </w:rPr>
        <w:tab/>
        <w:t>12.15% in 2025, 14.58% in 2024,</w:t>
      </w:r>
      <w:r w:rsidRPr="00091C20">
        <w:rPr>
          <w:rFonts w:asciiTheme="minorBidi" w:hAnsiTheme="minorBidi" w:cstheme="minorBidi"/>
          <w:sz w:val="24"/>
          <w:szCs w:val="24"/>
          <w:lang w:val="en-GB"/>
        </w:rPr>
        <w:tab/>
        <w:t xml:space="preserve">14.12% in 2023, 15.48% in 2022 and 8.73% in 2021. The ratio reports a decreasing trend over the chosen </w:t>
      </w:r>
      <w:r w:rsidR="00742FC9" w:rsidRPr="00091C20">
        <w:rPr>
          <w:rFonts w:asciiTheme="minorBidi" w:hAnsiTheme="minorBidi" w:cstheme="minorBidi"/>
          <w:sz w:val="24"/>
          <w:szCs w:val="24"/>
          <w:lang w:val="en-GB"/>
        </w:rPr>
        <w:t>time</w:t>
      </w:r>
      <w:r w:rsidRPr="00091C20">
        <w:rPr>
          <w:rFonts w:asciiTheme="minorBidi" w:hAnsiTheme="minorBidi" w:cstheme="minorBidi"/>
          <w:sz w:val="24"/>
          <w:szCs w:val="24"/>
          <w:lang w:val="en-GB"/>
        </w:rPr>
        <w:t xml:space="preserve">. The decrease in ratio has taken place because the increase in revenue is greater than the increase in net profit (Next Plc, 2021). The decreasing ratio is an indication of poor profitability of the business indicating that Next PLC is unable to control its business costs. In other words, the company is not generating sufficient profits as shown from the ratio. Eventually, the company is unable to pay dividends to the shareholders with such a decreasing ratio. Gross Profit Margin of Next Plc was 43.19% in 2025, 44.08% in 2024, 43.21% in 2023, 45.06% in 2022 and 38% in 2021. The ratio shows a decrease but is quite high indicating that the company is implementing sufficient control over its production costs. Next PLC has enough profit to pay other expenses of the business which is good. An increase in sales is visible which indicates that the company can successfully attract customers with the quality of products it is offering. However, NPR of the business is significantly low indicating a need for improvement as it makes sustainability of the business </w:t>
      </w:r>
      <w:r w:rsidR="00742FC9" w:rsidRPr="00091C20">
        <w:rPr>
          <w:rFonts w:asciiTheme="minorBidi" w:hAnsiTheme="minorBidi" w:cstheme="minorBidi"/>
          <w:sz w:val="24"/>
          <w:szCs w:val="24"/>
          <w:lang w:val="en-GB"/>
        </w:rPr>
        <w:t>overall</w:t>
      </w:r>
      <w:r w:rsidRPr="00091C20">
        <w:rPr>
          <w:rFonts w:asciiTheme="minorBidi" w:hAnsiTheme="minorBidi" w:cstheme="minorBidi"/>
          <w:sz w:val="24"/>
          <w:szCs w:val="24"/>
          <w:lang w:val="en-GB"/>
        </w:rPr>
        <w:t xml:space="preserve"> </w:t>
      </w:r>
      <w:r w:rsidR="00742FC9" w:rsidRPr="00091C20">
        <w:rPr>
          <w:rFonts w:asciiTheme="minorBidi" w:hAnsiTheme="minorBidi" w:cstheme="minorBidi"/>
          <w:sz w:val="24"/>
          <w:szCs w:val="24"/>
          <w:lang w:val="en-GB"/>
        </w:rPr>
        <w:t>difficult</w:t>
      </w:r>
      <w:r w:rsidRPr="00091C20">
        <w:rPr>
          <w:rFonts w:asciiTheme="minorBidi" w:hAnsiTheme="minorBidi" w:cstheme="minorBidi"/>
          <w:sz w:val="24"/>
          <w:szCs w:val="24"/>
          <w:lang w:val="en-GB"/>
        </w:rPr>
        <w:t>.</w:t>
      </w:r>
    </w:p>
    <w:p w14:paraId="753A61EC"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Liquidity Ratios:</w:t>
      </w:r>
    </w:p>
    <w:p w14:paraId="753A61ED"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b/>
          <w:bCs/>
          <w:i/>
          <w:iCs/>
          <w:noProof/>
          <w:sz w:val="24"/>
          <w:szCs w:val="24"/>
          <w:lang w:val="en-GB"/>
        </w:rPr>
        <w:drawing>
          <wp:inline distT="114300" distB="114300" distL="114300" distR="114300" wp14:anchorId="753A6250" wp14:editId="7118CF0E">
            <wp:extent cx="4716780" cy="2849880"/>
            <wp:effectExtent l="0" t="0" r="7620" b="762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716780" cy="2849880"/>
                    </a:xfrm>
                    <a:prstGeom prst="rect">
                      <a:avLst/>
                    </a:prstGeom>
                    <a:ln/>
                  </pic:spPr>
                </pic:pic>
              </a:graphicData>
            </a:graphic>
          </wp:inline>
        </w:drawing>
      </w:r>
    </w:p>
    <w:p w14:paraId="753A61EE" w14:textId="77777777" w:rsidR="009F2980" w:rsidRPr="00091C20" w:rsidRDefault="00000A17" w:rsidP="00091C20">
      <w:pPr>
        <w:pStyle w:val="Heading5"/>
      </w:pPr>
      <w:bookmarkStart w:id="7" w:name="_Toc215854920"/>
      <w:r w:rsidRPr="00091C20">
        <w:t>Figure 3: Liquidity Ratios</w:t>
      </w:r>
      <w:bookmarkEnd w:id="7"/>
    </w:p>
    <w:p w14:paraId="753A61EF"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sz w:val="24"/>
          <w:szCs w:val="24"/>
          <w:lang w:val="en-GB"/>
        </w:rPr>
        <w:t>(Source: Excel)</w:t>
      </w:r>
    </w:p>
    <w:p w14:paraId="753A61F0" w14:textId="2E024D6C"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lastRenderedPageBreak/>
        <w:t xml:space="preserve">Liquidity ratio like Current Ratio has been used for measuring ability of current assets of the company to meet debts to be paid (Widiasmara </w:t>
      </w:r>
      <w:r w:rsidRPr="00091C20">
        <w:rPr>
          <w:rFonts w:asciiTheme="minorBidi" w:hAnsiTheme="minorBidi" w:cstheme="minorBidi"/>
          <w:i/>
          <w:iCs/>
          <w:sz w:val="24"/>
          <w:szCs w:val="24"/>
          <w:lang w:val="en-GB"/>
        </w:rPr>
        <w:t>et al.</w:t>
      </w:r>
      <w:r w:rsidRPr="00091C20">
        <w:rPr>
          <w:rFonts w:asciiTheme="minorBidi" w:hAnsiTheme="minorBidi" w:cstheme="minorBidi"/>
          <w:sz w:val="24"/>
          <w:szCs w:val="24"/>
          <w:lang w:val="en-GB"/>
        </w:rPr>
        <w:t xml:space="preserve"> 2022). Current Ratio of Next Plc was 1.69 in 2025, 1.96 in 2024, 2.04 in 2023, 1.99 in 2022 and 1.91 in 2021. The ratio shows a decrease during the last 5 </w:t>
      </w:r>
      <w:r w:rsidR="000762FB" w:rsidRPr="00091C20">
        <w:rPr>
          <w:rFonts w:asciiTheme="minorBidi" w:hAnsiTheme="minorBidi" w:cstheme="minorBidi"/>
          <w:sz w:val="24"/>
          <w:szCs w:val="24"/>
          <w:lang w:val="en-GB"/>
        </w:rPr>
        <w:t>years,</w:t>
      </w:r>
      <w:r w:rsidRPr="00091C20">
        <w:rPr>
          <w:rFonts w:asciiTheme="minorBidi" w:hAnsiTheme="minorBidi" w:cstheme="minorBidi"/>
          <w:sz w:val="24"/>
          <w:szCs w:val="24"/>
          <w:lang w:val="en-GB"/>
        </w:rPr>
        <w:t xml:space="preserve"> but the value is quite high (Next Plc, 2021). The ratio can be seen decreasing because the increase in assets is less compared to the increase in liabilities. However, Next Plc is operating with a positive working capital as the value of current ratio in all 5 years for greater than 1. Because of this positive working capital, the company </w:t>
      </w:r>
      <w:r w:rsidR="000762FB" w:rsidRPr="00091C20">
        <w:rPr>
          <w:rFonts w:asciiTheme="minorBidi" w:hAnsiTheme="minorBidi" w:cstheme="minorBidi"/>
          <w:sz w:val="24"/>
          <w:szCs w:val="24"/>
          <w:lang w:val="en-GB"/>
        </w:rPr>
        <w:t>can</w:t>
      </w:r>
      <w:r w:rsidRPr="00091C20">
        <w:rPr>
          <w:rFonts w:asciiTheme="minorBidi" w:hAnsiTheme="minorBidi" w:cstheme="minorBidi"/>
          <w:sz w:val="24"/>
          <w:szCs w:val="24"/>
          <w:lang w:val="en-GB"/>
        </w:rPr>
        <w:t xml:space="preserve"> make expenses easily </w:t>
      </w:r>
      <w:r w:rsidR="000762FB" w:rsidRPr="00091C20">
        <w:rPr>
          <w:rFonts w:asciiTheme="minorBidi" w:hAnsiTheme="minorBidi" w:cstheme="minorBidi"/>
          <w:sz w:val="24"/>
          <w:szCs w:val="24"/>
          <w:lang w:val="en-GB"/>
        </w:rPr>
        <w:t>and</w:t>
      </w:r>
      <w:r w:rsidRPr="00091C20">
        <w:rPr>
          <w:rFonts w:asciiTheme="minorBidi" w:hAnsiTheme="minorBidi" w:cstheme="minorBidi"/>
          <w:sz w:val="24"/>
          <w:szCs w:val="24"/>
          <w:lang w:val="en-GB"/>
        </w:rPr>
        <w:t xml:space="preserve"> pay the investors. Quick Ratio of Next Plc was 1.14 in 2025, 1.35 in 2024, 1.44 in 2023, 1.47 in 2022 and 1.46 in 2021. If inventories are deducted from current </w:t>
      </w:r>
      <w:r w:rsidR="00091C20" w:rsidRPr="00091C20">
        <w:rPr>
          <w:rFonts w:asciiTheme="minorBidi" w:hAnsiTheme="minorBidi" w:cstheme="minorBidi"/>
          <w:sz w:val="24"/>
          <w:szCs w:val="24"/>
          <w:lang w:val="en-GB"/>
        </w:rPr>
        <w:t>assets,</w:t>
      </w:r>
      <w:r w:rsidRPr="00091C20">
        <w:rPr>
          <w:rFonts w:asciiTheme="minorBidi" w:hAnsiTheme="minorBidi" w:cstheme="minorBidi"/>
          <w:sz w:val="24"/>
          <w:szCs w:val="24"/>
          <w:lang w:val="en-GB"/>
        </w:rPr>
        <w:t xml:space="preserve"> then enough current assets are there which can be used by Next PLC in paying of dues and obligations. In other words, the quick ratio of the business is also quite high leading to a strong liquidity position. This ensures that the business would sustain </w:t>
      </w:r>
      <w:r w:rsidR="000762FB" w:rsidRPr="00091C20">
        <w:rPr>
          <w:rFonts w:asciiTheme="minorBidi" w:hAnsiTheme="minorBidi" w:cstheme="minorBidi"/>
          <w:sz w:val="24"/>
          <w:szCs w:val="24"/>
          <w:lang w:val="en-GB"/>
        </w:rPr>
        <w:t>eventually</w:t>
      </w:r>
      <w:r w:rsidRPr="00091C20">
        <w:rPr>
          <w:rFonts w:asciiTheme="minorBidi" w:hAnsiTheme="minorBidi" w:cstheme="minorBidi"/>
          <w:sz w:val="24"/>
          <w:szCs w:val="24"/>
          <w:lang w:val="en-GB"/>
        </w:rPr>
        <w:t xml:space="preserve"> and will be able to pay its obligations without any issue. It is good that the organisation is investing its resources effectively </w:t>
      </w:r>
      <w:r w:rsidR="000762FB" w:rsidRPr="00091C20">
        <w:rPr>
          <w:rFonts w:asciiTheme="minorBidi" w:hAnsiTheme="minorBidi" w:cstheme="minorBidi"/>
          <w:sz w:val="24"/>
          <w:szCs w:val="24"/>
          <w:lang w:val="en-GB"/>
        </w:rPr>
        <w:t>to</w:t>
      </w:r>
      <w:r w:rsidRPr="00091C20">
        <w:rPr>
          <w:rFonts w:asciiTheme="minorBidi" w:hAnsiTheme="minorBidi" w:cstheme="minorBidi"/>
          <w:sz w:val="24"/>
          <w:szCs w:val="24"/>
          <w:lang w:val="en-GB"/>
        </w:rPr>
        <w:t xml:space="preserve"> earn returns. Neither the company has a shortage of liquid </w:t>
      </w:r>
      <w:r w:rsidR="000762FB" w:rsidRPr="00091C20">
        <w:rPr>
          <w:rFonts w:asciiTheme="minorBidi" w:hAnsiTheme="minorBidi" w:cstheme="minorBidi"/>
          <w:sz w:val="24"/>
          <w:szCs w:val="24"/>
          <w:lang w:val="en-GB"/>
        </w:rPr>
        <w:t>assets,</w:t>
      </w:r>
      <w:r w:rsidRPr="00091C20">
        <w:rPr>
          <w:rFonts w:asciiTheme="minorBidi" w:hAnsiTheme="minorBidi" w:cstheme="minorBidi"/>
          <w:sz w:val="24"/>
          <w:szCs w:val="24"/>
          <w:lang w:val="en-GB"/>
        </w:rPr>
        <w:t xml:space="preserve"> nor it is keeping resources idle.</w:t>
      </w:r>
    </w:p>
    <w:p w14:paraId="753A61F1"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Gearing Ratios:</w:t>
      </w:r>
    </w:p>
    <w:p w14:paraId="753A61F2"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b/>
          <w:bCs/>
          <w:i/>
          <w:iCs/>
          <w:noProof/>
          <w:sz w:val="24"/>
          <w:szCs w:val="24"/>
          <w:lang w:val="en-GB"/>
        </w:rPr>
        <w:drawing>
          <wp:inline distT="114300" distB="114300" distL="114300" distR="114300" wp14:anchorId="753A6252" wp14:editId="116AC4B1">
            <wp:extent cx="4861560" cy="284226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861560" cy="2842260"/>
                    </a:xfrm>
                    <a:prstGeom prst="rect">
                      <a:avLst/>
                    </a:prstGeom>
                    <a:ln/>
                  </pic:spPr>
                </pic:pic>
              </a:graphicData>
            </a:graphic>
          </wp:inline>
        </w:drawing>
      </w:r>
    </w:p>
    <w:p w14:paraId="753A61F3" w14:textId="77777777" w:rsidR="009F2980" w:rsidRPr="00091C20" w:rsidRDefault="00000A17" w:rsidP="00091C20">
      <w:pPr>
        <w:pStyle w:val="Heading5"/>
      </w:pPr>
      <w:bookmarkStart w:id="8" w:name="_Toc215854921"/>
      <w:r w:rsidRPr="00091C20">
        <w:t>Figure 4: Gearing Ratios</w:t>
      </w:r>
      <w:bookmarkEnd w:id="8"/>
    </w:p>
    <w:p w14:paraId="753A61F4"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sz w:val="24"/>
          <w:szCs w:val="24"/>
          <w:lang w:val="en-GB"/>
        </w:rPr>
        <w:lastRenderedPageBreak/>
        <w:t>(Source: Excel)</w:t>
      </w:r>
    </w:p>
    <w:p w14:paraId="753A61F5" w14:textId="26FA1541"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Interest Coverage Ratio of Next Plc was 11.13 in 2025, 11.29 in 2024, 12.09 in 2023, 10.47 in 2022 and 4.33 in 2021. A decrease in the ratio can be seen over the period of 5 years which is not good. The decrease in the ratio shows that the company is paying interest expenses to the investors </w:t>
      </w:r>
      <w:r w:rsidR="00091C20" w:rsidRPr="00091C20">
        <w:rPr>
          <w:rFonts w:asciiTheme="minorBidi" w:hAnsiTheme="minorBidi" w:cstheme="minorBidi"/>
          <w:sz w:val="24"/>
          <w:szCs w:val="24"/>
          <w:lang w:val="en-GB"/>
        </w:rPr>
        <w:t>a smaller</w:t>
      </w:r>
      <w:r w:rsidRPr="00091C20">
        <w:rPr>
          <w:rFonts w:asciiTheme="minorBidi" w:hAnsiTheme="minorBidi" w:cstheme="minorBidi"/>
          <w:sz w:val="24"/>
          <w:szCs w:val="24"/>
          <w:lang w:val="en-GB"/>
        </w:rPr>
        <w:t xml:space="preserve"> number of times throughout the year. In other words, the company possesses less operating profit to pay interest over debt. Based on the views of Shabrina and Hadian (2021), DER is the ratio used for quantifying how big of debt to equity. Debt-to-Equity Ratio of Next Plc was 1.78 in 2025, 1.88 in 2024, 2.42 in 2023, 2.94 in 2022 and 4.69 in 2021. The ratio is decreasing but it is significantly high indicating poor gearing performance of Next PLC. The ratio being greater than 1 indicates that a larger portion of the assets of the business are being financed through debt capital which makes it highly leveraged. Because of the leverage, the company is enjoying a tax </w:t>
      </w:r>
      <w:r w:rsidR="000762FB" w:rsidRPr="00091C20">
        <w:rPr>
          <w:rFonts w:asciiTheme="minorBidi" w:hAnsiTheme="minorBidi" w:cstheme="minorBidi"/>
          <w:sz w:val="24"/>
          <w:szCs w:val="24"/>
          <w:lang w:val="en-GB"/>
        </w:rPr>
        <w:t>shield,</w:t>
      </w:r>
      <w:r w:rsidRPr="00091C20">
        <w:rPr>
          <w:rFonts w:asciiTheme="minorBidi" w:hAnsiTheme="minorBidi" w:cstheme="minorBidi"/>
          <w:sz w:val="24"/>
          <w:szCs w:val="24"/>
          <w:lang w:val="en-GB"/>
        </w:rPr>
        <w:t xml:space="preserve"> but it is also increasing risk. If interest rate increases in </w:t>
      </w:r>
      <w:r w:rsidR="00091C20" w:rsidRPr="00091C20">
        <w:rPr>
          <w:rFonts w:asciiTheme="minorBidi" w:hAnsiTheme="minorBidi" w:cstheme="minorBidi"/>
          <w:sz w:val="24"/>
          <w:szCs w:val="24"/>
          <w:lang w:val="en-GB"/>
        </w:rPr>
        <w:t>future,</w:t>
      </w:r>
      <w:r w:rsidRPr="00091C20">
        <w:rPr>
          <w:rFonts w:asciiTheme="minorBidi" w:hAnsiTheme="minorBidi" w:cstheme="minorBidi"/>
          <w:sz w:val="24"/>
          <w:szCs w:val="24"/>
          <w:lang w:val="en-GB"/>
        </w:rPr>
        <w:t xml:space="preserve"> then the company will have to bear the burden of the same which is not desirable. However, the company is repaying its debt capital and collecting more equity which leads to an improvement in the capital structure. In other words, the company did not create an optimum capital structure which is leading to poor gearing performance. Further improvement in capital structure is required so that the company can reduce </w:t>
      </w:r>
      <w:r w:rsidR="000762FB" w:rsidRPr="00091C20">
        <w:rPr>
          <w:rFonts w:asciiTheme="minorBidi" w:hAnsiTheme="minorBidi" w:cstheme="minorBidi"/>
          <w:sz w:val="24"/>
          <w:szCs w:val="24"/>
          <w:lang w:val="en-GB"/>
        </w:rPr>
        <w:t>the risk to which it is subject</w:t>
      </w:r>
      <w:r w:rsidRPr="00091C20">
        <w:rPr>
          <w:rFonts w:asciiTheme="minorBidi" w:hAnsiTheme="minorBidi" w:cstheme="minorBidi"/>
          <w:sz w:val="24"/>
          <w:szCs w:val="24"/>
          <w:lang w:val="en-GB"/>
        </w:rPr>
        <w:t xml:space="preserve">. </w:t>
      </w:r>
    </w:p>
    <w:p w14:paraId="753A61F6"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Efficiency Ratios:</w:t>
      </w:r>
    </w:p>
    <w:p w14:paraId="753A61F7"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b/>
          <w:bCs/>
          <w:i/>
          <w:iCs/>
          <w:noProof/>
          <w:sz w:val="24"/>
          <w:szCs w:val="24"/>
          <w:lang w:val="en-GB"/>
        </w:rPr>
        <w:drawing>
          <wp:inline distT="114300" distB="114300" distL="114300" distR="114300" wp14:anchorId="753A6254" wp14:editId="7906FB21">
            <wp:extent cx="4617720" cy="2659380"/>
            <wp:effectExtent l="0" t="0" r="0" b="762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617720" cy="2659380"/>
                    </a:xfrm>
                    <a:prstGeom prst="rect">
                      <a:avLst/>
                    </a:prstGeom>
                    <a:ln/>
                  </pic:spPr>
                </pic:pic>
              </a:graphicData>
            </a:graphic>
          </wp:inline>
        </w:drawing>
      </w:r>
    </w:p>
    <w:p w14:paraId="753A61F8" w14:textId="77777777" w:rsidR="009F2980" w:rsidRPr="00091C20" w:rsidRDefault="00000A17" w:rsidP="00091C20">
      <w:pPr>
        <w:pStyle w:val="Heading5"/>
      </w:pPr>
      <w:bookmarkStart w:id="9" w:name="_Toc215854922"/>
      <w:r w:rsidRPr="00091C20">
        <w:lastRenderedPageBreak/>
        <w:t>Figure 5: Efficiency Ratios</w:t>
      </w:r>
      <w:bookmarkEnd w:id="9"/>
    </w:p>
    <w:p w14:paraId="753A61F9"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sz w:val="24"/>
          <w:szCs w:val="24"/>
          <w:lang w:val="en-GB"/>
        </w:rPr>
        <w:t>(Source: Excel)</w:t>
      </w:r>
    </w:p>
    <w:p w14:paraId="753A61FA" w14:textId="0EA644A6"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Inventory Turnover Ratio of Next Plc was 4 in 2025, 3.95 in 2024, 4.27 in 2023, 4.15 in 2022 and 4.16 in 2021. Influenced by the views of Patki (2021), inventory turnover gives an indication of the number of times the inventory has been replaced in </w:t>
      </w:r>
      <w:r w:rsidR="00742FC9" w:rsidRPr="00091C20">
        <w:rPr>
          <w:rFonts w:asciiTheme="minorBidi" w:hAnsiTheme="minorBidi" w:cstheme="minorBidi"/>
          <w:sz w:val="24"/>
          <w:szCs w:val="24"/>
          <w:lang w:val="en-GB"/>
        </w:rPr>
        <w:t>a time</w:t>
      </w:r>
      <w:r w:rsidRPr="00091C20">
        <w:rPr>
          <w:rFonts w:asciiTheme="minorBidi" w:hAnsiTheme="minorBidi" w:cstheme="minorBidi"/>
          <w:sz w:val="24"/>
          <w:szCs w:val="24"/>
          <w:lang w:val="en-GB"/>
        </w:rPr>
        <w:t xml:space="preserve"> of one year. In case of Next PLC, the ratio is quite low which indicates that the company is unable to convert its inventories into finished products and sales. This indicates poor usage of resources within the business which is not desirable. This also indicates that the company is not making sufficient sales during the year. Inventories are not being used by the business sufficiently. Asset Turnover Ratio of Next Plc was 1.26 in 2025, 1.16 in 2024, 1.26 in 2023, 1.10 in 2022 and 0.87 in 2021. In the same way, asset turnover of the business is quite low indicating poor usage of resources in making sales. Despite the increasing balance of assets, the company is unable to make </w:t>
      </w:r>
      <w:r w:rsidR="00742FC9" w:rsidRPr="00091C20">
        <w:rPr>
          <w:rFonts w:asciiTheme="minorBidi" w:hAnsiTheme="minorBidi" w:cstheme="minorBidi"/>
          <w:sz w:val="24"/>
          <w:szCs w:val="24"/>
          <w:lang w:val="en-GB"/>
        </w:rPr>
        <w:t>enough</w:t>
      </w:r>
      <w:r w:rsidRPr="00091C20">
        <w:rPr>
          <w:rFonts w:asciiTheme="minorBidi" w:hAnsiTheme="minorBidi" w:cstheme="minorBidi"/>
          <w:sz w:val="24"/>
          <w:szCs w:val="24"/>
          <w:lang w:val="en-GB"/>
        </w:rPr>
        <w:t xml:space="preserve"> sales which is not desirable for its long</w:t>
      </w:r>
      <w:r w:rsidR="00091C20" w:rsidRPr="00091C20">
        <w:rPr>
          <w:rFonts w:asciiTheme="minorBidi" w:hAnsiTheme="minorBidi" w:cstheme="minorBidi"/>
          <w:sz w:val="24"/>
          <w:szCs w:val="24"/>
          <w:lang w:val="en-GB"/>
        </w:rPr>
        <w:t>-</w:t>
      </w:r>
      <w:r w:rsidRPr="00091C20">
        <w:rPr>
          <w:rFonts w:asciiTheme="minorBidi" w:hAnsiTheme="minorBidi" w:cstheme="minorBidi"/>
          <w:sz w:val="24"/>
          <w:szCs w:val="24"/>
          <w:lang w:val="en-GB"/>
        </w:rPr>
        <w:t>term sustainability. Poor usage of resources can be estimated from such a low ratio indicating overall bad efficiency. There is a need to achieve improvement in sales so that the company can earn greater returns in the future.</w:t>
      </w:r>
    </w:p>
    <w:p w14:paraId="753A61FB"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Investment Ratios:</w:t>
      </w:r>
    </w:p>
    <w:p w14:paraId="753A61FC"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b/>
          <w:bCs/>
          <w:i/>
          <w:iCs/>
          <w:noProof/>
          <w:sz w:val="24"/>
          <w:szCs w:val="24"/>
          <w:lang w:val="en-GB"/>
        </w:rPr>
        <w:drawing>
          <wp:inline distT="114300" distB="114300" distL="114300" distR="114300" wp14:anchorId="753A6256" wp14:editId="4A6C5241">
            <wp:extent cx="5090160" cy="2819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090160" cy="2819400"/>
                    </a:xfrm>
                    <a:prstGeom prst="rect">
                      <a:avLst/>
                    </a:prstGeom>
                    <a:ln/>
                  </pic:spPr>
                </pic:pic>
              </a:graphicData>
            </a:graphic>
          </wp:inline>
        </w:drawing>
      </w:r>
    </w:p>
    <w:p w14:paraId="753A61FD" w14:textId="77777777" w:rsidR="009F2980" w:rsidRPr="00091C20" w:rsidRDefault="00000A17" w:rsidP="00091C20">
      <w:pPr>
        <w:pStyle w:val="Heading5"/>
      </w:pPr>
      <w:bookmarkStart w:id="10" w:name="_Toc215854923"/>
      <w:r w:rsidRPr="00091C20">
        <w:t>Figure 6: Investment Ratios</w:t>
      </w:r>
      <w:bookmarkEnd w:id="10"/>
    </w:p>
    <w:p w14:paraId="753A61FE" w14:textId="77777777" w:rsidR="009F2980" w:rsidRPr="00091C20" w:rsidRDefault="00000A17" w:rsidP="00091C20">
      <w:pPr>
        <w:spacing w:before="200" w:after="200" w:line="360" w:lineRule="auto"/>
        <w:jc w:val="center"/>
        <w:rPr>
          <w:rFonts w:asciiTheme="minorBidi" w:hAnsiTheme="minorBidi" w:cstheme="minorBidi"/>
          <w:b/>
          <w:bCs/>
          <w:i/>
          <w:iCs/>
          <w:sz w:val="24"/>
          <w:szCs w:val="24"/>
          <w:lang w:val="en-GB"/>
        </w:rPr>
      </w:pPr>
      <w:r w:rsidRPr="00091C20">
        <w:rPr>
          <w:rFonts w:asciiTheme="minorBidi" w:hAnsiTheme="minorBidi" w:cstheme="minorBidi"/>
          <w:sz w:val="24"/>
          <w:szCs w:val="24"/>
          <w:lang w:val="en-GB"/>
        </w:rPr>
        <w:lastRenderedPageBreak/>
        <w:t>(Source: Excel)</w:t>
      </w:r>
    </w:p>
    <w:p w14:paraId="753A61FF" w14:textId="4E2A0BFA"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Dividend Payout Ratio of Next Plc was 0.35 in 2025, 0.31 in 2024, 0.33 in 2023, 0.51 in 2022 and 0 in 2021. The ratio is an indication of dividends that have been paid to shareholders over total net profit generated during the year. The above ratio shows that the company is paying </w:t>
      </w:r>
      <w:r w:rsidR="00742FC9" w:rsidRPr="00091C20">
        <w:rPr>
          <w:rFonts w:asciiTheme="minorBidi" w:hAnsiTheme="minorBidi" w:cstheme="minorBidi"/>
          <w:sz w:val="24"/>
          <w:szCs w:val="24"/>
          <w:lang w:val="en-GB"/>
        </w:rPr>
        <w:t>35%</w:t>
      </w:r>
      <w:r w:rsidRPr="00091C20">
        <w:rPr>
          <w:rFonts w:asciiTheme="minorBidi" w:hAnsiTheme="minorBidi" w:cstheme="minorBidi"/>
          <w:sz w:val="24"/>
          <w:szCs w:val="24"/>
          <w:lang w:val="en-GB"/>
        </w:rPr>
        <w:t xml:space="preserve"> of its net profit as dividends to the shareholders which is significantly high. This enhances investment performance of the business because it indicates that the company is creating value for its shareholders. In addition, EPS of Next Plc was 615.1p in 2025, 661.6p in 2024, 573.4p in 2023, 530.8p in 2022 and 223.3p in 2021. Inspired by the ideas of Bustani </w:t>
      </w:r>
      <w:r w:rsidRPr="00091C20">
        <w:rPr>
          <w:rFonts w:asciiTheme="minorBidi" w:hAnsiTheme="minorBidi" w:cstheme="minorBidi"/>
          <w:i/>
          <w:iCs/>
          <w:sz w:val="24"/>
          <w:szCs w:val="24"/>
          <w:lang w:val="en-GB"/>
        </w:rPr>
        <w:t>et al.</w:t>
      </w:r>
      <w:r w:rsidRPr="00091C20">
        <w:rPr>
          <w:rFonts w:asciiTheme="minorBidi" w:hAnsiTheme="minorBidi" w:cstheme="minorBidi"/>
          <w:sz w:val="24"/>
          <w:szCs w:val="24"/>
          <w:lang w:val="en-GB"/>
        </w:rPr>
        <w:t xml:space="preserve"> (2021), EPS ratio evaluates the strength of a business in generating earnings </w:t>
      </w:r>
      <w:r w:rsidR="000762FB" w:rsidRPr="00091C20">
        <w:rPr>
          <w:rFonts w:asciiTheme="minorBidi" w:hAnsiTheme="minorBidi" w:cstheme="minorBidi"/>
          <w:sz w:val="24"/>
          <w:szCs w:val="24"/>
          <w:lang w:val="en-GB"/>
        </w:rPr>
        <w:t>based on</w:t>
      </w:r>
      <w:r w:rsidRPr="00091C20">
        <w:rPr>
          <w:rFonts w:asciiTheme="minorBidi" w:hAnsiTheme="minorBidi" w:cstheme="minorBidi"/>
          <w:sz w:val="24"/>
          <w:szCs w:val="24"/>
          <w:lang w:val="en-GB"/>
        </w:rPr>
        <w:t xml:space="preserve"> earnings over each share. The ratio is decreasing which is an indication of a decrease in the earnings made by the company. However, the value of EPS is significantly high which means that the company is earning </w:t>
      </w:r>
      <w:r w:rsidR="000762FB" w:rsidRPr="00091C20">
        <w:rPr>
          <w:rFonts w:asciiTheme="minorBidi" w:hAnsiTheme="minorBidi" w:cstheme="minorBidi"/>
          <w:sz w:val="24"/>
          <w:szCs w:val="24"/>
          <w:lang w:val="en-GB"/>
        </w:rPr>
        <w:t>enough</w:t>
      </w:r>
      <w:r w:rsidRPr="00091C20">
        <w:rPr>
          <w:rFonts w:asciiTheme="minorBidi" w:hAnsiTheme="minorBidi" w:cstheme="minorBidi"/>
          <w:sz w:val="24"/>
          <w:szCs w:val="24"/>
          <w:lang w:val="en-GB"/>
        </w:rPr>
        <w:t xml:space="preserve"> returns over its outstanding shares. In this way, the company is also creating value for its shareholders who invest money within the business. Investment performance of the company is quite strong which ensures that Next PLC would sustain the industry for </w:t>
      </w:r>
      <w:r w:rsidR="000762FB" w:rsidRPr="00091C20">
        <w:rPr>
          <w:rFonts w:asciiTheme="minorBidi" w:hAnsiTheme="minorBidi" w:cstheme="minorBidi"/>
          <w:sz w:val="24"/>
          <w:szCs w:val="24"/>
          <w:lang w:val="en-GB"/>
        </w:rPr>
        <w:t xml:space="preserve">an extended </w:t>
      </w:r>
      <w:r w:rsidR="00742FC9" w:rsidRPr="00091C20">
        <w:rPr>
          <w:rFonts w:asciiTheme="minorBidi" w:hAnsiTheme="minorBidi" w:cstheme="minorBidi"/>
          <w:sz w:val="24"/>
          <w:szCs w:val="24"/>
          <w:lang w:val="en-GB"/>
        </w:rPr>
        <w:t>period</w:t>
      </w:r>
      <w:r w:rsidRPr="00091C20">
        <w:rPr>
          <w:rFonts w:asciiTheme="minorBidi" w:hAnsiTheme="minorBidi" w:cstheme="minorBidi"/>
          <w:sz w:val="24"/>
          <w:szCs w:val="24"/>
          <w:lang w:val="en-GB"/>
        </w:rPr>
        <w:t>.</w:t>
      </w:r>
    </w:p>
    <w:p w14:paraId="753A6200" w14:textId="77777777" w:rsidR="009F2980" w:rsidRPr="00091C20" w:rsidRDefault="00000A17" w:rsidP="00091C20">
      <w:pPr>
        <w:pStyle w:val="Heading2"/>
        <w:rPr>
          <w:rFonts w:asciiTheme="minorBidi" w:hAnsiTheme="minorBidi" w:cstheme="minorBidi"/>
          <w:lang w:val="en-GB"/>
        </w:rPr>
      </w:pPr>
      <w:bookmarkStart w:id="11" w:name="_lr3r2fl57wg3" w:colFirst="0" w:colLast="0"/>
      <w:bookmarkEnd w:id="11"/>
      <w:r w:rsidRPr="00091C20">
        <w:rPr>
          <w:rFonts w:asciiTheme="minorBidi" w:hAnsiTheme="minorBidi" w:cstheme="minorBidi"/>
          <w:lang w:val="en-GB"/>
        </w:rPr>
        <w:t xml:space="preserve">4. Working Capital Management </w:t>
      </w:r>
    </w:p>
    <w:p w14:paraId="753A6201"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Firm’s 5 years working capital management:</w:t>
      </w:r>
    </w:p>
    <w:p w14:paraId="753A6202" w14:textId="77777777" w:rsidR="009F2980" w:rsidRPr="00091C20" w:rsidRDefault="00000A17" w:rsidP="00091C20">
      <w:pPr>
        <w:spacing w:before="200" w:after="200" w:line="360" w:lineRule="auto"/>
        <w:jc w:val="center"/>
        <w:rPr>
          <w:rFonts w:asciiTheme="minorBidi" w:hAnsiTheme="minorBidi" w:cstheme="minorBidi"/>
          <w:b/>
          <w:bCs/>
          <w:sz w:val="24"/>
          <w:szCs w:val="24"/>
          <w:lang w:val="en-GB"/>
        </w:rPr>
      </w:pPr>
      <w:r w:rsidRPr="00091C20">
        <w:rPr>
          <w:rFonts w:asciiTheme="minorBidi" w:hAnsiTheme="minorBidi" w:cstheme="minorBidi"/>
          <w:b/>
          <w:bCs/>
          <w:noProof/>
          <w:sz w:val="24"/>
          <w:szCs w:val="24"/>
          <w:lang w:val="en-GB"/>
        </w:rPr>
        <w:lastRenderedPageBreak/>
        <w:drawing>
          <wp:inline distT="114300" distB="114300" distL="114300" distR="114300" wp14:anchorId="753A6258" wp14:editId="1C8FCA90">
            <wp:extent cx="5029200" cy="30327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029200" cy="3032760"/>
                    </a:xfrm>
                    <a:prstGeom prst="rect">
                      <a:avLst/>
                    </a:prstGeom>
                    <a:ln/>
                  </pic:spPr>
                </pic:pic>
              </a:graphicData>
            </a:graphic>
          </wp:inline>
        </w:drawing>
      </w:r>
    </w:p>
    <w:p w14:paraId="753A6203" w14:textId="77777777" w:rsidR="009F2980" w:rsidRPr="00091C20" w:rsidRDefault="00000A17" w:rsidP="00091C20">
      <w:pPr>
        <w:pStyle w:val="Heading5"/>
      </w:pPr>
      <w:bookmarkStart w:id="12" w:name="_Toc215854924"/>
      <w:r w:rsidRPr="00091C20">
        <w:t>Figure 7: Working Capital</w:t>
      </w:r>
      <w:bookmarkEnd w:id="12"/>
    </w:p>
    <w:p w14:paraId="753A6204" w14:textId="77777777" w:rsidR="009F2980" w:rsidRPr="00091C20" w:rsidRDefault="00000A17" w:rsidP="00091C20">
      <w:pPr>
        <w:spacing w:before="200" w:after="200" w:line="360" w:lineRule="auto"/>
        <w:jc w:val="center"/>
        <w:rPr>
          <w:rFonts w:asciiTheme="minorBidi" w:hAnsiTheme="minorBidi" w:cstheme="minorBidi"/>
          <w:sz w:val="24"/>
          <w:szCs w:val="24"/>
          <w:lang w:val="en-GB"/>
        </w:rPr>
      </w:pPr>
      <w:r w:rsidRPr="00091C20">
        <w:rPr>
          <w:rFonts w:asciiTheme="minorBidi" w:hAnsiTheme="minorBidi" w:cstheme="minorBidi"/>
          <w:sz w:val="24"/>
          <w:szCs w:val="24"/>
          <w:lang w:val="en-GB"/>
        </w:rPr>
        <w:t>(Source: Excel)</w:t>
      </w:r>
    </w:p>
    <w:p w14:paraId="753A6205" w14:textId="139F8A5C"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Working Capital shows the difference between current assets and current liabilities. Based on the views of Banerjee and Deb (2023), there are many challenges of raising external funds due to which managers engage in more efficient management of working capital to release extra working capital funds. Annual report of the company shows that Current Assets of Next Plc was £ 2649.90 million in 2025, £ 2447.70 million in 2024, £ 2234.50 million in 2023, £ 2407.20 million in 2022 and £ 2288.60 million in 2021. Contrary to this, Current Liabilities of the business was £ 1566.40 million in 2025, £ 1245.70 million in 2024, £ 1093.30 in 2023, £1208.10</w:t>
      </w:r>
      <w:r w:rsidR="00091C20" w:rsidRPr="00091C20">
        <w:rPr>
          <w:rFonts w:asciiTheme="minorBidi" w:hAnsiTheme="minorBidi" w:cstheme="minorBidi"/>
          <w:sz w:val="24"/>
          <w:szCs w:val="24"/>
          <w:lang w:val="en-GB"/>
        </w:rPr>
        <w:t xml:space="preserve"> </w:t>
      </w:r>
      <w:r w:rsidRPr="00091C20">
        <w:rPr>
          <w:rFonts w:asciiTheme="minorBidi" w:hAnsiTheme="minorBidi" w:cstheme="minorBidi"/>
          <w:sz w:val="24"/>
          <w:szCs w:val="24"/>
          <w:lang w:val="en-GB"/>
        </w:rPr>
        <w:t>million in 2022 and £ 1196.8 million in 2021. As current assets are greater than current liabilities, the business is operating with positive working capital making it easy for the company to pay its obligations and liabilities in the short run. Working Capital of Next P</w:t>
      </w:r>
      <w:r w:rsidR="00091C20" w:rsidRPr="00091C20">
        <w:rPr>
          <w:rFonts w:asciiTheme="minorBidi" w:hAnsiTheme="minorBidi" w:cstheme="minorBidi"/>
          <w:sz w:val="24"/>
          <w:szCs w:val="24"/>
          <w:lang w:val="en-GB"/>
        </w:rPr>
        <w:t>l</w:t>
      </w:r>
      <w:r w:rsidRPr="00091C20">
        <w:rPr>
          <w:rFonts w:asciiTheme="minorBidi" w:hAnsiTheme="minorBidi" w:cstheme="minorBidi"/>
          <w:sz w:val="24"/>
          <w:szCs w:val="24"/>
          <w:lang w:val="en-GB"/>
        </w:rPr>
        <w:t xml:space="preserve">c was £ 1083.50 million in 2025, £ 1202 million in 2024, £ 1141.2 million in 2023, £ 1199.10 million in 2022 and £ 1091.8 in 2021. </w:t>
      </w:r>
      <w:r w:rsidR="00742FC9" w:rsidRPr="00091C20">
        <w:rPr>
          <w:rFonts w:asciiTheme="minorBidi" w:hAnsiTheme="minorBidi" w:cstheme="minorBidi"/>
          <w:sz w:val="24"/>
          <w:szCs w:val="24"/>
          <w:lang w:val="en-GB"/>
        </w:rPr>
        <w:t>The</w:t>
      </w:r>
      <w:r w:rsidRPr="00091C20">
        <w:rPr>
          <w:rFonts w:asciiTheme="minorBidi" w:hAnsiTheme="minorBidi" w:cstheme="minorBidi"/>
          <w:sz w:val="24"/>
          <w:szCs w:val="24"/>
          <w:lang w:val="en-GB"/>
        </w:rPr>
        <w:t xml:space="preserve"> working capital of the business is decreasing which is not good as shown in Figure 7. The company is already using its working capital for investment purposes rather than keeping a significant amount of funds idle within the business to earn returns. A material swing </w:t>
      </w:r>
      <w:r w:rsidRPr="00091C20">
        <w:rPr>
          <w:rFonts w:asciiTheme="minorBidi" w:hAnsiTheme="minorBidi" w:cstheme="minorBidi"/>
          <w:sz w:val="24"/>
          <w:szCs w:val="24"/>
          <w:lang w:val="en-GB"/>
        </w:rPr>
        <w:lastRenderedPageBreak/>
        <w:t xml:space="preserve">can be seen in working capital of the business in 2023 which was invested on acquisition of inventories being a major source of revenue for the business. </w:t>
      </w:r>
    </w:p>
    <w:p w14:paraId="753A6206"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Cash flow statement for evaluation:</w:t>
      </w:r>
    </w:p>
    <w:p w14:paraId="753A6207" w14:textId="4A1583C9"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Cash flow statement of the company shows a positive cash balance from operating activities indicating that inflow has been greater than the outflow of cash. The company has used its working capital successfully in making payments to the suppliers and employees of the business which ensures smooth operations. In 2025, working capital was an outflow worth 30 million pounds mostly due to payment made to staff as incentive and higher purchase of stocks. In 2024, working capital was an inflow worth 44 million pounds because of staff incentive being outstanding for the year. In 2023, working capital outflow was 140 million pounds which was significantly high due to significant outflows into staff incentives, </w:t>
      </w:r>
      <w:r w:rsidR="00742FC9" w:rsidRPr="00091C20">
        <w:rPr>
          <w:rFonts w:asciiTheme="minorBidi" w:hAnsiTheme="minorBidi" w:cstheme="minorBidi"/>
          <w:sz w:val="24"/>
          <w:szCs w:val="24"/>
          <w:lang w:val="en-GB"/>
        </w:rPr>
        <w:t>stocks,</w:t>
      </w:r>
      <w:r w:rsidRPr="00091C20">
        <w:rPr>
          <w:rFonts w:asciiTheme="minorBidi" w:hAnsiTheme="minorBidi" w:cstheme="minorBidi"/>
          <w:sz w:val="24"/>
          <w:szCs w:val="24"/>
          <w:lang w:val="en-GB"/>
        </w:rPr>
        <w:t xml:space="preserve"> and debtors. In 2022, working capital outflow was 225 million pounds which is significantly high because of debtors, stocks, staff </w:t>
      </w:r>
      <w:r w:rsidR="00742FC9" w:rsidRPr="00091C20">
        <w:rPr>
          <w:rFonts w:asciiTheme="minorBidi" w:hAnsiTheme="minorBidi" w:cstheme="minorBidi"/>
          <w:sz w:val="24"/>
          <w:szCs w:val="24"/>
          <w:lang w:val="en-GB"/>
        </w:rPr>
        <w:t>incentives,</w:t>
      </w:r>
      <w:r w:rsidRPr="00091C20">
        <w:rPr>
          <w:rFonts w:asciiTheme="minorBidi" w:hAnsiTheme="minorBidi" w:cstheme="minorBidi"/>
          <w:sz w:val="24"/>
          <w:szCs w:val="24"/>
          <w:lang w:val="en-GB"/>
        </w:rPr>
        <w:t xml:space="preserve"> and ESOT. The company expects to use working capital as cash outflow worth 66 million pounds in the next year. Generation of operating cash is </w:t>
      </w:r>
      <w:r w:rsidR="00742FC9" w:rsidRPr="00091C20">
        <w:rPr>
          <w:rFonts w:asciiTheme="minorBidi" w:hAnsiTheme="minorBidi" w:cstheme="minorBidi"/>
          <w:sz w:val="24"/>
          <w:szCs w:val="24"/>
          <w:lang w:val="en-GB"/>
        </w:rPr>
        <w:t>strong</w:t>
      </w:r>
      <w:r w:rsidRPr="00091C20">
        <w:rPr>
          <w:rFonts w:asciiTheme="minorBidi" w:hAnsiTheme="minorBidi" w:cstheme="minorBidi"/>
          <w:sz w:val="24"/>
          <w:szCs w:val="24"/>
          <w:lang w:val="en-GB"/>
        </w:rPr>
        <w:t xml:space="preserve"> for the business which is cushioning volatility of working capital. Along with this, a clear investment programme would reduce operating expenses as well as enhance inventories </w:t>
      </w:r>
      <w:r w:rsidR="00742FC9" w:rsidRPr="00091C20">
        <w:rPr>
          <w:rFonts w:asciiTheme="minorBidi" w:hAnsiTheme="minorBidi" w:cstheme="minorBidi"/>
          <w:sz w:val="24"/>
          <w:szCs w:val="24"/>
          <w:lang w:val="en-GB"/>
        </w:rPr>
        <w:t>overall</w:t>
      </w:r>
      <w:r w:rsidRPr="00091C20">
        <w:rPr>
          <w:rFonts w:asciiTheme="minorBidi" w:hAnsiTheme="minorBidi" w:cstheme="minorBidi"/>
          <w:sz w:val="24"/>
          <w:szCs w:val="24"/>
          <w:lang w:val="en-GB"/>
        </w:rPr>
        <w:t xml:space="preserve">. However, one-off items or large timing are causing big cash swings. These movements of cash can be managed but would not generate any earnings. Along with this, the scale of customer receivable is quite huge, increasing exposure to credit risk. Evaluating working capital of the business it can be said that improvement is required in metrics of inventory management. ESOT cash flows must be smoothed as well as collections must be made </w:t>
      </w:r>
      <w:r w:rsidR="00091C20" w:rsidRPr="00091C20">
        <w:rPr>
          <w:rFonts w:asciiTheme="minorBidi" w:hAnsiTheme="minorBidi" w:cstheme="minorBidi"/>
          <w:sz w:val="24"/>
          <w:szCs w:val="24"/>
          <w:lang w:val="en-GB"/>
        </w:rPr>
        <w:t>stricter</w:t>
      </w:r>
      <w:r w:rsidRPr="00091C20">
        <w:rPr>
          <w:rFonts w:asciiTheme="minorBidi" w:hAnsiTheme="minorBidi" w:cstheme="minorBidi"/>
          <w:sz w:val="24"/>
          <w:szCs w:val="24"/>
          <w:lang w:val="en-GB"/>
        </w:rPr>
        <w:t>. Total platform control must be implemented to ensure that cash inflow is achieved on a timely basis. The company is already trying to decrease its short-term debt capital to be able to manage its working capital better along with increasing liquid resources.</w:t>
      </w:r>
    </w:p>
    <w:p w14:paraId="753A6208" w14:textId="77777777" w:rsidR="009F2980" w:rsidRPr="00091C20" w:rsidRDefault="00000A17" w:rsidP="00091C20">
      <w:pPr>
        <w:pStyle w:val="Heading2"/>
        <w:rPr>
          <w:rFonts w:asciiTheme="minorBidi" w:hAnsiTheme="minorBidi" w:cstheme="minorBidi"/>
          <w:lang w:val="en-GB"/>
        </w:rPr>
      </w:pPr>
      <w:bookmarkStart w:id="13" w:name="_gr0wdequ6uas" w:colFirst="0" w:colLast="0"/>
      <w:bookmarkEnd w:id="13"/>
      <w:r w:rsidRPr="00091C20">
        <w:rPr>
          <w:rFonts w:asciiTheme="minorBidi" w:hAnsiTheme="minorBidi" w:cstheme="minorBidi"/>
          <w:lang w:val="en-GB"/>
        </w:rPr>
        <w:t xml:space="preserve">5. Overall Financial Performance Summary </w:t>
      </w:r>
    </w:p>
    <w:p w14:paraId="753A6209"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Summary of findings:</w:t>
      </w:r>
    </w:p>
    <w:p w14:paraId="753A620A" w14:textId="77777777" w:rsidR="009F2980" w:rsidRPr="00091C20" w:rsidRDefault="00000A17" w:rsidP="00091C20">
      <w:pPr>
        <w:spacing w:before="240" w:after="24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The annual report has been used for the calculation of the ratios, considering the statement of 2025, 2024, 2023, 2022, and 2021. Here, the statement articulates a </w:t>
      </w:r>
      <w:r w:rsidRPr="00091C20">
        <w:rPr>
          <w:rFonts w:asciiTheme="minorBidi" w:hAnsiTheme="minorBidi" w:cstheme="minorBidi"/>
          <w:sz w:val="24"/>
          <w:szCs w:val="24"/>
          <w:lang w:val="en-GB"/>
        </w:rPr>
        <w:lastRenderedPageBreak/>
        <w:t xml:space="preserve">fluctuation in the net profit of Next plc, which has been reduced from £ 800.5 million in 2024 to £ 743.2 million in 2025 (Next Plc, 2025). This reflects a negative impact on the investor confidence, as well as employee morale to meet the organisational objectives effectively. On the other hand, the revenue margin of the company has a significant growth trend, including £ 5491.0 million in 2024 and £ 6118.1 million in 2025, demonstrating effective credit account interest (Next Plc, 2025). This highlights that the firm has strengthened its financial health and efficiency to invest in profitable projects and manage its operational dynamics. Thus, a higher sale brings efficiency in the liquidity administration and provides capital for inclusive expansion and investment in research and development. The current assets and liabilities of Next plc have a marginal growth rate from 2021 to 2025, reflecting an efficient opportunity to meet its short-term obligations. Based on the annual report, it has been analysed that the valuation of shareholder’s equity has also been raised from £ 660.90 in 2021 to £ 1,754.30 in 2025, reflecting inclusive financial health and stability in the competitive landscape. </w:t>
      </w:r>
    </w:p>
    <w:p w14:paraId="753A620B"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Strengths and weaknesses:</w:t>
      </w:r>
    </w:p>
    <w:p w14:paraId="753A620C" w14:textId="66D4CE5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sz w:val="24"/>
          <w:szCs w:val="24"/>
          <w:lang w:val="en-GB"/>
        </w:rPr>
        <w:t xml:space="preserve">In terms of financial performance and position, the biggest strength for the business involves its liquidity position. Working capital of the business is positive which Next PLC is using in paying expenses and dues of the investors. Liquidity of the business helps it in keeping its investors satisfied. Another strength of the business involves its strong investment position. The company is earning a significant amount of earnings over its outstanding shares which helps in creating value for the shareholders </w:t>
      </w:r>
      <w:r w:rsidR="00742FC9" w:rsidRPr="00091C20">
        <w:rPr>
          <w:rFonts w:asciiTheme="minorBidi" w:hAnsiTheme="minorBidi" w:cstheme="minorBidi"/>
          <w:sz w:val="24"/>
          <w:szCs w:val="24"/>
          <w:lang w:val="en-GB"/>
        </w:rPr>
        <w:t>and</w:t>
      </w:r>
      <w:r w:rsidRPr="00091C20">
        <w:rPr>
          <w:rFonts w:asciiTheme="minorBidi" w:hAnsiTheme="minorBidi" w:cstheme="minorBidi"/>
          <w:sz w:val="24"/>
          <w:szCs w:val="24"/>
          <w:lang w:val="en-GB"/>
        </w:rPr>
        <w:t xml:space="preserve"> keeps them satisfied. Along with this, the company is paying </w:t>
      </w:r>
      <w:r w:rsidR="00742FC9" w:rsidRPr="00091C20">
        <w:rPr>
          <w:rFonts w:asciiTheme="minorBidi" w:hAnsiTheme="minorBidi" w:cstheme="minorBidi"/>
          <w:sz w:val="24"/>
          <w:szCs w:val="24"/>
          <w:lang w:val="en-GB"/>
        </w:rPr>
        <w:t>enough</w:t>
      </w:r>
      <w:r w:rsidRPr="00091C20">
        <w:rPr>
          <w:rFonts w:asciiTheme="minorBidi" w:hAnsiTheme="minorBidi" w:cstheme="minorBidi"/>
          <w:sz w:val="24"/>
          <w:szCs w:val="24"/>
          <w:lang w:val="en-GB"/>
        </w:rPr>
        <w:t xml:space="preserve"> dividends to the shareholders which helps the business in reducing agency problems and agency costs. On the other hand, the biggest weakness of the business is its poor capital structure. The company depends significantly on debt capital when it comes to financing business operations making it very risky. Along with this, the ability to pay interest is decreasing. Another weakness of the business involves lower profitability position and poor efficiency of managing assets and inventories.</w:t>
      </w:r>
    </w:p>
    <w:p w14:paraId="753A620D" w14:textId="77777777" w:rsidR="009F2980" w:rsidRPr="00091C20" w:rsidRDefault="00000A17" w:rsidP="00091C20">
      <w:pPr>
        <w:pStyle w:val="Heading1"/>
        <w:rPr>
          <w:rFonts w:asciiTheme="minorBidi" w:hAnsiTheme="minorBidi" w:cstheme="minorBidi"/>
          <w:lang w:val="en-GB"/>
        </w:rPr>
      </w:pPr>
      <w:bookmarkStart w:id="14" w:name="_7l17hx7qt03k" w:colFirst="0" w:colLast="0"/>
      <w:bookmarkEnd w:id="14"/>
      <w:r w:rsidRPr="00091C20">
        <w:rPr>
          <w:rFonts w:asciiTheme="minorBidi" w:hAnsiTheme="minorBidi" w:cstheme="minorBidi"/>
          <w:lang w:val="en-GB"/>
        </w:rPr>
        <w:lastRenderedPageBreak/>
        <w:t>Task 2: Academic Essay on Investment Appraisal Methods</w:t>
      </w:r>
    </w:p>
    <w:p w14:paraId="753A620E" w14:textId="77777777" w:rsidR="009F2980" w:rsidRPr="00091C20" w:rsidRDefault="00000A17" w:rsidP="00091C20">
      <w:pPr>
        <w:pStyle w:val="Heading2"/>
        <w:rPr>
          <w:rFonts w:asciiTheme="minorBidi" w:hAnsiTheme="minorBidi" w:cstheme="minorBidi"/>
          <w:lang w:val="en-GB"/>
        </w:rPr>
      </w:pPr>
      <w:bookmarkStart w:id="15" w:name="_yam1iclmnss6" w:colFirst="0" w:colLast="0"/>
      <w:bookmarkEnd w:id="15"/>
      <w:r w:rsidRPr="00091C20">
        <w:rPr>
          <w:rFonts w:asciiTheme="minorBidi" w:hAnsiTheme="minorBidi" w:cstheme="minorBidi"/>
          <w:lang w:val="en-GB"/>
        </w:rPr>
        <w:t xml:space="preserve">1. Introduction </w:t>
      </w:r>
    </w:p>
    <w:p w14:paraId="753A620F"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Importance of investment appraisal in financial decision-making:</w:t>
      </w:r>
    </w:p>
    <w:p w14:paraId="753A6210" w14:textId="22C7B7E6"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Application of techniques of forecasting as a part of project evaluation is necessary otherwise incorrect decisions would be taken by the organisations. As per the views put forward by Shahriar </w:t>
      </w:r>
      <w:r w:rsidRPr="00091C20">
        <w:rPr>
          <w:rFonts w:asciiTheme="minorBidi" w:hAnsiTheme="minorBidi" w:cstheme="minorBidi"/>
          <w:i/>
          <w:iCs/>
          <w:sz w:val="24"/>
          <w:szCs w:val="24"/>
          <w:lang w:val="en-GB"/>
        </w:rPr>
        <w:t xml:space="preserve">et al. </w:t>
      </w:r>
      <w:r w:rsidRPr="00091C20">
        <w:rPr>
          <w:rFonts w:asciiTheme="minorBidi" w:hAnsiTheme="minorBidi" w:cstheme="minorBidi"/>
          <w:sz w:val="24"/>
          <w:szCs w:val="24"/>
          <w:lang w:val="en-GB"/>
        </w:rPr>
        <w:t xml:space="preserve">(2021), evaluation of a project can be done using investment appraisal techniques like payback period, IRR, ARR and NPV. Financial decision making requires investment appraisal techniques because it helps in determining profitability of the investment options and selecting the best project for investment. Its application reduces chances of error while selecting projects. It becomes </w:t>
      </w:r>
      <w:r w:rsidR="00742FC9" w:rsidRPr="00091C20">
        <w:rPr>
          <w:rFonts w:asciiTheme="minorBidi" w:hAnsiTheme="minorBidi" w:cstheme="minorBidi"/>
          <w:sz w:val="24"/>
          <w:szCs w:val="24"/>
          <w:lang w:val="en-GB"/>
        </w:rPr>
        <w:t>difficult</w:t>
      </w:r>
      <w:r w:rsidRPr="00091C20">
        <w:rPr>
          <w:rFonts w:asciiTheme="minorBidi" w:hAnsiTheme="minorBidi" w:cstheme="minorBidi"/>
          <w:sz w:val="24"/>
          <w:szCs w:val="24"/>
          <w:lang w:val="en-GB"/>
        </w:rPr>
        <w:t xml:space="preserve"> for companies to select projects just by looking at the cashflows </w:t>
      </w:r>
      <w:r w:rsidR="00742FC9" w:rsidRPr="00091C20">
        <w:rPr>
          <w:rFonts w:asciiTheme="minorBidi" w:hAnsiTheme="minorBidi" w:cstheme="minorBidi"/>
          <w:sz w:val="24"/>
          <w:szCs w:val="24"/>
          <w:lang w:val="en-GB"/>
        </w:rPr>
        <w:t>there</w:t>
      </w:r>
      <w:r w:rsidRPr="00091C20">
        <w:rPr>
          <w:rFonts w:asciiTheme="minorBidi" w:hAnsiTheme="minorBidi" w:cstheme="minorBidi"/>
          <w:sz w:val="24"/>
          <w:szCs w:val="24"/>
          <w:lang w:val="en-GB"/>
        </w:rPr>
        <w:t xml:space="preserve"> is a need for proper evaluation of the earnings and spendings. This detailed evaluation of the spendings is possible with the help of investment appraisal techniques.</w:t>
      </w:r>
    </w:p>
    <w:p w14:paraId="753A6211"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Scope of essay and methods:</w:t>
      </w:r>
    </w:p>
    <w:p w14:paraId="753A6212"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The study includes a discussion on investment appraisal techniques like NPV, IRR and payback period. In addition, strengths and limitations of these techniques have been discussed. Numerical examples have been explained regarding these techniques from the course materials. Application of capital rationing is also included with the help of hypothetical examples. </w:t>
      </w:r>
    </w:p>
    <w:p w14:paraId="753A6213" w14:textId="77777777" w:rsidR="009F2980" w:rsidRPr="00091C20" w:rsidRDefault="00000A17" w:rsidP="00091C20">
      <w:pPr>
        <w:pStyle w:val="Heading2"/>
        <w:rPr>
          <w:rFonts w:asciiTheme="minorBidi" w:hAnsiTheme="minorBidi" w:cstheme="minorBidi"/>
          <w:lang w:val="en-GB"/>
        </w:rPr>
      </w:pPr>
      <w:bookmarkStart w:id="16" w:name="_ly4e3cerbgj4" w:colFirst="0" w:colLast="0"/>
      <w:bookmarkEnd w:id="16"/>
      <w:r w:rsidRPr="00091C20">
        <w:rPr>
          <w:rFonts w:asciiTheme="minorBidi" w:hAnsiTheme="minorBidi" w:cstheme="minorBidi"/>
          <w:lang w:val="en-GB"/>
        </w:rPr>
        <w:t xml:space="preserve">2. Main Body </w:t>
      </w:r>
    </w:p>
    <w:p w14:paraId="753A6214"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Overview of Methods:</w:t>
      </w:r>
    </w:p>
    <w:p w14:paraId="753A6215" w14:textId="5EAB84E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b/>
          <w:bCs/>
          <w:sz w:val="24"/>
          <w:szCs w:val="24"/>
          <w:lang w:val="en-GB"/>
        </w:rPr>
        <w:t xml:space="preserve">NPV: </w:t>
      </w:r>
      <w:r w:rsidRPr="00091C20">
        <w:rPr>
          <w:rFonts w:asciiTheme="minorBidi" w:hAnsiTheme="minorBidi" w:cstheme="minorBidi"/>
          <w:sz w:val="24"/>
          <w:szCs w:val="24"/>
          <w:lang w:val="en-GB"/>
        </w:rPr>
        <w:t xml:space="preserve">NPV is a technique of investment appraisal which compares future earnings and expenses of a project after converting them to their present values. NPV is determined using the equation: </w:t>
      </w:r>
      <w:r w:rsidRPr="00091C20">
        <w:rPr>
          <w:rFonts w:asciiTheme="minorBidi" w:hAnsiTheme="minorBidi" w:cstheme="minorBidi"/>
          <w:i/>
          <w:iCs/>
          <w:sz w:val="24"/>
          <w:szCs w:val="24"/>
          <w:lang w:val="en-GB"/>
        </w:rPr>
        <w:t>“-CF0 + CF1/(1+</w:t>
      </w:r>
      <w:r w:rsidR="000762FB" w:rsidRPr="00091C20">
        <w:rPr>
          <w:rFonts w:asciiTheme="minorBidi" w:hAnsiTheme="minorBidi" w:cstheme="minorBidi"/>
          <w:i/>
          <w:iCs/>
          <w:sz w:val="24"/>
          <w:szCs w:val="24"/>
          <w:lang w:val="en-GB"/>
        </w:rPr>
        <w:t>r) ^</w:t>
      </w:r>
      <w:r w:rsidRPr="00091C20">
        <w:rPr>
          <w:rFonts w:asciiTheme="minorBidi" w:hAnsiTheme="minorBidi" w:cstheme="minorBidi"/>
          <w:i/>
          <w:iCs/>
          <w:sz w:val="24"/>
          <w:szCs w:val="24"/>
          <w:lang w:val="en-GB"/>
        </w:rPr>
        <w:t>1 + CF2/(1+</w:t>
      </w:r>
      <w:r w:rsidR="000762FB" w:rsidRPr="00091C20">
        <w:rPr>
          <w:rFonts w:asciiTheme="minorBidi" w:hAnsiTheme="minorBidi" w:cstheme="minorBidi"/>
          <w:i/>
          <w:iCs/>
          <w:sz w:val="24"/>
          <w:szCs w:val="24"/>
          <w:lang w:val="en-GB"/>
        </w:rPr>
        <w:t>r) ^</w:t>
      </w:r>
      <w:r w:rsidRPr="00091C20">
        <w:rPr>
          <w:rFonts w:asciiTheme="minorBidi" w:hAnsiTheme="minorBidi" w:cstheme="minorBidi"/>
          <w:i/>
          <w:iCs/>
          <w:sz w:val="24"/>
          <w:szCs w:val="24"/>
          <w:lang w:val="en-GB"/>
        </w:rPr>
        <w:t>2 + CF3/(1+</w:t>
      </w:r>
      <w:r w:rsidR="000762FB" w:rsidRPr="00091C20">
        <w:rPr>
          <w:rFonts w:asciiTheme="minorBidi" w:hAnsiTheme="minorBidi" w:cstheme="minorBidi"/>
          <w:i/>
          <w:iCs/>
          <w:sz w:val="24"/>
          <w:szCs w:val="24"/>
          <w:lang w:val="en-GB"/>
        </w:rPr>
        <w:t>r) ^</w:t>
      </w:r>
      <w:r w:rsidRPr="00091C20">
        <w:rPr>
          <w:rFonts w:asciiTheme="minorBidi" w:hAnsiTheme="minorBidi" w:cstheme="minorBidi"/>
          <w:i/>
          <w:iCs/>
          <w:sz w:val="24"/>
          <w:szCs w:val="24"/>
          <w:lang w:val="en-GB"/>
        </w:rPr>
        <w:t>3 + CF4/(1+</w:t>
      </w:r>
      <w:r w:rsidR="000762FB" w:rsidRPr="00091C20">
        <w:rPr>
          <w:rFonts w:asciiTheme="minorBidi" w:hAnsiTheme="minorBidi" w:cstheme="minorBidi"/>
          <w:i/>
          <w:iCs/>
          <w:sz w:val="24"/>
          <w:szCs w:val="24"/>
          <w:lang w:val="en-GB"/>
        </w:rPr>
        <w:t>r) ^</w:t>
      </w:r>
      <w:r w:rsidRPr="00091C20">
        <w:rPr>
          <w:rFonts w:asciiTheme="minorBidi" w:hAnsiTheme="minorBidi" w:cstheme="minorBidi"/>
          <w:i/>
          <w:iCs/>
          <w:sz w:val="24"/>
          <w:szCs w:val="24"/>
          <w:lang w:val="en-GB"/>
        </w:rPr>
        <w:t>4 + CF5/(1+</w:t>
      </w:r>
      <w:r w:rsidR="000762FB" w:rsidRPr="00091C20">
        <w:rPr>
          <w:rFonts w:asciiTheme="minorBidi" w:hAnsiTheme="minorBidi" w:cstheme="minorBidi"/>
          <w:i/>
          <w:iCs/>
          <w:sz w:val="24"/>
          <w:szCs w:val="24"/>
          <w:lang w:val="en-GB"/>
        </w:rPr>
        <w:t>r) ^</w:t>
      </w:r>
      <w:r w:rsidRPr="00091C20">
        <w:rPr>
          <w:rFonts w:asciiTheme="minorBidi" w:hAnsiTheme="minorBidi" w:cstheme="minorBidi"/>
          <w:i/>
          <w:iCs/>
          <w:sz w:val="24"/>
          <w:szCs w:val="24"/>
          <w:lang w:val="en-GB"/>
        </w:rPr>
        <w:t>5”</w:t>
      </w:r>
      <w:r w:rsidRPr="00091C20">
        <w:rPr>
          <w:rFonts w:asciiTheme="minorBidi" w:hAnsiTheme="minorBidi" w:cstheme="minorBidi"/>
          <w:sz w:val="24"/>
          <w:szCs w:val="24"/>
          <w:lang w:val="en-GB"/>
        </w:rPr>
        <w:t xml:space="preserve">. If NPV is used in project </w:t>
      </w:r>
      <w:r w:rsidR="000762FB" w:rsidRPr="00091C20">
        <w:rPr>
          <w:rFonts w:asciiTheme="minorBidi" w:hAnsiTheme="minorBidi" w:cstheme="minorBidi"/>
          <w:sz w:val="24"/>
          <w:szCs w:val="24"/>
          <w:lang w:val="en-GB"/>
        </w:rPr>
        <w:t>selection,</w:t>
      </w:r>
      <w:r w:rsidRPr="00091C20">
        <w:rPr>
          <w:rFonts w:asciiTheme="minorBidi" w:hAnsiTheme="minorBidi" w:cstheme="minorBidi"/>
          <w:sz w:val="24"/>
          <w:szCs w:val="24"/>
          <w:lang w:val="en-GB"/>
        </w:rPr>
        <w:t xml:space="preserve"> then the criteria </w:t>
      </w:r>
      <w:r w:rsidR="000762FB" w:rsidRPr="00091C20">
        <w:rPr>
          <w:rFonts w:asciiTheme="minorBidi" w:hAnsiTheme="minorBidi" w:cstheme="minorBidi"/>
          <w:sz w:val="24"/>
          <w:szCs w:val="24"/>
          <w:lang w:val="en-GB"/>
        </w:rPr>
        <w:t>are</w:t>
      </w:r>
      <w:r w:rsidRPr="00091C20">
        <w:rPr>
          <w:rFonts w:asciiTheme="minorBidi" w:hAnsiTheme="minorBidi" w:cstheme="minorBidi"/>
          <w:sz w:val="24"/>
          <w:szCs w:val="24"/>
          <w:lang w:val="en-GB"/>
        </w:rPr>
        <w:t xml:space="preserve"> that the value must be equal to zero or greater than zero. Contrary to this, a project having NPV less than zero must not be selected.</w:t>
      </w:r>
    </w:p>
    <w:p w14:paraId="753A6216" w14:textId="32DC2242"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lastRenderedPageBreak/>
        <w:t xml:space="preserve">IRR: </w:t>
      </w:r>
      <w:r w:rsidRPr="00091C20">
        <w:rPr>
          <w:rFonts w:asciiTheme="minorBidi" w:hAnsiTheme="minorBidi" w:cstheme="minorBidi"/>
          <w:sz w:val="24"/>
          <w:szCs w:val="24"/>
          <w:lang w:val="en-GB"/>
        </w:rPr>
        <w:t xml:space="preserve">IRR is a technique of investment appraisal which generates the rate of return at which NPV of all cash flows are equal to zero. IRR is determined using the equation: </w:t>
      </w:r>
      <w:r w:rsidRPr="00091C20">
        <w:rPr>
          <w:rFonts w:asciiTheme="minorBidi" w:hAnsiTheme="minorBidi" w:cstheme="minorBidi"/>
          <w:i/>
          <w:iCs/>
          <w:sz w:val="24"/>
          <w:szCs w:val="24"/>
          <w:lang w:val="en-GB"/>
        </w:rPr>
        <w:t xml:space="preserve">“R1 + NPV1 </w:t>
      </w:r>
      <w:r w:rsidR="000762FB" w:rsidRPr="00091C20">
        <w:rPr>
          <w:rFonts w:asciiTheme="minorBidi" w:hAnsiTheme="minorBidi" w:cstheme="minorBidi"/>
          <w:i/>
          <w:iCs/>
          <w:sz w:val="24"/>
          <w:szCs w:val="24"/>
          <w:lang w:val="en-GB"/>
        </w:rPr>
        <w:t>/ (</w:t>
      </w:r>
      <w:r w:rsidRPr="00091C20">
        <w:rPr>
          <w:rFonts w:asciiTheme="minorBidi" w:hAnsiTheme="minorBidi" w:cstheme="minorBidi"/>
          <w:i/>
          <w:iCs/>
          <w:sz w:val="24"/>
          <w:szCs w:val="24"/>
          <w:lang w:val="en-GB"/>
        </w:rPr>
        <w:t>NPV1 - NPV2) x (R2 - R1)”</w:t>
      </w:r>
      <w:r w:rsidRPr="00091C20">
        <w:rPr>
          <w:rFonts w:asciiTheme="minorBidi" w:hAnsiTheme="minorBidi" w:cstheme="minorBidi"/>
          <w:sz w:val="24"/>
          <w:szCs w:val="24"/>
          <w:lang w:val="en-GB"/>
        </w:rPr>
        <w:t xml:space="preserve">. If IRR is used in project </w:t>
      </w:r>
      <w:r w:rsidR="00091C20" w:rsidRPr="00091C20">
        <w:rPr>
          <w:rFonts w:asciiTheme="minorBidi" w:hAnsiTheme="minorBidi" w:cstheme="minorBidi"/>
          <w:sz w:val="24"/>
          <w:szCs w:val="24"/>
          <w:lang w:val="en-GB"/>
        </w:rPr>
        <w:t>selection,</w:t>
      </w:r>
      <w:r w:rsidRPr="00091C20">
        <w:rPr>
          <w:rFonts w:asciiTheme="minorBidi" w:hAnsiTheme="minorBidi" w:cstheme="minorBidi"/>
          <w:sz w:val="24"/>
          <w:szCs w:val="24"/>
          <w:lang w:val="en-GB"/>
        </w:rPr>
        <w:t xml:space="preserve"> then the criteria is that the value must be greater than cost of capital. Contrary to this, a project having IRR less than cost of capital must not be selected.</w:t>
      </w:r>
    </w:p>
    <w:p w14:paraId="753A6217" w14:textId="1DFA26EF"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 xml:space="preserve">PBP: </w:t>
      </w:r>
      <w:r w:rsidRPr="00091C20">
        <w:rPr>
          <w:rFonts w:asciiTheme="minorBidi" w:hAnsiTheme="minorBidi" w:cstheme="minorBidi"/>
          <w:sz w:val="24"/>
          <w:szCs w:val="24"/>
          <w:lang w:val="en-GB"/>
        </w:rPr>
        <w:t xml:space="preserve">PBP is a technique of investment appraisal which generates the </w:t>
      </w:r>
      <w:r w:rsidR="000762FB" w:rsidRPr="00091C20">
        <w:rPr>
          <w:rFonts w:asciiTheme="minorBidi" w:hAnsiTheme="minorBidi" w:cstheme="minorBidi"/>
          <w:sz w:val="24"/>
          <w:szCs w:val="24"/>
          <w:lang w:val="en-GB"/>
        </w:rPr>
        <w:t>time</w:t>
      </w:r>
      <w:r w:rsidRPr="00091C20">
        <w:rPr>
          <w:rFonts w:asciiTheme="minorBidi" w:hAnsiTheme="minorBidi" w:cstheme="minorBidi"/>
          <w:sz w:val="24"/>
          <w:szCs w:val="24"/>
          <w:lang w:val="en-GB"/>
        </w:rPr>
        <w:t xml:space="preserve"> after which initial investment from a project would be earned back by the investor. PBP is determined using the equation: </w:t>
      </w:r>
      <w:r w:rsidRPr="00091C20">
        <w:rPr>
          <w:rFonts w:asciiTheme="minorBidi" w:hAnsiTheme="minorBidi" w:cstheme="minorBidi"/>
          <w:i/>
          <w:iCs/>
          <w:sz w:val="24"/>
          <w:szCs w:val="24"/>
          <w:lang w:val="en-GB"/>
        </w:rPr>
        <w:t>“Years before breakeven + Unrecovered Amount / Cash Flow in Recovery Year</w:t>
      </w:r>
      <w:r w:rsidR="000762FB" w:rsidRPr="00091C20">
        <w:rPr>
          <w:rFonts w:asciiTheme="minorBidi" w:hAnsiTheme="minorBidi" w:cstheme="minorBidi"/>
          <w:i/>
          <w:iCs/>
          <w:sz w:val="24"/>
          <w:szCs w:val="24"/>
          <w:lang w:val="en-GB"/>
        </w:rPr>
        <w:t>.”</w:t>
      </w:r>
      <w:r w:rsidRPr="00091C20">
        <w:rPr>
          <w:rFonts w:asciiTheme="minorBidi" w:hAnsiTheme="minorBidi" w:cstheme="minorBidi"/>
          <w:sz w:val="24"/>
          <w:szCs w:val="24"/>
          <w:lang w:val="en-GB"/>
        </w:rPr>
        <w:t xml:space="preserve"> If PBP is used in project </w:t>
      </w:r>
      <w:r w:rsidR="000762FB" w:rsidRPr="00091C20">
        <w:rPr>
          <w:rFonts w:asciiTheme="minorBidi" w:hAnsiTheme="minorBidi" w:cstheme="minorBidi"/>
          <w:sz w:val="24"/>
          <w:szCs w:val="24"/>
          <w:lang w:val="en-GB"/>
        </w:rPr>
        <w:t>selection,</w:t>
      </w:r>
      <w:r w:rsidRPr="00091C20">
        <w:rPr>
          <w:rFonts w:asciiTheme="minorBidi" w:hAnsiTheme="minorBidi" w:cstheme="minorBidi"/>
          <w:sz w:val="24"/>
          <w:szCs w:val="24"/>
          <w:lang w:val="en-GB"/>
        </w:rPr>
        <w:t xml:space="preserve"> then the criteria </w:t>
      </w:r>
      <w:r w:rsidR="000762FB" w:rsidRPr="00091C20">
        <w:rPr>
          <w:rFonts w:asciiTheme="minorBidi" w:hAnsiTheme="minorBidi" w:cstheme="minorBidi"/>
          <w:sz w:val="24"/>
          <w:szCs w:val="24"/>
          <w:lang w:val="en-GB"/>
        </w:rPr>
        <w:t>are</w:t>
      </w:r>
      <w:r w:rsidRPr="00091C20">
        <w:rPr>
          <w:rFonts w:asciiTheme="minorBidi" w:hAnsiTheme="minorBidi" w:cstheme="minorBidi"/>
          <w:sz w:val="24"/>
          <w:szCs w:val="24"/>
          <w:lang w:val="en-GB"/>
        </w:rPr>
        <w:t xml:space="preserve"> that the value must be the lowest number of years. Contrary to this, a project with a higher payback period must not be selected.</w:t>
      </w:r>
    </w:p>
    <w:p w14:paraId="753A6218"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Strengths and Limitations:</w:t>
      </w:r>
    </w:p>
    <w:p w14:paraId="753A6219" w14:textId="2CBE0A09"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b/>
          <w:bCs/>
          <w:i/>
          <w:iCs/>
          <w:sz w:val="24"/>
          <w:szCs w:val="24"/>
          <w:lang w:val="en-GB"/>
        </w:rPr>
        <w:t xml:space="preserve">NPV: </w:t>
      </w:r>
      <w:r w:rsidRPr="00091C20">
        <w:rPr>
          <w:rFonts w:asciiTheme="minorBidi" w:hAnsiTheme="minorBidi" w:cstheme="minorBidi"/>
          <w:sz w:val="24"/>
          <w:szCs w:val="24"/>
          <w:lang w:val="en-GB"/>
        </w:rPr>
        <w:t xml:space="preserve">The biggest strength of NPV is that it takes ‘time value of money’ into consideration. Based on the views of Shou (2022), ‘value of money’ today is greater than the value tomorrow. This means if investors and firms ignore discounting rates and perform calculations with only current value, then the result in future would be overvalued which is a loss for them. Another advantage of NPV is that it eliminates the risk of stewardship problem where project managers are found to put more emphasis on </w:t>
      </w:r>
      <w:r w:rsidR="00091C20" w:rsidRPr="00091C20">
        <w:rPr>
          <w:rFonts w:asciiTheme="minorBidi" w:hAnsiTheme="minorBidi" w:cstheme="minorBidi"/>
          <w:sz w:val="24"/>
          <w:szCs w:val="24"/>
          <w:lang w:val="en-GB"/>
        </w:rPr>
        <w:t>stages,</w:t>
      </w:r>
      <w:r w:rsidRPr="00091C20">
        <w:rPr>
          <w:rFonts w:asciiTheme="minorBidi" w:hAnsiTheme="minorBidi" w:cstheme="minorBidi"/>
          <w:sz w:val="24"/>
          <w:szCs w:val="24"/>
          <w:lang w:val="en-GB"/>
        </w:rPr>
        <w:t xml:space="preserve"> they are responsible for than on the succeeding phases. NPV ensures that all relevant consequences of the project are considered at the time of evaluation. Another strength of NPV is application of a single discounting factor on all projects which helps in performing comparison. NPV is considered effective in terms of decision making when it comes to determining financial profitability of investment projects. Managers are more likely to use this technique for selecting the most profitable investment options compared to other techniques of investment appraisal. However, the biggest disadvantage of NPV is the assumption made for the discounting factor. If the discounting factor is selected incorrectly then the chosen project might lead to significant losses for the investors. A significant limitation of this technique is in effectiveness in decision making when it comes to comparing projects of </w:t>
      </w:r>
      <w:r w:rsidR="00742FC9" w:rsidRPr="00091C20">
        <w:rPr>
          <w:rFonts w:asciiTheme="minorBidi" w:hAnsiTheme="minorBidi" w:cstheme="minorBidi"/>
          <w:sz w:val="24"/>
          <w:szCs w:val="24"/>
          <w:lang w:val="en-GB"/>
        </w:rPr>
        <w:t>many sizes</w:t>
      </w:r>
      <w:r w:rsidRPr="00091C20">
        <w:rPr>
          <w:rFonts w:asciiTheme="minorBidi" w:hAnsiTheme="minorBidi" w:cstheme="minorBidi"/>
          <w:sz w:val="24"/>
          <w:szCs w:val="24"/>
          <w:lang w:val="en-GB"/>
        </w:rPr>
        <w:t xml:space="preserve">. Projects with largest size would report higher NPV </w:t>
      </w:r>
      <w:r w:rsidRPr="00091C20">
        <w:rPr>
          <w:rFonts w:asciiTheme="minorBidi" w:hAnsiTheme="minorBidi" w:cstheme="minorBidi"/>
          <w:sz w:val="24"/>
          <w:szCs w:val="24"/>
          <w:lang w:val="en-GB"/>
        </w:rPr>
        <w:lastRenderedPageBreak/>
        <w:t xml:space="preserve">whereas projects with smallest size would report lowest NPV making it difficult to select more profitable investment options. </w:t>
      </w:r>
    </w:p>
    <w:p w14:paraId="753A621A" w14:textId="5E15F0DB"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IRR:</w:t>
      </w:r>
      <w:r w:rsidRPr="00091C20">
        <w:rPr>
          <w:rFonts w:asciiTheme="minorBidi" w:hAnsiTheme="minorBidi" w:cstheme="minorBidi"/>
          <w:sz w:val="24"/>
          <w:szCs w:val="24"/>
          <w:lang w:val="en-GB"/>
        </w:rPr>
        <w:t xml:space="preserve"> As commented by Failasufa and Mukhtaruddin (2025), IRR can be defined as a method which is used for determining the value of investment of interest rate from expenses as well as income creating a balance. The biggest strength of IRR is that it does not require a hurdle rate or discounting rate. Therefore, no assumption is required in terms of discounting rate if this technique of investment appraisal is used for evaluation. Along with this, IRR is applicable in case of projects having </w:t>
      </w:r>
      <w:r w:rsidR="000762FB" w:rsidRPr="00091C20">
        <w:rPr>
          <w:rFonts w:asciiTheme="minorBidi" w:hAnsiTheme="minorBidi" w:cstheme="minorBidi"/>
          <w:sz w:val="24"/>
          <w:szCs w:val="24"/>
          <w:lang w:val="en-GB"/>
        </w:rPr>
        <w:t>varied sizes</w:t>
      </w:r>
      <w:r w:rsidRPr="00091C20">
        <w:rPr>
          <w:rFonts w:asciiTheme="minorBidi" w:hAnsiTheme="minorBidi" w:cstheme="minorBidi"/>
          <w:sz w:val="24"/>
          <w:szCs w:val="24"/>
          <w:lang w:val="en-GB"/>
        </w:rPr>
        <w:t xml:space="preserve"> unlike NPV. This means both projects with larger size and projects with smaller size would have no impact over the outcome of IRR making selection of projects easier in comparison. Interpretation of IRR is comparatively easy because the outcome is expressed in the form of percentage. Contrary to this, it is assumed that reinvestment is done at </w:t>
      </w:r>
      <w:r w:rsidR="000762FB" w:rsidRPr="00091C20">
        <w:rPr>
          <w:rFonts w:asciiTheme="minorBidi" w:hAnsiTheme="minorBidi" w:cstheme="minorBidi"/>
          <w:sz w:val="24"/>
          <w:szCs w:val="24"/>
          <w:lang w:val="en-GB"/>
        </w:rPr>
        <w:t>IRR,</w:t>
      </w:r>
      <w:r w:rsidRPr="00091C20">
        <w:rPr>
          <w:rFonts w:asciiTheme="minorBidi" w:hAnsiTheme="minorBidi" w:cstheme="minorBidi"/>
          <w:sz w:val="24"/>
          <w:szCs w:val="24"/>
          <w:lang w:val="en-GB"/>
        </w:rPr>
        <w:t xml:space="preserve"> but this assumption is unrealistic if the rate is </w:t>
      </w:r>
      <w:r w:rsidR="000762FB" w:rsidRPr="00091C20">
        <w:rPr>
          <w:rFonts w:asciiTheme="minorBidi" w:hAnsiTheme="minorBidi" w:cstheme="minorBidi"/>
          <w:sz w:val="24"/>
          <w:szCs w:val="24"/>
          <w:lang w:val="en-GB"/>
        </w:rPr>
        <w:t>extremely high</w:t>
      </w:r>
      <w:r w:rsidRPr="00091C20">
        <w:rPr>
          <w:rFonts w:asciiTheme="minorBidi" w:hAnsiTheme="minorBidi" w:cstheme="minorBidi"/>
          <w:sz w:val="24"/>
          <w:szCs w:val="24"/>
          <w:lang w:val="en-GB"/>
        </w:rPr>
        <w:t xml:space="preserve">. Studies have also shown that IRR becomes misleading in case of projects that are mutually exclusive. In other words, a project having higher </w:t>
      </w:r>
      <w:r w:rsidR="000762FB" w:rsidRPr="00091C20">
        <w:rPr>
          <w:rFonts w:asciiTheme="minorBidi" w:hAnsiTheme="minorBidi" w:cstheme="minorBidi"/>
          <w:sz w:val="24"/>
          <w:szCs w:val="24"/>
          <w:lang w:val="en-GB"/>
        </w:rPr>
        <w:t>IRR,</w:t>
      </w:r>
      <w:r w:rsidRPr="00091C20">
        <w:rPr>
          <w:rFonts w:asciiTheme="minorBidi" w:hAnsiTheme="minorBidi" w:cstheme="minorBidi"/>
          <w:sz w:val="24"/>
          <w:szCs w:val="24"/>
          <w:lang w:val="en-GB"/>
        </w:rPr>
        <w:t xml:space="preserve"> but lower NPV cannot be considered optimal for the purpose of investment. IRR can be considered less </w:t>
      </w:r>
      <w:r w:rsidR="000762FB" w:rsidRPr="00091C20">
        <w:rPr>
          <w:rFonts w:asciiTheme="minorBidi" w:hAnsiTheme="minorBidi" w:cstheme="minorBidi"/>
          <w:sz w:val="24"/>
          <w:szCs w:val="24"/>
          <w:lang w:val="en-GB"/>
        </w:rPr>
        <w:t>dependable</w:t>
      </w:r>
      <w:r w:rsidRPr="00091C20">
        <w:rPr>
          <w:rFonts w:asciiTheme="minorBidi" w:hAnsiTheme="minorBidi" w:cstheme="minorBidi"/>
          <w:sz w:val="24"/>
          <w:szCs w:val="24"/>
          <w:lang w:val="en-GB"/>
        </w:rPr>
        <w:t xml:space="preserve"> in case of projects having long duration or unconventional nature. </w:t>
      </w:r>
    </w:p>
    <w:p w14:paraId="753A621B" w14:textId="7BF8B7F8"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 xml:space="preserve">Payback: </w:t>
      </w:r>
      <w:r w:rsidRPr="00091C20">
        <w:rPr>
          <w:rFonts w:asciiTheme="minorBidi" w:hAnsiTheme="minorBidi" w:cstheme="minorBidi"/>
          <w:sz w:val="24"/>
          <w:szCs w:val="24"/>
          <w:lang w:val="en-GB"/>
        </w:rPr>
        <w:t xml:space="preserve">The biggest strength of payback is its ability to determine liquidity of a project unlike NPV and IRR. This means payback helps investors in determining liquidity in place of profitability which makes it unique. The technique is also </w:t>
      </w:r>
      <w:r w:rsidR="000762FB" w:rsidRPr="00091C20">
        <w:rPr>
          <w:rFonts w:asciiTheme="minorBidi" w:hAnsiTheme="minorBidi" w:cstheme="minorBidi"/>
          <w:sz w:val="24"/>
          <w:szCs w:val="24"/>
          <w:lang w:val="en-GB"/>
        </w:rPr>
        <w:t>extremely easy</w:t>
      </w:r>
      <w:r w:rsidRPr="00091C20">
        <w:rPr>
          <w:rFonts w:asciiTheme="minorBidi" w:hAnsiTheme="minorBidi" w:cstheme="minorBidi"/>
          <w:sz w:val="24"/>
          <w:szCs w:val="24"/>
          <w:lang w:val="en-GB"/>
        </w:rPr>
        <w:t xml:space="preserve"> and simple to calculate because of the absence of complex calculations and no need of discounting. If investors are willing to select projects based on their liquidity or ability to regenerate initial </w:t>
      </w:r>
      <w:r w:rsidR="00742FC9" w:rsidRPr="00091C20">
        <w:rPr>
          <w:rFonts w:asciiTheme="minorBidi" w:hAnsiTheme="minorBidi" w:cstheme="minorBidi"/>
          <w:sz w:val="24"/>
          <w:szCs w:val="24"/>
          <w:lang w:val="en-GB"/>
        </w:rPr>
        <w:t>investment,</w:t>
      </w:r>
      <w:r w:rsidRPr="00091C20">
        <w:rPr>
          <w:rFonts w:asciiTheme="minorBidi" w:hAnsiTheme="minorBidi" w:cstheme="minorBidi"/>
          <w:sz w:val="24"/>
          <w:szCs w:val="24"/>
          <w:lang w:val="en-GB"/>
        </w:rPr>
        <w:t xml:space="preserve"> then the payback period must be used for decision making. This technique is also beneficial for evaluating risk exposure in the short term (</w:t>
      </w:r>
      <w:r w:rsidRPr="00091C20">
        <w:rPr>
          <w:rFonts w:asciiTheme="minorBidi" w:hAnsiTheme="minorBidi" w:cstheme="minorBidi"/>
          <w:sz w:val="24"/>
          <w:szCs w:val="24"/>
          <w:highlight w:val="white"/>
          <w:lang w:val="en-GB"/>
        </w:rPr>
        <w:t xml:space="preserve">Lan </w:t>
      </w:r>
      <w:r w:rsidRPr="00091C20">
        <w:rPr>
          <w:rFonts w:asciiTheme="minorBidi" w:hAnsiTheme="minorBidi" w:cstheme="minorBidi"/>
          <w:i/>
          <w:iCs/>
          <w:sz w:val="24"/>
          <w:szCs w:val="24"/>
          <w:highlight w:val="white"/>
          <w:lang w:val="en-GB"/>
        </w:rPr>
        <w:t xml:space="preserve">et al. </w:t>
      </w:r>
      <w:r w:rsidRPr="00091C20">
        <w:rPr>
          <w:rFonts w:asciiTheme="minorBidi" w:hAnsiTheme="minorBidi" w:cstheme="minorBidi"/>
          <w:sz w:val="24"/>
          <w:szCs w:val="24"/>
          <w:highlight w:val="white"/>
          <w:lang w:val="en-GB"/>
        </w:rPr>
        <w:t>2022)</w:t>
      </w:r>
      <w:r w:rsidRPr="00091C20">
        <w:rPr>
          <w:rFonts w:asciiTheme="minorBidi" w:hAnsiTheme="minorBidi" w:cstheme="minorBidi"/>
          <w:sz w:val="24"/>
          <w:szCs w:val="24"/>
          <w:lang w:val="en-GB"/>
        </w:rPr>
        <w:t xml:space="preserve">. Contrary to this, the biggest limitation of the payback period is ignoring ‘time value of money’ as it is a non-discounting technique. As a result, making decisions only </w:t>
      </w:r>
      <w:r w:rsidR="00742FC9" w:rsidRPr="00091C20">
        <w:rPr>
          <w:rFonts w:asciiTheme="minorBidi" w:hAnsiTheme="minorBidi" w:cstheme="minorBidi"/>
          <w:sz w:val="24"/>
          <w:szCs w:val="24"/>
          <w:lang w:val="en-GB"/>
        </w:rPr>
        <w:t>based on</w:t>
      </w:r>
      <w:r w:rsidRPr="00091C20">
        <w:rPr>
          <w:rFonts w:asciiTheme="minorBidi" w:hAnsiTheme="minorBidi" w:cstheme="minorBidi"/>
          <w:sz w:val="24"/>
          <w:szCs w:val="24"/>
          <w:lang w:val="en-GB"/>
        </w:rPr>
        <w:t xml:space="preserve"> payback period can lead to incorrect decision making. This technique also ignores cash flows that would be generated after the payback period. As far as alignment with wealth maximization goals of stakeholders are considered this technique of investment appraisal cannot be considered effective. </w:t>
      </w:r>
    </w:p>
    <w:p w14:paraId="753A621C"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lastRenderedPageBreak/>
        <w:t>Numerical examples:</w:t>
      </w:r>
    </w:p>
    <w:p w14:paraId="753A621D"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NPV:</w:t>
      </w:r>
    </w:p>
    <w:p w14:paraId="753A621E"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For instance, a project having initial investment of 100000 pounds and cashflows worth 10000 pounds, 20000 pounds, 30000 pounds, 40000 pounds and 50000 pounds at a discount rate of 10% would have an NPV worth:</w:t>
      </w:r>
    </w:p>
    <w:p w14:paraId="753A621F" w14:textId="586DB378"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-100000 + 10000</w:t>
      </w:r>
      <w:r w:rsidR="00742FC9" w:rsidRPr="00091C20">
        <w:rPr>
          <w:rFonts w:asciiTheme="minorBidi" w:hAnsiTheme="minorBidi" w:cstheme="minorBidi"/>
          <w:sz w:val="24"/>
          <w:szCs w:val="24"/>
          <w:lang w:val="en-GB"/>
        </w:rPr>
        <w:t>/ (1.10) ^</w:t>
      </w:r>
      <w:r w:rsidRPr="00091C20">
        <w:rPr>
          <w:rFonts w:asciiTheme="minorBidi" w:hAnsiTheme="minorBidi" w:cstheme="minorBidi"/>
          <w:sz w:val="24"/>
          <w:szCs w:val="24"/>
          <w:lang w:val="en-GB"/>
        </w:rPr>
        <w:t>1 + 20000</w:t>
      </w:r>
      <w:r w:rsidR="00742FC9" w:rsidRPr="00091C20">
        <w:rPr>
          <w:rFonts w:asciiTheme="minorBidi" w:hAnsiTheme="minorBidi" w:cstheme="minorBidi"/>
          <w:sz w:val="24"/>
          <w:szCs w:val="24"/>
          <w:lang w:val="en-GB"/>
        </w:rPr>
        <w:t>/ (1.10) ^</w:t>
      </w:r>
      <w:r w:rsidRPr="00091C20">
        <w:rPr>
          <w:rFonts w:asciiTheme="minorBidi" w:hAnsiTheme="minorBidi" w:cstheme="minorBidi"/>
          <w:sz w:val="24"/>
          <w:szCs w:val="24"/>
          <w:lang w:val="en-GB"/>
        </w:rPr>
        <w:t>2 + 30000</w:t>
      </w:r>
      <w:r w:rsidR="00742FC9" w:rsidRPr="00091C20">
        <w:rPr>
          <w:rFonts w:asciiTheme="minorBidi" w:hAnsiTheme="minorBidi" w:cstheme="minorBidi"/>
          <w:sz w:val="24"/>
          <w:szCs w:val="24"/>
          <w:lang w:val="en-GB"/>
        </w:rPr>
        <w:t>/ (1.10) ^</w:t>
      </w:r>
      <w:r w:rsidRPr="00091C20">
        <w:rPr>
          <w:rFonts w:asciiTheme="minorBidi" w:hAnsiTheme="minorBidi" w:cstheme="minorBidi"/>
          <w:sz w:val="24"/>
          <w:szCs w:val="24"/>
          <w:lang w:val="en-GB"/>
        </w:rPr>
        <w:t>3 + 40000</w:t>
      </w:r>
      <w:r w:rsidR="00742FC9" w:rsidRPr="00091C20">
        <w:rPr>
          <w:rFonts w:asciiTheme="minorBidi" w:hAnsiTheme="minorBidi" w:cstheme="minorBidi"/>
          <w:sz w:val="24"/>
          <w:szCs w:val="24"/>
          <w:lang w:val="en-GB"/>
        </w:rPr>
        <w:t>/ (1.10) ^</w:t>
      </w:r>
      <w:r w:rsidRPr="00091C20">
        <w:rPr>
          <w:rFonts w:asciiTheme="minorBidi" w:hAnsiTheme="minorBidi" w:cstheme="minorBidi"/>
          <w:sz w:val="24"/>
          <w:szCs w:val="24"/>
          <w:lang w:val="en-GB"/>
        </w:rPr>
        <w:t>4 + 50000</w:t>
      </w:r>
      <w:r w:rsidR="00742FC9" w:rsidRPr="00091C20">
        <w:rPr>
          <w:rFonts w:asciiTheme="minorBidi" w:hAnsiTheme="minorBidi" w:cstheme="minorBidi"/>
          <w:sz w:val="24"/>
          <w:szCs w:val="24"/>
          <w:lang w:val="en-GB"/>
        </w:rPr>
        <w:t>/ (1.10) ^</w:t>
      </w:r>
      <w:r w:rsidRPr="00091C20">
        <w:rPr>
          <w:rFonts w:asciiTheme="minorBidi" w:hAnsiTheme="minorBidi" w:cstheme="minorBidi"/>
          <w:sz w:val="24"/>
          <w:szCs w:val="24"/>
          <w:lang w:val="en-GB"/>
        </w:rPr>
        <w:t>5</w:t>
      </w:r>
    </w:p>
    <w:p w14:paraId="753A6220"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-100000 + 9090.9 + 16528.9 + 22539.4 + 27320.5 + 31046.06</w:t>
      </w:r>
    </w:p>
    <w:p w14:paraId="753A6221"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 6525.8 pounds</w:t>
      </w:r>
    </w:p>
    <w:p w14:paraId="753A6222"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The positive value makes the project worth selecting.</w:t>
      </w:r>
    </w:p>
    <w:p w14:paraId="753A6223"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IRR:</w:t>
      </w:r>
    </w:p>
    <w:p w14:paraId="753A6224"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For instance, a project having initial investment of 100000 pounds and cashflows worth 10000 pounds, 20000 pounds, 30000 pounds, 40000 pounds and 50000 pounds at a discount rate of 10% would have an IRR worth:</w:t>
      </w:r>
    </w:p>
    <w:p w14:paraId="753A6225"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10% + 6525.8 / (6525.8 - 17.92) x (12% - 10%)</w:t>
      </w:r>
    </w:p>
    <w:p w14:paraId="753A6226"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 12%</w:t>
      </w:r>
    </w:p>
    <w:p w14:paraId="753A6227"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IRR is greater than WACC which makes the project worth selecting.</w:t>
      </w:r>
    </w:p>
    <w:p w14:paraId="753A6228" w14:textId="77777777" w:rsidR="009F2980" w:rsidRPr="00091C20" w:rsidRDefault="00000A17" w:rsidP="00091C20">
      <w:pPr>
        <w:spacing w:before="200" w:after="200" w:line="360" w:lineRule="auto"/>
        <w:jc w:val="both"/>
        <w:rPr>
          <w:rFonts w:asciiTheme="minorBidi" w:hAnsiTheme="minorBidi" w:cstheme="minorBidi"/>
          <w:b/>
          <w:bCs/>
          <w:i/>
          <w:iCs/>
          <w:sz w:val="24"/>
          <w:szCs w:val="24"/>
          <w:lang w:val="en-GB"/>
        </w:rPr>
      </w:pPr>
      <w:r w:rsidRPr="00091C20">
        <w:rPr>
          <w:rFonts w:asciiTheme="minorBidi" w:hAnsiTheme="minorBidi" w:cstheme="minorBidi"/>
          <w:b/>
          <w:bCs/>
          <w:i/>
          <w:iCs/>
          <w:sz w:val="24"/>
          <w:szCs w:val="24"/>
          <w:lang w:val="en-GB"/>
        </w:rPr>
        <w:t>Payback:</w:t>
      </w:r>
    </w:p>
    <w:p w14:paraId="753A6229"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For instance, a project having initial investment of 100000 pounds and cashflows worth 30000 pounds for each year till 5 years would have an PBP worth:</w:t>
      </w:r>
    </w:p>
    <w:p w14:paraId="753A622A"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100000 / 30000</w:t>
      </w:r>
    </w:p>
    <w:p w14:paraId="753A622B"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 3.33 or 3 years 4 months</w:t>
      </w:r>
    </w:p>
    <w:p w14:paraId="753A622C"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Payback period is less which makes the project worth selecting. </w:t>
      </w:r>
    </w:p>
    <w:p w14:paraId="753A622D"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lastRenderedPageBreak/>
        <w:t>Application in Capital Rationing:</w:t>
      </w:r>
    </w:p>
    <w:p w14:paraId="753A622E"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Methods assisting firms in making capital allocation decisions:</w:t>
      </w:r>
    </w:p>
    <w:p w14:paraId="753A622F" w14:textId="59AAFAEC" w:rsidR="009F2980" w:rsidRPr="00091C20" w:rsidRDefault="000762FB"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Companies execute capital rationing</w:t>
      </w:r>
      <w:r w:rsidR="00000A17" w:rsidRPr="00091C20">
        <w:rPr>
          <w:rFonts w:asciiTheme="minorBidi" w:hAnsiTheme="minorBidi" w:cstheme="minorBidi"/>
          <w:sz w:val="24"/>
          <w:szCs w:val="24"/>
          <w:lang w:val="en-GB"/>
        </w:rPr>
        <w:t xml:space="preserve"> when they face limitations of budget while making investment decisions. Because of limited financial resources, companies are unable to invest in all the projects with positive NPV. Such challenges might take place because of lack of external funding, absence of internal funding, strategic </w:t>
      </w:r>
      <w:r w:rsidRPr="00091C20">
        <w:rPr>
          <w:rFonts w:asciiTheme="minorBidi" w:hAnsiTheme="minorBidi" w:cstheme="minorBidi"/>
          <w:sz w:val="24"/>
          <w:szCs w:val="24"/>
          <w:lang w:val="en-GB"/>
        </w:rPr>
        <w:t>priorities,</w:t>
      </w:r>
      <w:r w:rsidR="00000A17" w:rsidRPr="00091C20">
        <w:rPr>
          <w:rFonts w:asciiTheme="minorBidi" w:hAnsiTheme="minorBidi" w:cstheme="minorBidi"/>
          <w:sz w:val="24"/>
          <w:szCs w:val="24"/>
          <w:lang w:val="en-GB"/>
        </w:rPr>
        <w:t xml:space="preserve"> or risk control (</w:t>
      </w:r>
      <w:r w:rsidR="00000A17" w:rsidRPr="00091C20">
        <w:rPr>
          <w:rFonts w:asciiTheme="minorBidi" w:hAnsiTheme="minorBidi" w:cstheme="minorBidi"/>
          <w:sz w:val="24"/>
          <w:szCs w:val="24"/>
          <w:highlight w:val="white"/>
          <w:lang w:val="en-GB"/>
        </w:rPr>
        <w:t xml:space="preserve">Awodire </w:t>
      </w:r>
      <w:r w:rsidR="00000A17" w:rsidRPr="00091C20">
        <w:rPr>
          <w:rFonts w:asciiTheme="minorBidi" w:hAnsiTheme="minorBidi" w:cstheme="minorBidi"/>
          <w:i/>
          <w:iCs/>
          <w:sz w:val="24"/>
          <w:szCs w:val="24"/>
          <w:highlight w:val="white"/>
          <w:lang w:val="en-GB"/>
        </w:rPr>
        <w:t xml:space="preserve">et al. </w:t>
      </w:r>
      <w:r w:rsidR="00000A17" w:rsidRPr="00091C20">
        <w:rPr>
          <w:rFonts w:asciiTheme="minorBidi" w:hAnsiTheme="minorBidi" w:cstheme="minorBidi"/>
          <w:sz w:val="24"/>
          <w:szCs w:val="24"/>
          <w:highlight w:val="white"/>
          <w:lang w:val="en-GB"/>
        </w:rPr>
        <w:t>2023)</w:t>
      </w:r>
      <w:r w:rsidR="00000A17" w:rsidRPr="00091C20">
        <w:rPr>
          <w:rFonts w:asciiTheme="minorBidi" w:hAnsiTheme="minorBidi" w:cstheme="minorBidi"/>
          <w:sz w:val="24"/>
          <w:szCs w:val="24"/>
          <w:lang w:val="en-GB"/>
        </w:rPr>
        <w:t xml:space="preserve">. In such a situation, managers can allocate scarce resources to projects that are enhancing value for the business the most using capital rationing. NPV is the best technique which is used for the purpose of capital rationing as it can correctly measure the absolute value that the projects would create. This means companies would select a combination of different projects that would maximise total NPV despite budget constraints. Similarly, IRR can be used in the process of capital rationing where companies would compare projects having similar scale. In this way, managers will be able to understand the characteristics of risk and return for each project. However, it is important to mention that IRR would not determine value numerically rather it would measure in percentage which can lead to suboptimal allocation. Some companies have also used a payback period in the process of capital rationing at </w:t>
      </w:r>
      <w:r w:rsidRPr="00091C20">
        <w:rPr>
          <w:rFonts w:asciiTheme="minorBidi" w:hAnsiTheme="minorBidi" w:cstheme="minorBidi"/>
          <w:sz w:val="24"/>
          <w:szCs w:val="24"/>
          <w:lang w:val="en-GB"/>
        </w:rPr>
        <w:t>pilot stages</w:t>
      </w:r>
      <w:r w:rsidR="00000A17" w:rsidRPr="00091C20">
        <w:rPr>
          <w:rFonts w:asciiTheme="minorBidi" w:hAnsiTheme="minorBidi" w:cstheme="minorBidi"/>
          <w:sz w:val="24"/>
          <w:szCs w:val="24"/>
          <w:lang w:val="en-GB"/>
        </w:rPr>
        <w:t xml:space="preserve"> especially for investors who consider liquidity to be important. It has been found that projects that are able to recover initial investment as soon as possible are preferred under scenarios with severe shortage of cash. However, it is important to mention that in case of capital rationing, decisions cannot be made solely with the help of the payback period because it ignores the value to be created by the project in the future. Rather</w:t>
      </w:r>
      <w:r w:rsidR="00000A17">
        <w:rPr>
          <w:rFonts w:asciiTheme="minorBidi" w:hAnsiTheme="minorBidi" w:cstheme="minorBidi"/>
          <w:sz w:val="24"/>
          <w:szCs w:val="24"/>
          <w:lang w:val="en-GB"/>
        </w:rPr>
        <w:t>,</w:t>
      </w:r>
      <w:r w:rsidR="00000A17" w:rsidRPr="00091C20">
        <w:rPr>
          <w:rFonts w:asciiTheme="minorBidi" w:hAnsiTheme="minorBidi" w:cstheme="minorBidi"/>
          <w:sz w:val="24"/>
          <w:szCs w:val="24"/>
          <w:lang w:val="en-GB"/>
        </w:rPr>
        <w:t xml:space="preserve"> NPV and IRR must be considered along with a payback period in the process of capital reasoning</w:t>
      </w:r>
      <w:r w:rsidR="00000A17">
        <w:rPr>
          <w:rFonts w:asciiTheme="minorBidi" w:hAnsiTheme="minorBidi" w:cstheme="minorBidi"/>
          <w:sz w:val="24"/>
          <w:szCs w:val="24"/>
          <w:lang w:val="en-GB"/>
        </w:rPr>
        <w:t xml:space="preserve"> for better decision making</w:t>
      </w:r>
      <w:r w:rsidR="00000A17" w:rsidRPr="00091C20">
        <w:rPr>
          <w:rFonts w:asciiTheme="minorBidi" w:hAnsiTheme="minorBidi" w:cstheme="minorBidi"/>
          <w:sz w:val="24"/>
          <w:szCs w:val="24"/>
          <w:lang w:val="en-GB"/>
        </w:rPr>
        <w:t>.</w:t>
      </w:r>
    </w:p>
    <w:p w14:paraId="753A6230" w14:textId="396AF1F3"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Hypothetical examples for the techniques</w:t>
      </w:r>
      <w:r>
        <w:rPr>
          <w:rFonts w:asciiTheme="minorBidi" w:hAnsiTheme="minorBidi" w:cstheme="minorBidi"/>
          <w:b/>
          <w:bCs/>
          <w:sz w:val="24"/>
          <w:szCs w:val="24"/>
          <w:lang w:val="en-GB"/>
        </w:rPr>
        <w:t xml:space="preserve"> in capital rationing</w:t>
      </w:r>
      <w:r w:rsidRPr="00091C20">
        <w:rPr>
          <w:rFonts w:asciiTheme="minorBidi" w:hAnsiTheme="minorBidi" w:cstheme="minorBidi"/>
          <w:b/>
          <w:bCs/>
          <w:sz w:val="24"/>
          <w:szCs w:val="24"/>
          <w:lang w:val="en-GB"/>
        </w:rPr>
        <w:t>:</w:t>
      </w:r>
    </w:p>
    <w:p w14:paraId="753A6231" w14:textId="77777777"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For instance, an organisation has a total budget of 400000 pounds along with 3 available projects. Project A requires an investment of 200000 pounds with NPV of 30000 pounds, project B requires 100000 pounds with NPV of 15000 pounds and project C requires 200000 pounds with an NPV of 25000 pounds. Due to shortage of budget the firm cannot </w:t>
      </w:r>
      <w:r w:rsidRPr="00091C20">
        <w:rPr>
          <w:rFonts w:asciiTheme="minorBidi" w:hAnsiTheme="minorBidi" w:cstheme="minorBidi"/>
          <w:sz w:val="24"/>
          <w:szCs w:val="24"/>
          <w:lang w:val="en-GB"/>
        </w:rPr>
        <w:lastRenderedPageBreak/>
        <w:t>select all three of them, and the best combination would be project A and project C which needs total investment of 400000 pounds along with NPV of 55000 pounds. Again, in the same instance, Project A has an IRR of 25%, project B has 18% and project C has 20%. Following the principle of capital rationing, firms can select a combination of project A and C based on the IRR. However, in the process of capital rationing, NPV must be considered along with IRR for better decision making. Even if the IRR of a project is greater but NPV is lower in comparison then more preference must be given on NPV at the time of selecting projects. Again, at the time of economic downturn, companies must select projects having shorter payback periods for maintaining sufficient cash reserves despite lower NPV. For instance, a project with lower NPV and payback is preferable over a project with higher NPV and payback.</w:t>
      </w:r>
    </w:p>
    <w:p w14:paraId="753A6232" w14:textId="77777777" w:rsidR="009F2980" w:rsidRPr="00091C20" w:rsidRDefault="00000A17" w:rsidP="00091C20">
      <w:pPr>
        <w:pStyle w:val="Heading2"/>
        <w:rPr>
          <w:rFonts w:asciiTheme="minorBidi" w:hAnsiTheme="minorBidi" w:cstheme="minorBidi"/>
          <w:lang w:val="en-GB"/>
        </w:rPr>
      </w:pPr>
      <w:bookmarkStart w:id="17" w:name="_10g8lt9g4s4j" w:colFirst="0" w:colLast="0"/>
      <w:bookmarkEnd w:id="17"/>
      <w:r w:rsidRPr="00091C20">
        <w:rPr>
          <w:rFonts w:asciiTheme="minorBidi" w:hAnsiTheme="minorBidi" w:cstheme="minorBidi"/>
          <w:lang w:val="en-GB"/>
        </w:rPr>
        <w:t xml:space="preserve">3. Conclusions </w:t>
      </w:r>
    </w:p>
    <w:p w14:paraId="753A6233"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Summary of key insights:</w:t>
      </w:r>
    </w:p>
    <w:p w14:paraId="753A6234" w14:textId="2282B020"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All the three techniques of NPV, IRR and payback possess their own limitations and strengths when it comes to evaluating projects. Payback period focuses on liquidity of a project when it comes to selection ignoring ‘time value of money</w:t>
      </w:r>
      <w:r w:rsidR="00742FC9" w:rsidRPr="00091C20">
        <w:rPr>
          <w:rFonts w:asciiTheme="minorBidi" w:hAnsiTheme="minorBidi" w:cstheme="minorBidi"/>
          <w:sz w:val="24"/>
          <w:szCs w:val="24"/>
          <w:lang w:val="en-GB"/>
        </w:rPr>
        <w:t>.’</w:t>
      </w:r>
      <w:r w:rsidRPr="00091C20">
        <w:rPr>
          <w:rFonts w:asciiTheme="minorBidi" w:hAnsiTheme="minorBidi" w:cstheme="minorBidi"/>
          <w:sz w:val="24"/>
          <w:szCs w:val="24"/>
          <w:lang w:val="en-GB"/>
        </w:rPr>
        <w:t xml:space="preserve"> On the other hand, discounting methods like NPV and IRR give more focus on ‘time value of money’ because of which they are considered more useful for decision making. In some cases, the technique of capital rationing can be used making the process of project selection easier only if the investor possesses sufficient financial resources. </w:t>
      </w:r>
    </w:p>
    <w:p w14:paraId="753A6235" w14:textId="77777777" w:rsidR="009F2980" w:rsidRPr="00091C20" w:rsidRDefault="00000A17" w:rsidP="00091C20">
      <w:pPr>
        <w:spacing w:before="200" w:after="200" w:line="360" w:lineRule="auto"/>
        <w:jc w:val="both"/>
        <w:rPr>
          <w:rFonts w:asciiTheme="minorBidi" w:hAnsiTheme="minorBidi" w:cstheme="minorBidi"/>
          <w:b/>
          <w:bCs/>
          <w:sz w:val="24"/>
          <w:szCs w:val="24"/>
          <w:lang w:val="en-GB"/>
        </w:rPr>
      </w:pPr>
      <w:r w:rsidRPr="00091C20">
        <w:rPr>
          <w:rFonts w:asciiTheme="minorBidi" w:hAnsiTheme="minorBidi" w:cstheme="minorBidi"/>
          <w:b/>
          <w:bCs/>
          <w:sz w:val="24"/>
          <w:szCs w:val="24"/>
          <w:lang w:val="en-GB"/>
        </w:rPr>
        <w:t>Reflection on effectiveness of appraisal methods in investment decisions:</w:t>
      </w:r>
    </w:p>
    <w:p w14:paraId="753A6236" w14:textId="66ADF16E" w:rsidR="009F2980" w:rsidRPr="00091C20" w:rsidRDefault="00000A17"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Investment appraisal methods are effective when it comes to financial decision </w:t>
      </w:r>
      <w:r w:rsidR="00742FC9" w:rsidRPr="00091C20">
        <w:rPr>
          <w:rFonts w:asciiTheme="minorBidi" w:hAnsiTheme="minorBidi" w:cstheme="minorBidi"/>
          <w:sz w:val="24"/>
          <w:szCs w:val="24"/>
          <w:lang w:val="en-GB"/>
        </w:rPr>
        <w:t>mostly making</w:t>
      </w:r>
      <w:r w:rsidRPr="00091C20">
        <w:rPr>
          <w:rFonts w:asciiTheme="minorBidi" w:hAnsiTheme="minorBidi" w:cstheme="minorBidi"/>
          <w:sz w:val="24"/>
          <w:szCs w:val="24"/>
          <w:lang w:val="en-GB"/>
        </w:rPr>
        <w:t xml:space="preserve">. Payback period can help investors in determining liquidity whereas NPV would help in determining profitability. However, the effectiveness of these techniques </w:t>
      </w:r>
      <w:r w:rsidR="00742FC9" w:rsidRPr="00091C20">
        <w:rPr>
          <w:rFonts w:asciiTheme="minorBidi" w:hAnsiTheme="minorBidi" w:cstheme="minorBidi"/>
          <w:sz w:val="24"/>
          <w:szCs w:val="24"/>
          <w:lang w:val="en-GB"/>
        </w:rPr>
        <w:t>depends</w:t>
      </w:r>
      <w:r w:rsidRPr="00091C20">
        <w:rPr>
          <w:rFonts w:asciiTheme="minorBidi" w:hAnsiTheme="minorBidi" w:cstheme="minorBidi"/>
          <w:sz w:val="24"/>
          <w:szCs w:val="24"/>
          <w:lang w:val="en-GB"/>
        </w:rPr>
        <w:t xml:space="preserve"> significantly on the assumptions that were made by the investors along with collection of reliable information. For instance, the selection of discounting rate is </w:t>
      </w:r>
      <w:r w:rsidR="00742FC9" w:rsidRPr="00091C20">
        <w:rPr>
          <w:rFonts w:asciiTheme="minorBidi" w:hAnsiTheme="minorBidi" w:cstheme="minorBidi"/>
          <w:sz w:val="24"/>
          <w:szCs w:val="24"/>
          <w:lang w:val="en-GB"/>
        </w:rPr>
        <w:t>extremely critical</w:t>
      </w:r>
      <w:r w:rsidRPr="00091C20">
        <w:rPr>
          <w:rFonts w:asciiTheme="minorBidi" w:hAnsiTheme="minorBidi" w:cstheme="minorBidi"/>
          <w:sz w:val="24"/>
          <w:szCs w:val="24"/>
          <w:lang w:val="en-GB"/>
        </w:rPr>
        <w:t xml:space="preserve"> when calculating NPV. Managers have always supported NPV as the best technique for decision making considering payback period and IRR as supplementary tools in decision making.</w:t>
      </w:r>
    </w:p>
    <w:p w14:paraId="753A6238" w14:textId="77777777" w:rsidR="009F2980" w:rsidRPr="00091C20" w:rsidRDefault="00000A17" w:rsidP="00091C20">
      <w:pPr>
        <w:pStyle w:val="Heading2"/>
        <w:rPr>
          <w:rFonts w:asciiTheme="minorBidi" w:hAnsiTheme="minorBidi" w:cstheme="minorBidi"/>
          <w:lang w:val="en-GB"/>
        </w:rPr>
      </w:pPr>
      <w:bookmarkStart w:id="18" w:name="_fidhxybnffua" w:colFirst="0" w:colLast="0"/>
      <w:bookmarkEnd w:id="18"/>
      <w:r w:rsidRPr="00091C20">
        <w:rPr>
          <w:rFonts w:asciiTheme="minorBidi" w:hAnsiTheme="minorBidi" w:cstheme="minorBidi"/>
          <w:lang w:val="en-GB"/>
        </w:rPr>
        <w:lastRenderedPageBreak/>
        <w:t>References</w:t>
      </w:r>
    </w:p>
    <w:p w14:paraId="514006E9"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Awodire, M., Agboola, O., Ogundojutimi, O. and Odumuwagun, O., (2023). Capital Budgeting and Financial Investment Appraisal: A Review of Archival Literature. </w:t>
      </w:r>
      <w:r w:rsidRPr="00091C20">
        <w:rPr>
          <w:rFonts w:asciiTheme="minorBidi" w:hAnsiTheme="minorBidi" w:cstheme="minorBidi"/>
          <w:i/>
          <w:iCs/>
          <w:sz w:val="24"/>
          <w:szCs w:val="24"/>
          <w:highlight w:val="white"/>
          <w:lang w:val="en-GB"/>
        </w:rPr>
        <w:t>American Journal of Multidisciplinary Research in Africa</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3</w:t>
      </w:r>
      <w:r w:rsidRPr="00091C20">
        <w:rPr>
          <w:rFonts w:asciiTheme="minorBidi" w:hAnsiTheme="minorBidi" w:cstheme="minorBidi"/>
          <w:sz w:val="24"/>
          <w:szCs w:val="24"/>
          <w:highlight w:val="white"/>
          <w:lang w:val="en-GB"/>
        </w:rPr>
        <w:t xml:space="preserve">(10.58314). </w:t>
      </w:r>
      <w:r w:rsidRPr="00091C20">
        <w:rPr>
          <w:rFonts w:asciiTheme="minorBidi" w:hAnsiTheme="minorBidi" w:cstheme="minorBidi"/>
          <w:sz w:val="24"/>
          <w:szCs w:val="24"/>
          <w:lang w:val="en-GB"/>
        </w:rPr>
        <w:t xml:space="preserve">Available at: </w:t>
      </w:r>
      <w:hyperlink r:id="rId14">
        <w:r w:rsidRPr="00091C20">
          <w:rPr>
            <w:rFonts w:asciiTheme="minorBidi" w:hAnsiTheme="minorBidi" w:cstheme="minorBidi"/>
            <w:sz w:val="24"/>
            <w:szCs w:val="24"/>
            <w:u w:val="single"/>
            <w:lang w:val="en-GB"/>
          </w:rPr>
          <w:t>https://www.</w:t>
        </w:r>
        <w:r w:rsidRPr="00742FC9">
          <w:t>academia</w:t>
        </w:r>
        <w:r w:rsidRPr="00091C20">
          <w:rPr>
            <w:rFonts w:asciiTheme="minorBidi" w:hAnsiTheme="minorBidi" w:cstheme="minorBidi"/>
            <w:sz w:val="24"/>
            <w:szCs w:val="24"/>
            <w:u w:val="single"/>
            <w:lang w:val="en-GB"/>
          </w:rPr>
          <w:t>.edu/dow</w:t>
        </w:r>
        <w:r w:rsidRPr="00091C20">
          <w:rPr>
            <w:rFonts w:asciiTheme="minorBidi" w:hAnsiTheme="minorBidi" w:cstheme="minorBidi"/>
            <w:sz w:val="24"/>
            <w:szCs w:val="24"/>
            <w:u w:val="single"/>
            <w:lang w:val="en-GB"/>
          </w:rPr>
          <w:t>n</w:t>
        </w:r>
        <w:r w:rsidRPr="00091C20">
          <w:rPr>
            <w:rFonts w:asciiTheme="minorBidi" w:hAnsiTheme="minorBidi" w:cstheme="minorBidi"/>
            <w:sz w:val="24"/>
            <w:szCs w:val="24"/>
            <w:u w:val="single"/>
            <w:lang w:val="en-GB"/>
          </w:rPr>
          <w:t>load/115377930/Capital_Budgeting_and_Financial_Investme.pdf</w:t>
        </w:r>
      </w:hyperlink>
      <w:r w:rsidRPr="00091C20">
        <w:rPr>
          <w:rFonts w:asciiTheme="minorBidi" w:hAnsiTheme="minorBidi" w:cstheme="minorBidi"/>
          <w:sz w:val="24"/>
          <w:szCs w:val="24"/>
          <w:lang w:val="en-GB"/>
        </w:rPr>
        <w:t xml:space="preserve"> [Accessed: 02 December 2025]</w:t>
      </w:r>
    </w:p>
    <w:p w14:paraId="2055FFF9" w14:textId="55716E64"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Banerjee, P. and Deb, S.G., (2023). Capital investment, working capital management, and firm performance: Role of managerial ability in US </w:t>
      </w:r>
      <w:r w:rsidR="000762FB" w:rsidRPr="00091C20">
        <w:rPr>
          <w:rFonts w:asciiTheme="minorBidi" w:hAnsiTheme="minorBidi" w:cstheme="minorBidi"/>
          <w:sz w:val="24"/>
          <w:szCs w:val="24"/>
          <w:highlight w:val="white"/>
          <w:lang w:val="en-GB"/>
        </w:rPr>
        <w:t>coordination</w:t>
      </w:r>
      <w:r w:rsidRPr="00091C20">
        <w:rPr>
          <w:rFonts w:asciiTheme="minorBidi" w:hAnsiTheme="minorBidi" w:cstheme="minorBidi"/>
          <w:sz w:val="24"/>
          <w:szCs w:val="24"/>
          <w:highlight w:val="white"/>
          <w:lang w:val="en-GB"/>
        </w:rPr>
        <w:t xml:space="preserve"> industry. </w:t>
      </w:r>
      <w:r w:rsidRPr="00091C20">
        <w:rPr>
          <w:rFonts w:asciiTheme="minorBidi" w:hAnsiTheme="minorBidi" w:cstheme="minorBidi"/>
          <w:i/>
          <w:iCs/>
          <w:sz w:val="24"/>
          <w:szCs w:val="24"/>
          <w:highlight w:val="white"/>
          <w:lang w:val="en-GB"/>
        </w:rPr>
        <w:t>Transportation Research Part E: Logistics and Transportation Review</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176</w:t>
      </w:r>
      <w:r w:rsidRPr="00091C20">
        <w:rPr>
          <w:rFonts w:asciiTheme="minorBidi" w:hAnsiTheme="minorBidi" w:cstheme="minorBidi"/>
          <w:sz w:val="24"/>
          <w:szCs w:val="24"/>
          <w:highlight w:val="white"/>
          <w:lang w:val="en-GB"/>
        </w:rPr>
        <w:t xml:space="preserve">, p.103224. </w:t>
      </w:r>
      <w:r w:rsidRPr="00091C20">
        <w:rPr>
          <w:rFonts w:asciiTheme="minorBidi" w:hAnsiTheme="minorBidi" w:cstheme="minorBidi"/>
          <w:sz w:val="24"/>
          <w:szCs w:val="24"/>
          <w:lang w:val="en-GB"/>
        </w:rPr>
        <w:t xml:space="preserve">Available at: </w:t>
      </w:r>
      <w:hyperlink r:id="rId15">
        <w:r w:rsidRPr="00091C20">
          <w:rPr>
            <w:rFonts w:asciiTheme="minorBidi" w:hAnsiTheme="minorBidi" w:cstheme="minorBidi"/>
            <w:sz w:val="24"/>
            <w:szCs w:val="24"/>
            <w:u w:val="single"/>
            <w:lang w:val="en-GB"/>
          </w:rPr>
          <w:t>https://www.karlanc</w:t>
        </w:r>
        <w:r w:rsidRPr="00091C20">
          <w:rPr>
            <w:rFonts w:asciiTheme="minorBidi" w:hAnsiTheme="minorBidi" w:cstheme="minorBidi"/>
            <w:sz w:val="24"/>
            <w:szCs w:val="24"/>
            <w:u w:val="single"/>
            <w:lang w:val="en-GB"/>
          </w:rPr>
          <w:t>e</w:t>
        </w:r>
        <w:r w:rsidRPr="00091C20">
          <w:rPr>
            <w:rFonts w:asciiTheme="minorBidi" w:hAnsiTheme="minorBidi" w:cstheme="minorBidi"/>
            <w:sz w:val="24"/>
            <w:szCs w:val="24"/>
            <w:u w:val="single"/>
            <w:lang w:val="en-GB"/>
          </w:rPr>
          <w:t>r.com/api/file/1734235590-Ifei.pdf</w:t>
        </w:r>
      </w:hyperlink>
      <w:r w:rsidRPr="00091C20">
        <w:rPr>
          <w:rFonts w:asciiTheme="minorBidi" w:hAnsiTheme="minorBidi" w:cstheme="minorBidi"/>
          <w:sz w:val="24"/>
          <w:szCs w:val="24"/>
          <w:lang w:val="en-GB"/>
        </w:rPr>
        <w:t xml:space="preserve"> [Accessed: 02 December 2025]</w:t>
      </w:r>
    </w:p>
    <w:p w14:paraId="1E49B971" w14:textId="574E2F84"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Bustani, B., Kurniaty, K. and Widyanti, R., (2021). The effect of earning per share, price to book value, dividend payout ratio, and net profit margin on the stock price in Indonesia stock exchange. </w:t>
      </w:r>
      <w:r w:rsidR="000762FB" w:rsidRPr="00091C20">
        <w:rPr>
          <w:rFonts w:asciiTheme="minorBidi" w:hAnsiTheme="minorBidi" w:cstheme="minorBidi"/>
          <w:i/>
          <w:iCs/>
          <w:sz w:val="24"/>
          <w:szCs w:val="24"/>
          <w:highlight w:val="white"/>
          <w:lang w:val="en-GB"/>
        </w:rPr>
        <w:t>Journal</w:t>
      </w:r>
      <w:r w:rsidRPr="00091C20">
        <w:rPr>
          <w:rFonts w:asciiTheme="minorBidi" w:hAnsiTheme="minorBidi" w:cstheme="minorBidi"/>
          <w:i/>
          <w:iCs/>
          <w:sz w:val="24"/>
          <w:szCs w:val="24"/>
          <w:highlight w:val="white"/>
          <w:lang w:val="en-GB"/>
        </w:rPr>
        <w:t xml:space="preserve"> Maksipreneur: Manajemen, Koperasi, Dan Entrepreneurship</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11</w:t>
      </w:r>
      <w:r w:rsidRPr="00091C20">
        <w:rPr>
          <w:rFonts w:asciiTheme="minorBidi" w:hAnsiTheme="minorBidi" w:cstheme="minorBidi"/>
          <w:sz w:val="24"/>
          <w:szCs w:val="24"/>
          <w:highlight w:val="white"/>
          <w:lang w:val="en-GB"/>
        </w:rPr>
        <w:t xml:space="preserve">(1), pp.1-18. </w:t>
      </w:r>
      <w:r w:rsidRPr="00091C20">
        <w:rPr>
          <w:rFonts w:asciiTheme="minorBidi" w:hAnsiTheme="minorBidi" w:cstheme="minorBidi"/>
          <w:sz w:val="24"/>
          <w:szCs w:val="24"/>
          <w:lang w:val="en-GB"/>
        </w:rPr>
        <w:t xml:space="preserve">Available at: </w:t>
      </w:r>
      <w:hyperlink r:id="rId16">
        <w:r w:rsidRPr="00091C20">
          <w:rPr>
            <w:rFonts w:asciiTheme="minorBidi" w:hAnsiTheme="minorBidi" w:cstheme="minorBidi"/>
            <w:sz w:val="24"/>
            <w:szCs w:val="24"/>
            <w:u w:val="single"/>
            <w:lang w:val="en-GB"/>
          </w:rPr>
          <w:t>https://ejournal.up45.ac.</w:t>
        </w:r>
        <w:r w:rsidRPr="00091C20">
          <w:rPr>
            <w:rFonts w:asciiTheme="minorBidi" w:hAnsiTheme="minorBidi" w:cstheme="minorBidi"/>
            <w:sz w:val="24"/>
            <w:szCs w:val="24"/>
            <w:u w:val="single"/>
            <w:lang w:val="en-GB"/>
          </w:rPr>
          <w:t>i</w:t>
        </w:r>
        <w:r w:rsidRPr="00091C20">
          <w:rPr>
            <w:rFonts w:asciiTheme="minorBidi" w:hAnsiTheme="minorBidi" w:cstheme="minorBidi"/>
            <w:sz w:val="24"/>
            <w:szCs w:val="24"/>
            <w:u w:val="single"/>
            <w:lang w:val="en-GB"/>
          </w:rPr>
          <w:t>d/index.php/mak</w:t>
        </w:r>
        <w:r w:rsidRPr="00091C20">
          <w:rPr>
            <w:rFonts w:asciiTheme="minorBidi" w:hAnsiTheme="minorBidi" w:cstheme="minorBidi"/>
            <w:sz w:val="24"/>
            <w:szCs w:val="24"/>
            <w:u w:val="single"/>
            <w:lang w:val="en-GB"/>
          </w:rPr>
          <w:t>s</w:t>
        </w:r>
        <w:r w:rsidRPr="00091C20">
          <w:rPr>
            <w:rFonts w:asciiTheme="minorBidi" w:hAnsiTheme="minorBidi" w:cstheme="minorBidi"/>
            <w:sz w:val="24"/>
            <w:szCs w:val="24"/>
            <w:u w:val="single"/>
            <w:lang w:val="en-GB"/>
          </w:rPr>
          <w:t>ipreneur/article/download/810/641</w:t>
        </w:r>
      </w:hyperlink>
      <w:r w:rsidRPr="00091C20">
        <w:rPr>
          <w:rFonts w:asciiTheme="minorBidi" w:hAnsiTheme="minorBidi" w:cstheme="minorBidi"/>
          <w:sz w:val="24"/>
          <w:szCs w:val="24"/>
          <w:lang w:val="en-GB"/>
        </w:rPr>
        <w:t xml:space="preserve"> [Accessed: 02 December 2025]</w:t>
      </w:r>
    </w:p>
    <w:p w14:paraId="0D5BF08E"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Companies Market Cap, (2025). </w:t>
      </w:r>
      <w:r w:rsidRPr="00091C20">
        <w:rPr>
          <w:rFonts w:asciiTheme="minorBidi" w:hAnsiTheme="minorBidi" w:cstheme="minorBidi"/>
          <w:i/>
          <w:iCs/>
          <w:sz w:val="24"/>
          <w:szCs w:val="24"/>
          <w:lang w:val="en-GB"/>
        </w:rPr>
        <w:t>Next plc (NXT.L) - Market capitalization.</w:t>
      </w:r>
      <w:r w:rsidRPr="00091C20">
        <w:rPr>
          <w:rFonts w:asciiTheme="minorBidi" w:hAnsiTheme="minorBidi" w:cstheme="minorBidi"/>
          <w:sz w:val="24"/>
          <w:szCs w:val="24"/>
          <w:lang w:val="en-GB"/>
        </w:rPr>
        <w:t xml:space="preserve"> Available at: </w:t>
      </w:r>
      <w:hyperlink r:id="rId17" w:anchor=":~:text=As%20of%20November%202025%20Next,cap%20according%20to%20our%20data">
        <w:r w:rsidRPr="00091C20">
          <w:rPr>
            <w:rFonts w:asciiTheme="minorBidi" w:hAnsiTheme="minorBidi" w:cstheme="minorBidi"/>
            <w:sz w:val="24"/>
            <w:szCs w:val="24"/>
            <w:u w:val="single"/>
            <w:lang w:val="en-GB"/>
          </w:rPr>
          <w:t>https://companiesmarketcap.com/inr/next-plc/marketcap/#:~:text=A</w:t>
        </w:r>
        <w:r w:rsidRPr="00091C20">
          <w:rPr>
            <w:rFonts w:asciiTheme="minorBidi" w:hAnsiTheme="minorBidi" w:cstheme="minorBidi"/>
            <w:sz w:val="24"/>
            <w:szCs w:val="24"/>
            <w:u w:val="single"/>
            <w:lang w:val="en-GB"/>
          </w:rPr>
          <w:t>s</w:t>
        </w:r>
        <w:r w:rsidRPr="00091C20">
          <w:rPr>
            <w:rFonts w:asciiTheme="minorBidi" w:hAnsiTheme="minorBidi" w:cstheme="minorBidi"/>
            <w:sz w:val="24"/>
            <w:szCs w:val="24"/>
            <w:u w:val="single"/>
            <w:lang w:val="en-GB"/>
          </w:rPr>
          <w:t>%20of%20November%202025%20Next,cap%20according%20to%20our%20data</w:t>
        </w:r>
      </w:hyperlink>
      <w:r w:rsidRPr="00091C20">
        <w:rPr>
          <w:rFonts w:asciiTheme="minorBidi" w:hAnsiTheme="minorBidi" w:cstheme="minorBidi"/>
          <w:sz w:val="24"/>
          <w:szCs w:val="24"/>
          <w:lang w:val="en-GB"/>
        </w:rPr>
        <w:t>. [Accessed: 02 December 2025]</w:t>
      </w:r>
    </w:p>
    <w:p w14:paraId="1B283C86"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Failasufa, M. and Mukhtaruddin, M., (2025). THE INFLUENCE OF CAPITAL BUDGETING METHODS ON THE FEASIBILITY OF COMPANY INVESTMENT: A LITERATURE REVIEW STUDY. </w:t>
      </w:r>
      <w:r w:rsidRPr="00091C20">
        <w:rPr>
          <w:rFonts w:asciiTheme="minorBidi" w:hAnsiTheme="minorBidi" w:cstheme="minorBidi"/>
          <w:i/>
          <w:iCs/>
          <w:sz w:val="24"/>
          <w:szCs w:val="24"/>
          <w:highlight w:val="white"/>
          <w:lang w:val="en-GB"/>
        </w:rPr>
        <w:t>Jurnal Manajemen Perbankan Keuangan Nitro</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1</w:t>
      </w:r>
      <w:r w:rsidRPr="00091C20">
        <w:rPr>
          <w:rFonts w:asciiTheme="minorBidi" w:hAnsiTheme="minorBidi" w:cstheme="minorBidi"/>
          <w:sz w:val="24"/>
          <w:szCs w:val="24"/>
          <w:highlight w:val="white"/>
          <w:lang w:val="en-GB"/>
        </w:rPr>
        <w:t xml:space="preserve">(1), pp.60-69. </w:t>
      </w:r>
      <w:r w:rsidRPr="00091C20">
        <w:rPr>
          <w:rFonts w:asciiTheme="minorBidi" w:hAnsiTheme="minorBidi" w:cstheme="minorBidi"/>
          <w:sz w:val="24"/>
          <w:szCs w:val="24"/>
          <w:lang w:val="en-GB"/>
        </w:rPr>
        <w:t>Available at: [Accessed: 02 December 2025]</w:t>
      </w:r>
    </w:p>
    <w:p w14:paraId="71A69859"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Lan, H.Y., Afero, F., Huang, C.T., Chen, B.Y., Huang, P.L. and Hou, Y.L., (2022). Investment feasibility analysis of large submersible cage culture in Taiwan: a case study of Snubnose Pompano (Trachinotus anak) and Cobia (Rachycentron canadum). </w:t>
      </w:r>
      <w:r w:rsidRPr="00091C20">
        <w:rPr>
          <w:rFonts w:asciiTheme="minorBidi" w:hAnsiTheme="minorBidi" w:cstheme="minorBidi"/>
          <w:i/>
          <w:iCs/>
          <w:sz w:val="24"/>
          <w:szCs w:val="24"/>
          <w:highlight w:val="white"/>
          <w:lang w:val="en-GB"/>
        </w:rPr>
        <w:t>Fishes</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lastRenderedPageBreak/>
        <w:t>7</w:t>
      </w:r>
      <w:r w:rsidRPr="00091C20">
        <w:rPr>
          <w:rFonts w:asciiTheme="minorBidi" w:hAnsiTheme="minorBidi" w:cstheme="minorBidi"/>
          <w:sz w:val="24"/>
          <w:szCs w:val="24"/>
          <w:highlight w:val="white"/>
          <w:lang w:val="en-GB"/>
        </w:rPr>
        <w:t xml:space="preserve">(4), p.151. </w:t>
      </w:r>
      <w:r w:rsidRPr="00091C20">
        <w:rPr>
          <w:rFonts w:asciiTheme="minorBidi" w:hAnsiTheme="minorBidi" w:cstheme="minorBidi"/>
          <w:sz w:val="24"/>
          <w:szCs w:val="24"/>
          <w:lang w:val="en-GB"/>
        </w:rPr>
        <w:t xml:space="preserve">Available at: </w:t>
      </w:r>
      <w:hyperlink r:id="rId18">
        <w:r w:rsidRPr="00091C20">
          <w:rPr>
            <w:rFonts w:asciiTheme="minorBidi" w:hAnsiTheme="minorBidi" w:cstheme="minorBidi"/>
            <w:sz w:val="24"/>
            <w:szCs w:val="24"/>
            <w:u w:val="single"/>
            <w:lang w:val="en-GB"/>
          </w:rPr>
          <w:t>https://www.mdpi.com/2410-3888/7/4/151</w:t>
        </w:r>
      </w:hyperlink>
      <w:r w:rsidRPr="00091C20">
        <w:rPr>
          <w:rFonts w:asciiTheme="minorBidi" w:hAnsiTheme="minorBidi" w:cstheme="minorBidi"/>
          <w:sz w:val="24"/>
          <w:szCs w:val="24"/>
          <w:lang w:val="en-GB"/>
        </w:rPr>
        <w:t xml:space="preserve"> [Accessed: 02 December 2025]</w:t>
      </w:r>
    </w:p>
    <w:p w14:paraId="1F2F8CF7"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Next Plc, (2021). </w:t>
      </w:r>
      <w:r w:rsidRPr="00091C20">
        <w:rPr>
          <w:rFonts w:asciiTheme="minorBidi" w:hAnsiTheme="minorBidi" w:cstheme="minorBidi"/>
          <w:i/>
          <w:iCs/>
          <w:sz w:val="24"/>
          <w:szCs w:val="24"/>
          <w:lang w:val="en-GB"/>
        </w:rPr>
        <w:t xml:space="preserve">Next Plc annual report 2021. </w:t>
      </w:r>
      <w:r w:rsidRPr="00091C20">
        <w:rPr>
          <w:rFonts w:asciiTheme="minorBidi" w:hAnsiTheme="minorBidi" w:cstheme="minorBidi"/>
          <w:sz w:val="24"/>
          <w:szCs w:val="24"/>
          <w:lang w:val="en-GB"/>
        </w:rPr>
        <w:t xml:space="preserve">Available at: </w:t>
      </w:r>
      <w:hyperlink r:id="rId19">
        <w:r w:rsidRPr="00091C20">
          <w:rPr>
            <w:rFonts w:asciiTheme="minorBidi" w:hAnsiTheme="minorBidi" w:cstheme="minorBidi"/>
            <w:sz w:val="24"/>
            <w:szCs w:val="24"/>
            <w:u w:val="single"/>
            <w:lang w:val="en-GB"/>
          </w:rPr>
          <w:t>https://www.nextplc.co.uk/~/media/Files/N/Next-PLC-V2/documents/2021/annual-report-and-accounts-jan21.pdf</w:t>
        </w:r>
      </w:hyperlink>
      <w:r w:rsidRPr="00091C20">
        <w:rPr>
          <w:rFonts w:asciiTheme="minorBidi" w:hAnsiTheme="minorBidi" w:cstheme="minorBidi"/>
          <w:sz w:val="24"/>
          <w:szCs w:val="24"/>
          <w:lang w:val="en-GB"/>
        </w:rPr>
        <w:t xml:space="preserve"> [Accessed: 02 December 2025]</w:t>
      </w:r>
    </w:p>
    <w:p w14:paraId="7E3F924E"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Next Plc, (2022). </w:t>
      </w:r>
      <w:r w:rsidRPr="00091C20">
        <w:rPr>
          <w:rFonts w:asciiTheme="minorBidi" w:hAnsiTheme="minorBidi" w:cstheme="minorBidi"/>
          <w:i/>
          <w:iCs/>
          <w:sz w:val="24"/>
          <w:szCs w:val="24"/>
          <w:lang w:val="en-GB"/>
        </w:rPr>
        <w:t xml:space="preserve">Next Plc annual report 2022. </w:t>
      </w:r>
      <w:r w:rsidRPr="00091C20">
        <w:rPr>
          <w:rFonts w:asciiTheme="minorBidi" w:hAnsiTheme="minorBidi" w:cstheme="minorBidi"/>
          <w:sz w:val="24"/>
          <w:szCs w:val="24"/>
          <w:lang w:val="en-GB"/>
        </w:rPr>
        <w:t xml:space="preserve">Available at: </w:t>
      </w:r>
      <w:hyperlink r:id="rId20">
        <w:r w:rsidRPr="00091C20">
          <w:rPr>
            <w:rFonts w:asciiTheme="minorBidi" w:hAnsiTheme="minorBidi" w:cstheme="minorBidi"/>
            <w:sz w:val="24"/>
            <w:szCs w:val="24"/>
            <w:u w:val="single"/>
            <w:lang w:val="en-GB"/>
          </w:rPr>
          <w:t>https://www.nextplc.co.uk/~/media/Files/N/Next-PLC-V2/documents/2022/annual-reports-and-account-jan-2022.pdf</w:t>
        </w:r>
      </w:hyperlink>
      <w:r w:rsidRPr="00091C20">
        <w:rPr>
          <w:rFonts w:asciiTheme="minorBidi" w:hAnsiTheme="minorBidi" w:cstheme="minorBidi"/>
          <w:sz w:val="24"/>
          <w:szCs w:val="24"/>
          <w:lang w:val="en-GB"/>
        </w:rPr>
        <w:t xml:space="preserve"> [Accessed: 02 December 2025]</w:t>
      </w:r>
    </w:p>
    <w:p w14:paraId="67DCAB7A"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Next Plc, (2023). </w:t>
      </w:r>
      <w:r w:rsidRPr="00091C20">
        <w:rPr>
          <w:rFonts w:asciiTheme="minorBidi" w:hAnsiTheme="minorBidi" w:cstheme="minorBidi"/>
          <w:i/>
          <w:iCs/>
          <w:sz w:val="24"/>
          <w:szCs w:val="24"/>
          <w:lang w:val="en-GB"/>
        </w:rPr>
        <w:t xml:space="preserve">Next Plc annual report 2023. </w:t>
      </w:r>
      <w:r w:rsidRPr="00091C20">
        <w:rPr>
          <w:rFonts w:asciiTheme="minorBidi" w:hAnsiTheme="minorBidi" w:cstheme="minorBidi"/>
          <w:sz w:val="24"/>
          <w:szCs w:val="24"/>
          <w:lang w:val="en-GB"/>
        </w:rPr>
        <w:t xml:space="preserve">Available at: </w:t>
      </w:r>
      <w:hyperlink r:id="rId21">
        <w:r w:rsidRPr="00091C20">
          <w:rPr>
            <w:rFonts w:asciiTheme="minorBidi" w:hAnsiTheme="minorBidi" w:cstheme="minorBidi"/>
            <w:sz w:val="24"/>
            <w:szCs w:val="24"/>
            <w:u w:val="single"/>
            <w:lang w:val="en-GB"/>
          </w:rPr>
          <w:t>https://www.nextplc.co.uk/~/media/Files/N/Next-PLC-V2/documents/2023/annual-reports-and-account-jan-2023.pdf</w:t>
        </w:r>
      </w:hyperlink>
      <w:r w:rsidRPr="00091C20">
        <w:rPr>
          <w:rFonts w:asciiTheme="minorBidi" w:hAnsiTheme="minorBidi" w:cstheme="minorBidi"/>
          <w:sz w:val="24"/>
          <w:szCs w:val="24"/>
          <w:lang w:val="en-GB"/>
        </w:rPr>
        <w:t xml:space="preserve"> [Accessed: 02 December 2025]</w:t>
      </w:r>
    </w:p>
    <w:p w14:paraId="17AB4BF4"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Next Plc, (2024). </w:t>
      </w:r>
      <w:r w:rsidRPr="00091C20">
        <w:rPr>
          <w:rFonts w:asciiTheme="minorBidi" w:hAnsiTheme="minorBidi" w:cstheme="minorBidi"/>
          <w:i/>
          <w:iCs/>
          <w:sz w:val="24"/>
          <w:szCs w:val="24"/>
          <w:lang w:val="en-GB"/>
        </w:rPr>
        <w:t xml:space="preserve">Next Plc annual report 2024. </w:t>
      </w:r>
      <w:r w:rsidRPr="00091C20">
        <w:rPr>
          <w:rFonts w:asciiTheme="minorBidi" w:hAnsiTheme="minorBidi" w:cstheme="minorBidi"/>
          <w:sz w:val="24"/>
          <w:szCs w:val="24"/>
          <w:lang w:val="en-GB"/>
        </w:rPr>
        <w:t xml:space="preserve">Available at: </w:t>
      </w:r>
      <w:hyperlink r:id="rId22">
        <w:r w:rsidRPr="00091C20">
          <w:rPr>
            <w:rFonts w:asciiTheme="minorBidi" w:hAnsiTheme="minorBidi" w:cstheme="minorBidi"/>
            <w:sz w:val="24"/>
            <w:szCs w:val="24"/>
            <w:u w:val="single"/>
            <w:lang w:val="en-GB"/>
          </w:rPr>
          <w:t>https://www.nextplc.co.uk/~/media/Files/N/next-plc-v4/about-next/annual-report-and-accounts-jan-2024.pdf</w:t>
        </w:r>
      </w:hyperlink>
      <w:r w:rsidRPr="00091C20">
        <w:rPr>
          <w:rFonts w:asciiTheme="minorBidi" w:hAnsiTheme="minorBidi" w:cstheme="minorBidi"/>
          <w:sz w:val="24"/>
          <w:szCs w:val="24"/>
          <w:lang w:val="en-GB"/>
        </w:rPr>
        <w:t xml:space="preserve"> [Accessed: 02 December 2025]</w:t>
      </w:r>
    </w:p>
    <w:p w14:paraId="218D80F2"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Next Plc, (2025). </w:t>
      </w:r>
      <w:r w:rsidRPr="00091C20">
        <w:rPr>
          <w:rFonts w:asciiTheme="minorBidi" w:hAnsiTheme="minorBidi" w:cstheme="minorBidi"/>
          <w:i/>
          <w:iCs/>
          <w:sz w:val="24"/>
          <w:szCs w:val="24"/>
          <w:lang w:val="en-GB"/>
        </w:rPr>
        <w:t xml:space="preserve">About Next Plc. </w:t>
      </w:r>
      <w:r w:rsidRPr="00091C20">
        <w:rPr>
          <w:rFonts w:asciiTheme="minorBidi" w:hAnsiTheme="minorBidi" w:cstheme="minorBidi"/>
          <w:sz w:val="24"/>
          <w:szCs w:val="24"/>
          <w:lang w:val="en-GB"/>
        </w:rPr>
        <w:t>Available at:</w:t>
      </w:r>
      <w:r w:rsidRPr="00091C20">
        <w:rPr>
          <w:rFonts w:asciiTheme="minorBidi" w:hAnsiTheme="minorBidi" w:cstheme="minorBidi"/>
          <w:i/>
          <w:iCs/>
          <w:sz w:val="24"/>
          <w:szCs w:val="24"/>
          <w:lang w:val="en-GB"/>
        </w:rPr>
        <w:t xml:space="preserve"> </w:t>
      </w:r>
      <w:hyperlink r:id="rId23">
        <w:r w:rsidRPr="00091C20">
          <w:rPr>
            <w:rFonts w:asciiTheme="minorBidi" w:hAnsiTheme="minorBidi" w:cstheme="minorBidi"/>
            <w:sz w:val="24"/>
            <w:szCs w:val="24"/>
            <w:u w:val="single"/>
            <w:lang w:val="en-GB"/>
          </w:rPr>
          <w:t>https://www.nextplc.co.uk/</w:t>
        </w:r>
      </w:hyperlink>
      <w:r w:rsidRPr="00091C20">
        <w:rPr>
          <w:rFonts w:asciiTheme="minorBidi" w:hAnsiTheme="minorBidi" w:cstheme="minorBidi"/>
          <w:sz w:val="24"/>
          <w:szCs w:val="24"/>
          <w:lang w:val="en-GB"/>
        </w:rPr>
        <w:t xml:space="preserve"> [Accessed: 02 December 2025]</w:t>
      </w:r>
    </w:p>
    <w:p w14:paraId="4C988B52"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Patki, A., (2021). Analysis of Inventory Turnover Ratio and its Impact on Profitability of Enterprises in Indian Retail Industry. </w:t>
      </w:r>
      <w:r w:rsidRPr="00091C20">
        <w:rPr>
          <w:rFonts w:asciiTheme="minorBidi" w:hAnsiTheme="minorBidi" w:cstheme="minorBidi"/>
          <w:i/>
          <w:iCs/>
          <w:sz w:val="24"/>
          <w:szCs w:val="24"/>
          <w:highlight w:val="white"/>
          <w:lang w:val="en-GB"/>
        </w:rPr>
        <w:t>Indian Institute of Finance Vol. XXXV No</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2</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sz w:val="24"/>
          <w:szCs w:val="24"/>
          <w:lang w:val="en-GB"/>
        </w:rPr>
        <w:t xml:space="preserve">Available at: </w:t>
      </w:r>
      <w:hyperlink r:id="rId24">
        <w:r w:rsidRPr="00091C20">
          <w:rPr>
            <w:rFonts w:asciiTheme="minorBidi" w:hAnsiTheme="minorBidi" w:cstheme="minorBidi"/>
            <w:sz w:val="24"/>
            <w:szCs w:val="24"/>
            <w:u w:val="single"/>
            <w:lang w:val="en-GB"/>
          </w:rPr>
          <w:t>https://www.researchgate.net/profile/Aarti-Patki/publication/354667889_Analysis_of_Inventory_Turnover_Ratio_and_Its_Impact_on_Profitability_of_Enterprises_in_Indian_Retail_Industry_Author/links/61453e0b3c6cb31069772185/Analysis-of-Inventory-Turnover-Ratio-and-Its-Impact-on-Profitability-of-Enterprises-in-Indian-Retail-Industry-Author.pdf</w:t>
        </w:r>
      </w:hyperlink>
      <w:r w:rsidRPr="00091C20">
        <w:rPr>
          <w:rFonts w:asciiTheme="minorBidi" w:hAnsiTheme="minorBidi" w:cstheme="minorBidi"/>
          <w:sz w:val="24"/>
          <w:szCs w:val="24"/>
          <w:lang w:val="en-GB"/>
        </w:rPr>
        <w:t xml:space="preserve"> [Accessed: 02 December 2025]</w:t>
      </w:r>
    </w:p>
    <w:p w14:paraId="1325A69A"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Shabrina, W. and Hadian, N., (2021). The influence of current ratio, debt to equity ratio, and return on assets on dividend payout ratio. </w:t>
      </w:r>
      <w:r w:rsidRPr="00091C20">
        <w:rPr>
          <w:rFonts w:asciiTheme="minorBidi" w:hAnsiTheme="minorBidi" w:cstheme="minorBidi"/>
          <w:i/>
          <w:iCs/>
          <w:sz w:val="24"/>
          <w:szCs w:val="24"/>
          <w:highlight w:val="white"/>
          <w:lang w:val="en-GB"/>
        </w:rPr>
        <w:t>International Journal of Financial, Accounting, and Management</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3</w:t>
      </w:r>
      <w:r w:rsidRPr="00091C20">
        <w:rPr>
          <w:rFonts w:asciiTheme="minorBidi" w:hAnsiTheme="minorBidi" w:cstheme="minorBidi"/>
          <w:sz w:val="24"/>
          <w:szCs w:val="24"/>
          <w:highlight w:val="white"/>
          <w:lang w:val="en-GB"/>
        </w:rPr>
        <w:t xml:space="preserve">(3), pp.193-204. </w:t>
      </w:r>
      <w:r w:rsidRPr="00091C20">
        <w:rPr>
          <w:rFonts w:asciiTheme="minorBidi" w:hAnsiTheme="minorBidi" w:cstheme="minorBidi"/>
          <w:sz w:val="24"/>
          <w:szCs w:val="24"/>
          <w:lang w:val="en-GB"/>
        </w:rPr>
        <w:t xml:space="preserve">Available at: </w:t>
      </w:r>
      <w:hyperlink r:id="rId25">
        <w:r w:rsidRPr="00091C20">
          <w:rPr>
            <w:rFonts w:asciiTheme="minorBidi" w:hAnsiTheme="minorBidi" w:cstheme="minorBidi"/>
            <w:sz w:val="24"/>
            <w:szCs w:val="24"/>
            <w:u w:val="single"/>
            <w:lang w:val="en-GB"/>
          </w:rPr>
          <w:t>https://pdfs.semanticscholar.org/4b29/bdf34d35e24a259a4ba325104a1c10bd8402.pdf</w:t>
        </w:r>
      </w:hyperlink>
      <w:r w:rsidRPr="00091C20">
        <w:rPr>
          <w:rFonts w:asciiTheme="minorBidi" w:hAnsiTheme="minorBidi" w:cstheme="minorBidi"/>
          <w:sz w:val="24"/>
          <w:szCs w:val="24"/>
          <w:lang w:val="en-GB"/>
        </w:rPr>
        <w:t xml:space="preserve"> [Accessed: 02 December 2025]</w:t>
      </w:r>
    </w:p>
    <w:p w14:paraId="2675254F" w14:textId="45493C9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lastRenderedPageBreak/>
        <w:t xml:space="preserve">Shahriar, M.S., Hasan, K.B.M.R., Hossain, T., Beg, T.H., Islam, K.A. and Zayed, N.M., (2021). Financial decision making and forecasting techniques on project evaluation: a planning, </w:t>
      </w:r>
      <w:r w:rsidR="00742FC9" w:rsidRPr="00091C20">
        <w:rPr>
          <w:rFonts w:asciiTheme="minorBidi" w:hAnsiTheme="minorBidi" w:cstheme="minorBidi"/>
          <w:sz w:val="24"/>
          <w:szCs w:val="24"/>
          <w:highlight w:val="white"/>
          <w:lang w:val="en-GB"/>
        </w:rPr>
        <w:t>development,</w:t>
      </w:r>
      <w:r w:rsidRPr="00091C20">
        <w:rPr>
          <w:rFonts w:asciiTheme="minorBidi" w:hAnsiTheme="minorBidi" w:cstheme="minorBidi"/>
          <w:sz w:val="24"/>
          <w:szCs w:val="24"/>
          <w:highlight w:val="white"/>
          <w:lang w:val="en-GB"/>
        </w:rPr>
        <w:t xml:space="preserve"> and entrepreneurial perspective. </w:t>
      </w:r>
      <w:r w:rsidRPr="00091C20">
        <w:rPr>
          <w:rFonts w:asciiTheme="minorBidi" w:hAnsiTheme="minorBidi" w:cstheme="minorBidi"/>
          <w:i/>
          <w:iCs/>
          <w:sz w:val="24"/>
          <w:szCs w:val="24"/>
          <w:highlight w:val="white"/>
          <w:lang w:val="en-GB"/>
        </w:rPr>
        <w:t>Academy of Entrepreneurship Journal</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27</w:t>
      </w:r>
      <w:r w:rsidRPr="00091C20">
        <w:rPr>
          <w:rFonts w:asciiTheme="minorBidi" w:hAnsiTheme="minorBidi" w:cstheme="minorBidi"/>
          <w:sz w:val="24"/>
          <w:szCs w:val="24"/>
          <w:highlight w:val="white"/>
          <w:lang w:val="en-GB"/>
        </w:rPr>
        <w:t xml:space="preserve">(4), pp.1-7. </w:t>
      </w:r>
      <w:r w:rsidRPr="00091C20">
        <w:rPr>
          <w:rFonts w:asciiTheme="minorBidi" w:hAnsiTheme="minorBidi" w:cstheme="minorBidi"/>
          <w:sz w:val="24"/>
          <w:szCs w:val="24"/>
          <w:lang w:val="en-GB"/>
        </w:rPr>
        <w:t xml:space="preserve">Available at: </w:t>
      </w:r>
      <w:hyperlink r:id="rId26">
        <w:r w:rsidRPr="00091C20">
          <w:rPr>
            <w:rFonts w:asciiTheme="minorBidi" w:hAnsiTheme="minorBidi" w:cstheme="minorBidi"/>
            <w:sz w:val="24"/>
            <w:szCs w:val="24"/>
            <w:u w:val="single"/>
            <w:lang w:val="en-GB"/>
          </w:rPr>
          <w:t>https://www.academia.edu/download/91261672/Financial-decision-making-and-forecasting-techniques-on-project-evaluation-a-planning-development-1528-2686-27-4-553.pdf</w:t>
        </w:r>
      </w:hyperlink>
      <w:r w:rsidRPr="00091C20">
        <w:rPr>
          <w:rFonts w:asciiTheme="minorBidi" w:hAnsiTheme="minorBidi" w:cstheme="minorBidi"/>
          <w:sz w:val="24"/>
          <w:szCs w:val="24"/>
          <w:lang w:val="en-GB"/>
        </w:rPr>
        <w:t xml:space="preserve"> [Accessed: 02 December 2025]</w:t>
      </w:r>
    </w:p>
    <w:p w14:paraId="7725067C"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Shou, T., (2022), July. A literature review on the net present value (NPV) valuation method. In </w:t>
      </w:r>
      <w:r w:rsidRPr="00091C20">
        <w:rPr>
          <w:rFonts w:asciiTheme="minorBidi" w:hAnsiTheme="minorBidi" w:cstheme="minorBidi"/>
          <w:i/>
          <w:iCs/>
          <w:sz w:val="24"/>
          <w:szCs w:val="24"/>
          <w:highlight w:val="white"/>
          <w:lang w:val="en-GB"/>
        </w:rPr>
        <w:t>2022 2nd International Conference on Enterprise Management and Economic Development (ICEMED 2022)</w:t>
      </w:r>
      <w:r w:rsidRPr="00091C20">
        <w:rPr>
          <w:rFonts w:asciiTheme="minorBidi" w:hAnsiTheme="minorBidi" w:cstheme="minorBidi"/>
          <w:sz w:val="24"/>
          <w:szCs w:val="24"/>
          <w:highlight w:val="white"/>
          <w:lang w:val="en-GB"/>
        </w:rPr>
        <w:t xml:space="preserve"> (pp. 826-830). Atlantis Press. </w:t>
      </w:r>
      <w:r w:rsidRPr="00091C20">
        <w:rPr>
          <w:rFonts w:asciiTheme="minorBidi" w:hAnsiTheme="minorBidi" w:cstheme="minorBidi"/>
          <w:sz w:val="24"/>
          <w:szCs w:val="24"/>
          <w:lang w:val="en-GB"/>
        </w:rPr>
        <w:t xml:space="preserve">Available at: </w:t>
      </w:r>
      <w:hyperlink r:id="rId27">
        <w:r w:rsidRPr="00091C20">
          <w:rPr>
            <w:rFonts w:asciiTheme="minorBidi" w:hAnsiTheme="minorBidi" w:cstheme="minorBidi"/>
            <w:sz w:val="24"/>
            <w:szCs w:val="24"/>
            <w:u w:val="single"/>
            <w:lang w:val="en-GB"/>
          </w:rPr>
          <w:t>https://www.atlantis-press.com/article/125975449.pdf</w:t>
        </w:r>
      </w:hyperlink>
      <w:r w:rsidRPr="00091C20">
        <w:rPr>
          <w:rFonts w:asciiTheme="minorBidi" w:hAnsiTheme="minorBidi" w:cstheme="minorBidi"/>
          <w:sz w:val="24"/>
          <w:szCs w:val="24"/>
          <w:lang w:val="en-GB"/>
        </w:rPr>
        <w:t xml:space="preserve"> [Accessed: 02 December 2025]</w:t>
      </w:r>
    </w:p>
    <w:p w14:paraId="6276CB7D" w14:textId="77777777"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lang w:val="en-GB"/>
        </w:rPr>
        <w:t xml:space="preserve">Statista, (2025). </w:t>
      </w:r>
      <w:r w:rsidRPr="00091C20">
        <w:rPr>
          <w:rFonts w:asciiTheme="minorBidi" w:hAnsiTheme="minorBidi" w:cstheme="minorBidi"/>
          <w:i/>
          <w:iCs/>
          <w:sz w:val="24"/>
          <w:szCs w:val="24"/>
          <w:lang w:val="en-GB"/>
        </w:rPr>
        <w:t>Next plc - statistics &amp; facts.</w:t>
      </w:r>
      <w:r w:rsidRPr="00091C20">
        <w:rPr>
          <w:rFonts w:asciiTheme="minorBidi" w:hAnsiTheme="minorBidi" w:cstheme="minorBidi"/>
          <w:sz w:val="24"/>
          <w:szCs w:val="24"/>
          <w:lang w:val="en-GB"/>
        </w:rPr>
        <w:t xml:space="preserve"> Available at: </w:t>
      </w:r>
      <w:hyperlink r:id="rId28">
        <w:r w:rsidRPr="00091C20">
          <w:rPr>
            <w:rFonts w:asciiTheme="minorBidi" w:hAnsiTheme="minorBidi" w:cstheme="minorBidi"/>
            <w:sz w:val="24"/>
            <w:szCs w:val="24"/>
            <w:u w:val="single"/>
            <w:lang w:val="en-GB"/>
          </w:rPr>
          <w:t>https://www.statista.com/topics/11004/next-plc/?srsltid=AfmBOoq1DGv_dleVEPJLpiWwC2fOHb_WJ9kLqxFZCUEGy5Ts35T5Kwtv</w:t>
        </w:r>
      </w:hyperlink>
      <w:r w:rsidRPr="00091C20">
        <w:rPr>
          <w:rFonts w:asciiTheme="minorBidi" w:hAnsiTheme="minorBidi" w:cstheme="minorBidi"/>
          <w:sz w:val="24"/>
          <w:szCs w:val="24"/>
          <w:lang w:val="en-GB"/>
        </w:rPr>
        <w:t xml:space="preserve"> [Accessed: 02 December 2025]</w:t>
      </w:r>
    </w:p>
    <w:p w14:paraId="026971C6" w14:textId="7FEB14BE" w:rsidR="00091C20" w:rsidRPr="00091C20" w:rsidRDefault="00091C20" w:rsidP="00091C20">
      <w:pPr>
        <w:spacing w:before="200" w:after="200" w:line="360" w:lineRule="auto"/>
        <w:jc w:val="both"/>
        <w:rPr>
          <w:rFonts w:asciiTheme="minorBidi" w:hAnsiTheme="minorBidi" w:cstheme="minorBidi"/>
          <w:sz w:val="24"/>
          <w:szCs w:val="24"/>
          <w:lang w:val="en-GB"/>
        </w:rPr>
      </w:pPr>
      <w:r w:rsidRPr="00091C20">
        <w:rPr>
          <w:rFonts w:asciiTheme="minorBidi" w:hAnsiTheme="minorBidi" w:cstheme="minorBidi"/>
          <w:sz w:val="24"/>
          <w:szCs w:val="24"/>
          <w:highlight w:val="white"/>
          <w:lang w:val="en-GB"/>
        </w:rPr>
        <w:t xml:space="preserve">Widiasmara, A., Kusherawati, A., Cahyaningati, R. and Paramita, R.W.D., (2022). The Effect of Current Ratio, Debt to Equity Ratio, Return </w:t>
      </w:r>
      <w:r w:rsidR="000762FB" w:rsidRPr="00091C20">
        <w:rPr>
          <w:rFonts w:asciiTheme="minorBidi" w:hAnsiTheme="minorBidi" w:cstheme="minorBidi"/>
          <w:sz w:val="24"/>
          <w:szCs w:val="24"/>
          <w:highlight w:val="white"/>
          <w:lang w:val="en-GB"/>
        </w:rPr>
        <w:t>on</w:t>
      </w:r>
      <w:r w:rsidRPr="00091C20">
        <w:rPr>
          <w:rFonts w:asciiTheme="minorBidi" w:hAnsiTheme="minorBidi" w:cstheme="minorBidi"/>
          <w:sz w:val="24"/>
          <w:szCs w:val="24"/>
          <w:highlight w:val="white"/>
          <w:lang w:val="en-GB"/>
        </w:rPr>
        <w:t xml:space="preserve"> Assets, and Net Profit Margin on Profit Growth. </w:t>
      </w:r>
      <w:r w:rsidRPr="00091C20">
        <w:rPr>
          <w:rFonts w:asciiTheme="minorBidi" w:hAnsiTheme="minorBidi" w:cstheme="minorBidi"/>
          <w:i/>
          <w:iCs/>
          <w:sz w:val="24"/>
          <w:szCs w:val="24"/>
          <w:highlight w:val="white"/>
          <w:lang w:val="en-GB"/>
        </w:rPr>
        <w:t>Assets: Jurnal Ilmiah Ilmu Akuntansi, Keuangan Dan Pajak</w:t>
      </w:r>
      <w:r w:rsidRPr="00091C20">
        <w:rPr>
          <w:rFonts w:asciiTheme="minorBidi" w:hAnsiTheme="minorBidi" w:cstheme="minorBidi"/>
          <w:sz w:val="24"/>
          <w:szCs w:val="24"/>
          <w:highlight w:val="white"/>
          <w:lang w:val="en-GB"/>
        </w:rPr>
        <w:t xml:space="preserve">, </w:t>
      </w:r>
      <w:r w:rsidRPr="00091C20">
        <w:rPr>
          <w:rFonts w:asciiTheme="minorBidi" w:hAnsiTheme="minorBidi" w:cstheme="minorBidi"/>
          <w:i/>
          <w:iCs/>
          <w:sz w:val="24"/>
          <w:szCs w:val="24"/>
          <w:highlight w:val="white"/>
          <w:lang w:val="en-GB"/>
        </w:rPr>
        <w:t>6</w:t>
      </w:r>
      <w:r w:rsidRPr="00091C20">
        <w:rPr>
          <w:rFonts w:asciiTheme="minorBidi" w:hAnsiTheme="minorBidi" w:cstheme="minorBidi"/>
          <w:sz w:val="24"/>
          <w:szCs w:val="24"/>
          <w:highlight w:val="white"/>
          <w:lang w:val="en-GB"/>
        </w:rPr>
        <w:t xml:space="preserve">(1), pp.8-15. </w:t>
      </w:r>
      <w:r w:rsidRPr="00091C20">
        <w:rPr>
          <w:rFonts w:asciiTheme="minorBidi" w:hAnsiTheme="minorBidi" w:cstheme="minorBidi"/>
          <w:sz w:val="24"/>
          <w:szCs w:val="24"/>
          <w:lang w:val="en-GB"/>
        </w:rPr>
        <w:t xml:space="preserve">Available at: </w:t>
      </w:r>
      <w:hyperlink r:id="rId29">
        <w:r w:rsidRPr="00091C20">
          <w:rPr>
            <w:rFonts w:asciiTheme="minorBidi" w:hAnsiTheme="minorBidi" w:cstheme="minorBidi"/>
            <w:sz w:val="24"/>
            <w:szCs w:val="24"/>
            <w:u w:val="single"/>
            <w:lang w:val="en-GB"/>
          </w:rPr>
          <w:t>https://pdfs.semanticscholar.org/aa04/03048865d1266d764dda6c89cb67d7971c39.pdf</w:t>
        </w:r>
      </w:hyperlink>
      <w:r w:rsidRPr="00091C20">
        <w:rPr>
          <w:rFonts w:asciiTheme="minorBidi" w:hAnsiTheme="minorBidi" w:cstheme="minorBidi"/>
          <w:sz w:val="24"/>
          <w:szCs w:val="24"/>
          <w:lang w:val="en-GB"/>
        </w:rPr>
        <w:t xml:space="preserve"> [Accessed: 02 December 2025]</w:t>
      </w:r>
    </w:p>
    <w:p w14:paraId="753A624A" w14:textId="77777777" w:rsidR="009F2980" w:rsidRPr="00091C20" w:rsidRDefault="009F2980" w:rsidP="00091C20">
      <w:pPr>
        <w:spacing w:before="200" w:after="200" w:line="360" w:lineRule="auto"/>
        <w:jc w:val="both"/>
        <w:rPr>
          <w:rFonts w:asciiTheme="minorBidi" w:hAnsiTheme="minorBidi" w:cstheme="minorBidi"/>
          <w:sz w:val="24"/>
          <w:szCs w:val="24"/>
          <w:lang w:val="en-GB"/>
        </w:rPr>
      </w:pPr>
    </w:p>
    <w:p w14:paraId="753A624B" w14:textId="77777777" w:rsidR="009F2980" w:rsidRPr="00091C20" w:rsidRDefault="009F2980" w:rsidP="00091C20">
      <w:pPr>
        <w:spacing w:before="200" w:after="200" w:line="360" w:lineRule="auto"/>
        <w:jc w:val="both"/>
        <w:rPr>
          <w:rFonts w:asciiTheme="minorBidi" w:hAnsiTheme="minorBidi" w:cstheme="minorBidi"/>
          <w:b/>
          <w:bCs/>
          <w:sz w:val="24"/>
          <w:szCs w:val="24"/>
          <w:lang w:val="en-GB"/>
        </w:rPr>
      </w:pPr>
    </w:p>
    <w:sectPr w:rsidR="009F2980" w:rsidRPr="00091C20">
      <w:footerReference w:type="default" r:id="rId30"/>
      <w:footerReference w:type="first" r:id="rId3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EBE01" w14:textId="77777777" w:rsidR="00AA2E07" w:rsidRDefault="00AA2E07">
      <w:pPr>
        <w:spacing w:line="240" w:lineRule="auto"/>
      </w:pPr>
      <w:r>
        <w:separator/>
      </w:r>
    </w:p>
  </w:endnote>
  <w:endnote w:type="continuationSeparator" w:id="0">
    <w:p w14:paraId="707DB2D2" w14:textId="77777777" w:rsidR="00AA2E07" w:rsidRDefault="00AA2E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9C8C9D0-9B8E-49A3-B1FC-5D044B7F9A6D}"/>
  </w:font>
  <w:font w:name="Calibri">
    <w:panose1 w:val="020F0502020204030204"/>
    <w:charset w:val="00"/>
    <w:family w:val="swiss"/>
    <w:pitch w:val="variable"/>
    <w:sig w:usb0="E4002EFF" w:usb1="C200247B" w:usb2="00000009" w:usb3="00000000" w:csb0="000001FF" w:csb1="00000000"/>
    <w:embedRegular r:id="rId2" w:fontKey="{D7107428-1B01-48D4-8481-8ABB6660E5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625A" w14:textId="3A94A33B" w:rsidR="009F2980" w:rsidRDefault="00000A17">
    <w:pPr>
      <w:jc w:val="right"/>
    </w:pPr>
    <w:r>
      <w:fldChar w:fldCharType="begin"/>
    </w:r>
    <w:r>
      <w:instrText>PAGE</w:instrText>
    </w:r>
    <w:r>
      <w:fldChar w:fldCharType="separate"/>
    </w:r>
    <w:r w:rsidR="00CF78C0">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625B" w14:textId="77777777" w:rsidR="009F2980" w:rsidRDefault="009F29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8D5F9" w14:textId="77777777" w:rsidR="00AA2E07" w:rsidRDefault="00AA2E07">
      <w:pPr>
        <w:spacing w:line="240" w:lineRule="auto"/>
      </w:pPr>
      <w:r>
        <w:separator/>
      </w:r>
    </w:p>
  </w:footnote>
  <w:footnote w:type="continuationSeparator" w:id="0">
    <w:p w14:paraId="7BB39360" w14:textId="77777777" w:rsidR="00AA2E07" w:rsidRDefault="00AA2E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980"/>
    <w:rsid w:val="00000A17"/>
    <w:rsid w:val="000762FB"/>
    <w:rsid w:val="00091C20"/>
    <w:rsid w:val="001700A4"/>
    <w:rsid w:val="00723D77"/>
    <w:rsid w:val="00742FC9"/>
    <w:rsid w:val="009B356C"/>
    <w:rsid w:val="009F2980"/>
    <w:rsid w:val="00AA2E07"/>
    <w:rsid w:val="00CF78C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A60CA"/>
  <w15:docId w15:val="{C9700AB4-39B8-4765-9917-C51690B91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b/>
      <w:bCs/>
      <w:sz w:val="24"/>
      <w:szCs w:val="24"/>
    </w:rPr>
  </w:style>
  <w:style w:type="paragraph" w:styleId="Heading2">
    <w:name w:val="heading 2"/>
    <w:basedOn w:val="Normal"/>
    <w:next w:val="Normal"/>
    <w:uiPriority w:val="9"/>
    <w:unhideWhenUsed/>
    <w:qFormat/>
    <w:pPr>
      <w:keepNext/>
      <w:keepLines/>
      <w:spacing w:before="200" w:after="200" w:line="360" w:lineRule="auto"/>
      <w:jc w:val="both"/>
      <w:outlineLvl w:val="1"/>
    </w:pPr>
    <w:rPr>
      <w:b/>
      <w:bCs/>
      <w:sz w:val="24"/>
      <w:szCs w:val="24"/>
    </w:rPr>
  </w:style>
  <w:style w:type="paragraph" w:styleId="Heading3">
    <w:name w:val="heading 3"/>
    <w:basedOn w:val="Normal"/>
    <w:next w:val="Normal"/>
    <w:uiPriority w:val="9"/>
    <w:unhideWhenUsed/>
    <w:qFormat/>
    <w:rsid w:val="00CF78C0"/>
    <w:pPr>
      <w:spacing w:before="200" w:after="200" w:line="360" w:lineRule="auto"/>
      <w:jc w:val="center"/>
      <w:outlineLvl w:val="2"/>
    </w:pPr>
    <w:rPr>
      <w:rFonts w:asciiTheme="minorBidi" w:hAnsiTheme="minorBidi" w:cstheme="minorBidi"/>
      <w:b/>
      <w:bCs/>
      <w:sz w:val="24"/>
      <w:szCs w:val="24"/>
      <w:lang w:val="en-GB"/>
    </w:rPr>
  </w:style>
  <w:style w:type="paragraph" w:styleId="Heading4">
    <w:name w:val="heading 4"/>
    <w:basedOn w:val="Normal"/>
    <w:next w:val="Normal"/>
    <w:uiPriority w:val="9"/>
    <w:unhideWhenUsed/>
    <w:qFormat/>
    <w:rsid w:val="00CF78C0"/>
    <w:pPr>
      <w:spacing w:before="240" w:after="240" w:line="360" w:lineRule="auto"/>
      <w:jc w:val="center"/>
      <w:outlineLvl w:val="3"/>
    </w:pPr>
    <w:rPr>
      <w:rFonts w:asciiTheme="minorBidi" w:hAnsiTheme="minorBidi" w:cstheme="minorBidi"/>
      <w:b/>
      <w:bCs/>
      <w:sz w:val="24"/>
      <w:szCs w:val="24"/>
      <w:lang w:val="en-GB"/>
    </w:rPr>
  </w:style>
  <w:style w:type="paragraph" w:styleId="Heading5">
    <w:name w:val="heading 5"/>
    <w:basedOn w:val="Heading3"/>
    <w:next w:val="Normal"/>
    <w:uiPriority w:val="9"/>
    <w:unhideWhenUsed/>
    <w:qFormat/>
    <w:rsid w:val="00091C20"/>
    <w:pPr>
      <w:outlineLvl w:val="4"/>
    </w:p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ableofFigures">
    <w:name w:val="table of figures"/>
    <w:basedOn w:val="Normal"/>
    <w:next w:val="Normal"/>
    <w:uiPriority w:val="99"/>
    <w:unhideWhenUsed/>
    <w:rsid w:val="00091C20"/>
  </w:style>
  <w:style w:type="character" w:styleId="Hyperlink">
    <w:name w:val="Hyperlink"/>
    <w:basedOn w:val="DefaultParagraphFont"/>
    <w:uiPriority w:val="99"/>
    <w:unhideWhenUsed/>
    <w:rsid w:val="00091C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mdpi.com/2410-3888/7/4/151" TargetMode="External"/><Relationship Id="rId26" Type="http://schemas.openxmlformats.org/officeDocument/2006/relationships/hyperlink" Target="https://www.academia.edu/download/91261672/Financial-decision-making-and-forecasting-techniques-on-project-evaluation-a-planning-development-1528-2686-27-4-553.pdf" TargetMode="External"/><Relationship Id="rId3" Type="http://schemas.openxmlformats.org/officeDocument/2006/relationships/settings" Target="settings.xml"/><Relationship Id="rId21" Type="http://schemas.openxmlformats.org/officeDocument/2006/relationships/hyperlink" Target="https://www.nextplc.co.uk/~/media/Files/N/Next-PLC-V2/documents/2023/annual-reports-and-account-jan-2023.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ompaniesmarketcap.com/inr/next-plc/marketcap/" TargetMode="External"/><Relationship Id="rId25" Type="http://schemas.openxmlformats.org/officeDocument/2006/relationships/hyperlink" Target="https://pdfs.semanticscholar.org/4b29/bdf34d35e24a259a4ba325104a1c10bd8402.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journal.up45.ac.id/index.php/maksipreneur/article/download/810/641" TargetMode="External"/><Relationship Id="rId20" Type="http://schemas.openxmlformats.org/officeDocument/2006/relationships/hyperlink" Target="https://www.nextplc.co.uk/~/media/Files/N/Next-PLC-V2/documents/2022/annual-reports-and-account-jan-2022.pdf" TargetMode="External"/><Relationship Id="rId29" Type="http://schemas.openxmlformats.org/officeDocument/2006/relationships/hyperlink" Target="https://pdfs.semanticscholar.org/aa04/03048865d1266d764dda6c89cb67d7971c39.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searchgate.net/profile/Aarti-Patki/publication/354667889_Analysis_of_Inventory_Turnover_Ratio_and_Its_Impact_on_Profitability_of_Enterprises_in_Indian_Retail_Industry_Author/links/61453e0b3c6cb31069772185/Analysis-of-Inventory-Turnover-Ratio-and-Its-Impact-on-Profitability-of-Enterprises-in-Indian-Retail-Industry-Author.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karlancer.com/api/file/1734235590-Ifei.pdf" TargetMode="External"/><Relationship Id="rId23" Type="http://schemas.openxmlformats.org/officeDocument/2006/relationships/hyperlink" Target="https://www.nextplc.co.uk/" TargetMode="External"/><Relationship Id="rId28" Type="http://schemas.openxmlformats.org/officeDocument/2006/relationships/hyperlink" Target="https://www.statista.com/topics/11004/next-plc/?srsltid=AfmBOoq1DGv_dleVEPJLpiWwC2fOHb_WJ9kLqxFZCUEGy5Ts35T5Kwtv" TargetMode="External"/><Relationship Id="rId10" Type="http://schemas.openxmlformats.org/officeDocument/2006/relationships/image" Target="media/image4.png"/><Relationship Id="rId19" Type="http://schemas.openxmlformats.org/officeDocument/2006/relationships/hyperlink" Target="https://www.nextplc.co.uk/~/media/Files/N/Next-PLC-V2/documents/2021/annual-report-and-accounts-jan21.pdf"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ademia.edu/download/115377930/Capital_Budgeting_and_Financial_Investme.pdf" TargetMode="External"/><Relationship Id="rId22" Type="http://schemas.openxmlformats.org/officeDocument/2006/relationships/hyperlink" Target="https://www.nextplc.co.uk/~/media/Files/N/next-plc-v4/about-next/annual-report-and-accounts-jan-2024.pdf" TargetMode="External"/><Relationship Id="rId27" Type="http://schemas.openxmlformats.org/officeDocument/2006/relationships/hyperlink" Target="https://www.atlantis-press.com/article/125975449.pdf" TargetMode="External"/><Relationship Id="rId30" Type="http://schemas.openxmlformats.org/officeDocument/2006/relationships/footer" Target="footer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C000B-0A3E-4EDA-9A14-0CB4836A0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5902</Words>
  <Characters>33642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Rumen Ivanov Kovachev</dc:creator>
  <cp:lastModifiedBy>Rumen Ivanov Kovachev (2119897)</cp:lastModifiedBy>
  <cp:revision>2</cp:revision>
  <dcterms:created xsi:type="dcterms:W3CDTF">2025-12-08T13:08:00Z</dcterms:created>
  <dcterms:modified xsi:type="dcterms:W3CDTF">2025-12-08T13:08:00Z</dcterms:modified>
</cp:coreProperties>
</file>