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5 -->
  <w:body>
    <w:sdt>
      <w:sdtPr>
        <w:id w:val="-250127893"/>
        <w:docPartObj>
          <w:docPartGallery w:val="Cover Pages"/>
          <w:docPartUnique/>
        </w:docPartObj>
      </w:sdtPr>
      <w:sdtEndPr>
        <w:rPr>
          <w:rFonts w:ascii="Times New Roman" w:hAnsi="Times New Roman" w:cs="Times New Roman"/>
          <w:sz w:val="24"/>
          <w:szCs w:val="24"/>
          <w:lang w:val="en"/>
        </w:rPr>
      </w:sdtEndPr>
      <w:sdtContent>
        <w:p w:rsidR="00B819EE" w14:paraId="61EA2B61" w14:textId="47DCB156"/>
        <w:p w:rsidR="00B819EE" w14:paraId="621D1CDA" w14:textId="24CBBD34">
          <w:pPr>
            <w:rPr>
              <w:rFonts w:ascii="Times New Roman" w:hAnsi="Times New Roman" w:cs="Times New Roman"/>
              <w:sz w:val="24"/>
              <w:szCs w:val="24"/>
              <w:lang w:val="en"/>
            </w:rPr>
          </w:pPr>
          <w:r>
            <w:rPr>
              <w:noProof/>
            </w:rPr>
            <mc:AlternateContent>
              <mc:Choice Requires="wps">
                <w:drawing>
                  <wp:anchor distT="0" distB="0" distL="182880" distR="182880" simplePos="0" relativeHeight="251660288" behindDoc="0" locked="0" layoutInCell="1" allowOverlap="1">
                    <wp:simplePos x="0" y="0"/>
                    <mc:AlternateContent xmlns:mc="http://schemas.openxmlformats.org/markup-compatibility/2006">
                      <mc:Choice xmlns:c14="http://schemas.microsoft.com/office/drawing/2007/8/2/chart" Requires="c14">
                        <wp:positionH relativeFrom="margin">
                          <wp14:pctPosHOffset>7700</wp14:pctPosHOffset>
                        </wp:positionH>
                      </mc:Choice>
                      <mc:Fallback>
                        <wp:positionH relativeFrom="margin">
                          <wp:posOffset>457657</wp:posOffset>
                        </wp:positionH>
                      </mc:Fallback>
                    </mc:AlternateContent>
                    <mc:AlternateContent xmlns:mc="http://schemas.openxmlformats.org/markup-compatibility/2006">
                      <mc:Choice xmlns:c14="http://schemas.microsoft.com/office/drawing/2007/8/2/chart" Requires="c14">
                        <wp:positionV relativeFrom="page">
                          <wp14:pctPosVOffset>54000</wp14:pctPosVOffset>
                        </wp:positionV>
                      </mc:Choice>
                      <mc:Fallback>
                        <wp:positionV relativeFrom="page">
                          <wp:posOffset>5431536</wp:posOffset>
                        </wp:positionV>
                      </mc:Fallback>
                    </mc:AlternateContent>
                    <wp:extent cx="4685284" cy="3516630"/>
                    <wp:effectExtent l="0" t="0" r="10160" b="3810"/>
                    <wp:wrapSquare wrapText="bothSides"/>
                    <wp:docPr id="131" name="Text Box 131"/>
                    <wp:cNvGraphicFramePr/>
                    <a:graphic xmlns:a="http://schemas.openxmlformats.org/drawingml/2006/main">
                      <a:graphicData uri="http://schemas.microsoft.com/office/word/2010/wordprocessingShape">
                        <wps:wsp xmlns:wps="http://schemas.microsoft.com/office/word/2010/wordprocessingShape">
                          <wps:cNvSpPr txBox="1"/>
                          <wps:spPr>
                            <a:xfrm>
                              <a:off x="0" y="0"/>
                              <a:ext cx="4685284" cy="3516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819EE" w14:textId="2F400EE8">
                                <w:pPr>
                                  <w:pStyle w:val="NoSpacing"/>
                                  <w:spacing w:before="40" w:after="560" w:line="216" w:lineRule="auto"/>
                                  <w:rPr>
                                    <w:color w:val="4472C4" w:themeColor="accent1"/>
                                    <w:sz w:val="72"/>
                                    <w:szCs w:val="72"/>
                                  </w:rPr>
                                </w:pPr>
                                <w:sdt>
                                  <w:sdtPr>
                                    <w:rPr>
                                      <w:color w:val="4472C4" w:themeColor="accent1"/>
                                      <w:sz w:val="72"/>
                                      <w:szCs w:val="72"/>
                                    </w:rPr>
                                    <w:alias w:val="Title"/>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Portfolio of Activities</w:t>
                                    </w:r>
                                  </w:sdtContent>
                                </w:sdt>
                              </w:p>
                              <w:p w:rsidR="00972C66" w14:textId="7EC8F888">
                                <w:pPr>
                                  <w:pStyle w:val="NoSpacing"/>
                                  <w:spacing w:before="40" w:after="560" w:line="216" w:lineRule="auto"/>
                                  <w:rPr>
                                    <w:color w:val="4472C4" w:themeColor="accent1"/>
                                    <w:sz w:val="72"/>
                                    <w:szCs w:val="72"/>
                                  </w:rPr>
                                </w:pPr>
                                <w:r>
                                  <w:rPr>
                                    <w:color w:val="4472C4" w:themeColor="accent1"/>
                                    <w:sz w:val="72"/>
                                    <w:szCs w:val="72"/>
                                  </w:rPr>
                                  <w:t>BSc Applied Psychology</w:t>
                                </w:r>
                              </w:p>
                              <w:sdt>
                                <w:sdtPr>
                                  <w:rPr>
                                    <w:caps/>
                                    <w:color w:val="1F4E79" w:themeColor="accent5" w:themeShade="80"/>
                                    <w:sz w:val="28"/>
                                    <w:szCs w:val="28"/>
                                  </w:rPr>
                                  <w:alias w:val="Subtitle"/>
                                  <w:id w:val="-2090151685"/>
                                  <w:dataBinding w:prefixMappings="xmlns:ns0='http://purl.org/dc/elements/1.1/' xmlns:ns1='http://schemas.openxmlformats.org/package/2006/metadata/core-properties' " w:xpath="/ns1:coreProperties[1]/ns0:subject[1]" w:storeItemID="{6C3C8BC8-F283-45AE-878A-BAB7291924A1}"/>
                                  <w:text/>
                                </w:sdtPr>
                                <w:sdtContent>
                                  <w:p w:rsidR="00B819EE" w14:textId="0C0ECFA1">
                                    <w:pPr>
                                      <w:pStyle w:val="NoSpacing"/>
                                      <w:spacing w:before="40" w:after="40"/>
                                      <w:rPr>
                                        <w:caps/>
                                        <w:color w:val="1F4E79" w:themeColor="accent5" w:themeShade="80"/>
                                        <w:sz w:val="28"/>
                                        <w:szCs w:val="28"/>
                                      </w:rPr>
                                    </w:pPr>
                                    <w:r>
                                      <w:rPr>
                                        <w:caps/>
                                        <w:color w:val="1F4E79" w:themeColor="accent5" w:themeShade="80"/>
                                        <w:sz w:val="28"/>
                                        <w:szCs w:val="28"/>
                                      </w:rPr>
                                      <w:t>University of Wales</w:t>
                                    </w:r>
                                    <w:r w:rsidR="00972C66">
                                      <w:rPr>
                                        <w:caps/>
                                        <w:color w:val="1F4E79" w:themeColor="accent5" w:themeShade="80"/>
                                        <w:sz w:val="28"/>
                                        <w:szCs w:val="28"/>
                                      </w:rPr>
                                      <w:t xml:space="preserve"> trinity saint david</w:t>
                                    </w:r>
                                  </w:p>
                                </w:sdtContent>
                              </w:sdt>
                              <w:sdt>
                                <w:sdtPr>
                                  <w:rPr>
                                    <w:caps/>
                                    <w:color w:val="5B9BD5" w:themeColor="accent5"/>
                                    <w:sz w:val="24"/>
                                    <w:szCs w:val="24"/>
                                  </w:rPr>
                                  <w:alias w:val="Author"/>
                                  <w:id w:val="-1536112409"/>
                                  <w:dataBinding w:prefixMappings="xmlns:ns0='http://purl.org/dc/elements/1.1/' xmlns:ns1='http://schemas.openxmlformats.org/package/2006/metadata/core-properties' " w:xpath="/ns1:coreProperties[1]/ns0:creator[1]" w:storeItemID="{6C3C8BC8-F283-45AE-878A-BAB7291924A1}"/>
                                  <w:text/>
                                </w:sdtPr>
                                <w:sdtContent>
                                  <w:p w:rsidR="00B819EE" w14:textId="11D3197A">
                                    <w:pPr>
                                      <w:pStyle w:val="NoSpacing"/>
                                      <w:spacing w:before="80" w:after="40"/>
                                      <w:rPr>
                                        <w:caps/>
                                        <w:color w:val="5B9BD5" w:themeColor="accent5"/>
                                        <w:sz w:val="24"/>
                                        <w:szCs w:val="24"/>
                                      </w:rPr>
                                    </w:pPr>
                                    <w:r>
                                      <w:rPr>
                                        <w:caps/>
                                        <w:color w:val="5B9BD5" w:themeColor="accent5"/>
                                        <w:sz w:val="24"/>
                                        <w:szCs w:val="24"/>
                                      </w:rPr>
                                      <w:t>Jade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5" type="#_x0000_t202" style="width:369pt;height:529.2pt;margin-top:0;margin-left:0;mso-height-percent:350;mso-height-relative:page;mso-left-percent:77;mso-position-horizontal-relative:margin;mso-position-vertical-relative:page;mso-top-percent:540;mso-width-percent:790;mso-width-relative:margin;mso-wrap-distance-bottom:0;mso-wrap-distance-left:14.4pt;mso-wrap-distance-right:14.4pt;mso-wrap-distance-top:0;mso-wrap-style:square;position:absolute;visibility:visible;v-text-anchor:top;z-index:251661312" filled="f" stroked="f" strokeweight="0.5pt">
                    <v:textbox style="mso-fit-shape-to-text:t" inset="0,0,0,0">
                      <w:txbxContent>
                        <w:p w:rsidR="00B819EE" w14:paraId="29045F1D" w14:textId="2F400EE8">
                          <w:pPr>
                            <w:pStyle w:val="NoSpacing"/>
                            <w:spacing w:before="40" w:after="560" w:line="216" w:lineRule="auto"/>
                            <w:rPr>
                              <w:color w:val="4472C4" w:themeColor="accent1"/>
                              <w:sz w:val="72"/>
                              <w:szCs w:val="72"/>
                            </w:rPr>
                          </w:pPr>
                          <w:sdt>
                            <w:sdtPr>
                              <w:rPr>
                                <w:color w:val="4472C4" w:themeColor="accent1"/>
                                <w:sz w:val="72"/>
                                <w:szCs w:val="72"/>
                              </w:rPr>
                              <w:alias w:val="Title"/>
                              <w:id w:val="287888864"/>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Portfolio of Activities</w:t>
                              </w:r>
                            </w:sdtContent>
                          </w:sdt>
                        </w:p>
                        <w:p w:rsidR="00972C66" w14:paraId="4788B5B2" w14:textId="7EC8F888">
                          <w:pPr>
                            <w:pStyle w:val="NoSpacing"/>
                            <w:spacing w:before="40" w:after="560" w:line="216" w:lineRule="auto"/>
                            <w:rPr>
                              <w:color w:val="4472C4" w:themeColor="accent1"/>
                              <w:sz w:val="72"/>
                              <w:szCs w:val="72"/>
                            </w:rPr>
                          </w:pPr>
                          <w:r>
                            <w:rPr>
                              <w:color w:val="4472C4" w:themeColor="accent1"/>
                              <w:sz w:val="72"/>
                              <w:szCs w:val="72"/>
                            </w:rPr>
                            <w:t>BSc Applied Psychology</w:t>
                          </w:r>
                        </w:p>
                        <w:sdt>
                          <w:sdtPr>
                            <w:rPr>
                              <w:caps/>
                              <w:color w:val="1F4E79" w:themeColor="accent5" w:themeShade="80"/>
                              <w:sz w:val="28"/>
                              <w:szCs w:val="28"/>
                            </w:rPr>
                            <w:alias w:val="Subtitle"/>
                            <w:id w:val="1656582426"/>
                            <w:dataBinding w:prefixMappings="xmlns:ns0='http://purl.org/dc/elements/1.1/' xmlns:ns1='http://schemas.openxmlformats.org/package/2006/metadata/core-properties' " w:xpath="/ns1:coreProperties[1]/ns0:subject[1]" w:storeItemID="{6C3C8BC8-F283-45AE-878A-BAB7291924A1}"/>
                            <w:text/>
                          </w:sdtPr>
                          <w:sdtContent>
                            <w:p w:rsidR="00B819EE" w14:paraId="27C19CF3" w14:textId="0C0ECFA1">
                              <w:pPr>
                                <w:pStyle w:val="NoSpacing"/>
                                <w:spacing w:before="40" w:after="40"/>
                                <w:rPr>
                                  <w:caps/>
                                  <w:color w:val="1F4E79" w:themeColor="accent5" w:themeShade="80"/>
                                  <w:sz w:val="28"/>
                                  <w:szCs w:val="28"/>
                                </w:rPr>
                              </w:pPr>
                              <w:r>
                                <w:rPr>
                                  <w:caps/>
                                  <w:color w:val="1F4E79" w:themeColor="accent5" w:themeShade="80"/>
                                  <w:sz w:val="28"/>
                                  <w:szCs w:val="28"/>
                                </w:rPr>
                                <w:t>University of Wales</w:t>
                              </w:r>
                              <w:r w:rsidR="00972C66">
                                <w:rPr>
                                  <w:caps/>
                                  <w:color w:val="1F4E79" w:themeColor="accent5" w:themeShade="80"/>
                                  <w:sz w:val="28"/>
                                  <w:szCs w:val="28"/>
                                </w:rPr>
                                <w:t xml:space="preserve"> trinity saint david</w:t>
                              </w:r>
                            </w:p>
                          </w:sdtContent>
                        </w:sdt>
                        <w:sdt>
                          <w:sdtPr>
                            <w:rPr>
                              <w:caps/>
                              <w:color w:val="5B9BD5" w:themeColor="accent5"/>
                              <w:sz w:val="24"/>
                              <w:szCs w:val="24"/>
                            </w:rPr>
                            <w:alias w:val="Author"/>
                            <w:id w:val="295796054"/>
                            <w:dataBinding w:prefixMappings="xmlns:ns0='http://purl.org/dc/elements/1.1/' xmlns:ns1='http://schemas.openxmlformats.org/package/2006/metadata/core-properties' " w:xpath="/ns1:coreProperties[1]/ns0:creator[1]" w:storeItemID="{6C3C8BC8-F283-45AE-878A-BAB7291924A1}"/>
                            <w:text/>
                          </w:sdtPr>
                          <w:sdtContent>
                            <w:p w:rsidR="00B819EE" w14:paraId="49AEDFB5" w14:textId="11D3197A">
                              <w:pPr>
                                <w:pStyle w:val="NoSpacing"/>
                                <w:spacing w:before="80" w:after="40"/>
                                <w:rPr>
                                  <w:caps/>
                                  <w:color w:val="5B9BD5" w:themeColor="accent5"/>
                                  <w:sz w:val="24"/>
                                  <w:szCs w:val="24"/>
                                </w:rPr>
                              </w:pPr>
                              <w:r>
                                <w:rPr>
                                  <w:caps/>
                                  <w:color w:val="5B9BD5" w:themeColor="accent5"/>
                                  <w:sz w:val="24"/>
                                  <w:szCs w:val="24"/>
                                </w:rPr>
                                <w:t>Jade Williams</w:t>
                              </w:r>
                            </w:p>
                          </w:sdtContent>
                        </w:sdt>
                      </w:txbxContent>
                    </v:textbox>
                    <w10:wrap type="square"/>
                  </v:shape>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mc:AlternateContent xmlns:mc="http://schemas.openxmlformats.org/markup-compatibility/2006">
                      <mc:Choice xmlns:c14="http://schemas.microsoft.com/office/drawing/2007/8/2/chart" Requires="c14">
                        <wp:positionV relativeFrom="page">
                          <wp14:pctPosVOffset>2300</wp14:pctPosVOffset>
                        </wp:positionV>
                      </mc:Choice>
                      <mc:Fallback>
                        <wp:positionV relativeFrom="page">
                          <wp:posOffset>231343</wp:posOffset>
                        </wp:positionV>
                      </mc:Fallback>
                    </mc:AlternateContent>
                    <wp:extent cx="590702" cy="980643"/>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xmlns:wps="http://schemas.microsoft.com/office/word/2010/wordprocessingShape">
                          <wps:cNvSpPr>
                            <a:spLocks noChangeAspect="1"/>
                          </wps:cNvSpPr>
                          <wps:spPr>
                            <a:xfrm>
                              <a:off x="0" y="0"/>
                              <a:ext cx="590702" cy="98064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B819EE" w14:textId="27F962AC">
                                    <w:pPr>
                                      <w:pStyle w:val="NoSpacing"/>
                                      <w:jc w:val="right"/>
                                      <w:rPr>
                                        <w:color w:val="FFFFFF" w:themeColor="background1"/>
                                        <w:sz w:val="24"/>
                                        <w:szCs w:val="24"/>
                                      </w:rPr>
                                    </w:pPr>
                                    <w:r>
                                      <w:rPr>
                                        <w:color w:val="FFFFFF" w:themeColor="background1"/>
                                        <w:sz w:val="24"/>
                                        <w:szCs w:val="24"/>
                                      </w:rPr>
                                      <w:t xml:space="preserve">01.11 </w:t>
                                    </w: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7600</wp14:pctWidth>
                    </wp14:sizeRelH>
                    <wp14:sizeRelV relativeFrom="page">
                      <wp14:pctHeight>9800</wp14:pctHeight>
                    </wp14:sizeRelV>
                  </wp:anchor>
                </w:drawing>
              </mc:Choice>
              <mc:Fallback>
                <w:pict>
                  <v:rect id="Rectangle 132" o:spid="_x0000_s1026" style="width:46.8pt;height:77.75pt;margin-top:0;margin-left:-4.4pt;mso-height-percent:98;mso-height-relative:page;mso-position-horizontal:right;mso-position-horizontal-relative:margin;mso-position-vertical-relative:page;mso-top-percent:23;mso-width-percent:76;mso-width-relative:page;mso-wrap-distance-bottom:0;mso-wrap-distance-left:9pt;mso-wrap-distance-right:9pt;mso-wrap-distance-top:0;mso-wrap-style:square;position:absolute;visibility:visible;v-text-anchor:bottom;z-index:251659264" fillcolor="#4472c4" stroked="f" strokeweight="1pt">
                    <o:lock v:ext="edit" aspectratio="t"/>
                    <v:textbox inset="3.6pt,,3.6pt">
                      <w:txbxContent>
                        <w:sdt>
                          <w:sdtPr>
                            <w:rPr>
                              <w:color w:val="FFFFFF" w:themeColor="background1"/>
                              <w:sz w:val="24"/>
                              <w:szCs w:val="24"/>
                            </w:rPr>
                            <w:alias w:val="Year"/>
                            <w:id w:val="1459418048"/>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B819EE" w14:paraId="3D9AA460" w14:textId="27F962AC">
                              <w:pPr>
                                <w:pStyle w:val="NoSpacing"/>
                                <w:jc w:val="right"/>
                                <w:rPr>
                                  <w:color w:val="FFFFFF" w:themeColor="background1"/>
                                  <w:sz w:val="24"/>
                                  <w:szCs w:val="24"/>
                                </w:rPr>
                              </w:pPr>
                              <w:r>
                                <w:rPr>
                                  <w:color w:val="FFFFFF" w:themeColor="background1"/>
                                  <w:sz w:val="24"/>
                                  <w:szCs w:val="24"/>
                                </w:rPr>
                                <w:t xml:space="preserve">01.11 </w:t>
                              </w:r>
                              <w:r>
                                <w:rPr>
                                  <w:color w:val="FFFFFF" w:themeColor="background1"/>
                                  <w:sz w:val="24"/>
                                  <w:szCs w:val="24"/>
                                </w:rPr>
                                <w:t>2018</w:t>
                              </w:r>
                            </w:p>
                          </w:sdtContent>
                        </w:sdt>
                      </w:txbxContent>
                    </v:textbox>
                    <w10:wrap anchorx="margin"/>
                  </v:rect>
                </w:pict>
              </mc:Fallback>
            </mc:AlternateContent>
          </w:r>
          <w:r>
            <w:rPr>
              <w:rFonts w:ascii="Times New Roman" w:hAnsi="Times New Roman" w:cs="Times New Roman"/>
              <w:sz w:val="24"/>
              <w:szCs w:val="24"/>
              <w:lang w:val="en"/>
            </w:rPr>
            <w:br w:type="page"/>
          </w:r>
        </w:p>
      </w:sdtContent>
    </w:sdt>
    <w:p w:rsidR="0070172B" w:rsidP="0070172B" w14:paraId="5931B479" w14:textId="7D091FFD">
      <w:pPr>
        <w:autoSpaceDE w:val="0"/>
        <w:autoSpaceDN w:val="0"/>
        <w:adjustRightInd w:val="0"/>
        <w:spacing w:line="480" w:lineRule="auto"/>
        <w:rPr>
          <w:rFonts w:ascii="Times New Roman" w:hAnsi="Times New Roman" w:cs="Times New Roman"/>
          <w:sz w:val="24"/>
          <w:szCs w:val="24"/>
          <w:lang w:val="en"/>
        </w:rPr>
      </w:pPr>
      <w:bookmarkStart w:id="0" w:name="_GoBack" w:displacedByCustomXml="next"/>
      <w:bookmarkEnd w:id="0" w:displacedByCustomXml="next"/>
      <w:r>
        <w:rPr>
          <w:rFonts w:ascii="Times New Roman" w:hAnsi="Times New Roman" w:cs="Times New Roman"/>
          <w:sz w:val="24"/>
          <w:szCs w:val="24"/>
          <w:lang w:val="en"/>
        </w:rPr>
        <w:t xml:space="preserve">Portfolio of activities </w:t>
      </w:r>
    </w:p>
    <w:p w:rsidR="0070172B" w:rsidP="0070172B" w14:paraId="62E559CD" w14:textId="77777777">
      <w:pPr>
        <w:autoSpaceDE w:val="0"/>
        <w:autoSpaceDN w:val="0"/>
        <w:adjustRightInd w:val="0"/>
        <w:spacing w:line="480" w:lineRule="auto"/>
        <w:rPr>
          <w:rFonts w:ascii="Times New Roman" w:hAnsi="Times New Roman" w:cs="Times New Roman"/>
          <w:sz w:val="24"/>
          <w:szCs w:val="24"/>
          <w:lang w:val="en"/>
        </w:rPr>
      </w:pPr>
    </w:p>
    <w:p w:rsidR="0070172B" w:rsidP="0070172B" w14:paraId="13B2F121" w14:textId="77777777">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Introduction:</w:t>
      </w:r>
    </w:p>
    <w:p w:rsidR="0070172B" w:rsidP="0070172B" w14:paraId="52D948CB" w14:textId="4B208588">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portfolio is evidence of my activities that I have researched and paraphrased into my own words. The following tasks are summarising a chapter from a book, summaries three selected journal papers into appropriate 120 – </w:t>
      </w:r>
      <w:r>
        <w:rPr>
          <w:rFonts w:ascii="Times New Roman" w:hAnsi="Times New Roman" w:cs="Times New Roman"/>
          <w:sz w:val="24"/>
          <w:szCs w:val="24"/>
          <w:lang w:val="en"/>
        </w:rPr>
        <w:t>150-word</w:t>
      </w:r>
      <w:r>
        <w:rPr>
          <w:rFonts w:ascii="Times New Roman" w:hAnsi="Times New Roman" w:cs="Times New Roman"/>
          <w:sz w:val="24"/>
          <w:szCs w:val="24"/>
          <w:lang w:val="en"/>
        </w:rPr>
        <w:t xml:space="preserve"> abstracts (450 – 500 words in total) and create a reference list.</w:t>
      </w:r>
    </w:p>
    <w:p w:rsidR="0070172B" w:rsidP="0070172B" w14:paraId="74CA6A5C" w14:textId="77777777">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Summary of the effects of Gender differences:</w:t>
      </w:r>
    </w:p>
    <w:p w:rsidR="0070172B" w:rsidP="0070172B" w14:paraId="145F4ABA" w14:textId="77F78566">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The article explains the gender of both male and female and how puberty can affect their self-esteem and how they look at themselves. This can be a tough time for a young adult as their body will change drastically especially for a young girl. The article suggests that it is more difficult for a girl during puberty. The girl will go through menstrual cycles which can be difficult for them to do with because of the sudden change in their body and the bleeding.</w:t>
      </w:r>
    </w:p>
    <w:p w:rsidR="0070172B" w:rsidP="0070172B" w14:textId="77F78566">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Their body fat will change fast, and their breasts will start to grow, this for some girls can be accepted, but other girls might not be ready for it. The attention girls will get from boys can be flattering but can also be aggressive as they are also going through puberty. </w:t>
      </w:r>
      <w:r w:rsidR="006611E2">
        <w:rPr>
          <w:rFonts w:ascii="Times New Roman" w:hAnsi="Times New Roman" w:cs="Times New Roman"/>
          <w:sz w:val="24"/>
          <w:szCs w:val="24"/>
          <w:lang w:val="en"/>
        </w:rPr>
        <w:t>Young teen boys will start to develop more muscle, and their voice will start breaking, some teenage boys might not have as much muscle as their friends, and this can affect their body image and self-esteem. Their body will be flooding with testosterone which might make them aggressive and moody, and this can be difficult for them and parents to deal with. The teen's sex drive will be very high during puberty, and this can be exciting but equally devastating to the teenager</w:t>
      </w:r>
      <w:r w:rsidR="005B1ADA">
        <w:rPr>
          <w:rFonts w:ascii="Times New Roman" w:hAnsi="Times New Roman" w:cs="Times New Roman"/>
          <w:sz w:val="24"/>
          <w:szCs w:val="24"/>
          <w:lang w:val="en"/>
        </w:rPr>
        <w:t xml:space="preserve">, such as pressure from </w:t>
      </w:r>
      <w:r w:rsidR="00133453">
        <w:rPr>
          <w:rFonts w:ascii="Times New Roman" w:hAnsi="Times New Roman" w:cs="Times New Roman"/>
          <w:sz w:val="24"/>
          <w:szCs w:val="24"/>
          <w:lang w:val="en"/>
        </w:rPr>
        <w:t xml:space="preserve">other boys to lose their virginity or pressure from boys to have sex with them from the </w:t>
      </w:r>
      <w:r w:rsidR="00133453">
        <w:rPr>
          <w:rFonts w:ascii="Times New Roman" w:hAnsi="Times New Roman" w:cs="Times New Roman"/>
          <w:sz w:val="24"/>
          <w:szCs w:val="24"/>
          <w:lang w:val="en"/>
        </w:rPr>
        <w:t>girl's</w:t>
      </w:r>
      <w:r w:rsidR="00133453">
        <w:rPr>
          <w:rFonts w:ascii="Times New Roman" w:hAnsi="Times New Roman" w:cs="Times New Roman"/>
          <w:sz w:val="24"/>
          <w:szCs w:val="24"/>
          <w:lang w:val="en"/>
        </w:rPr>
        <w:t xml:space="preserve"> point of view. </w:t>
      </w:r>
      <w:r w:rsidR="00133453">
        <w:rPr>
          <w:rFonts w:ascii="Times New Roman" w:hAnsi="Times New Roman" w:cs="Times New Roman"/>
          <w:sz w:val="24"/>
          <w:szCs w:val="24"/>
          <w:lang w:val="en"/>
        </w:rPr>
        <w:t xml:space="preserve">Safe sex should be relevant to the teens at this stage, but many teens are embarrassed by buying condoms, some teens think they will not get pregnant the first time or will not catch anything. This is incorrect information, and they can pass an STD (sexually transmitted disease) a/or get pregnant. </w:t>
      </w:r>
      <w:r w:rsidR="001345BA">
        <w:rPr>
          <w:rFonts w:ascii="Times New Roman" w:hAnsi="Times New Roman" w:cs="Times New Roman"/>
          <w:sz w:val="24"/>
          <w:szCs w:val="24"/>
          <w:lang w:val="en"/>
        </w:rPr>
        <w:t xml:space="preserve">This </w:t>
      </w:r>
      <w:r w:rsidR="00DA420D">
        <w:rPr>
          <w:rFonts w:ascii="Times New Roman" w:hAnsi="Times New Roman" w:cs="Times New Roman"/>
          <w:sz w:val="24"/>
          <w:szCs w:val="24"/>
          <w:lang w:val="en"/>
        </w:rPr>
        <w:t>behaviour</w:t>
      </w:r>
      <w:r w:rsidR="001345BA">
        <w:rPr>
          <w:rFonts w:ascii="Times New Roman" w:hAnsi="Times New Roman" w:cs="Times New Roman"/>
          <w:sz w:val="24"/>
          <w:szCs w:val="24"/>
          <w:lang w:val="en"/>
        </w:rPr>
        <w:t xml:space="preserve"> </w:t>
      </w:r>
      <w:r w:rsidR="00DA420D">
        <w:rPr>
          <w:rFonts w:ascii="Times New Roman" w:hAnsi="Times New Roman" w:cs="Times New Roman"/>
          <w:sz w:val="24"/>
          <w:szCs w:val="24"/>
          <w:lang w:val="en"/>
        </w:rPr>
        <w:t>can have a negative impact on the teenager, and other behavioural problems included getting into the wrong crowd and taking illegal drugs. This is quite risky behaviour and can cause much stress with the teen between friends and thus, in turn, can lead to suicidal thoughts and even suicide. This peer pressure can lead to trouble with the police, and the teen could end up with a criminal record.
</w:t>
      </w:r>
    </w:p>
    <w:p w:rsidR="0070172B" w:rsidP="0070172B" w14:paraId="63A20D24" w14:textId="5ADF1630">
      <w:pPr>
        <w:autoSpaceDE w:val="0"/>
        <w:autoSpaceDN w:val="0"/>
        <w:adjustRightInd w:val="0"/>
        <w:spacing w:line="480" w:lineRule="auto"/>
        <w:rPr>
          <w:rFonts w:ascii="Times New Roman" w:hAnsi="Times New Roman" w:cs="Times New Roman"/>
          <w:sz w:val="24"/>
          <w:szCs w:val="24"/>
          <w:lang w:val="en"/>
        </w:rPr>
      </w:pPr>
    </w:p>
    <w:p w:rsidR="0070172B" w:rsidP="0070172B" w14:paraId="1091F6AF" w14:textId="77777777">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2 Abstract articles</w:t>
      </w:r>
    </w:p>
    <w:p w:rsidR="0070172B" w:rsidP="0070172B" w14:paraId="4AB15D2F" w14:textId="77777777">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1) </w:t>
      </w:r>
    </w:p>
    <w:p w:rsidR="0070172B" w:rsidP="0070172B" w14:paraId="1150A41A" w14:textId="47DF3755">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article was written about how to write a good abstract for a scientific paper or conference presentation. The title is self-explanatory. The information that needs to be included in the article is important and relevant. </w:t>
      </w:r>
      <w:r w:rsidR="006611E2">
        <w:rPr>
          <w:rFonts w:ascii="Times New Roman" w:hAnsi="Times New Roman" w:cs="Times New Roman"/>
          <w:sz w:val="24"/>
          <w:szCs w:val="24"/>
          <w:lang w:val="en"/>
        </w:rPr>
        <w:t xml:space="preserve">The information must be accurate. The data needs to be detailed as possible and within the required word limits. An average abstract will have a word limit of approximately 200-250 words. The writing skills required to write an abstract is high and needs to be appropriately structured and quickly read by the reader. The abstract needs to flow through an appropriate signposting needs to be evident throughout the paper. The reader must be able to understand the writers work and the article needs to include a proper easily understood conclusion. (Chittaranjan, 2011) </w:t>
      </w:r>
    </w:p>
    <w:p w:rsidR="0070172B" w:rsidP="0070172B" w14:textId="47DF3755">
      <w:pPr>
        <w:autoSpaceDE w:val="0"/>
        <w:autoSpaceDN w:val="0"/>
        <w:adjustRightInd w:val="0"/>
        <w:spacing w:line="480" w:lineRule="auto"/>
        <w:rPr>
          <w:rFonts w:ascii="Times New Roman" w:hAnsi="Times New Roman" w:cs="Times New Roman"/>
          <w:sz w:val="24"/>
          <w:szCs w:val="24"/>
          <w:lang w:val="en"/>
        </w:rPr>
      </w:pPr>
    </w:p>
    <w:p w:rsidR="0070172B" w:rsidP="0070172B" w14:textId="47DF3755">
      <w:pPr>
        <w:autoSpaceDE w:val="0"/>
        <w:autoSpaceDN w:val="0"/>
        <w:adjustRightInd w:val="0"/>
        <w:spacing w:line="480" w:lineRule="auto"/>
        <w:rPr>
          <w:rFonts w:ascii="Times New Roman" w:hAnsi="Times New Roman" w:cs="Times New Roman"/>
          <w:sz w:val="24"/>
          <w:szCs w:val="24"/>
          <w:lang w:val="en"/>
        </w:rPr>
      </w:pPr>
    </w:p>
    <w:p w:rsidR="0070172B" w:rsidP="0070172B" w14:paraId="5DB42C9F" w14:textId="1F7FE2E5">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2.) This article is about the role of narcissism in health-related and health protective behaviours. Narcissism is a severe mental health condition. The individual might not even know that they are a narcissist. "Narcissism is a personality trait that is characterised by strong emotions and feelings of self-importance and grandiosity, and the individual will feel superior to anyone else around them and will remind them of this constantly. </w:t>
      </w:r>
      <w:r w:rsidR="00662740">
        <w:rPr>
          <w:rFonts w:ascii="Times New Roman" w:hAnsi="Times New Roman" w:cs="Times New Roman"/>
          <w:sz w:val="24"/>
          <w:szCs w:val="24"/>
          <w:lang w:val="en"/>
        </w:rPr>
        <w:t>The individual will also act entitled and will have a continuous focus on their own needs and desires" (Hill, 2015). This can lead to risk-taking behaviours such as illegal drug use, smoking, alcohol addiction, unprotected sex and gambling. This can be very upsetting for the individuals loved ones around them. Narcissism is difficult to cope with if you are a family member of someone who has this mental illness. The individual will often deny they have a problem and will dismiss your argument they are a narcissist.
</w:t>
      </w:r>
    </w:p>
    <w:p w:rsidR="0070172B" w:rsidP="0070172B" w14:paraId="6420ABEC" w14:textId="7C4D6D20">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3.) This article is about using the theory of planned behaviour to predict gambling behaviour. Gambling can be very serious if an addiction develops. Addictive behaviour like gambling can start innocently over time and build up to addiction without the individual realising. It often starts when the individual thinks "Oh I will give it one more go". Individuals will often hide the gambling addiction from their family and friends until they have nothing left to lose. This could lead a couple to divorce or can lead to other addictive behaviours such as alcoholism or illegal drugs to block out what the are doing, and this makes their problems much worse. Suicide is often a concern for loved ones when family or healthcare professionals find out the extent of their addiction. 
</w:t>
      </w:r>
    </w:p>
    <w:p w:rsidR="0070172B" w:rsidP="0070172B" w14:paraId="5470669B" w14:textId="77777777">
      <w:pPr>
        <w:autoSpaceDE w:val="0"/>
        <w:autoSpaceDN w:val="0"/>
        <w:adjustRightInd w:val="0"/>
        <w:spacing w:line="480" w:lineRule="auto"/>
        <w:rPr>
          <w:rFonts w:ascii="Times New Roman" w:hAnsi="Times New Roman" w:cs="Times New Roman"/>
          <w:sz w:val="24"/>
          <w:szCs w:val="24"/>
          <w:lang w:val="en"/>
        </w:rPr>
      </w:pPr>
    </w:p>
    <w:p w:rsidR="00FB26D7" w:rsidP="0070172B" w14:paraId="4474FF8B" w14:textId="77777777">
      <w:pPr>
        <w:autoSpaceDE w:val="0"/>
        <w:autoSpaceDN w:val="0"/>
        <w:adjustRightInd w:val="0"/>
        <w:spacing w:line="480" w:lineRule="auto"/>
        <w:rPr>
          <w:rFonts w:ascii="Times New Roman" w:hAnsi="Times New Roman" w:cs="Times New Roman"/>
          <w:sz w:val="24"/>
          <w:szCs w:val="24"/>
          <w:lang w:val="en"/>
        </w:rPr>
      </w:pPr>
    </w:p>
    <w:p w:rsidR="00FB26D7" w:rsidP="0070172B" w14:paraId="57E73ACD" w14:textId="77777777">
      <w:pPr>
        <w:autoSpaceDE w:val="0"/>
        <w:autoSpaceDN w:val="0"/>
        <w:adjustRightInd w:val="0"/>
        <w:spacing w:line="480" w:lineRule="auto"/>
        <w:rPr>
          <w:rFonts w:ascii="Times New Roman" w:hAnsi="Times New Roman" w:cs="Times New Roman"/>
          <w:sz w:val="24"/>
          <w:szCs w:val="24"/>
          <w:lang w:val="en"/>
        </w:rPr>
      </w:pPr>
    </w:p>
    <w:p w:rsidR="004A2B82" w:rsidP="0070172B" w14:paraId="653E284F" w14:textId="7B078070">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3 </w:t>
      </w:r>
      <w:r w:rsidR="00E23BE0">
        <w:rPr>
          <w:rFonts w:ascii="Times New Roman" w:hAnsi="Times New Roman" w:cs="Times New Roman"/>
          <w:sz w:val="24"/>
          <w:szCs w:val="24"/>
          <w:lang w:val="en"/>
        </w:rPr>
        <w:t>R</w:t>
      </w:r>
      <w:r>
        <w:rPr>
          <w:rFonts w:ascii="Times New Roman" w:hAnsi="Times New Roman" w:cs="Times New Roman"/>
          <w:sz w:val="24"/>
          <w:szCs w:val="24"/>
          <w:lang w:val="en"/>
        </w:rPr>
        <w:t xml:space="preserve">eference </w:t>
      </w:r>
      <w:r w:rsidR="009B1468">
        <w:rPr>
          <w:rFonts w:ascii="Times New Roman" w:hAnsi="Times New Roman" w:cs="Times New Roman"/>
          <w:sz w:val="24"/>
          <w:szCs w:val="24"/>
          <w:lang w:val="en"/>
        </w:rPr>
        <w:t>List</w:t>
      </w:r>
    </w:p>
    <w:p w:rsidR="005265AC" w:rsidP="0070172B" w14:paraId="3784DE6E" w14:textId="77777777">
      <w:pPr>
        <w:autoSpaceDE w:val="0"/>
        <w:autoSpaceDN w:val="0"/>
        <w:adjustRightInd w:val="0"/>
        <w:spacing w:line="480" w:lineRule="auto"/>
        <w:rPr>
          <w:rFonts w:ascii="Times New Roman" w:hAnsi="Times New Roman" w:cs="Times New Roman"/>
          <w:sz w:val="24"/>
          <w:szCs w:val="24"/>
          <w:lang w:val="en"/>
        </w:rPr>
      </w:pPr>
    </w:p>
    <w:sdt>
      <w:sdtPr>
        <w:rPr>
          <w:rFonts w:asciiTheme="minorHAnsi" w:eastAsiaTheme="minorHAnsi" w:hAnsiTheme="minorHAnsi" w:cstheme="minorBidi"/>
          <w:color w:val="auto"/>
          <w:sz w:val="22"/>
          <w:szCs w:val="22"/>
          <w:lang w:val="en-GB"/>
        </w:rPr>
        <w:id w:val="-1838221956"/>
        <w:docPartObj>
          <w:docPartGallery w:val="Bibliographies"/>
          <w:docPartUnique/>
        </w:docPartObj>
      </w:sdtPr>
      <w:sdtContent>
        <w:p w:rsidR="00C122B3" w14:paraId="49A9C23B" w14:textId="658F658D">
          <w:pPr>
            <w:pStyle w:val="Heading1"/>
          </w:pPr>
          <w:r>
            <w:t>References</w:t>
          </w:r>
        </w:p>
        <w:sdt>
          <w:sdtPr>
            <w:id w:val="-573587230"/>
            <w:bibliography/>
          </w:sdtPr>
          <w:sdtContent>
            <w:p w:rsidR="00E23BE0" w:rsidP="00E23BE0" w14:paraId="7CDDD5CD" w14:textId="7777777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Bennet, P. (2011). </w:t>
              </w:r>
              <w:r>
                <w:rPr>
                  <w:i/>
                  <w:iCs/>
                  <w:noProof/>
                  <w:lang w:val="en-US"/>
                </w:rPr>
                <w:t>Abnormal and Clinical Psychology: An Introductory Textbook.</w:t>
              </w:r>
              <w:r>
                <w:rPr>
                  <w:noProof/>
                  <w:lang w:val="en-US"/>
                </w:rPr>
                <w:t xml:space="preserve"> Berkshire: Open University Press.</w:t>
              </w:r>
            </w:p>
            <w:p w:rsidR="00E23BE0" w:rsidP="00E23BE0" w14:paraId="65600FA2" w14:textId="77777777">
              <w:pPr>
                <w:pStyle w:val="Bibliography"/>
                <w:ind w:left="720" w:hanging="720"/>
                <w:rPr>
                  <w:noProof/>
                  <w:lang w:val="en-US"/>
                </w:rPr>
              </w:pPr>
              <w:r>
                <w:rPr>
                  <w:noProof/>
                  <w:lang w:val="en-US"/>
                </w:rPr>
                <w:t>Chakkalackal, L., Kandola, A., &amp; Tracy, D. (2017). Computerised Cognitive behavioural therapy [Recorded by L. Chakkalackal, A. Kandola, &amp; D. Tracy]. London, London, Great Britain.
</w:t>
              </w:r>
            </w:p>
            <w:p w:rsidR="00E23BE0" w:rsidP="00E23BE0" w14:paraId="3144A4ED" w14:textId="77777777">
              <w:pPr>
                <w:pStyle w:val="Bibliography"/>
                <w:ind w:left="720" w:hanging="720"/>
                <w:rPr>
                  <w:noProof/>
                  <w:lang w:val="en-US"/>
                </w:rPr>
              </w:pPr>
              <w:r>
                <w:rPr>
                  <w:noProof/>
                  <w:lang w:val="en-US"/>
                </w:rPr>
                <w:t xml:space="preserve">Davey, G. C. (2014). </w:t>
              </w:r>
              <w:r>
                <w:rPr>
                  <w:i/>
                  <w:iCs/>
                  <w:noProof/>
                  <w:lang w:val="en-US"/>
                </w:rPr>
                <w:t>Psychopathology: Research, Assesment, and treatment in Clinical Psychology.</w:t>
              </w:r>
              <w:r>
                <w:rPr>
                  <w:noProof/>
                  <w:lang w:val="en-US"/>
                </w:rPr>
                <w:t xml:space="preserve"> Oxford, Blackwell: John Wiley &amp; Sons.</w:t>
              </w:r>
            </w:p>
            <w:p w:rsidR="00E23BE0" w:rsidP="00E23BE0" w14:paraId="3177E13B" w14:textId="77777777">
              <w:pPr>
                <w:pStyle w:val="Bibliography"/>
                <w:ind w:left="720" w:hanging="720"/>
                <w:rPr>
                  <w:noProof/>
                  <w:lang w:val="en-US"/>
                </w:rPr>
              </w:pPr>
              <w:r>
                <w:rPr>
                  <w:noProof/>
                  <w:lang w:val="en-US"/>
                </w:rPr>
                <w:t xml:space="preserve">Evans, L., Mellalieu, S. D., &amp; Jones, S. (2006). Literature reviews in Sports Psychology. In S. Hanton, &amp; S. D. Mellalieu, </w:t>
              </w:r>
              <w:r>
                <w:rPr>
                  <w:i/>
                  <w:iCs/>
                  <w:noProof/>
                  <w:lang w:val="en-US"/>
                </w:rPr>
                <w:t>Psychological response to Sports Psychology</w:t>
              </w:r>
              <w:r>
                <w:rPr>
                  <w:noProof/>
                  <w:lang w:val="en-US"/>
                </w:rPr>
                <w:t xml:space="preserve"> (pp. 289-319). New York: Nova Science Publications.</w:t>
              </w:r>
            </w:p>
            <w:p w:rsidR="00E23BE0" w:rsidP="00E23BE0" w14:paraId="5F0852B3" w14:textId="77777777">
              <w:pPr>
                <w:pStyle w:val="Bibliography"/>
                <w:ind w:left="720" w:hanging="720"/>
                <w:rPr>
                  <w:noProof/>
                  <w:lang w:val="en-US"/>
                </w:rPr>
              </w:pPr>
              <w:r>
                <w:rPr>
                  <w:noProof/>
                  <w:lang w:val="en-US"/>
                </w:rPr>
                <w:t xml:space="preserve">Future Generations Commissioner for Wales. (2018, November 1). </w:t>
              </w:r>
              <w:r>
                <w:rPr>
                  <w:i/>
                  <w:iCs/>
                  <w:noProof/>
                  <w:lang w:val="en-US"/>
                </w:rPr>
                <w:t>The well-being of future generations (Wales) act 2015</w:t>
              </w:r>
              <w:r>
                <w:rPr>
                  <w:noProof/>
                  <w:lang w:val="en-US"/>
                </w:rPr>
                <w:t>. Retrieved from Future Generations Commissioner for wales: https://futuregenerations.wales/about-us/future-generations-act/
</w:t>
              </w:r>
            </w:p>
            <w:p w:rsidR="00E23BE0" w:rsidP="00E23BE0" w14:paraId="5D5974B1" w14:textId="77777777">
              <w:pPr>
                <w:pStyle w:val="Bibliography"/>
                <w:ind w:left="720" w:hanging="720"/>
                <w:rPr>
                  <w:noProof/>
                  <w:lang w:val="en-US"/>
                </w:rPr>
              </w:pPr>
              <w:r>
                <w:rPr>
                  <w:noProof/>
                  <w:lang w:val="en-US"/>
                </w:rPr>
                <w:t>Geekie, J., &amp; Read, J. (2009). Making sense of madness: Contesting the meaning of Schizophrenia. London, London, England.</w:t>
              </w:r>
            </w:p>
            <w:p w:rsidR="00E23BE0" w:rsidP="00E23BE0" w14:paraId="4BDE9812" w14:textId="77777777">
              <w:pPr>
                <w:pStyle w:val="Bibliography"/>
                <w:ind w:left="720" w:hanging="720"/>
                <w:rPr>
                  <w:noProof/>
                  <w:lang w:val="en-US"/>
                </w:rPr>
              </w:pPr>
              <w:r>
                <w:rPr>
                  <w:noProof/>
                  <w:lang w:val="en-US"/>
                </w:rPr>
                <w:t xml:space="preserve">Hefferon, K., &amp; Boniwell, L. (2011). </w:t>
              </w:r>
              <w:r>
                <w:rPr>
                  <w:i/>
                  <w:iCs/>
                  <w:noProof/>
                  <w:lang w:val="en-US"/>
                </w:rPr>
                <w:t>Positive Psychology: Theory, Research and Applications.</w:t>
              </w:r>
              <w:r>
                <w:rPr>
                  <w:noProof/>
                  <w:lang w:val="en-US"/>
                </w:rPr>
                <w:t xml:space="preserve"> New York: Open University Press.</w:t>
              </w:r>
            </w:p>
            <w:p w:rsidR="00E23BE0" w:rsidP="00E23BE0" w14:paraId="357CC85A" w14:textId="77777777">
              <w:pPr>
                <w:pStyle w:val="Bibliography"/>
                <w:ind w:left="720" w:hanging="720"/>
                <w:rPr>
                  <w:noProof/>
                  <w:lang w:val="en-US"/>
                </w:rPr>
              </w:pPr>
              <w:r>
                <w:rPr>
                  <w:noProof/>
                  <w:lang w:val="en-US"/>
                </w:rPr>
                <w:t xml:space="preserve">Hill, E. (2015). The role of narcissism in health-risk and health-protective behaviours. </w:t>
              </w:r>
              <w:r>
                <w:rPr>
                  <w:i/>
                  <w:iCs/>
                  <w:noProof/>
                  <w:lang w:val="en-US"/>
                </w:rPr>
                <w:t>Journal of Health Psychology</w:t>
              </w:r>
              <w:r>
                <w:rPr>
                  <w:noProof/>
                  <w:lang w:val="en-US"/>
                </w:rPr>
                <w:t>, 1-12.</w:t>
              </w:r>
            </w:p>
            <w:p w:rsidR="00E23BE0" w:rsidP="00E23BE0" w14:paraId="0F1EE80F" w14:textId="77777777">
              <w:pPr>
                <w:pStyle w:val="Bibliography"/>
                <w:ind w:left="720" w:hanging="720"/>
                <w:rPr>
                  <w:noProof/>
                  <w:lang w:val="en-US"/>
                </w:rPr>
              </w:pPr>
              <w:r>
                <w:rPr>
                  <w:noProof/>
                  <w:lang w:val="en-US"/>
                </w:rPr>
                <w:t xml:space="preserve">Mazetti, G., Schaufeli, W., &amp; Gulielmi, D. (2014). Are workaholics born or made? Relations of workaholism with personal characteristics and overwork climate. </w:t>
              </w:r>
              <w:r>
                <w:rPr>
                  <w:i/>
                  <w:iCs/>
                  <w:noProof/>
                  <w:lang w:val="en-US"/>
                </w:rPr>
                <w:t>International Journal of Stress Management</w:t>
              </w:r>
              <w:r>
                <w:rPr>
                  <w:noProof/>
                  <w:lang w:val="en-US"/>
                </w:rPr>
                <w:t>, 227-254.</w:t>
              </w:r>
            </w:p>
            <w:p w:rsidR="00E23BE0" w:rsidP="00E23BE0" w14:paraId="2FB9463E" w14:textId="77777777">
              <w:pPr>
                <w:pStyle w:val="Bibliography"/>
                <w:ind w:left="720" w:hanging="720"/>
                <w:rPr>
                  <w:noProof/>
                  <w:lang w:val="en-US"/>
                </w:rPr>
              </w:pPr>
              <w:r>
                <w:rPr>
                  <w:noProof/>
                  <w:lang w:val="en-US"/>
                </w:rPr>
                <w:t>Mohamed, S. (2011, July). Doctoral Dissertation, Stigma and mental illness: Are there cultural differences? Anglia, North Wales, United Kingdom: University of East Anglia.</w:t>
              </w:r>
            </w:p>
            <w:p w:rsidR="00E23BE0" w:rsidP="00E23BE0" w14:paraId="71C8743D" w14:textId="77777777">
              <w:pPr>
                <w:pStyle w:val="Bibliography"/>
                <w:ind w:left="720" w:hanging="720"/>
                <w:rPr>
                  <w:noProof/>
                  <w:lang w:val="en-US"/>
                </w:rPr>
              </w:pPr>
              <w:r>
                <w:rPr>
                  <w:noProof/>
                  <w:lang w:val="en-US"/>
                </w:rPr>
                <w:t xml:space="preserve">Phelps, C., Baker, A., Hutchings, P., &amp; Minou, M. (2016). Necessary but not sufficient? </w:t>
              </w:r>
              <w:r>
                <w:rPr>
                  <w:i/>
                  <w:iCs/>
                  <w:noProof/>
                  <w:lang w:val="en-US"/>
                </w:rPr>
                <w:t>Engaging young people in the development of an avatar-based online intervention designed to provide psychological support to young people affected by their own or a family member's cancer diagnosis</w:t>
              </w:r>
              <w:r>
                <w:rPr>
                  <w:noProof/>
                  <w:lang w:val="en-US"/>
                </w:rPr>
                <w:t>, 459-470.</w:t>
              </w:r>
            </w:p>
            <w:p w:rsidR="00E23BE0" w:rsidP="00E23BE0" w14:paraId="32203F72" w14:textId="77777777">
              <w:pPr>
                <w:pStyle w:val="Bibliography"/>
                <w:ind w:left="720" w:hanging="720"/>
                <w:rPr>
                  <w:noProof/>
                  <w:lang w:val="en-US"/>
                </w:rPr>
              </w:pPr>
              <w:r>
                <w:rPr>
                  <w:noProof/>
                  <w:lang w:val="en-US"/>
                </w:rPr>
                <w:t xml:space="preserve">Tarrier, N., Liversidge, T., &amp; Gregg, L. (2006). The acceptability and preference for the psychological treatment of PTSD. </w:t>
              </w:r>
              <w:r>
                <w:rPr>
                  <w:i/>
                  <w:iCs/>
                  <w:noProof/>
                  <w:lang w:val="en-US"/>
                </w:rPr>
                <w:t>Behaviour, Research and Therapy</w:t>
              </w:r>
              <w:r>
                <w:rPr>
                  <w:noProof/>
                  <w:lang w:val="en-US"/>
                </w:rPr>
                <w:t>, 1643-1656.</w:t>
              </w:r>
            </w:p>
            <w:p w:rsidR="00E23BE0" w:rsidP="00E23BE0" w14:paraId="1A2ED8D9" w14:textId="77777777">
              <w:pPr>
                <w:pStyle w:val="Bibliography"/>
                <w:ind w:left="720" w:hanging="720"/>
                <w:rPr>
                  <w:noProof/>
                  <w:lang w:val="en-US"/>
                </w:rPr>
              </w:pPr>
              <w:r>
                <w:rPr>
                  <w:noProof/>
                  <w:lang w:val="en-US"/>
                </w:rPr>
                <w:t xml:space="preserve">Uleberg, P. (2003). Safety Science. </w:t>
              </w:r>
              <w:r>
                <w:rPr>
                  <w:i/>
                  <w:iCs/>
                  <w:noProof/>
                  <w:lang w:val="en-US"/>
                </w:rPr>
                <w:t>Personality, attitudes and risk perception as predictors of risky driving behaviour among young drivers</w:t>
              </w:r>
              <w:r>
                <w:rPr>
                  <w:noProof/>
                  <w:lang w:val="en-US"/>
                </w:rPr>
                <w:t>, 427-443.</w:t>
              </w:r>
            </w:p>
            <w:p w:rsidR="00E23BE0" w:rsidP="00E23BE0" w14:paraId="1241CDE8" w14:textId="77777777">
              <w:pPr>
                <w:pStyle w:val="Bibliography"/>
                <w:ind w:left="720" w:hanging="720"/>
                <w:rPr>
                  <w:noProof/>
                  <w:lang w:val="en-US"/>
                </w:rPr>
              </w:pPr>
              <w:r>
                <w:rPr>
                  <w:noProof/>
                  <w:lang w:val="en-US"/>
                </w:rPr>
                <w:t xml:space="preserve">Van Haslett, V., Romano, S. J., &amp; Vecchi, G. (2008). </w:t>
              </w:r>
              <w:r>
                <w:rPr>
                  <w:i/>
                  <w:iCs/>
                  <w:noProof/>
                  <w:lang w:val="en-US"/>
                </w:rPr>
                <w:t>Role Playing: Applications in hostage and crisis negotiation skills training</w:t>
              </w:r>
              <w:r>
                <w:rPr>
                  <w:noProof/>
                  <w:lang w:val="en-US"/>
                </w:rPr>
                <w:t>, 248-263.</w:t>
              </w:r>
            </w:p>
            <w:p w:rsidR="00E23BE0" w:rsidP="00E23BE0" w14:paraId="0185054B" w14:textId="77777777">
              <w:pPr>
                <w:pStyle w:val="Bibliography"/>
                <w:ind w:left="720" w:hanging="720"/>
                <w:rPr>
                  <w:noProof/>
                  <w:lang w:val="en-US"/>
                </w:rPr>
              </w:pPr>
              <w:r>
                <w:rPr>
                  <w:noProof/>
                  <w:lang w:val="en-US"/>
                </w:rPr>
                <w:t xml:space="preserve">Vartanian, L., Trewartha, T., &amp; Vanman, E. (2015). Disgust predicts prejudice and discrimination toward individuals with obesity. </w:t>
              </w:r>
              <w:r>
                <w:rPr>
                  <w:i/>
                  <w:iCs/>
                  <w:noProof/>
                  <w:lang w:val="en-US"/>
                </w:rPr>
                <w:t>Journal of Applied Social Psychology</w:t>
              </w:r>
              <w:r>
                <w:rPr>
                  <w:noProof/>
                  <w:lang w:val="en-US"/>
                </w:rPr>
                <w:t>, 369-375.</w:t>
              </w:r>
            </w:p>
            <w:p w:rsidR="00E23BE0" w:rsidP="00E23BE0" w14:paraId="6728B0B6" w14:textId="77777777">
              <w:pPr>
                <w:pStyle w:val="Bibliography"/>
                <w:ind w:left="720" w:hanging="720"/>
                <w:rPr>
                  <w:noProof/>
                  <w:lang w:val="en-US"/>
                </w:rPr>
              </w:pPr>
              <w:r>
                <w:rPr>
                  <w:noProof/>
                  <w:lang w:val="en-US"/>
                </w:rPr>
                <w:t xml:space="preserve">Voiigt, D. C., Dillard, J. P., Braddock, K. H., Anderson, J. W., Sopory, P., &amp; Stephenson, M. T. (2009). BIS/BAS scales and their relationship to risky health behaviours. </w:t>
              </w:r>
              <w:r>
                <w:rPr>
                  <w:i/>
                  <w:iCs/>
                  <w:noProof/>
                  <w:lang w:val="en-US"/>
                </w:rPr>
                <w:t>Personality and Individual Differences</w:t>
              </w:r>
              <w:r>
                <w:rPr>
                  <w:noProof/>
                  <w:lang w:val="en-US"/>
                </w:rPr>
                <w:t>, 89-93.</w:t>
              </w:r>
            </w:p>
            <w:p w:rsidR="00E23BE0" w:rsidP="00E23BE0" w14:paraId="1F10253D" w14:textId="77777777">
              <w:pPr>
                <w:pStyle w:val="Bibliography"/>
                <w:ind w:left="720" w:hanging="720"/>
                <w:rPr>
                  <w:noProof/>
                  <w:lang w:val="en-US"/>
                </w:rPr>
              </w:pPr>
              <w:r>
                <w:rPr>
                  <w:noProof/>
                  <w:lang w:val="en-US"/>
                </w:rPr>
                <w:t xml:space="preserve">Williamson, H. (2016). Supporting adolescents struggling with appearance-altering conditions: the feasibility of using an online psychosocial intervention (YP Face It) In primary care. </w:t>
              </w:r>
              <w:r>
                <w:rPr>
                  <w:i/>
                  <w:iCs/>
                  <w:noProof/>
                  <w:lang w:val="en-US"/>
                </w:rPr>
                <w:t>Royal College of General Practitioners.</w:t>
              </w:r>
              <w:r>
                <w:rPr>
                  <w:noProof/>
                  <w:lang w:val="en-US"/>
                </w:rPr>
                <w:t xml:space="preserve"> London.
</w:t>
              </w:r>
            </w:p>
            <w:p w:rsidR="00E23BE0" w:rsidP="00E23BE0" w14:paraId="49716269" w14:textId="77777777">
              <w:pPr>
                <w:pStyle w:val="Bibliography"/>
                <w:ind w:left="720" w:hanging="720"/>
                <w:rPr>
                  <w:noProof/>
                  <w:lang w:val="en-US"/>
                </w:rPr>
              </w:pPr>
              <w:r>
                <w:rPr>
                  <w:noProof/>
                  <w:lang w:val="en-US"/>
                </w:rPr>
                <w:t xml:space="preserve">Wilson, S. (2018, November 1). </w:t>
              </w:r>
              <w:r>
                <w:rPr>
                  <w:i/>
                  <w:iCs/>
                  <w:noProof/>
                  <w:lang w:val="en-US"/>
                </w:rPr>
                <w:t>The University of Central Lancashire</w:t>
              </w:r>
              <w:r>
                <w:rPr>
                  <w:noProof/>
                  <w:lang w:val="en-US"/>
                </w:rPr>
                <w:t>. Retrieved from Developmental Psychology Section: https://www1.bps.org.uk/system/files/user-files/Developmental%20Section%20and%20Social%20Section%20Annual%20Conference%202015/devsoc_abstract_book_final.pdf</w:t>
              </w:r>
            </w:p>
            <w:p w:rsidR="00E23BE0" w:rsidP="00E23BE0" w14:paraId="1DD93A67" w14:textId="77777777">
              <w:pPr>
                <w:pStyle w:val="Bibliography"/>
                <w:ind w:left="720" w:hanging="720"/>
                <w:rPr>
                  <w:noProof/>
                  <w:lang w:val="en-US"/>
                </w:rPr>
              </w:pPr>
              <w:r>
                <w:rPr>
                  <w:noProof/>
                  <w:lang w:val="en-US"/>
                </w:rPr>
                <w:t xml:space="preserve">Windsor-Shellard, D. (2016, 3 May). </w:t>
              </w:r>
              <w:r>
                <w:rPr>
                  <w:i/>
                  <w:iCs/>
                  <w:noProof/>
                  <w:lang w:val="en-US"/>
                </w:rPr>
                <w:t>Office for National Statistics</w:t>
              </w:r>
              <w:r>
                <w:rPr>
                  <w:noProof/>
                  <w:lang w:val="en-US"/>
                </w:rPr>
                <w:t>. Extracted from Office for National Statistics: https://www.ons.gov.uk/peoplepopulationandcommunity/healthandsocialcare/drugsalcoholandsmoking/datasets/adultdrinkinghabits
</w:t>
              </w:r>
            </w:p>
            <w:p w:rsidR="00E23BE0" w:rsidP="00E23BE0" w14:paraId="31A2363E" w14:textId="77777777">
              <w:pPr>
                <w:pStyle w:val="Bibliography"/>
                <w:ind w:left="720" w:hanging="720"/>
                <w:rPr>
                  <w:noProof/>
                  <w:lang w:val="en-US"/>
                </w:rPr>
              </w:pPr>
              <w:r>
                <w:rPr>
                  <w:noProof/>
                  <w:lang w:val="en-US"/>
                </w:rPr>
                <w:t xml:space="preserve">Young, E. (2018, November 1). </w:t>
              </w:r>
              <w:r>
                <w:rPr>
                  <w:i/>
                  <w:iCs/>
                  <w:noProof/>
                  <w:lang w:val="en-US"/>
                </w:rPr>
                <w:t>Readers Digest</w:t>
              </w:r>
              <w:r>
                <w:rPr>
                  <w:noProof/>
                  <w:lang w:val="en-US"/>
                </w:rPr>
                <w:t>. Retrieved from The British psychological society: https://digest.bps.org.uk/2017/09/18/women-know-better-than-men-what-other-women-are-thinking-and-feeling/
</w:t>
              </w:r>
            </w:p>
            <w:p w:rsidR="00C122B3" w:rsidP="00E23BE0" w14:paraId="108D3AA3" w14:textId="21200C95">
              <w:r>
                <w:rPr>
                  <w:b/>
                  <w:bCs/>
                  <w:noProof/>
                </w:rPr>
                <w:fldChar w:fldCharType="end"/>
              </w:r>
            </w:p>
          </w:sdtContent>
        </w:sdt>
      </w:sdtContent>
    </w:sdt>
    <w:p w:rsidR="00FB26D7" w:rsidP="0070172B" w14:paraId="539AC9A0" w14:textId="41330A48">
      <w:pPr>
        <w:autoSpaceDE w:val="0"/>
        <w:autoSpaceDN w:val="0"/>
        <w:adjustRightInd w:val="0"/>
        <w:spacing w:line="480" w:lineRule="auto"/>
        <w:rPr>
          <w:rFonts w:ascii="Times New Roman" w:hAnsi="Times New Roman" w:cs="Times New Roman"/>
          <w:sz w:val="24"/>
          <w:szCs w:val="24"/>
          <w:lang w:val="en"/>
        </w:rPr>
      </w:pPr>
    </w:p>
    <w:p w:rsidR="00FB26D7" w:rsidP="0070172B" w14:paraId="7AE265CE" w14:textId="77777777">
      <w:pPr>
        <w:autoSpaceDE w:val="0"/>
        <w:autoSpaceDN w:val="0"/>
        <w:adjustRightInd w:val="0"/>
        <w:spacing w:line="480" w:lineRule="auto"/>
        <w:rPr>
          <w:rFonts w:ascii="Times New Roman" w:hAnsi="Times New Roman" w:cs="Times New Roman"/>
          <w:sz w:val="24"/>
          <w:szCs w:val="24"/>
          <w:lang w:val="en"/>
        </w:rPr>
      </w:pPr>
    </w:p>
    <w:p w:rsidR="006611E2" w:rsidP="0070172B" w14:paraId="7846355F" w14:textId="77777777">
      <w:pPr>
        <w:autoSpaceDE w:val="0"/>
        <w:autoSpaceDN w:val="0"/>
        <w:adjustRightInd w:val="0"/>
        <w:spacing w:line="480" w:lineRule="auto"/>
        <w:rPr>
          <w:rFonts w:ascii="Times New Roman" w:hAnsi="Times New Roman" w:cs="Times New Roman"/>
          <w:sz w:val="24"/>
          <w:szCs w:val="24"/>
          <w:lang w:val="en"/>
        </w:rPr>
      </w:pPr>
    </w:p>
    <w:p w:rsidR="0070172B" w:rsidP="0070172B" w14:paraId="377C91E5" w14:textId="77777777">
      <w:pPr>
        <w:autoSpaceDE w:val="0"/>
        <w:autoSpaceDN w:val="0"/>
        <w:adjustRightInd w:val="0"/>
        <w:spacing w:line="480" w:lineRule="auto"/>
        <w:rPr>
          <w:rFonts w:ascii="Times New Roman" w:hAnsi="Times New Roman" w:cs="Times New Roman"/>
          <w:sz w:val="24"/>
          <w:szCs w:val="24"/>
          <w:lang w:val="en"/>
        </w:rPr>
      </w:pPr>
    </w:p>
    <w:p w:rsidR="0070172B" w:rsidP="0070172B" w14:paraId="40F5CFF0" w14:textId="77777777">
      <w:pPr>
        <w:autoSpaceDE w:val="0"/>
        <w:autoSpaceDN w:val="0"/>
        <w:adjustRightInd w:val="0"/>
        <w:spacing w:line="480" w:lineRule="auto"/>
        <w:rPr>
          <w:rFonts w:ascii="Times New Roman" w:hAnsi="Times New Roman" w:cs="Times New Roman"/>
          <w:sz w:val="24"/>
          <w:szCs w:val="24"/>
          <w:lang w:val="en"/>
        </w:rPr>
      </w:pPr>
    </w:p>
    <w:p w:rsidR="0070172B" w:rsidP="0070172B" w14:paraId="31370A8C" w14:textId="77777777">
      <w:pPr>
        <w:autoSpaceDE w:val="0"/>
        <w:autoSpaceDN w:val="0"/>
        <w:adjustRightInd w:val="0"/>
        <w:spacing w:line="480" w:lineRule="auto"/>
        <w:rPr>
          <w:rFonts w:ascii="Calibri" w:hAnsi="Calibri" w:cs="Calibri"/>
          <w:lang w:val="en"/>
        </w:rPr>
      </w:pPr>
    </w:p>
    <w:p w:rsidR="00C451B7" w14:paraId="279C66F7" w14:textId="77777777"/>
    <w:sectPr w:rsidSect="00B819EE">
      <w:pgSz w:w="12240" w:h="15840"/>
      <w:pgMar w:top="1440" w:right="1440" w:bottom="1440" w:left="1440" w:header="720" w:footer="720" w:gutter="0"/>
      <w:pgNumType w:start="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2B"/>
    <w:rsid w:val="00133453"/>
    <w:rsid w:val="001345BA"/>
    <w:rsid w:val="00293FAE"/>
    <w:rsid w:val="003D5179"/>
    <w:rsid w:val="004A2B82"/>
    <w:rsid w:val="005265AC"/>
    <w:rsid w:val="00545A9D"/>
    <w:rsid w:val="005B1ADA"/>
    <w:rsid w:val="006611E2"/>
    <w:rsid w:val="00662740"/>
    <w:rsid w:val="006C17D5"/>
    <w:rsid w:val="0070172B"/>
    <w:rsid w:val="008533E5"/>
    <w:rsid w:val="00972C66"/>
    <w:rsid w:val="009B1468"/>
    <w:rsid w:val="00A0158E"/>
    <w:rsid w:val="00B819EE"/>
    <w:rsid w:val="00C122B3"/>
    <w:rsid w:val="00C451B7"/>
    <w:rsid w:val="00CE1F10"/>
    <w:rsid w:val="00DA420D"/>
    <w:rsid w:val="00E23BE0"/>
    <w:rsid w:val="00F20087"/>
    <w:rsid w:val="00FB26D7"/>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FB729B25-FEC0-4EC2-8E96-2AE19A140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22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2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22B3"/>
  </w:style>
  <w:style w:type="paragraph" w:styleId="BalloonText">
    <w:name w:val="Balloon Text"/>
    <w:basedOn w:val="Normal"/>
    <w:link w:val="BalloonTextChar"/>
    <w:uiPriority w:val="99"/>
    <w:semiHidden/>
    <w:unhideWhenUsed/>
    <w:rsid w:val="00F200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0087"/>
    <w:rPr>
      <w:rFonts w:ascii="Segoe UI" w:hAnsi="Segoe UI" w:cs="Segoe UI"/>
      <w:sz w:val="18"/>
      <w:szCs w:val="18"/>
    </w:rPr>
  </w:style>
  <w:style w:type="paragraph" w:styleId="NoSpacing">
    <w:name w:val="No Spacing"/>
    <w:link w:val="NoSpacingChar"/>
    <w:uiPriority w:val="1"/>
    <w:qFormat/>
    <w:rsid w:val="00B819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19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01.11 2018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Eva16</b:Tag>
    <b:SourceType>InternetSite</b:SourceType>
    <b:Guid>{AA9CEB70-D2F1-401D-BE08-0E79B53212F2}</b:Guid>
    <b:Title>Office for National Statistics</b:Title>
    <b:Year>2016</b:Year>
    <b:Author>
      <b:Author>
        <b:NameList>
          <b:Person>
            <b:Last>Windsor-Shellard</b:Last>
            <b:First>Dr Ben</b:First>
          </b:Person>
        </b:NameList>
      </b:Author>
    </b:Author>
    <b:InternetSiteTitle>Office for National Statistics</b:InternetSiteTitle>
    <b:Month>3</b:Month>
    <b:Day>May</b:Day>
    <b:URL>https://www.ons.gov.uk/peoplepopulationandcommunity/healthandsocialcare/drugsalcoholandsmoking/datasets/adultdrinkinghabits</b:URL>
    <b:RefOrder>1</b:RefOrder>
  </b:Source>
  <b:Source>
    <b:Tag>Eva06</b:Tag>
    <b:SourceType>BookSection</b:SourceType>
    <b:Guid>{568EC3FA-DD19-4245-93AC-7F8181A7299E}</b:Guid>
    <b:Title>Literature reviews in Sport Psychology</b:Title>
    <b:BookTitle>Psychological response to Sport Psychology</b:BookTitle>
    <b:Year>2006</b:Year>
    <b:Pages>289-319</b:Pages>
    <b:City>New York</b:City>
    <b:Publisher>Nova Science Publications</b:Publisher>
    <b:Author>
      <b:Author>
        <b:NameList>
          <b:Person>
            <b:Last>Evans</b:Last>
            <b:First>Lynne</b:First>
          </b:Person>
          <b:Person>
            <b:Last>Mellalieu</b:Last>
            <b:Middle>D</b:Middle>
            <b:First>Stephen</b:First>
          </b:Person>
          <b:Person>
            <b:Last>Jones</b:Last>
            <b:First>Stuart</b:First>
          </b:Person>
        </b:NameList>
      </b:Author>
      <b:BookAuthor>
        <b:NameList>
          <b:Person>
            <b:Last>Hanton</b:Last>
            <b:First>Sheldon</b:First>
          </b:Person>
          <b:Person>
            <b:Last>Mellalieu</b:Last>
            <b:Middle>D</b:Middle>
            <b:First>Stephen </b:First>
          </b:Person>
        </b:NameList>
      </b:BookAuthor>
    </b:Author>
    <b:RefOrder>2</b:RefOrder>
  </b:Source>
  <b:Source>
    <b:Tag>Cha17</b:Tag>
    <b:SourceType>SoundRecording</b:SourceType>
    <b:Guid>{59C13DAD-22C3-4987-8C4F-85EFC62EB384}</b:Guid>
    <b:Title>Computerised Gognitive behavioural therapy</b:Title>
    <b:Year>2017</b:Year>
    <b:City>London</b:City>
    <b:Author>
      <b:Performer>
        <b:NameList>
          <b:Person>
            <b:Last>Chakkalackal</b:Last>
            <b:First>Lauren</b:First>
          </b:Person>
          <b:Person>
            <b:Last>Kandola</b:Last>
            <b:First>Aaron</b:First>
          </b:Person>
          <b:Person>
            <b:Last>Tracy</b:Last>
            <b:First>Dereck</b:First>
          </b:Person>
        </b:NameList>
      </b:Performer>
      <b:Composer>
        <b:NameList>
          <b:Person>
            <b:Last>Chakkalackal</b:Last>
            <b:First>Lauren</b:First>
          </b:Person>
          <b:Person>
            <b:Last>Kandola</b:Last>
            <b:First>Aaron</b:First>
          </b:Person>
          <b:Person>
            <b:Last>Tracy</b:Last>
            <b:First>Dereck</b:First>
          </b:Person>
        </b:NameList>
      </b:Composer>
    </b:Author>
    <b:StateProvince>London</b:StateProvince>
    <b:CountryRegion>Great Britain</b:CountryRegion>
    <b:RefOrder>3</b:RefOrder>
  </b:Source>
  <b:Source>
    <b:Tag>Wil16</b:Tag>
    <b:SourceType>ConferenceProceedings</b:SourceType>
    <b:Guid>{F6A5EE0C-81ED-45CF-9342-ED9C4A3FA453}</b:Guid>
    <b:Title>Supporting adolescents struggling with apperance-altering conditions: the feasibility of using an online psychosocial intervention (YP Face It) In primary care. </b:Title>
    <b:Year>2016</b:Year>
    <b:City>London </b:City>
    <b:ConferenceName>Royal College of General Practioners</b:ConferenceName>
    <b:Author>
      <b:Author>
        <b:NameList>
          <b:Person>
            <b:Last>Williamson</b:Last>
            <b:First>Heidi</b:First>
          </b:Person>
        </b:NameList>
      </b:Author>
    </b:Author>
    <b:RefOrder>4</b:RefOrder>
  </b:Source>
  <b:Source>
    <b:Tag>Voi09</b:Tag>
    <b:SourceType>JournalArticle</b:SourceType>
    <b:Guid>{8BE13E66-1F3F-41AD-B304-2469D79B7B6E}</b:Guid>
    <b:Title>BIS/BAS scales and their relationship to risky health behaviours</b:Title>
    <b:Pages>89-93</b:Pages>
    <b:Year>2009</b:Year>
    <b:JournalName>Personality and Individual Differences</b:JournalName>
    <b:Author>
      <b:Author>
        <b:NameList>
          <b:Person>
            <b:Last>Voiigt</b:Last>
            <b:Middle>C </b:Middle>
            <b:First>Danielle</b:First>
          </b:Person>
          <b:Person>
            <b:Last>Dillard</b:Last>
            <b:Middle>P</b:Middle>
            <b:First>James</b:First>
          </b:Person>
          <b:Person>
            <b:Last>Braddock</b:Last>
            <b:Middle>H</b:Middle>
            <b:First>Kurt</b:First>
          </b:Person>
          <b:Person>
            <b:Last>Anderson</b:Last>
            <b:Middle>W</b:Middle>
            <b:First>Jason</b:First>
          </b:Person>
          <b:Person>
            <b:Last>Sopory</b:Last>
            <b:First>Pradeep</b:First>
          </b:Person>
          <b:Person>
            <b:Last>Stephenson</b:Last>
            <b:Middle>T</b:Middle>
            <b:First>Michael</b:First>
          </b:Person>
        </b:NameList>
      </b:Author>
    </b:Author>
    <b:RefOrder>5</b:RefOrder>
  </b:Source>
  <b:Source>
    <b:Tag>Dav14</b:Tag>
    <b:SourceType>Book</b:SourceType>
    <b:Guid>{3648555D-42C6-4051-8708-9EB50C5DAE0D}</b:Guid>
    <b:Title>Psychopathology: Research, Assesment, and treatment in Clinical Psychology</b:Title>
    <b:Year>2014</b:Year>
    <b:City>Oxford, Blackwell</b:City>
    <b:Publisher>John Wiley &amp; Sons</b:Publisher>
    <b:Author>
      <b:Author>
        <b:NameList>
          <b:Person>
            <b:Last>Davey</b:Last>
            <b:Middle>C</b:Middle>
            <b:First>Graham</b:First>
          </b:Person>
        </b:NameList>
      </b:Author>
    </b:Author>
    <b:RefOrder>6</b:RefOrder>
  </b:Source>
  <b:Source>
    <b:Tag>Moh11</b:Tag>
    <b:SourceType>Misc</b:SourceType>
    <b:Guid>{442A6397-08C1-4315-B401-9B9C192661D2}</b:Guid>
    <b:Title>Doctoral Dissertation, Stigma and mental illness: Are there cultural differences?</b:Title>
    <b:Year>2011</b:Year>
    <b:City>Anglia</b:City>
    <b:Publisher>University of East Anglia</b:Publisher>
    <b:Month>July</b:Month>
    <b:StateProvince>North Wales</b:StateProvince>
    <b:CountryRegion>United Kingdom</b:CountryRegion>
    <b:Author>
      <b:Author>
        <b:NameList>
          <b:Person>
            <b:Last>Mohamed</b:Last>
            <b:First>Shemin</b:First>
          </b:Person>
        </b:NameList>
      </b:Author>
    </b:Author>
    <b:RefOrder>7</b:RefOrder>
  </b:Source>
  <b:Source>
    <b:Tag>Maz14</b:Tag>
    <b:SourceType>JournalArticle</b:SourceType>
    <b:Guid>{1BC4C647-A573-4205-8030-A243D33AC7B1}</b:Guid>
    <b:Title>Are workaholics born or made? Relations of workaholism with person characteristics and overwork climate</b:Title>
    <b:Year>2014</b:Year>
    <b:JournalName>International Journal of Stress Management</b:JournalName>
    <b:Pages>227-254</b:Pages>
    <b:Author>
      <b:Author>
        <b:NameList>
          <b:Person>
            <b:Last>Mazetti</b:Last>
            <b:First>G</b:First>
          </b:Person>
          <b:Person>
            <b:Last>Schaufeli</b:Last>
            <b:First>W. B</b:First>
          </b:Person>
          <b:Person>
            <b:Last>Gulielmi</b:Last>
            <b:First>D.</b:First>
          </b:Person>
        </b:NameList>
      </b:Author>
    </b:Author>
    <b:RefOrder>8</b:RefOrder>
  </b:Source>
  <b:Source>
    <b:Tag>Hef11</b:Tag>
    <b:SourceType>Book</b:SourceType>
    <b:Guid>{6D805528-F16E-47BC-B428-D29423E9F000}</b:Guid>
    <b:Title>Positive Psychology: Theory, Research and Applications</b:Title>
    <b:Year>2011</b:Year>
    <b:City>New York</b:City>
    <b:Publisher>Open University Press</b:Publisher>
    <b:Author>
      <b:Author>
        <b:NameList>
          <b:Person>
            <b:Last>Hefferon</b:Last>
            <b:First>Kate</b:First>
          </b:Person>
          <b:Person>
            <b:Last>Boniwell</b:Last>
            <b:First>Llona</b:First>
          </b:Person>
        </b:NameList>
      </b:Author>
    </b:Author>
    <b:RefOrder>9</b:RefOrder>
  </b:Source>
  <b:Source>
    <b:Tag>Gee09</b:Tag>
    <b:SourceType>ElectronicSource</b:SourceType>
    <b:Guid>{DF2BF138-285D-49D2-9517-BABADCCD10B7}</b:Guid>
    <b:Title>Making sense of madness: Contesting the meaning of Schizophrenia</b:Title>
    <b:Year>2009</b:Year>
    <b:City>London</b:City>
    <b:StateProvince>London</b:StateProvince>
    <b:CountryRegion>England</b:CountryRegion>
    <b:Author>
      <b:Author>
        <b:NameList>
          <b:Person>
            <b:Last>Geekie</b:Last>
            <b:First>Jim</b:First>
          </b:Person>
          <b:Person>
            <b:Last>Read</b:Last>
            <b:First>John</b:First>
          </b:Person>
        </b:NameList>
      </b:Author>
    </b:Author>
    <b:RefOrder>10</b:RefOrder>
  </b:Source>
  <b:Source>
    <b:Tag>Var15</b:Tag>
    <b:SourceType>JournalArticle</b:SourceType>
    <b:Guid>{CBB9C13E-2003-44BA-9231-AFC63FC81B0F}</b:Guid>
    <b:Title>Disgust predicts predujice and discrimination toward individuals with obesity</b:Title>
    <b:Year>2015</b:Year>
    <b:JournalName>Journal of Applied Social Psychology</b:JournalName>
    <b:Pages>369-375</b:Pages>
    <b:Author>
      <b:Author>
        <b:NameList>
          <b:Person>
            <b:Last>Vartanian </b:Last>
            <b:First>Lenny R</b:First>
          </b:Person>
          <b:Person>
            <b:Last>Trewartha</b:Last>
            <b:First>Tara</b:First>
          </b:Person>
          <b:Person>
            <b:Last>Vanman</b:Last>
            <b:First>Eric J</b:First>
          </b:Person>
        </b:NameList>
      </b:Author>
    </b:Author>
    <b:RefOrder>11</b:RefOrder>
  </b:Source>
  <b:Source>
    <b:Tag>Hil15</b:Tag>
    <b:SourceType>JournalArticle</b:SourceType>
    <b:Guid>{16498054-5215-46AC-A7E7-AC3A167B4739}</b:Guid>
    <b:Title>The role of narcissism in health-risk and health-protective behaviours</b:Title>
    <b:JournalName>Journal of Health Psychology</b:JournalName>
    <b:Year>2015</b:Year>
    <b:Pages>1-12</b:Pages>
    <b:Author>
      <b:Author>
        <b:NameList>
          <b:Person>
            <b:Last>Hill</b:Last>
            <b:First>Erin M</b:First>
          </b:Person>
        </b:NameList>
      </b:Author>
    </b:Author>
    <b:RefOrder>12</b:RefOrder>
  </b:Source>
  <b:Source>
    <b:Tag>Ben11</b:Tag>
    <b:SourceType>Book</b:SourceType>
    <b:Guid>{4302BF36-F33B-40E8-A860-370336F4F14F}</b:Guid>
    <b:Title>Abnormal and Clinical Psychology: An Introductory Textbook</b:Title>
    <b:Year>2011</b:Year>
    <b:City>Berkshire</b:City>
    <b:Publisher>Open University Press</b:Publisher>
    <b:Author>
      <b:Author>
        <b:NameList>
          <b:Person>
            <b:Last>Bennet</b:Last>
            <b:First>Paul</b:First>
          </b:Person>
        </b:NameList>
      </b:Author>
    </b:Author>
    <b:RefOrder>13</b:RefOrder>
  </b:Source>
  <b:Source>
    <b:Tag>Tar06</b:Tag>
    <b:SourceType>JournalArticle</b:SourceType>
    <b:Guid>{18C1E221-DB28-4FDD-AE1B-DF0E2D8B1A1C}</b:Guid>
    <b:Title>The acceptability and preference for the psychological treatment of PTSD</b:Title>
    <b:Year>2006</b:Year>
    <b:JournalName>Behaviour, Research and Therapy</b:JournalName>
    <b:Pages>1643-1656</b:Pages>
    <b:Author>
      <b:Author>
        <b:NameList>
          <b:Person>
            <b:Last>Tarrier</b:Last>
            <b:First>Nicholas</b:First>
          </b:Person>
          <b:Person>
            <b:Last>Liversidge</b:Last>
            <b:First>Tom</b:First>
          </b:Person>
          <b:Person>
            <b:Last>Gregg</b:Last>
            <b:First>Lynsey</b:First>
          </b:Person>
        </b:NameList>
      </b:Author>
    </b:Author>
    <b:RefOrder>14</b:RefOrder>
  </b:Source>
  <b:Source>
    <b:Tag>Fut18</b:Tag>
    <b:SourceType>InternetSite</b:SourceType>
    <b:Guid>{1B856E8C-17ED-4FD6-B21E-B85C916EF5B8}</b:Guid>
    <b:Title>Well-being of future generations (Wales) act 2015</b:Title>
    <b:Year>2018</b:Year>
    <b:Author>
      <b:Author>
        <b:Corporate>Future Generations Comissioner for wales</b:Corporate>
      </b:Author>
    </b:Author>
    <b:InternetSiteTitle>Future Generations Comissioner for wales</b:InternetSiteTitle>
    <b:Month>November</b:Month>
    <b:Day>1</b:Day>
    <b:URL>https://futuregenerations.wales/about-us/future-generations-act/</b:URL>
    <b:RefOrder>15</b:RefOrder>
  </b:Source>
  <b:Source>
    <b:Tag>Phe16</b:Tag>
    <b:SourceType>JournalArticle</b:SourceType>
    <b:Guid>{6BC6047C-8DEB-4319-9485-23263638DFF3}</b:Guid>
    <b:Title>Necessary but not sufficient? </b:Title>
    <b:Year>2016</b:Year>
    <b:JournalName>Engaging young people in the development of an avatar-based online intervention designed to provide psychological support to young people affected by their own or a family member's cancer diagnosis</b:JournalName>
    <b:Pages>459-470</b:Pages>
    <b:Author>
      <b:Author>
        <b:NameList>
          <b:Person>
            <b:Last>Phelps</b:Last>
            <b:First>Ceri</b:First>
          </b:Person>
          <b:Person>
            <b:Last>Baker</b:Last>
            <b:First>Andrew</b:First>
          </b:Person>
          <b:Person>
            <b:Last>Hutchings</b:Last>
            <b:First>Paul</b:First>
          </b:Person>
          <b:Person>
            <b:Last>Minou</b:Last>
            <b:First>Masoumeh</b:First>
          </b:Person>
        </b:NameList>
      </b:Author>
    </b:Author>
    <b:RefOrder>16</b:RefOrder>
  </b:Source>
  <b:Source>
    <b:Tag>You18</b:Tag>
    <b:SourceType>InternetSite</b:SourceType>
    <b:Guid>{0519CF6E-8A99-476B-8E93-5B259223DB5B}</b:Guid>
    <b:Title>Readers Digest</b:Title>
    <b:Year>2018</b:Year>
    <b:InternetSiteTitle>The brittish psychological society</b:InternetSiteTitle>
    <b:Month>November</b:Month>
    <b:Day>1</b:Day>
    <b:URL>https://digest.bps.org.uk/2017/09/18/women-know-better-than-men-what-other-women-are-thinking-and-feeling/</b:URL>
    <b:Author>
      <b:Author>
        <b:NameList>
          <b:Person>
            <b:Last>Young</b:Last>
            <b:First>Emma</b:First>
          </b:Person>
        </b:NameList>
      </b:Author>
    </b:Author>
    <b:RefOrder>17</b:RefOrder>
  </b:Source>
  <b:Source>
    <b:Tag>Van08</b:Tag>
    <b:SourceType>JournalArticle</b:SourceType>
    <b:Guid>{521F6174-8D4F-46D8-848D-3ACFA8946632}</b:Guid>
    <b:Year>2008</b:Year>
    <b:JournalName>Role Playing: Applications in hostage and crisis negotiation skills training</b:JournalName>
    <b:Pages>248-263</b:Pages>
    <b:Author>
      <b:Author>
        <b:NameList>
          <b:Person>
            <b:Last>Van Haslett</b:Last>
            <b:First>Vincent B</b:First>
          </b:Person>
          <b:Person>
            <b:Last>Romano </b:Last>
            <b:Middle>J</b:Middle>
            <b:First>Stephen</b:First>
          </b:Person>
          <b:Person>
            <b:Last>Vecchi</b:Last>
            <b:First>Gregory M</b:First>
          </b:Person>
        </b:NameList>
      </b:Author>
    </b:Author>
    <b:RefOrder>18</b:RefOrder>
  </b:Source>
  <b:Source>
    <b:Tag>Ule03</b:Tag>
    <b:SourceType>JournalArticle</b:SourceType>
    <b:Guid>{8F8B3A11-3707-4998-8C2B-7AB7DE12DD1A}</b:Guid>
    <b:Title>Safety Science</b:Title>
    <b:JournalName>Personality, attitudes and risk perception as predictors of risky driving behaviour among young drivers</b:JournalName>
    <b:Year>2003</b:Year>
    <b:Pages>427-443</b:Pages>
    <b:Author>
      <b:Author>
        <b:NameList>
          <b:Person>
            <b:Last>Uleberg</b:Last>
            <b:First>Paul</b:First>
          </b:Person>
        </b:NameList>
      </b:Author>
    </b:Author>
    <b:RefOrder>19</b:RefOrder>
  </b:Source>
  <b:Source>
    <b:Tag>Wil18</b:Tag>
    <b:SourceType>InternetSite</b:SourceType>
    <b:Guid>{0625CB6C-C75D-4515-BDC7-9A9E87053B8F}</b:Guid>
    <b:Title>University of Central Lancashire</b:Title>
    <b:Year>2018</b:Year>
    <b:InternetSiteTitle>Developmental Psychology Section</b:InternetSiteTitle>
    <b:Month>November</b:Month>
    <b:Day>1</b:Day>
    <b:URL>https://www1.bps.org.uk/system/files/user-files/Developmental%20Section%20and%20Social%20Section%20Annual%20Conference%202015/devsoc_abstract_book_final.pdf</b:URL>
    <b:Author>
      <b:Author>
        <b:NameList>
          <b:Person>
            <b:Last>Wilson</b:Last>
            <b:First>Suzanne</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1056E-398F-44D6-8D40-583B6039B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Pages>
  <Words>1029</Words>
  <Characters>5869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Activities</dc:title>
  <dc:subject>University of Wales trinity saint david</dc:subject>
  <dc:creator>Jade Williams</dc:creator>
  <cp:lastModifiedBy>kingsley williams</cp:lastModifiedBy>
  <cp:revision>10</cp:revision>
  <cp:lastPrinted>2018-11-01T11:46:00Z</cp:lastPrinted>
  <dcterms:created xsi:type="dcterms:W3CDTF">2018-10-29T15:46:00Z</dcterms:created>
  <dcterms:modified xsi:type="dcterms:W3CDTF">2018-11-01T14:22:00Z</dcterms:modified>
</cp:coreProperties>
</file>