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2C59" w:rsidRPr="00412C59" w:rsidRDefault="00412C59" w:rsidP="00412C59">
      <w:pPr>
        <w:pStyle w:val="NormalWeb"/>
        <w:spacing w:line="360" w:lineRule="auto"/>
        <w:rPr>
          <w:rFonts w:ascii="Calibri" w:hAnsi="Calibri"/>
          <w:b/>
          <w:color w:val="000000"/>
          <w:u w:val="single"/>
        </w:rPr>
      </w:pPr>
      <w:r>
        <w:rPr>
          <w:color w:val="000000"/>
          <w:sz w:val="27"/>
          <w:szCs w:val="27"/>
        </w:rPr>
        <w:t xml:space="preserve">                                      </w:t>
      </w:r>
      <w:bookmarkStart w:id="0" w:name="_GoBack"/>
      <w:bookmarkEnd w:id="0"/>
      <w:r>
        <w:rPr>
          <w:color w:val="000000"/>
          <w:sz w:val="27"/>
          <w:szCs w:val="27"/>
        </w:rPr>
        <w:t xml:space="preserve">  </w:t>
      </w:r>
      <w:r w:rsidRPr="00412C59">
        <w:rPr>
          <w:rFonts w:ascii="Calibri" w:hAnsi="Calibri"/>
          <w:b/>
          <w:color w:val="000000"/>
          <w:u w:val="single"/>
        </w:rPr>
        <w:t xml:space="preserve">Reference list </w:t>
      </w:r>
    </w:p>
    <w:p w:rsidR="00412C59" w:rsidRDefault="00412C59" w:rsidP="00412C59">
      <w:pPr>
        <w:pStyle w:val="NormalWeb"/>
        <w:spacing w:line="360" w:lineRule="auto"/>
        <w:rPr>
          <w:color w:val="000000"/>
          <w:sz w:val="27"/>
          <w:szCs w:val="27"/>
        </w:rPr>
      </w:pPr>
    </w:p>
    <w:p w:rsidR="00DD522A" w:rsidRPr="00DD522A" w:rsidRDefault="00DD522A" w:rsidP="00412C59">
      <w:pPr>
        <w:pStyle w:val="NormalWeb"/>
        <w:spacing w:line="360" w:lineRule="auto"/>
        <w:rPr>
          <w:rFonts w:ascii="Arial" w:hAnsi="Arial" w:cs="Arial"/>
          <w:color w:val="000000"/>
        </w:rPr>
      </w:pPr>
      <w:proofErr w:type="gramStart"/>
      <w:r>
        <w:rPr>
          <w:color w:val="000000"/>
          <w:sz w:val="27"/>
          <w:szCs w:val="27"/>
        </w:rPr>
        <w:t>Browne, A. (2007) Teaching and learning communication, Language and literacy.</w:t>
      </w:r>
      <w:proofErr w:type="gramEnd"/>
      <w:r>
        <w:rPr>
          <w:color w:val="000000"/>
          <w:sz w:val="27"/>
          <w:szCs w:val="27"/>
        </w:rPr>
        <w:t xml:space="preserve"> </w:t>
      </w:r>
      <w:r w:rsidRPr="00DD522A">
        <w:rPr>
          <w:rFonts w:ascii="Arial" w:hAnsi="Arial" w:cs="Arial"/>
          <w:color w:val="000000"/>
        </w:rPr>
        <w:t>London: Sage publications.</w:t>
      </w:r>
    </w:p>
    <w:p w:rsidR="00DD522A" w:rsidRPr="00DD522A" w:rsidRDefault="00DD522A" w:rsidP="00412C59">
      <w:pPr>
        <w:pStyle w:val="NormalWeb"/>
        <w:spacing w:line="360" w:lineRule="auto"/>
        <w:rPr>
          <w:rFonts w:ascii="Arial" w:hAnsi="Arial" w:cs="Arial"/>
          <w:color w:val="000000"/>
        </w:rPr>
      </w:pPr>
      <w:proofErr w:type="gramStart"/>
      <w:r w:rsidRPr="00DD522A">
        <w:rPr>
          <w:rFonts w:ascii="Arial" w:hAnsi="Arial" w:cs="Arial"/>
          <w:color w:val="000000"/>
        </w:rPr>
        <w:t>Blatchford, S. and Clarke, P. (2000) Supporting identity, diversity and language in the early years.</w:t>
      </w:r>
      <w:proofErr w:type="gramEnd"/>
      <w:r w:rsidRPr="00DD522A">
        <w:rPr>
          <w:rFonts w:ascii="Arial" w:hAnsi="Arial" w:cs="Arial"/>
          <w:color w:val="000000"/>
        </w:rPr>
        <w:t xml:space="preserve"> Buckingham: </w:t>
      </w:r>
      <w:proofErr w:type="gramStart"/>
      <w:r w:rsidRPr="00DD522A">
        <w:rPr>
          <w:rFonts w:ascii="Arial" w:hAnsi="Arial" w:cs="Arial"/>
          <w:color w:val="000000"/>
        </w:rPr>
        <w:t>Open university</w:t>
      </w:r>
      <w:proofErr w:type="gramEnd"/>
      <w:r w:rsidRPr="00DD522A">
        <w:rPr>
          <w:rFonts w:ascii="Arial" w:hAnsi="Arial" w:cs="Arial"/>
          <w:color w:val="000000"/>
        </w:rPr>
        <w:t xml:space="preserve"> press.</w:t>
      </w:r>
    </w:p>
    <w:p w:rsidR="00DD522A" w:rsidRPr="00DD522A" w:rsidRDefault="00DD522A" w:rsidP="00412C59">
      <w:pPr>
        <w:pStyle w:val="NormalWeb"/>
        <w:spacing w:line="360" w:lineRule="auto"/>
        <w:rPr>
          <w:rFonts w:ascii="Arial" w:hAnsi="Arial" w:cs="Arial"/>
          <w:color w:val="000000"/>
        </w:rPr>
      </w:pPr>
      <w:r w:rsidRPr="00DD522A">
        <w:rPr>
          <w:rFonts w:ascii="Arial" w:hAnsi="Arial" w:cs="Arial"/>
          <w:color w:val="000000"/>
        </w:rPr>
        <w:t xml:space="preserve">Donaldson, J. (1999) </w:t>
      </w:r>
      <w:proofErr w:type="gramStart"/>
      <w:r w:rsidRPr="00DD522A">
        <w:rPr>
          <w:rFonts w:ascii="Arial" w:hAnsi="Arial" w:cs="Arial"/>
          <w:color w:val="000000"/>
        </w:rPr>
        <w:t>The</w:t>
      </w:r>
      <w:proofErr w:type="gramEnd"/>
      <w:r w:rsidRPr="00DD522A">
        <w:rPr>
          <w:rFonts w:ascii="Arial" w:hAnsi="Arial" w:cs="Arial"/>
          <w:color w:val="000000"/>
        </w:rPr>
        <w:t xml:space="preserve"> Gruffalo. London: Macmillan </w:t>
      </w:r>
      <w:proofErr w:type="spellStart"/>
      <w:r w:rsidRPr="00DD522A">
        <w:rPr>
          <w:rFonts w:ascii="Arial" w:hAnsi="Arial" w:cs="Arial"/>
          <w:color w:val="000000"/>
        </w:rPr>
        <w:t>Hashman</w:t>
      </w:r>
      <w:proofErr w:type="spellEnd"/>
      <w:r w:rsidRPr="00DD522A">
        <w:rPr>
          <w:rFonts w:ascii="Arial" w:hAnsi="Arial" w:cs="Arial"/>
          <w:color w:val="000000"/>
        </w:rPr>
        <w:t>, L. (2013) ‘Bruner vs Piaget’ https://getrevising.co.uk/grids/bruner_vs_piaget [Accessed 25th November 2018].</w:t>
      </w:r>
    </w:p>
    <w:p w:rsidR="00DD522A" w:rsidRPr="00DD522A" w:rsidRDefault="00DD522A" w:rsidP="00412C59">
      <w:pPr>
        <w:pStyle w:val="NormalWeb"/>
        <w:spacing w:line="360" w:lineRule="auto"/>
        <w:rPr>
          <w:rFonts w:ascii="Arial" w:hAnsi="Arial" w:cs="Arial"/>
          <w:color w:val="000000"/>
        </w:rPr>
      </w:pPr>
      <w:r w:rsidRPr="00DD522A">
        <w:rPr>
          <w:rFonts w:ascii="Arial" w:hAnsi="Arial" w:cs="Arial"/>
          <w:color w:val="000000"/>
        </w:rPr>
        <w:t>Holmes, R</w:t>
      </w:r>
      <w:proofErr w:type="gramStart"/>
      <w:r w:rsidRPr="00DD522A">
        <w:rPr>
          <w:rFonts w:ascii="Arial" w:hAnsi="Arial" w:cs="Arial"/>
          <w:color w:val="000000"/>
        </w:rPr>
        <w:t>,G</w:t>
      </w:r>
      <w:proofErr w:type="gramEnd"/>
      <w:r w:rsidRPr="00DD522A">
        <w:rPr>
          <w:rFonts w:ascii="Arial" w:hAnsi="Arial" w:cs="Arial"/>
          <w:color w:val="000000"/>
        </w:rPr>
        <w:t>. (2010) ‘Doing practitioner research, in T. Bruce (</w:t>
      </w:r>
      <w:proofErr w:type="spellStart"/>
      <w:r w:rsidRPr="00DD522A">
        <w:rPr>
          <w:rFonts w:ascii="Arial" w:hAnsi="Arial" w:cs="Arial"/>
          <w:color w:val="000000"/>
        </w:rPr>
        <w:t>ed</w:t>
      </w:r>
      <w:proofErr w:type="spellEnd"/>
      <w:r w:rsidRPr="00DD522A">
        <w:rPr>
          <w:rFonts w:ascii="Arial" w:hAnsi="Arial" w:cs="Arial"/>
          <w:color w:val="000000"/>
        </w:rPr>
        <w:t>) Early childhood A guide for students. London: Sage publications, pp. 24-36.</w:t>
      </w:r>
    </w:p>
    <w:p w:rsidR="00DD522A" w:rsidRPr="00DD522A" w:rsidRDefault="00DD522A" w:rsidP="00412C59">
      <w:pPr>
        <w:pStyle w:val="NormalWeb"/>
        <w:spacing w:line="360" w:lineRule="auto"/>
        <w:rPr>
          <w:rFonts w:ascii="Arial" w:hAnsi="Arial" w:cs="Arial"/>
          <w:color w:val="000000"/>
        </w:rPr>
      </w:pPr>
      <w:proofErr w:type="spellStart"/>
      <w:r w:rsidRPr="00DD522A">
        <w:rPr>
          <w:rFonts w:ascii="Arial" w:hAnsi="Arial" w:cs="Arial"/>
          <w:color w:val="000000"/>
        </w:rPr>
        <w:t>Gaurian</w:t>
      </w:r>
      <w:proofErr w:type="spellEnd"/>
      <w:r w:rsidRPr="00DD522A">
        <w:rPr>
          <w:rFonts w:ascii="Arial" w:hAnsi="Arial" w:cs="Arial"/>
          <w:color w:val="000000"/>
        </w:rPr>
        <w:t xml:space="preserve">, M. (2006) </w:t>
      </w:r>
      <w:proofErr w:type="gramStart"/>
      <w:r w:rsidRPr="00DD522A">
        <w:rPr>
          <w:rFonts w:ascii="Arial" w:hAnsi="Arial" w:cs="Arial"/>
          <w:color w:val="000000"/>
        </w:rPr>
        <w:t>The</w:t>
      </w:r>
      <w:proofErr w:type="gramEnd"/>
      <w:r w:rsidRPr="00DD522A">
        <w:rPr>
          <w:rFonts w:ascii="Arial" w:hAnsi="Arial" w:cs="Arial"/>
          <w:color w:val="000000"/>
        </w:rPr>
        <w:t xml:space="preserve"> wonder of boys New York: </w:t>
      </w:r>
      <w:proofErr w:type="spellStart"/>
      <w:r w:rsidRPr="00DD522A">
        <w:rPr>
          <w:rFonts w:ascii="Arial" w:hAnsi="Arial" w:cs="Arial"/>
          <w:color w:val="000000"/>
        </w:rPr>
        <w:t>Tarcher</w:t>
      </w:r>
      <w:proofErr w:type="spellEnd"/>
      <w:r w:rsidRPr="00DD522A">
        <w:rPr>
          <w:rFonts w:ascii="Arial" w:hAnsi="Arial" w:cs="Arial"/>
          <w:color w:val="000000"/>
        </w:rPr>
        <w:t>-Putnam.</w:t>
      </w:r>
    </w:p>
    <w:p w:rsidR="00DD522A" w:rsidRPr="00DD522A" w:rsidRDefault="00DD522A" w:rsidP="00412C59">
      <w:pPr>
        <w:pStyle w:val="NormalWeb"/>
        <w:spacing w:line="360" w:lineRule="auto"/>
        <w:rPr>
          <w:rFonts w:ascii="Arial" w:hAnsi="Arial" w:cs="Arial"/>
          <w:color w:val="000000"/>
        </w:rPr>
      </w:pPr>
      <w:proofErr w:type="gramStart"/>
      <w:r w:rsidRPr="00DD522A">
        <w:rPr>
          <w:rFonts w:ascii="Arial" w:hAnsi="Arial" w:cs="Arial"/>
          <w:color w:val="000000"/>
        </w:rPr>
        <w:t>Griffiths, F. (2010) Supporting children’s creativity through music, dance, drama and art.</w:t>
      </w:r>
      <w:proofErr w:type="gramEnd"/>
      <w:r w:rsidRPr="00DD522A">
        <w:rPr>
          <w:rFonts w:ascii="Arial" w:hAnsi="Arial" w:cs="Arial"/>
          <w:color w:val="000000"/>
        </w:rPr>
        <w:t xml:space="preserve"> Oxon: Routledge.</w:t>
      </w:r>
    </w:p>
    <w:p w:rsidR="00DD522A" w:rsidRPr="00DD522A" w:rsidRDefault="00DD522A" w:rsidP="00412C59">
      <w:pPr>
        <w:pStyle w:val="NormalWeb"/>
        <w:spacing w:line="360" w:lineRule="auto"/>
        <w:rPr>
          <w:rFonts w:ascii="Arial" w:hAnsi="Arial" w:cs="Arial"/>
          <w:color w:val="000000"/>
        </w:rPr>
      </w:pPr>
      <w:proofErr w:type="spellStart"/>
      <w:proofErr w:type="gramStart"/>
      <w:r w:rsidRPr="00DD522A">
        <w:rPr>
          <w:rFonts w:ascii="Arial" w:hAnsi="Arial" w:cs="Arial"/>
          <w:color w:val="000000"/>
        </w:rPr>
        <w:t>Khalidah</w:t>
      </w:r>
      <w:proofErr w:type="spellEnd"/>
      <w:r w:rsidRPr="00DD522A">
        <w:rPr>
          <w:rFonts w:ascii="Arial" w:hAnsi="Arial" w:cs="Arial"/>
          <w:color w:val="000000"/>
        </w:rPr>
        <w:t>, N. (2014) ‘Chomsky’s and Skinner’s theory of language acquisition’ https://www.slideshare.net/nurkhalidah1/chomskys-and-skinners-theory-of-language-acquasition [Accessed 2nd December 2018].</w:t>
      </w:r>
      <w:proofErr w:type="gramEnd"/>
    </w:p>
    <w:p w:rsidR="00DD522A" w:rsidRPr="00DD522A" w:rsidRDefault="00DD522A" w:rsidP="00412C59">
      <w:pPr>
        <w:pStyle w:val="NormalWeb"/>
        <w:spacing w:line="360" w:lineRule="auto"/>
        <w:rPr>
          <w:rFonts w:ascii="Arial" w:hAnsi="Arial" w:cs="Arial"/>
          <w:color w:val="000000"/>
        </w:rPr>
      </w:pPr>
      <w:proofErr w:type="gramStart"/>
      <w:r w:rsidRPr="00DD522A">
        <w:rPr>
          <w:rFonts w:ascii="Arial" w:hAnsi="Arial" w:cs="Arial"/>
          <w:color w:val="000000"/>
        </w:rPr>
        <w:t>Lore Central.</w:t>
      </w:r>
      <w:proofErr w:type="gramEnd"/>
      <w:r w:rsidRPr="00DD522A">
        <w:rPr>
          <w:rFonts w:ascii="Arial" w:hAnsi="Arial" w:cs="Arial"/>
          <w:color w:val="000000"/>
        </w:rPr>
        <w:t xml:space="preserve"> </w:t>
      </w:r>
      <w:proofErr w:type="gramStart"/>
      <w:r w:rsidRPr="00DD522A">
        <w:rPr>
          <w:rFonts w:ascii="Arial" w:hAnsi="Arial" w:cs="Arial"/>
          <w:color w:val="000000"/>
        </w:rPr>
        <w:t>(2018) ‘The learning theory of Bruner vs Piaget and Vygotsky’ https://www.lorecentral.org/2018/10/the-learning-theory-of-bruner-vs-piaget-and-vygotsky.html [Accessed 25th November 2018].</w:t>
      </w:r>
      <w:proofErr w:type="gramEnd"/>
    </w:p>
    <w:p w:rsidR="00DD522A" w:rsidRPr="00DD522A" w:rsidRDefault="00DD522A" w:rsidP="00412C59">
      <w:pPr>
        <w:pStyle w:val="NormalWeb"/>
        <w:spacing w:line="360" w:lineRule="auto"/>
        <w:rPr>
          <w:rFonts w:ascii="Arial" w:hAnsi="Arial" w:cs="Arial"/>
          <w:color w:val="000000"/>
        </w:rPr>
      </w:pPr>
      <w:proofErr w:type="spellStart"/>
      <w:r w:rsidRPr="00DD522A">
        <w:rPr>
          <w:rFonts w:ascii="Arial" w:hAnsi="Arial" w:cs="Arial"/>
          <w:color w:val="000000"/>
        </w:rPr>
        <w:t>Madule</w:t>
      </w:r>
      <w:proofErr w:type="spellEnd"/>
      <w:r w:rsidRPr="00DD522A">
        <w:rPr>
          <w:rFonts w:ascii="Arial" w:hAnsi="Arial" w:cs="Arial"/>
          <w:color w:val="000000"/>
        </w:rPr>
        <w:t xml:space="preserve">, P. (2007) ‘Music, an innovation to listening, Language and learning’ </w:t>
      </w:r>
      <w:proofErr w:type="gramStart"/>
      <w:r w:rsidRPr="00DD522A">
        <w:rPr>
          <w:rFonts w:ascii="Arial" w:hAnsi="Arial" w:cs="Arial"/>
          <w:color w:val="000000"/>
        </w:rPr>
        <w:t>Early</w:t>
      </w:r>
      <w:proofErr w:type="gramEnd"/>
      <w:r w:rsidRPr="00DD522A">
        <w:rPr>
          <w:rFonts w:ascii="Arial" w:hAnsi="Arial" w:cs="Arial"/>
          <w:color w:val="000000"/>
        </w:rPr>
        <w:t xml:space="preserve"> childhood connections: Journal for music and movement based learning, volume 3, No.2, Spring 2007, pp.1-6. </w:t>
      </w:r>
      <w:proofErr w:type="gramStart"/>
      <w:r w:rsidRPr="00DD522A">
        <w:rPr>
          <w:rFonts w:ascii="Arial" w:hAnsi="Arial" w:cs="Arial"/>
          <w:color w:val="000000"/>
        </w:rPr>
        <w:t>[Online].</w:t>
      </w:r>
      <w:proofErr w:type="gramEnd"/>
      <w:r w:rsidRPr="00DD522A">
        <w:rPr>
          <w:rFonts w:ascii="Arial" w:hAnsi="Arial" w:cs="Arial"/>
          <w:color w:val="000000"/>
        </w:rPr>
        <w:t xml:space="preserve"> Available at: http://www.listeningcentre.com/UploadedFiles/Articles/Articles/12-Music-an-Invitiation-Language-Listening-and-Learning-web-copy-16.pdf [Accessed 30th </w:t>
      </w:r>
      <w:r w:rsidRPr="00DD522A">
        <w:rPr>
          <w:rFonts w:ascii="Arial" w:hAnsi="Arial" w:cs="Arial"/>
          <w:color w:val="000000"/>
        </w:rPr>
        <w:lastRenderedPageBreak/>
        <w:t>November 2018]. McLeod, S. (2012) ‘Bruner’ https://www.simplypsychology.org/bruner.html [Accessed 25th November 2018].</w:t>
      </w:r>
    </w:p>
    <w:p w:rsidR="00DD522A" w:rsidRPr="00DD522A" w:rsidRDefault="00DD522A" w:rsidP="00412C59">
      <w:pPr>
        <w:pStyle w:val="NormalWeb"/>
        <w:spacing w:line="360" w:lineRule="auto"/>
        <w:rPr>
          <w:rFonts w:ascii="Arial" w:hAnsi="Arial" w:cs="Arial"/>
          <w:color w:val="000000"/>
        </w:rPr>
      </w:pPr>
      <w:r w:rsidRPr="00DD522A">
        <w:rPr>
          <w:rFonts w:ascii="Arial" w:hAnsi="Arial" w:cs="Arial"/>
          <w:color w:val="000000"/>
        </w:rPr>
        <w:t xml:space="preserve">Sheldon, A. (2015) ‘The weaker sex’ </w:t>
      </w:r>
      <w:proofErr w:type="gramStart"/>
      <w:r w:rsidRPr="00DD522A">
        <w:rPr>
          <w:rFonts w:ascii="Arial" w:hAnsi="Arial" w:cs="Arial"/>
          <w:color w:val="000000"/>
        </w:rPr>
        <w:t>The</w:t>
      </w:r>
      <w:proofErr w:type="gramEnd"/>
      <w:r w:rsidRPr="00DD522A">
        <w:rPr>
          <w:rFonts w:ascii="Arial" w:hAnsi="Arial" w:cs="Arial"/>
          <w:color w:val="000000"/>
        </w:rPr>
        <w:t xml:space="preserve"> economist, March 2015: pp.1. </w:t>
      </w:r>
      <w:proofErr w:type="gramStart"/>
      <w:r w:rsidRPr="00DD522A">
        <w:rPr>
          <w:rFonts w:ascii="Arial" w:hAnsi="Arial" w:cs="Arial"/>
          <w:color w:val="000000"/>
        </w:rPr>
        <w:t>[Online].</w:t>
      </w:r>
      <w:proofErr w:type="gramEnd"/>
      <w:r w:rsidRPr="00DD522A">
        <w:rPr>
          <w:rFonts w:ascii="Arial" w:hAnsi="Arial" w:cs="Arial"/>
          <w:color w:val="000000"/>
        </w:rPr>
        <w:t xml:space="preserve"> Available at: https://www.economist.com/international/2015/03/07/the-weaker-sex [Accessed 30th November 2018]. </w:t>
      </w:r>
      <w:proofErr w:type="spellStart"/>
      <w:r w:rsidRPr="00DD522A">
        <w:rPr>
          <w:rFonts w:ascii="Arial" w:hAnsi="Arial" w:cs="Arial"/>
          <w:color w:val="000000"/>
        </w:rPr>
        <w:t>Shneider</w:t>
      </w:r>
      <w:proofErr w:type="spellEnd"/>
      <w:r w:rsidRPr="00DD522A">
        <w:rPr>
          <w:rFonts w:ascii="Arial" w:hAnsi="Arial" w:cs="Arial"/>
          <w:color w:val="000000"/>
        </w:rPr>
        <w:t>, A. (2013) ‘How boy’s learning styles differ’ https://www.goodtherapy.org/blog/how-boys-learning-styles-differ-0211134 [Accessed 30th November 2018].</w:t>
      </w:r>
    </w:p>
    <w:p w:rsidR="00DD522A" w:rsidRPr="00DD522A" w:rsidRDefault="00DD522A" w:rsidP="00412C59">
      <w:pPr>
        <w:pStyle w:val="NormalWeb"/>
        <w:spacing w:line="360" w:lineRule="auto"/>
        <w:rPr>
          <w:rFonts w:ascii="Arial" w:hAnsi="Arial" w:cs="Arial"/>
          <w:color w:val="000000"/>
        </w:rPr>
      </w:pPr>
      <w:proofErr w:type="gramStart"/>
      <w:r w:rsidRPr="00DD522A">
        <w:rPr>
          <w:rFonts w:ascii="Arial" w:hAnsi="Arial" w:cs="Arial"/>
          <w:color w:val="000000"/>
        </w:rPr>
        <w:t>Whitehead, M. (2002) Developing language and literacy with young children.</w:t>
      </w:r>
      <w:proofErr w:type="gramEnd"/>
      <w:r w:rsidRPr="00DD522A">
        <w:rPr>
          <w:rFonts w:ascii="Arial" w:hAnsi="Arial" w:cs="Arial"/>
          <w:color w:val="000000"/>
        </w:rPr>
        <w:t xml:space="preserve"> London: Paul Chapman Publishing.</w:t>
      </w:r>
    </w:p>
    <w:p w:rsidR="00BD2143" w:rsidRDefault="00BD2143"/>
    <w:sectPr w:rsidR="00BD2143">
      <w:foot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12C59" w:rsidRDefault="00412C59" w:rsidP="00412C59">
      <w:pPr>
        <w:spacing w:after="0" w:line="240" w:lineRule="auto"/>
      </w:pPr>
      <w:r>
        <w:separator/>
      </w:r>
    </w:p>
  </w:endnote>
  <w:endnote w:type="continuationSeparator" w:id="0">
    <w:p w:rsidR="00412C59" w:rsidRDefault="00412C59" w:rsidP="00412C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2C59" w:rsidRDefault="00412C59">
    <w:pPr>
      <w:ind w:right="260"/>
      <w:rPr>
        <w:color w:val="0F243E" w:themeColor="text2" w:themeShade="80"/>
        <w:sz w:val="26"/>
        <w:szCs w:val="26"/>
      </w:rPr>
    </w:pPr>
    <w:r>
      <w:rPr>
        <w:noProof/>
        <w:color w:val="1F497D" w:themeColor="text2"/>
        <w:sz w:val="26"/>
        <w:szCs w:val="26"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editId="38CDDEC2">
              <wp:simplePos x="0" y="0"/>
              <mc:AlternateContent>
                <mc:Choice Requires="wp14">
                  <wp:positionH relativeFrom="page">
                    <wp14:pctPosHOffset>91000</wp14:pctPosHOffset>
                  </wp:positionH>
                </mc:Choice>
                <mc:Fallback>
                  <wp:positionH relativeFrom="page">
                    <wp:posOffset>6879590</wp:posOffset>
                  </wp:positionH>
                </mc:Fallback>
              </mc:AlternateContent>
              <mc:AlternateContent>
                <mc:Choice Requires="wp14">
                  <wp:positionV relativeFrom="page">
                    <wp14:pctPosVOffset>93000</wp14:pctPosVOffset>
                  </wp:positionV>
                </mc:Choice>
                <mc:Fallback>
                  <wp:positionV relativeFrom="page">
                    <wp:posOffset>9943465</wp:posOffset>
                  </wp:positionV>
                </mc:Fallback>
              </mc:AlternateContent>
              <wp:extent cx="388620" cy="313055"/>
              <wp:effectExtent l="0" t="0" r="0" b="0"/>
              <wp:wrapNone/>
              <wp:docPr id="49" name="Text Box 4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88620" cy="31305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412C59" w:rsidRDefault="00412C59">
                          <w:pPr>
                            <w:spacing w:after="0"/>
                            <w:jc w:val="center"/>
                            <w:rPr>
                              <w:color w:val="0F243E" w:themeColor="text2" w:themeShade="80"/>
                              <w:sz w:val="26"/>
                              <w:szCs w:val="26"/>
                            </w:rPr>
                          </w:pPr>
                          <w:r>
                            <w:rPr>
                              <w:color w:val="0F243E" w:themeColor="text2" w:themeShade="80"/>
                              <w:sz w:val="26"/>
                              <w:szCs w:val="26"/>
                            </w:rPr>
                            <w:fldChar w:fldCharType="begin"/>
                          </w:r>
                          <w:r>
                            <w:rPr>
                              <w:color w:val="0F243E" w:themeColor="text2" w:themeShade="80"/>
                              <w:sz w:val="26"/>
                              <w:szCs w:val="26"/>
                            </w:rPr>
                            <w:instrText xml:space="preserve"> PAGE  \* Arabic  \* MERGEFORMAT </w:instrText>
                          </w:r>
                          <w:r>
                            <w:rPr>
                              <w:color w:val="0F243E" w:themeColor="text2" w:themeShade="80"/>
                              <w:sz w:val="26"/>
                              <w:szCs w:val="26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F243E" w:themeColor="text2" w:themeShade="80"/>
                              <w:sz w:val="26"/>
                              <w:szCs w:val="26"/>
                            </w:rPr>
                            <w:t>1</w:t>
                          </w:r>
                          <w:r>
                            <w:rPr>
                              <w:color w:val="0F243E" w:themeColor="text2" w:themeShade="80"/>
                              <w:sz w:val="26"/>
                              <w:szCs w:val="26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45720" rIns="0" bIns="45720" numCol="1" spcCol="0" rtlCol="0" fromWordArt="0" anchor="ctr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5000</wp14:pctWidth>
              </wp14:sizeRelH>
              <wp14:sizeRelV relativeFrom="page">
                <wp14:pctHeight>5000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49" o:spid="_x0000_s1026" type="#_x0000_t202" style="position:absolute;margin-left:0;margin-top:0;width:30.6pt;height:24.65pt;z-index:251659264;visibility:visible;mso-wrap-style:square;mso-width-percent:50;mso-height-percent:50;mso-left-percent:910;mso-top-percent:930;mso-wrap-distance-left:9pt;mso-wrap-distance-top:0;mso-wrap-distance-right:9pt;mso-wrap-distance-bottom:0;mso-position-horizontal-relative:page;mso-position-vertical-relative:page;mso-width-percent:50;mso-height-percent:50;mso-left-percent:910;mso-top-percent:93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7CtdiAIAAIUFAAAOAAAAZHJzL2Uyb0RvYy54bWysVN9P2zAQfp+0/8Hy+0hLKesqUtSBmCYh&#10;QIOJZ9exaTTb59nXJt1fv7OTtIzxwrSXxL777s733Y+z89YatlUh1uBKPj4acaachKp2TyX//nD1&#10;YcZZROEqYcCpku9U5OeL9+/OGj9Xx7AGU6nAyImL88aXfI3o50UR5VpZEY/AK0dKDcEKpGt4Kqog&#10;GvJuTXE8Gp0WDYTKB5AqRpJedkq+yP61VhJvtY4KmSk5vQ3zN+TvKn2LxZmYPwXh17XsnyH+4RVW&#10;1I6C7l1dChRsE+q/XNlaBoig8UiCLUDrWqqcA2UzHr3I5n4tvMq5EDnR72mK/8+tvNneBVZXJT/5&#10;xJkTlmr0oFpkn6FlJCJ+Gh/nBLv3BMSW5FTnQR5JmNJudbDpTwkx0hPTuz27yZsk4WQ2Oz0mjSTV&#10;ZDwZTafJS3Ew9iHiFwWWpUPJAxUvcyq21xE76ABJsSKYurqqjcmX1DDqwgS2FVRqg/mJ5PwPlHGs&#10;KfnpZDrKjh0k886zccmNyi3Th0uJdwnmE+6MShjjvilNlOU8X4ktpFRuHz+jE0pTqLcY9vjDq95i&#10;3OVBFjkyONwb29pByNnnGTtQVv0YKNMdnmrzLO90xHbV9g2xgmpH/RCgm6jo5VVNVbsWEe9EoBGi&#10;QtNawFv6aAPEOvQnztYQfr0mT3jqbNJy1tBIljz+3IigODNfHfV8mt98OJl+TI0UBunqudRt7AVQ&#10;C4xp8XiZjwmLZjjqAPaRtsYyRSOVcJJillxiGC4X2K0I2jtSLZcZRvPqBV67ey+T80Rs6saH9lEE&#10;37csUq/fwDC2Yv6icztssox+uUHqvtzWidqOz55ymvU8GP1eSsvk+T2jDttz8RsAAP//AwBQSwME&#10;FAAGAAgAAAAhAHBxGVPbAAAAAwEAAA8AAABkcnMvZG93bnJldi54bWxMj8FOwzAQRO+V+Adrkbi1&#10;TgtEEOJUFNFLxaUNqNdtvI2jxusodtPA12O4wGWl0Yxm3ubL0bZioN43jhXMZwkI4srphmsF7+V6&#10;+gDCB2SNrWNS8EkelsXVJMdMuwtvadiFWsQS9hkqMCF0mZS+MmTRz1xHHL2j6y2GKPta6h4vsdy2&#10;cpEkqbTYcFww2NGLoeq0O1sFgwmb1XZdflDq91/l/dtmv3pFpW6ux+cnEIHG8BeGH/yIDkVkOrgz&#10;ay9aBfGR8Hujl84XIA4K7h5vQRa5/M9efAMAAP//AwBQSwECLQAUAAYACAAAACEAtoM4kv4AAADh&#10;AQAAEwAAAAAAAAAAAAAAAAAAAAAAW0NvbnRlbnRfVHlwZXNdLnhtbFBLAQItABQABgAIAAAAIQA4&#10;/SH/1gAAAJQBAAALAAAAAAAAAAAAAAAAAC8BAABfcmVscy8ucmVsc1BLAQItABQABgAIAAAAIQD0&#10;7CtdiAIAAIUFAAAOAAAAAAAAAAAAAAAAAC4CAABkcnMvZTJvRG9jLnhtbFBLAQItABQABgAIAAAA&#10;IQBwcRlT2wAAAAMBAAAPAAAAAAAAAAAAAAAAAOIEAABkcnMvZG93bnJldi54bWxQSwUGAAAAAAQA&#10;BADzAAAA6gUAAAAA&#10;" fillcolor="white [3201]" stroked="f" strokeweight=".5pt">
              <v:textbox style="mso-fit-shape-to-text:t" inset="0,,0">
                <w:txbxContent>
                  <w:p w:rsidR="00412C59" w:rsidRDefault="00412C59">
                    <w:pPr>
                      <w:spacing w:after="0"/>
                      <w:jc w:val="center"/>
                      <w:rPr>
                        <w:color w:val="0F243E" w:themeColor="text2" w:themeShade="80"/>
                        <w:sz w:val="26"/>
                        <w:szCs w:val="26"/>
                      </w:rPr>
                    </w:pPr>
                    <w:r>
                      <w:rPr>
                        <w:color w:val="0F243E" w:themeColor="text2" w:themeShade="80"/>
                        <w:sz w:val="26"/>
                        <w:szCs w:val="26"/>
                      </w:rPr>
                      <w:fldChar w:fldCharType="begin"/>
                    </w:r>
                    <w:r>
                      <w:rPr>
                        <w:color w:val="0F243E" w:themeColor="text2" w:themeShade="80"/>
                        <w:sz w:val="26"/>
                        <w:szCs w:val="26"/>
                      </w:rPr>
                      <w:instrText xml:space="preserve"> PAGE  \* Arabic  \* MERGEFORMAT </w:instrText>
                    </w:r>
                    <w:r>
                      <w:rPr>
                        <w:color w:val="0F243E" w:themeColor="text2" w:themeShade="80"/>
                        <w:sz w:val="26"/>
                        <w:szCs w:val="26"/>
                      </w:rPr>
                      <w:fldChar w:fldCharType="separate"/>
                    </w:r>
                    <w:r>
                      <w:rPr>
                        <w:noProof/>
                        <w:color w:val="0F243E" w:themeColor="text2" w:themeShade="80"/>
                        <w:sz w:val="26"/>
                        <w:szCs w:val="26"/>
                      </w:rPr>
                      <w:t>1</w:t>
                    </w:r>
                    <w:r>
                      <w:rPr>
                        <w:color w:val="0F243E" w:themeColor="text2" w:themeShade="80"/>
                        <w:sz w:val="26"/>
                        <w:szCs w:val="2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color w:val="0F243E" w:themeColor="text2" w:themeShade="80"/>
        <w:sz w:val="26"/>
        <w:szCs w:val="26"/>
      </w:rPr>
      <w:t>1705498</w:t>
    </w:r>
  </w:p>
  <w:p w:rsidR="00412C59" w:rsidRDefault="00412C5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12C59" w:rsidRDefault="00412C59" w:rsidP="00412C59">
      <w:pPr>
        <w:spacing w:after="0" w:line="240" w:lineRule="auto"/>
      </w:pPr>
      <w:r>
        <w:separator/>
      </w:r>
    </w:p>
  </w:footnote>
  <w:footnote w:type="continuationSeparator" w:id="0">
    <w:p w:rsidR="00412C59" w:rsidRDefault="00412C59" w:rsidP="00412C5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522A"/>
    <w:rsid w:val="00412C59"/>
    <w:rsid w:val="00BD2143"/>
    <w:rsid w:val="00DD52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DD52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412C5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12C59"/>
  </w:style>
  <w:style w:type="paragraph" w:styleId="Footer">
    <w:name w:val="footer"/>
    <w:basedOn w:val="Normal"/>
    <w:link w:val="FooterChar"/>
    <w:uiPriority w:val="99"/>
    <w:unhideWhenUsed/>
    <w:rsid w:val="00412C5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12C5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DD52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412C5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12C59"/>
  </w:style>
  <w:style w:type="paragraph" w:styleId="Footer">
    <w:name w:val="footer"/>
    <w:basedOn w:val="Normal"/>
    <w:link w:val="FooterChar"/>
    <w:uiPriority w:val="99"/>
    <w:unhideWhenUsed/>
    <w:rsid w:val="00412C5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12C5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4849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317</Words>
  <Characters>1809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SLTS</Company>
  <LinksUpToDate>false</LinksUpToDate>
  <CharactersWithSpaces>2122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Samantha Howell</dc:creator>
  <cp:lastModifiedBy>Samantha Howell</cp:lastModifiedBy>
  <cp:revision>2</cp:revision>
  <dcterms:created xsi:type="dcterms:W3CDTF">2018-12-05T13:10:00Z</dcterms:created>
  <dcterms:modified xsi:type="dcterms:W3CDTF">2018-12-05T13:12:00Z</dcterms:modified>
</cp:coreProperties>
</file>