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C4A29" w14:textId="77777777" w:rsidR="004621A0" w:rsidRPr="004621A0" w:rsidRDefault="004621A0" w:rsidP="004621A0">
      <w:pPr>
        <w:spacing w:after="0" w:line="360" w:lineRule="auto"/>
        <w:contextualSpacing/>
        <w:jc w:val="center"/>
        <w:rPr>
          <w:rFonts w:ascii="Arial" w:hAnsi="Arial" w:cs="Arial"/>
          <w:b/>
          <w:bCs/>
          <w:sz w:val="48"/>
          <w:szCs w:val="48"/>
        </w:rPr>
      </w:pPr>
      <w:r w:rsidRPr="004621A0">
        <w:rPr>
          <w:rFonts w:ascii="Arial" w:hAnsi="Arial" w:cs="Arial"/>
          <w:b/>
          <w:bCs/>
          <w:noProof/>
          <w:sz w:val="48"/>
          <w:szCs w:val="48"/>
        </w:rPr>
        <w:drawing>
          <wp:inline distT="0" distB="0" distL="0" distR="0" wp14:anchorId="3B939451" wp14:editId="27ADC1A4">
            <wp:extent cx="1857634" cy="704948"/>
            <wp:effectExtent l="0" t="0" r="9525" b="0"/>
            <wp:docPr id="53804183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41831" name="Picture 1" descr="A close-up of a sign&#10;&#10;AI-generated content may be incorrect."/>
                    <pic:cNvPicPr/>
                  </pic:nvPicPr>
                  <pic:blipFill>
                    <a:blip r:embed="rId6"/>
                    <a:stretch>
                      <a:fillRect/>
                    </a:stretch>
                  </pic:blipFill>
                  <pic:spPr>
                    <a:xfrm>
                      <a:off x="0" y="0"/>
                      <a:ext cx="1857634" cy="704948"/>
                    </a:xfrm>
                    <a:prstGeom prst="rect">
                      <a:avLst/>
                    </a:prstGeom>
                  </pic:spPr>
                </pic:pic>
              </a:graphicData>
            </a:graphic>
          </wp:inline>
        </w:drawing>
      </w:r>
    </w:p>
    <w:p w14:paraId="0015F6B1" w14:textId="77777777" w:rsidR="004621A0" w:rsidRPr="004621A0" w:rsidRDefault="004621A0" w:rsidP="004621A0">
      <w:pPr>
        <w:spacing w:after="0" w:line="360" w:lineRule="auto"/>
        <w:contextualSpacing/>
        <w:jc w:val="center"/>
        <w:rPr>
          <w:rFonts w:ascii="Arial" w:hAnsi="Arial" w:cs="Arial"/>
          <w:b/>
          <w:bCs/>
          <w:sz w:val="48"/>
          <w:szCs w:val="48"/>
        </w:rPr>
      </w:pPr>
    </w:p>
    <w:p w14:paraId="65A59813" w14:textId="77777777" w:rsidR="004621A0" w:rsidRPr="004621A0" w:rsidRDefault="004621A0" w:rsidP="004621A0">
      <w:pPr>
        <w:spacing w:after="0" w:line="360" w:lineRule="auto"/>
        <w:contextualSpacing/>
        <w:jc w:val="center"/>
        <w:rPr>
          <w:rFonts w:ascii="Arial" w:hAnsi="Arial" w:cs="Arial"/>
          <w:b/>
          <w:bCs/>
          <w:sz w:val="32"/>
          <w:szCs w:val="32"/>
        </w:rPr>
      </w:pPr>
      <w:r w:rsidRPr="004621A0">
        <w:rPr>
          <w:rFonts w:ascii="Arial" w:hAnsi="Arial" w:cs="Arial"/>
          <w:b/>
          <w:bCs/>
          <w:sz w:val="32"/>
          <w:szCs w:val="32"/>
        </w:rPr>
        <w:t>BA International Hotel Management</w:t>
      </w:r>
    </w:p>
    <w:p w14:paraId="1CC7FE74" w14:textId="77777777" w:rsidR="004621A0" w:rsidRPr="004621A0" w:rsidRDefault="004621A0" w:rsidP="004621A0">
      <w:pPr>
        <w:spacing w:after="0" w:line="360" w:lineRule="auto"/>
        <w:contextualSpacing/>
        <w:jc w:val="center"/>
        <w:rPr>
          <w:rFonts w:ascii="Arial" w:hAnsi="Arial" w:cs="Arial"/>
          <w:b/>
          <w:bCs/>
          <w:sz w:val="32"/>
          <w:szCs w:val="32"/>
        </w:rPr>
      </w:pPr>
    </w:p>
    <w:p w14:paraId="3F795852" w14:textId="77777777" w:rsidR="004621A0" w:rsidRPr="004621A0" w:rsidRDefault="004621A0" w:rsidP="004621A0">
      <w:pPr>
        <w:spacing w:after="0" w:line="360" w:lineRule="auto"/>
        <w:contextualSpacing/>
        <w:jc w:val="center"/>
        <w:rPr>
          <w:rFonts w:ascii="Arial" w:hAnsi="Arial" w:cs="Arial"/>
          <w:b/>
          <w:bCs/>
          <w:sz w:val="32"/>
          <w:szCs w:val="32"/>
        </w:rPr>
      </w:pPr>
    </w:p>
    <w:p w14:paraId="2D3E13C3" w14:textId="77777777" w:rsidR="004621A0" w:rsidRPr="004621A0" w:rsidRDefault="004621A0" w:rsidP="004621A0">
      <w:pPr>
        <w:spacing w:after="0" w:line="360" w:lineRule="auto"/>
        <w:contextualSpacing/>
        <w:jc w:val="center"/>
        <w:rPr>
          <w:rFonts w:ascii="Arial" w:hAnsi="Arial" w:cs="Arial"/>
          <w:b/>
          <w:bCs/>
          <w:sz w:val="48"/>
          <w:szCs w:val="48"/>
        </w:rPr>
      </w:pPr>
      <w:r w:rsidRPr="004621A0">
        <w:rPr>
          <w:rFonts w:ascii="Arial" w:hAnsi="Arial" w:cs="Arial"/>
          <w:b/>
          <w:bCs/>
          <w:sz w:val="48"/>
          <w:szCs w:val="48"/>
        </w:rPr>
        <w:t>BMIH6008</w:t>
      </w:r>
    </w:p>
    <w:p w14:paraId="4188EEBD" w14:textId="77777777" w:rsidR="004621A0" w:rsidRPr="004621A0" w:rsidRDefault="004621A0" w:rsidP="004621A0">
      <w:pPr>
        <w:spacing w:after="0" w:line="360" w:lineRule="auto"/>
        <w:contextualSpacing/>
        <w:jc w:val="center"/>
        <w:rPr>
          <w:rFonts w:ascii="Arial" w:hAnsi="Arial" w:cs="Arial"/>
          <w:b/>
          <w:bCs/>
          <w:sz w:val="48"/>
          <w:szCs w:val="48"/>
        </w:rPr>
      </w:pPr>
      <w:r w:rsidRPr="004621A0">
        <w:rPr>
          <w:rFonts w:ascii="Arial" w:hAnsi="Arial" w:cs="Arial"/>
          <w:b/>
          <w:bCs/>
          <w:sz w:val="48"/>
          <w:szCs w:val="48"/>
        </w:rPr>
        <w:t>Hotel Placement Research Project</w:t>
      </w:r>
    </w:p>
    <w:p w14:paraId="355FA875" w14:textId="62BF86AD" w:rsidR="004621A0" w:rsidRDefault="00430E44" w:rsidP="004621A0">
      <w:pPr>
        <w:spacing w:after="0" w:line="360" w:lineRule="auto"/>
        <w:contextualSpacing/>
        <w:jc w:val="center"/>
        <w:rPr>
          <w:rFonts w:ascii="Arial" w:hAnsi="Arial" w:cs="Arial"/>
          <w:b/>
          <w:bCs/>
          <w:lang w:val="en-GB"/>
        </w:rPr>
      </w:pPr>
      <w:r w:rsidRPr="00430E44">
        <w:rPr>
          <w:rFonts w:ascii="Arial" w:hAnsi="Arial" w:cs="Arial"/>
          <w:b/>
          <w:bCs/>
          <w:lang w:val="en-GB"/>
        </w:rPr>
        <w:t>Sustainable Food Practices in Hotel F&amp;B Operations: A Case Study of Delta Hotel Tudor Park County Club</w:t>
      </w:r>
    </w:p>
    <w:p w14:paraId="2653430B" w14:textId="77777777" w:rsidR="00430E44" w:rsidRPr="004621A0" w:rsidRDefault="00430E44" w:rsidP="004621A0">
      <w:pPr>
        <w:spacing w:after="0" w:line="360" w:lineRule="auto"/>
        <w:contextualSpacing/>
        <w:jc w:val="center"/>
        <w:rPr>
          <w:rFonts w:ascii="Arial" w:hAnsi="Arial" w:cs="Arial"/>
          <w:b/>
          <w:bCs/>
          <w:sz w:val="48"/>
          <w:szCs w:val="48"/>
        </w:rPr>
      </w:pPr>
    </w:p>
    <w:p w14:paraId="31CE4E65" w14:textId="6E991D85" w:rsidR="004621A0" w:rsidRPr="004621A0" w:rsidRDefault="004621A0" w:rsidP="004621A0">
      <w:pPr>
        <w:spacing w:after="0" w:line="360" w:lineRule="auto"/>
        <w:contextualSpacing/>
        <w:jc w:val="center"/>
        <w:rPr>
          <w:rFonts w:ascii="Arial" w:hAnsi="Arial" w:cs="Arial"/>
          <w:sz w:val="40"/>
          <w:szCs w:val="40"/>
        </w:rPr>
      </w:pPr>
      <w:r w:rsidRPr="004621A0">
        <w:rPr>
          <w:rFonts w:ascii="Arial" w:hAnsi="Arial" w:cs="Arial"/>
          <w:b/>
          <w:bCs/>
          <w:sz w:val="40"/>
          <w:szCs w:val="40"/>
        </w:rPr>
        <w:t>Student name</w:t>
      </w:r>
      <w:r w:rsidRPr="004621A0">
        <w:rPr>
          <w:rFonts w:ascii="Arial" w:hAnsi="Arial" w:cs="Arial"/>
          <w:sz w:val="40"/>
          <w:szCs w:val="40"/>
        </w:rPr>
        <w:t>:</w:t>
      </w:r>
      <w:r w:rsidRPr="004621A0">
        <w:rPr>
          <w:rFonts w:ascii="Arial" w:hAnsi="Arial" w:cs="Arial"/>
          <w:sz w:val="36"/>
          <w:szCs w:val="36"/>
        </w:rPr>
        <w:t xml:space="preserve"> </w:t>
      </w:r>
      <w:r w:rsidR="00370056" w:rsidRPr="00482F5E">
        <w:rPr>
          <w:rFonts w:ascii="Arial" w:hAnsi="Arial" w:cs="Arial"/>
          <w:sz w:val="40"/>
          <w:szCs w:val="40"/>
        </w:rPr>
        <w:t>Denis Buzdugan</w:t>
      </w:r>
    </w:p>
    <w:p w14:paraId="52A253E1" w14:textId="09B71D4C" w:rsidR="004621A0" w:rsidRPr="004621A0" w:rsidRDefault="004621A0" w:rsidP="004621A0">
      <w:pPr>
        <w:spacing w:after="0" w:line="360" w:lineRule="auto"/>
        <w:contextualSpacing/>
        <w:jc w:val="center"/>
        <w:rPr>
          <w:rFonts w:ascii="Arial" w:hAnsi="Arial" w:cs="Arial"/>
          <w:sz w:val="40"/>
          <w:szCs w:val="40"/>
        </w:rPr>
      </w:pPr>
      <w:r w:rsidRPr="004621A0">
        <w:rPr>
          <w:rFonts w:ascii="Arial" w:hAnsi="Arial" w:cs="Arial"/>
          <w:b/>
          <w:bCs/>
          <w:sz w:val="40"/>
          <w:szCs w:val="40"/>
        </w:rPr>
        <w:t>Student number</w:t>
      </w:r>
      <w:r w:rsidRPr="004621A0">
        <w:rPr>
          <w:rFonts w:ascii="Arial" w:hAnsi="Arial" w:cs="Arial"/>
          <w:sz w:val="40"/>
          <w:szCs w:val="40"/>
        </w:rPr>
        <w:t xml:space="preserve">: </w:t>
      </w:r>
      <w:r w:rsidR="00370056" w:rsidRPr="00482F5E">
        <w:rPr>
          <w:rFonts w:ascii="Arial" w:hAnsi="Arial" w:cs="Arial"/>
          <w:sz w:val="40"/>
          <w:szCs w:val="40"/>
        </w:rPr>
        <w:t>2130036</w:t>
      </w:r>
    </w:p>
    <w:p w14:paraId="3878BAC0" w14:textId="0C5F28F7" w:rsidR="004621A0" w:rsidRPr="00370056" w:rsidRDefault="00370056" w:rsidP="004621A0">
      <w:pPr>
        <w:spacing w:after="0" w:line="360" w:lineRule="auto"/>
        <w:contextualSpacing/>
        <w:jc w:val="center"/>
        <w:rPr>
          <w:rFonts w:ascii="Arial" w:hAnsi="Arial" w:cs="Arial"/>
          <w:sz w:val="40"/>
          <w:szCs w:val="40"/>
        </w:rPr>
      </w:pPr>
      <w:r>
        <w:rPr>
          <w:rFonts w:ascii="Arial" w:hAnsi="Arial" w:cs="Arial"/>
          <w:b/>
          <w:bCs/>
          <w:sz w:val="40"/>
          <w:szCs w:val="40"/>
        </w:rPr>
        <w:t>Lecturer name</w:t>
      </w:r>
      <w:r>
        <w:rPr>
          <w:rFonts w:ascii="Arial" w:hAnsi="Arial" w:cs="Arial"/>
          <w:sz w:val="40"/>
          <w:szCs w:val="40"/>
        </w:rPr>
        <w:t xml:space="preserve">: </w:t>
      </w:r>
      <w:r w:rsidRPr="00482F5E">
        <w:rPr>
          <w:rFonts w:ascii="Arial" w:hAnsi="Arial" w:cs="Arial"/>
          <w:sz w:val="40"/>
          <w:szCs w:val="40"/>
        </w:rPr>
        <w:t>Chris Wilkin</w:t>
      </w:r>
    </w:p>
    <w:p w14:paraId="0AA133B1" w14:textId="5BC55258" w:rsidR="004621A0" w:rsidRPr="004621A0" w:rsidRDefault="004621A0" w:rsidP="004621A0">
      <w:pPr>
        <w:spacing w:after="0" w:line="360" w:lineRule="auto"/>
        <w:contextualSpacing/>
        <w:jc w:val="center"/>
        <w:rPr>
          <w:rFonts w:ascii="Arial" w:hAnsi="Arial" w:cs="Arial"/>
          <w:sz w:val="40"/>
          <w:szCs w:val="40"/>
        </w:rPr>
      </w:pPr>
      <w:r w:rsidRPr="004621A0">
        <w:rPr>
          <w:rFonts w:ascii="Arial" w:hAnsi="Arial" w:cs="Arial"/>
          <w:b/>
          <w:bCs/>
          <w:sz w:val="40"/>
          <w:szCs w:val="40"/>
        </w:rPr>
        <w:t>Number of words</w:t>
      </w:r>
      <w:r w:rsidRPr="004621A0">
        <w:rPr>
          <w:rFonts w:ascii="Arial" w:hAnsi="Arial" w:cs="Arial"/>
          <w:sz w:val="40"/>
          <w:szCs w:val="40"/>
        </w:rPr>
        <w:t xml:space="preserve">: </w:t>
      </w:r>
      <w:r>
        <w:rPr>
          <w:rFonts w:ascii="Arial" w:hAnsi="Arial" w:cs="Arial"/>
          <w:sz w:val="40"/>
          <w:szCs w:val="40"/>
        </w:rPr>
        <w:t>7645</w:t>
      </w:r>
    </w:p>
    <w:p w14:paraId="6548BBE7" w14:textId="77777777" w:rsidR="004621A0" w:rsidRPr="004621A0" w:rsidRDefault="004621A0" w:rsidP="004621A0">
      <w:pPr>
        <w:spacing w:after="0" w:line="360" w:lineRule="auto"/>
        <w:contextualSpacing/>
        <w:jc w:val="center"/>
        <w:rPr>
          <w:rFonts w:ascii="Arial" w:hAnsi="Arial" w:cs="Arial"/>
          <w:sz w:val="40"/>
          <w:szCs w:val="40"/>
        </w:rPr>
      </w:pPr>
    </w:p>
    <w:p w14:paraId="325D8C5F" w14:textId="1DEC5954" w:rsidR="004621A0" w:rsidRPr="004621A0" w:rsidRDefault="004621A0" w:rsidP="004621A0">
      <w:pPr>
        <w:spacing w:after="0" w:line="360" w:lineRule="auto"/>
        <w:contextualSpacing/>
        <w:jc w:val="center"/>
        <w:rPr>
          <w:rFonts w:ascii="Arial" w:hAnsi="Arial" w:cs="Arial"/>
          <w:b/>
          <w:bCs/>
          <w:sz w:val="40"/>
          <w:szCs w:val="40"/>
        </w:rPr>
      </w:pPr>
      <w:r w:rsidRPr="004621A0">
        <w:rPr>
          <w:rFonts w:ascii="Arial" w:hAnsi="Arial" w:cs="Arial"/>
          <w:b/>
          <w:bCs/>
          <w:sz w:val="40"/>
          <w:szCs w:val="40"/>
        </w:rPr>
        <w:t xml:space="preserve">Date of submission: </w:t>
      </w:r>
      <w:r w:rsidRPr="00482F5E">
        <w:rPr>
          <w:rFonts w:ascii="Arial" w:hAnsi="Arial" w:cs="Arial"/>
          <w:sz w:val="40"/>
          <w:szCs w:val="40"/>
        </w:rPr>
        <w:t>1</w:t>
      </w:r>
      <w:r w:rsidR="00370056" w:rsidRPr="00482F5E">
        <w:rPr>
          <w:rFonts w:ascii="Arial" w:hAnsi="Arial" w:cs="Arial"/>
          <w:sz w:val="40"/>
          <w:szCs w:val="40"/>
        </w:rPr>
        <w:t>2</w:t>
      </w:r>
      <w:r w:rsidRPr="00482F5E">
        <w:rPr>
          <w:rFonts w:ascii="Arial" w:hAnsi="Arial" w:cs="Arial"/>
          <w:sz w:val="40"/>
          <w:szCs w:val="40"/>
        </w:rPr>
        <w:t>/06/2025</w:t>
      </w:r>
    </w:p>
    <w:p w14:paraId="49DEF13A" w14:textId="77777777" w:rsidR="004621A0" w:rsidRPr="004621A0" w:rsidRDefault="004621A0" w:rsidP="004621A0">
      <w:pPr>
        <w:spacing w:after="0" w:line="360" w:lineRule="auto"/>
        <w:contextualSpacing/>
        <w:jc w:val="center"/>
        <w:rPr>
          <w:rFonts w:ascii="Arial" w:hAnsi="Arial" w:cs="Arial"/>
          <w:b/>
          <w:bCs/>
          <w:sz w:val="40"/>
          <w:szCs w:val="40"/>
        </w:rPr>
      </w:pPr>
    </w:p>
    <w:p w14:paraId="1E0C901F" w14:textId="363B70B1" w:rsidR="00C27287" w:rsidRPr="004621A0" w:rsidRDefault="004621A0" w:rsidP="004621A0">
      <w:pPr>
        <w:spacing w:line="360" w:lineRule="auto"/>
        <w:jc w:val="center"/>
        <w:rPr>
          <w:rFonts w:ascii="Arial" w:hAnsi="Arial" w:cs="Arial"/>
          <w:b/>
          <w:bCs/>
        </w:rPr>
      </w:pPr>
      <w:r w:rsidRPr="004621A0">
        <w:rPr>
          <w:rFonts w:ascii="Arial" w:hAnsi="Arial" w:cs="Arial"/>
          <w:b/>
          <w:bCs/>
        </w:rPr>
        <w:t>I confirm that I have not used any AI tools in the research creation of this assignment. In confirm that I have not presented any AI generated materials as my own work. I confirm I have copies of my drafts, notes, and other resources I used, which I may be asked to provide in evidence.</w:t>
      </w:r>
    </w:p>
    <w:p w14:paraId="6301B7DF" w14:textId="77777777" w:rsidR="00C27287" w:rsidRPr="004621A0" w:rsidRDefault="00C27287" w:rsidP="004621A0">
      <w:pPr>
        <w:spacing w:line="360" w:lineRule="auto"/>
        <w:jc w:val="both"/>
        <w:rPr>
          <w:rFonts w:ascii="Arial" w:hAnsi="Arial" w:cs="Arial"/>
          <w:b/>
          <w:bCs/>
          <w:lang w:val="en-GB"/>
        </w:rPr>
      </w:pPr>
      <w:r w:rsidRPr="004621A0">
        <w:rPr>
          <w:rFonts w:ascii="Arial" w:hAnsi="Arial" w:cs="Arial"/>
          <w:b/>
          <w:bCs/>
          <w:lang w:val="en-GB"/>
        </w:rPr>
        <w:lastRenderedPageBreak/>
        <w:t>Abstract</w:t>
      </w:r>
    </w:p>
    <w:p w14:paraId="4043392F" w14:textId="2DD33524" w:rsidR="00C974D5" w:rsidRPr="004621A0" w:rsidRDefault="00C974D5" w:rsidP="004621A0">
      <w:pPr>
        <w:spacing w:line="360" w:lineRule="auto"/>
        <w:jc w:val="both"/>
        <w:rPr>
          <w:rFonts w:ascii="Arial" w:hAnsi="Arial" w:cs="Arial"/>
          <w:lang w:val="en-GB"/>
        </w:rPr>
      </w:pPr>
      <w:r w:rsidRPr="004621A0">
        <w:rPr>
          <w:rFonts w:ascii="Arial" w:hAnsi="Arial" w:cs="Arial"/>
          <w:lang w:val="en-GB"/>
        </w:rPr>
        <w:t xml:space="preserve">The project is </w:t>
      </w:r>
      <w:r w:rsidR="00971947" w:rsidRPr="004621A0">
        <w:rPr>
          <w:rFonts w:ascii="Arial" w:hAnsi="Arial" w:cs="Arial"/>
          <w:lang w:val="en-GB"/>
        </w:rPr>
        <w:t>research</w:t>
      </w:r>
      <w:r w:rsidRPr="004621A0">
        <w:rPr>
          <w:rFonts w:ascii="Arial" w:hAnsi="Arial" w:cs="Arial"/>
          <w:lang w:val="en-GB"/>
        </w:rPr>
        <w:t xml:space="preserve"> aiming at exploring the aspects of sustainable food practices in Hotel food and beverage operations using Delta Hotel Tudor Park County Club as a major case study. There is a growing pressure on the hospitality industry to be environmentally responsible especially in their food and beverages operations where large amounts of waste are produced and resources used. The paper </w:t>
      </w:r>
      <w:r w:rsidR="00971947" w:rsidRPr="004621A0">
        <w:rPr>
          <w:rFonts w:ascii="Arial" w:hAnsi="Arial" w:cs="Arial"/>
          <w:lang w:val="en-GB"/>
        </w:rPr>
        <w:t>investigates</w:t>
      </w:r>
      <w:r w:rsidRPr="004621A0">
        <w:rPr>
          <w:rFonts w:ascii="Arial" w:hAnsi="Arial" w:cs="Arial"/>
          <w:lang w:val="en-GB"/>
        </w:rPr>
        <w:t xml:space="preserve"> existing practices of sustainable food, factors that make implementation difficult, and whether the green initiatives are effective in hotel F&amp;B departments.</w:t>
      </w:r>
    </w:p>
    <w:p w14:paraId="6DF59E08" w14:textId="18B84608" w:rsidR="00C974D5" w:rsidRPr="004621A0" w:rsidRDefault="00C974D5" w:rsidP="004621A0">
      <w:pPr>
        <w:spacing w:line="360" w:lineRule="auto"/>
        <w:jc w:val="both"/>
        <w:rPr>
          <w:rFonts w:ascii="Arial" w:hAnsi="Arial" w:cs="Arial"/>
          <w:lang w:val="en-GB"/>
        </w:rPr>
      </w:pPr>
      <w:r w:rsidRPr="004621A0">
        <w:rPr>
          <w:rFonts w:ascii="Arial" w:hAnsi="Arial" w:cs="Arial"/>
          <w:lang w:val="en-GB"/>
        </w:rPr>
        <w:t xml:space="preserve">Methodology of the research is qualitative case study that involves both primary and secondary data collection methods, using structured interviews of the management of various hotels and F&amp;B employees, and using academic literature and industry reports. The analysis has shown that Delta Hotel Tudor Park County Club has already introduced </w:t>
      </w:r>
      <w:r w:rsidR="00971947" w:rsidRPr="004621A0">
        <w:rPr>
          <w:rFonts w:ascii="Arial" w:hAnsi="Arial" w:cs="Arial"/>
          <w:lang w:val="en-GB"/>
        </w:rPr>
        <w:t>several</w:t>
      </w:r>
      <w:r w:rsidRPr="004621A0">
        <w:rPr>
          <w:rFonts w:ascii="Arial" w:hAnsi="Arial" w:cs="Arial"/>
          <w:lang w:val="en-GB"/>
        </w:rPr>
        <w:t xml:space="preserve"> sustainable operations such as local sourcing ventures, waste reduction schemes and energy saving kitchen appliances but there is still a lot that can be done.</w:t>
      </w:r>
    </w:p>
    <w:p w14:paraId="02BC9092" w14:textId="2FF7BAB3" w:rsidR="00C974D5" w:rsidRPr="004621A0" w:rsidRDefault="00C974D5" w:rsidP="004621A0">
      <w:pPr>
        <w:spacing w:line="360" w:lineRule="auto"/>
        <w:jc w:val="both"/>
        <w:rPr>
          <w:rFonts w:ascii="Arial" w:hAnsi="Arial" w:cs="Arial"/>
          <w:lang w:val="en-GB"/>
        </w:rPr>
      </w:pPr>
      <w:r w:rsidRPr="004621A0">
        <w:rPr>
          <w:rFonts w:ascii="Arial" w:hAnsi="Arial" w:cs="Arial"/>
          <w:lang w:val="en-GB"/>
        </w:rPr>
        <w:t xml:space="preserve">Some of the key findings suggest that effective sustainable food practices can only be implemented after thorough staff training, installation of elaborate measurement systems and effective management commitment. According to the study, food waste reduction proved to be the most influential sustainability opportunity, and the possible cost saving was up to 25 percent per year. Nonetheless, issues remain </w:t>
      </w:r>
      <w:r w:rsidR="00971947" w:rsidRPr="004621A0">
        <w:rPr>
          <w:rFonts w:ascii="Arial" w:hAnsi="Arial" w:cs="Arial"/>
          <w:lang w:val="en-GB"/>
        </w:rPr>
        <w:t>in</w:t>
      </w:r>
      <w:r w:rsidRPr="004621A0">
        <w:rPr>
          <w:rFonts w:ascii="Arial" w:hAnsi="Arial" w:cs="Arial"/>
          <w:lang w:val="en-GB"/>
        </w:rPr>
        <w:t xml:space="preserve"> supplier relations, the need to invest in capital equipment at the </w:t>
      </w:r>
      <w:r w:rsidR="00971947" w:rsidRPr="004621A0">
        <w:rPr>
          <w:rFonts w:ascii="Arial" w:hAnsi="Arial" w:cs="Arial"/>
          <w:lang w:val="en-GB"/>
        </w:rPr>
        <w:t>start-up and</w:t>
      </w:r>
      <w:r w:rsidRPr="004621A0">
        <w:rPr>
          <w:rFonts w:ascii="Arial" w:hAnsi="Arial" w:cs="Arial"/>
          <w:lang w:val="en-GB"/>
        </w:rPr>
        <w:t xml:space="preserve"> reconciling the idea of sustainability with customer demands.</w:t>
      </w:r>
    </w:p>
    <w:p w14:paraId="1AF64C66" w14:textId="77777777" w:rsidR="00C974D5" w:rsidRPr="004621A0" w:rsidRDefault="00C974D5" w:rsidP="004621A0">
      <w:pPr>
        <w:spacing w:line="360" w:lineRule="auto"/>
        <w:jc w:val="both"/>
        <w:rPr>
          <w:rFonts w:ascii="Arial" w:hAnsi="Arial" w:cs="Arial"/>
          <w:lang w:val="en-GB"/>
        </w:rPr>
      </w:pPr>
      <w:r w:rsidRPr="004621A0">
        <w:rPr>
          <w:rFonts w:ascii="Arial" w:hAnsi="Arial" w:cs="Arial"/>
          <w:lang w:val="en-GB"/>
        </w:rPr>
        <w:t>At the end of the research, it provides answers in how sustainable food practices when adequately incorporated, are not only beneficial to the environment, but also lead to increased operational efficiency and guest satisfaction. It is recommended to create an extensive sustainability policy, form relationships with local suppliers, introduce superior waste tracking systems, and designing guest engagement programmes. The findings form part of the general knowledge on sustainability in operation in the hospitality sector and act as a practical guideline to hoteliers and managers who aim at improving their environmental operations without compromising operational quality.</w:t>
      </w:r>
    </w:p>
    <w:p w14:paraId="5482A333" w14:textId="77777777" w:rsidR="004621A0" w:rsidRDefault="004621A0">
      <w:pPr>
        <w:rPr>
          <w:rFonts w:ascii="Arial" w:hAnsi="Arial" w:cs="Arial"/>
          <w:b/>
          <w:bCs/>
          <w:lang w:val="en-GB"/>
        </w:rPr>
      </w:pPr>
      <w:r>
        <w:rPr>
          <w:rFonts w:ascii="Arial" w:hAnsi="Arial" w:cs="Arial"/>
          <w:b/>
          <w:bCs/>
          <w:lang w:val="en-GB"/>
        </w:rPr>
        <w:br w:type="page"/>
      </w:r>
    </w:p>
    <w:sdt>
      <w:sdtPr>
        <w:rPr>
          <w:rFonts w:asciiTheme="minorHAnsi" w:eastAsiaTheme="minorHAnsi" w:hAnsiTheme="minorHAnsi" w:cstheme="minorBidi"/>
          <w:color w:val="auto"/>
          <w:kern w:val="2"/>
          <w:sz w:val="24"/>
          <w:szCs w:val="24"/>
          <w:lang w:val="ro-RO"/>
          <w14:ligatures w14:val="standardContextual"/>
        </w:rPr>
        <w:id w:val="1633128118"/>
        <w:docPartObj>
          <w:docPartGallery w:val="Table of Contents"/>
          <w:docPartUnique/>
        </w:docPartObj>
      </w:sdtPr>
      <w:sdtEndPr>
        <w:rPr>
          <w:b/>
          <w:bCs/>
          <w:noProof/>
        </w:rPr>
      </w:sdtEndPr>
      <w:sdtContent>
        <w:p w14:paraId="64C29921" w14:textId="1A39A641" w:rsidR="00DB4464" w:rsidRPr="00DB4464" w:rsidRDefault="00DB4464">
          <w:pPr>
            <w:pStyle w:val="TOCHeading"/>
            <w:rPr>
              <w:rFonts w:ascii="Arial" w:hAnsi="Arial" w:cs="Arial"/>
              <w:b/>
              <w:bCs/>
              <w:color w:val="auto"/>
            </w:rPr>
          </w:pPr>
          <w:r w:rsidRPr="00DB4464">
            <w:rPr>
              <w:rFonts w:ascii="Arial" w:hAnsi="Arial" w:cs="Arial"/>
              <w:b/>
              <w:bCs/>
              <w:color w:val="auto"/>
            </w:rPr>
            <w:t>Table of Contents</w:t>
          </w:r>
        </w:p>
        <w:p w14:paraId="2654607E" w14:textId="6F3A9641" w:rsidR="00DB4464" w:rsidRPr="00DB4464" w:rsidRDefault="00DB4464">
          <w:pPr>
            <w:pStyle w:val="TOC1"/>
            <w:tabs>
              <w:tab w:val="right" w:leader="dot" w:pos="9016"/>
            </w:tabs>
            <w:rPr>
              <w:rFonts w:ascii="Arial" w:hAnsi="Arial" w:cs="Arial"/>
              <w:noProof/>
            </w:rPr>
          </w:pPr>
          <w:r w:rsidRPr="00DB4464">
            <w:rPr>
              <w:rFonts w:ascii="Arial" w:hAnsi="Arial" w:cs="Arial"/>
            </w:rPr>
            <w:fldChar w:fldCharType="begin"/>
          </w:r>
          <w:r w:rsidRPr="00DB4464">
            <w:rPr>
              <w:rFonts w:ascii="Arial" w:hAnsi="Arial" w:cs="Arial"/>
            </w:rPr>
            <w:instrText xml:space="preserve"> TOC \o "1-3" \h \z \u </w:instrText>
          </w:r>
          <w:r w:rsidRPr="00DB4464">
            <w:rPr>
              <w:rFonts w:ascii="Arial" w:hAnsi="Arial" w:cs="Arial"/>
            </w:rPr>
            <w:fldChar w:fldCharType="separate"/>
          </w:r>
          <w:hyperlink w:anchor="_Toc200567703" w:history="1">
            <w:r w:rsidRPr="00DB4464">
              <w:rPr>
                <w:rStyle w:val="Hyperlink"/>
                <w:rFonts w:ascii="Arial" w:hAnsi="Arial" w:cs="Arial"/>
                <w:noProof/>
                <w:color w:val="auto"/>
                <w:lang w:val="en-GB"/>
              </w:rPr>
              <w:t>Chapter 1: Introduction</w:t>
            </w:r>
            <w:r w:rsidRPr="00DB4464">
              <w:rPr>
                <w:rFonts w:ascii="Arial" w:hAnsi="Arial" w:cs="Arial"/>
                <w:noProof/>
                <w:webHidden/>
              </w:rPr>
              <w:tab/>
            </w:r>
            <w:r w:rsidRPr="00DB4464">
              <w:rPr>
                <w:rFonts w:ascii="Arial" w:hAnsi="Arial" w:cs="Arial"/>
                <w:noProof/>
                <w:webHidden/>
              </w:rPr>
              <w:fldChar w:fldCharType="begin"/>
            </w:r>
            <w:r w:rsidRPr="00DB4464">
              <w:rPr>
                <w:rFonts w:ascii="Arial" w:hAnsi="Arial" w:cs="Arial"/>
                <w:noProof/>
                <w:webHidden/>
              </w:rPr>
              <w:instrText xml:space="preserve"> PAGEREF _Toc200567703 \h </w:instrText>
            </w:r>
            <w:r w:rsidRPr="00DB4464">
              <w:rPr>
                <w:rFonts w:ascii="Arial" w:hAnsi="Arial" w:cs="Arial"/>
                <w:noProof/>
                <w:webHidden/>
              </w:rPr>
            </w:r>
            <w:r w:rsidRPr="00DB4464">
              <w:rPr>
                <w:rFonts w:ascii="Arial" w:hAnsi="Arial" w:cs="Arial"/>
                <w:noProof/>
                <w:webHidden/>
              </w:rPr>
              <w:fldChar w:fldCharType="separate"/>
            </w:r>
            <w:r w:rsidRPr="00DB4464">
              <w:rPr>
                <w:rFonts w:ascii="Arial" w:hAnsi="Arial" w:cs="Arial"/>
                <w:noProof/>
                <w:webHidden/>
              </w:rPr>
              <w:t>4</w:t>
            </w:r>
            <w:r w:rsidRPr="00DB4464">
              <w:rPr>
                <w:rFonts w:ascii="Arial" w:hAnsi="Arial" w:cs="Arial"/>
                <w:noProof/>
                <w:webHidden/>
              </w:rPr>
              <w:fldChar w:fldCharType="end"/>
            </w:r>
          </w:hyperlink>
        </w:p>
        <w:p w14:paraId="0E0692ED" w14:textId="4F0197B7" w:rsidR="00DB4464" w:rsidRPr="00DB4464" w:rsidRDefault="00482F5E">
          <w:pPr>
            <w:pStyle w:val="TOC1"/>
            <w:tabs>
              <w:tab w:val="right" w:leader="dot" w:pos="9016"/>
            </w:tabs>
            <w:rPr>
              <w:rFonts w:ascii="Arial" w:hAnsi="Arial" w:cs="Arial"/>
              <w:noProof/>
            </w:rPr>
          </w:pPr>
          <w:hyperlink w:anchor="_Toc200567704" w:history="1">
            <w:r w:rsidR="00DB4464" w:rsidRPr="00DB4464">
              <w:rPr>
                <w:rStyle w:val="Hyperlink"/>
                <w:rFonts w:ascii="Arial" w:hAnsi="Arial" w:cs="Arial"/>
                <w:noProof/>
                <w:color w:val="auto"/>
                <w:lang w:val="en-GB"/>
              </w:rPr>
              <w:t>Chapter 2: Literature Review</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_Toc200567704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5</w:t>
            </w:r>
            <w:r w:rsidR="00DB4464" w:rsidRPr="00DB4464">
              <w:rPr>
                <w:rFonts w:ascii="Arial" w:hAnsi="Arial" w:cs="Arial"/>
                <w:noProof/>
                <w:webHidden/>
              </w:rPr>
              <w:fldChar w:fldCharType="end"/>
            </w:r>
          </w:hyperlink>
        </w:p>
        <w:p w14:paraId="2D3F36B6" w14:textId="4FCDC47D" w:rsidR="00DB4464" w:rsidRPr="00DB4464" w:rsidRDefault="00482F5E">
          <w:pPr>
            <w:pStyle w:val="TOC2"/>
            <w:tabs>
              <w:tab w:val="right" w:leader="dot" w:pos="9016"/>
            </w:tabs>
            <w:rPr>
              <w:rFonts w:ascii="Arial" w:hAnsi="Arial" w:cs="Arial"/>
              <w:noProof/>
            </w:rPr>
          </w:pPr>
          <w:hyperlink w:anchor="_Toc200567705" w:history="1">
            <w:r w:rsidR="00DB4464" w:rsidRPr="00DB4464">
              <w:rPr>
                <w:rStyle w:val="Hyperlink"/>
                <w:rFonts w:ascii="Arial" w:hAnsi="Arial" w:cs="Arial"/>
                <w:noProof/>
                <w:color w:val="auto"/>
                <w:lang w:val="en-GB"/>
              </w:rPr>
              <w:t>2.1 Sustainability in the Hospitality Industry</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_Toc200567705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5</w:t>
            </w:r>
            <w:r w:rsidR="00DB4464" w:rsidRPr="00DB4464">
              <w:rPr>
                <w:rFonts w:ascii="Arial" w:hAnsi="Arial" w:cs="Arial"/>
                <w:noProof/>
                <w:webHidden/>
              </w:rPr>
              <w:fldChar w:fldCharType="end"/>
            </w:r>
          </w:hyperlink>
        </w:p>
        <w:p w14:paraId="6D22A8D3" w14:textId="73D0CF57" w:rsidR="00DB4464" w:rsidRPr="00DB4464" w:rsidRDefault="00482F5E">
          <w:pPr>
            <w:pStyle w:val="TOC2"/>
            <w:tabs>
              <w:tab w:val="right" w:leader="dot" w:pos="9016"/>
            </w:tabs>
            <w:rPr>
              <w:rFonts w:ascii="Arial" w:hAnsi="Arial" w:cs="Arial"/>
              <w:noProof/>
            </w:rPr>
          </w:pPr>
          <w:hyperlink w:anchor="_Toc200567706" w:history="1">
            <w:r w:rsidR="00DB4464" w:rsidRPr="00DB4464">
              <w:rPr>
                <w:rStyle w:val="Hyperlink"/>
                <w:rFonts w:ascii="Arial" w:hAnsi="Arial" w:cs="Arial"/>
                <w:noProof/>
                <w:color w:val="auto"/>
                <w:lang w:val="en-GB"/>
              </w:rPr>
              <w:t>2.2 Food Waste Management in Hotels</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_Toc200567706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6</w:t>
            </w:r>
            <w:r w:rsidR="00DB4464" w:rsidRPr="00DB4464">
              <w:rPr>
                <w:rFonts w:ascii="Arial" w:hAnsi="Arial" w:cs="Arial"/>
                <w:noProof/>
                <w:webHidden/>
              </w:rPr>
              <w:fldChar w:fldCharType="end"/>
            </w:r>
          </w:hyperlink>
        </w:p>
        <w:p w14:paraId="65B39625" w14:textId="5AB6B7C5" w:rsidR="00DB4464" w:rsidRPr="00DB4464" w:rsidRDefault="00482F5E">
          <w:pPr>
            <w:pStyle w:val="TOC2"/>
            <w:tabs>
              <w:tab w:val="right" w:leader="dot" w:pos="9016"/>
            </w:tabs>
            <w:rPr>
              <w:rFonts w:ascii="Arial" w:hAnsi="Arial" w:cs="Arial"/>
              <w:noProof/>
            </w:rPr>
          </w:pPr>
          <w:hyperlink w:anchor="_Toc200567707" w:history="1">
            <w:r w:rsidR="00DB4464" w:rsidRPr="00DB4464">
              <w:rPr>
                <w:rStyle w:val="Hyperlink"/>
                <w:rFonts w:ascii="Arial" w:hAnsi="Arial" w:cs="Arial"/>
                <w:noProof/>
                <w:color w:val="auto"/>
                <w:lang w:val="en-GB"/>
              </w:rPr>
              <w:t>2.3 Sustainable Sourcing and Local Procurement</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_Toc200567707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7</w:t>
            </w:r>
            <w:r w:rsidR="00DB4464" w:rsidRPr="00DB4464">
              <w:rPr>
                <w:rFonts w:ascii="Arial" w:hAnsi="Arial" w:cs="Arial"/>
                <w:noProof/>
                <w:webHidden/>
              </w:rPr>
              <w:fldChar w:fldCharType="end"/>
            </w:r>
          </w:hyperlink>
        </w:p>
        <w:p w14:paraId="3593EE12" w14:textId="6B343910" w:rsidR="00DB4464" w:rsidRPr="00DB4464" w:rsidRDefault="00482F5E">
          <w:pPr>
            <w:pStyle w:val="TOC2"/>
            <w:tabs>
              <w:tab w:val="right" w:leader="dot" w:pos="9016"/>
            </w:tabs>
            <w:rPr>
              <w:rFonts w:ascii="Arial" w:hAnsi="Arial" w:cs="Arial"/>
              <w:noProof/>
            </w:rPr>
          </w:pPr>
          <w:hyperlink w:anchor="_Toc200567708" w:history="1">
            <w:r w:rsidR="00DB4464" w:rsidRPr="00DB4464">
              <w:rPr>
                <w:rStyle w:val="Hyperlink"/>
                <w:rFonts w:ascii="Arial" w:hAnsi="Arial" w:cs="Arial"/>
                <w:noProof/>
                <w:color w:val="auto"/>
                <w:lang w:val="en-GB"/>
              </w:rPr>
              <w:t>2.4 Environmental Management Systems</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_Toc200567708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8</w:t>
            </w:r>
            <w:r w:rsidR="00DB4464" w:rsidRPr="00DB4464">
              <w:rPr>
                <w:rFonts w:ascii="Arial" w:hAnsi="Arial" w:cs="Arial"/>
                <w:noProof/>
                <w:webHidden/>
              </w:rPr>
              <w:fldChar w:fldCharType="end"/>
            </w:r>
          </w:hyperlink>
        </w:p>
        <w:p w14:paraId="07210035" w14:textId="77F3B03D" w:rsidR="00DB4464" w:rsidRPr="00DB4464" w:rsidRDefault="00482F5E">
          <w:pPr>
            <w:pStyle w:val="TOC2"/>
            <w:tabs>
              <w:tab w:val="right" w:leader="dot" w:pos="9016"/>
            </w:tabs>
            <w:rPr>
              <w:rFonts w:ascii="Arial" w:hAnsi="Arial" w:cs="Arial"/>
              <w:noProof/>
            </w:rPr>
          </w:pPr>
          <w:hyperlink w:anchor="_Toc200567709" w:history="1">
            <w:r w:rsidR="00DB4464" w:rsidRPr="00DB4464">
              <w:rPr>
                <w:rStyle w:val="Hyperlink"/>
                <w:rFonts w:ascii="Arial" w:hAnsi="Arial" w:cs="Arial"/>
                <w:noProof/>
                <w:color w:val="auto"/>
                <w:lang w:val="en-GB"/>
              </w:rPr>
              <w:t>2.5 Guest Perceptions and Green Practices</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_Toc200567709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9</w:t>
            </w:r>
            <w:r w:rsidR="00DB4464" w:rsidRPr="00DB4464">
              <w:rPr>
                <w:rFonts w:ascii="Arial" w:hAnsi="Arial" w:cs="Arial"/>
                <w:noProof/>
                <w:webHidden/>
              </w:rPr>
              <w:fldChar w:fldCharType="end"/>
            </w:r>
          </w:hyperlink>
        </w:p>
        <w:p w14:paraId="1811B8AA" w14:textId="1F115028" w:rsidR="00DB4464" w:rsidRPr="00DB4464" w:rsidRDefault="00482F5E">
          <w:pPr>
            <w:pStyle w:val="TOC1"/>
            <w:tabs>
              <w:tab w:val="right" w:leader="dot" w:pos="9016"/>
            </w:tabs>
            <w:rPr>
              <w:rFonts w:ascii="Arial" w:hAnsi="Arial" w:cs="Arial"/>
              <w:noProof/>
            </w:rPr>
          </w:pPr>
          <w:hyperlink w:anchor="_Toc200567710" w:history="1">
            <w:r w:rsidR="00DB4464" w:rsidRPr="00DB4464">
              <w:rPr>
                <w:rStyle w:val="Hyperlink"/>
                <w:rFonts w:ascii="Arial" w:hAnsi="Arial" w:cs="Arial"/>
                <w:noProof/>
                <w:color w:val="auto"/>
                <w:lang w:val="en-GB"/>
              </w:rPr>
              <w:t>Chapter 3: Methodology</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_Toc200567710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11</w:t>
            </w:r>
            <w:r w:rsidR="00DB4464" w:rsidRPr="00DB4464">
              <w:rPr>
                <w:rFonts w:ascii="Arial" w:hAnsi="Arial" w:cs="Arial"/>
                <w:noProof/>
                <w:webHidden/>
              </w:rPr>
              <w:fldChar w:fldCharType="end"/>
            </w:r>
          </w:hyperlink>
        </w:p>
        <w:p w14:paraId="7AE60934" w14:textId="17E80A7E" w:rsidR="00DB4464" w:rsidRPr="00DB4464" w:rsidRDefault="00482F5E">
          <w:pPr>
            <w:pStyle w:val="TOC2"/>
            <w:tabs>
              <w:tab w:val="right" w:leader="dot" w:pos="9016"/>
            </w:tabs>
            <w:rPr>
              <w:rFonts w:ascii="Arial" w:hAnsi="Arial" w:cs="Arial"/>
              <w:noProof/>
            </w:rPr>
          </w:pPr>
          <w:hyperlink w:anchor="_Toc200567711" w:history="1">
            <w:r w:rsidR="00DB4464" w:rsidRPr="00DB4464">
              <w:rPr>
                <w:rStyle w:val="Hyperlink"/>
                <w:rFonts w:ascii="Arial" w:hAnsi="Arial" w:cs="Arial"/>
                <w:noProof/>
                <w:color w:val="auto"/>
                <w:lang w:val="en-GB"/>
              </w:rPr>
              <w:t>3.1 Research Approach</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_Toc200567711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11</w:t>
            </w:r>
            <w:r w:rsidR="00DB4464" w:rsidRPr="00DB4464">
              <w:rPr>
                <w:rFonts w:ascii="Arial" w:hAnsi="Arial" w:cs="Arial"/>
                <w:noProof/>
                <w:webHidden/>
              </w:rPr>
              <w:fldChar w:fldCharType="end"/>
            </w:r>
          </w:hyperlink>
        </w:p>
        <w:p w14:paraId="65FBF99D" w14:textId="2F6AAD7E" w:rsidR="00DB4464" w:rsidRPr="00DB4464" w:rsidRDefault="00482F5E">
          <w:pPr>
            <w:pStyle w:val="TOC2"/>
            <w:tabs>
              <w:tab w:val="right" w:leader="dot" w:pos="9016"/>
            </w:tabs>
            <w:rPr>
              <w:rFonts w:ascii="Arial" w:hAnsi="Arial" w:cs="Arial"/>
              <w:noProof/>
            </w:rPr>
          </w:pPr>
          <w:hyperlink w:anchor="_Toc200567712" w:history="1">
            <w:r w:rsidR="00DB4464" w:rsidRPr="00DB4464">
              <w:rPr>
                <w:rStyle w:val="Hyperlink"/>
                <w:rFonts w:ascii="Arial" w:hAnsi="Arial" w:cs="Arial"/>
                <w:noProof/>
                <w:color w:val="auto"/>
                <w:lang w:val="en-GB"/>
              </w:rPr>
              <w:t>3.2 Case Study Method</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_Toc200567712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12</w:t>
            </w:r>
            <w:r w:rsidR="00DB4464" w:rsidRPr="00DB4464">
              <w:rPr>
                <w:rFonts w:ascii="Arial" w:hAnsi="Arial" w:cs="Arial"/>
                <w:noProof/>
                <w:webHidden/>
              </w:rPr>
              <w:fldChar w:fldCharType="end"/>
            </w:r>
          </w:hyperlink>
        </w:p>
        <w:p w14:paraId="0EA3E144" w14:textId="3A8C20D9" w:rsidR="00DB4464" w:rsidRPr="00DB4464" w:rsidRDefault="00482F5E">
          <w:pPr>
            <w:pStyle w:val="TOC2"/>
            <w:tabs>
              <w:tab w:val="right" w:leader="dot" w:pos="9016"/>
            </w:tabs>
            <w:rPr>
              <w:rFonts w:ascii="Arial" w:hAnsi="Arial" w:cs="Arial"/>
              <w:noProof/>
            </w:rPr>
          </w:pPr>
          <w:hyperlink w:anchor="_Toc200567713" w:history="1">
            <w:r w:rsidR="00DB4464" w:rsidRPr="00DB4464">
              <w:rPr>
                <w:rStyle w:val="Hyperlink"/>
                <w:rFonts w:ascii="Arial" w:hAnsi="Arial" w:cs="Arial"/>
                <w:noProof/>
                <w:color w:val="auto"/>
                <w:lang w:val="en-GB"/>
              </w:rPr>
              <w:t>3.3 Data Collection Methods</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_Toc200567713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13</w:t>
            </w:r>
            <w:r w:rsidR="00DB4464" w:rsidRPr="00DB4464">
              <w:rPr>
                <w:rFonts w:ascii="Arial" w:hAnsi="Arial" w:cs="Arial"/>
                <w:noProof/>
                <w:webHidden/>
              </w:rPr>
              <w:fldChar w:fldCharType="end"/>
            </w:r>
          </w:hyperlink>
        </w:p>
        <w:p w14:paraId="4005B064" w14:textId="7EEDC42D" w:rsidR="00DB4464" w:rsidRPr="00DB4464" w:rsidRDefault="00482F5E">
          <w:pPr>
            <w:pStyle w:val="TOC2"/>
            <w:tabs>
              <w:tab w:val="right" w:leader="dot" w:pos="9016"/>
            </w:tabs>
            <w:rPr>
              <w:rFonts w:ascii="Arial" w:hAnsi="Arial" w:cs="Arial"/>
              <w:noProof/>
            </w:rPr>
          </w:pPr>
          <w:hyperlink w:anchor="_Toc200567714" w:history="1">
            <w:r w:rsidR="00DB4464" w:rsidRPr="00DB4464">
              <w:rPr>
                <w:rStyle w:val="Hyperlink"/>
                <w:rFonts w:ascii="Arial" w:hAnsi="Arial" w:cs="Arial"/>
                <w:noProof/>
                <w:color w:val="auto"/>
                <w:lang w:val="en-GB"/>
              </w:rPr>
              <w:t>3.4 Ethical Considerations</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_Toc200567714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14</w:t>
            </w:r>
            <w:r w:rsidR="00DB4464" w:rsidRPr="00DB4464">
              <w:rPr>
                <w:rFonts w:ascii="Arial" w:hAnsi="Arial" w:cs="Arial"/>
                <w:noProof/>
                <w:webHidden/>
              </w:rPr>
              <w:fldChar w:fldCharType="end"/>
            </w:r>
          </w:hyperlink>
        </w:p>
        <w:p w14:paraId="354CB921" w14:textId="4B6C796C" w:rsidR="00DB4464" w:rsidRPr="00DB4464" w:rsidRDefault="00482F5E">
          <w:pPr>
            <w:pStyle w:val="TOC1"/>
            <w:tabs>
              <w:tab w:val="right" w:leader="dot" w:pos="9016"/>
            </w:tabs>
            <w:rPr>
              <w:rFonts w:ascii="Arial" w:hAnsi="Arial" w:cs="Arial"/>
              <w:noProof/>
            </w:rPr>
          </w:pPr>
          <w:hyperlink w:anchor="_Toc200567715" w:history="1">
            <w:r w:rsidR="00DB4464" w:rsidRPr="00DB4464">
              <w:rPr>
                <w:rStyle w:val="Hyperlink"/>
                <w:rFonts w:ascii="Arial" w:hAnsi="Arial" w:cs="Arial"/>
                <w:noProof/>
                <w:color w:val="auto"/>
                <w:lang w:val="en-GB"/>
              </w:rPr>
              <w:t>Chapter 4: Findings and Discussion</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_Toc200567715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15</w:t>
            </w:r>
            <w:r w:rsidR="00DB4464" w:rsidRPr="00DB4464">
              <w:rPr>
                <w:rFonts w:ascii="Arial" w:hAnsi="Arial" w:cs="Arial"/>
                <w:noProof/>
                <w:webHidden/>
              </w:rPr>
              <w:fldChar w:fldCharType="end"/>
            </w:r>
          </w:hyperlink>
        </w:p>
        <w:p w14:paraId="5B6707CB" w14:textId="574FB4A3" w:rsidR="00DB4464" w:rsidRPr="00DB4464" w:rsidRDefault="00482F5E">
          <w:pPr>
            <w:pStyle w:val="TOC2"/>
            <w:tabs>
              <w:tab w:val="right" w:leader="dot" w:pos="9016"/>
            </w:tabs>
            <w:rPr>
              <w:rFonts w:ascii="Arial" w:hAnsi="Arial" w:cs="Arial"/>
              <w:noProof/>
            </w:rPr>
          </w:pPr>
          <w:hyperlink w:anchor="_Toc200567716" w:history="1">
            <w:r w:rsidR="00DB4464" w:rsidRPr="00DB4464">
              <w:rPr>
                <w:rStyle w:val="Hyperlink"/>
                <w:rFonts w:ascii="Arial" w:hAnsi="Arial" w:cs="Arial"/>
                <w:noProof/>
                <w:color w:val="auto"/>
                <w:lang w:val="en-GB"/>
              </w:rPr>
              <w:t>4.1 Current Sustainable Practices at Delta Hotel Tudor Park County Club</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_Toc200567716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15</w:t>
            </w:r>
            <w:r w:rsidR="00DB4464" w:rsidRPr="00DB4464">
              <w:rPr>
                <w:rFonts w:ascii="Arial" w:hAnsi="Arial" w:cs="Arial"/>
                <w:noProof/>
                <w:webHidden/>
              </w:rPr>
              <w:fldChar w:fldCharType="end"/>
            </w:r>
          </w:hyperlink>
        </w:p>
        <w:p w14:paraId="1AA2EAAA" w14:textId="351161ED" w:rsidR="00DB4464" w:rsidRPr="00DB4464" w:rsidRDefault="00482F5E">
          <w:pPr>
            <w:pStyle w:val="TOC2"/>
            <w:tabs>
              <w:tab w:val="right" w:leader="dot" w:pos="9016"/>
            </w:tabs>
            <w:rPr>
              <w:rFonts w:ascii="Arial" w:hAnsi="Arial" w:cs="Arial"/>
              <w:noProof/>
            </w:rPr>
          </w:pPr>
          <w:hyperlink w:anchor="_Toc200567717" w:history="1">
            <w:r w:rsidR="00DB4464" w:rsidRPr="00DB4464">
              <w:rPr>
                <w:rStyle w:val="Hyperlink"/>
                <w:rFonts w:ascii="Arial" w:hAnsi="Arial" w:cs="Arial"/>
                <w:noProof/>
                <w:color w:val="auto"/>
                <w:lang w:val="en-GB"/>
              </w:rPr>
              <w:t>4.2 Staff Engagement and Training</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_Toc200567717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17</w:t>
            </w:r>
            <w:r w:rsidR="00DB4464" w:rsidRPr="00DB4464">
              <w:rPr>
                <w:rFonts w:ascii="Arial" w:hAnsi="Arial" w:cs="Arial"/>
                <w:noProof/>
                <w:webHidden/>
              </w:rPr>
              <w:fldChar w:fldCharType="end"/>
            </w:r>
          </w:hyperlink>
        </w:p>
        <w:p w14:paraId="77112F28" w14:textId="07430154" w:rsidR="00DB4464" w:rsidRPr="00DB4464" w:rsidRDefault="00482F5E">
          <w:pPr>
            <w:pStyle w:val="TOC2"/>
            <w:tabs>
              <w:tab w:val="right" w:leader="dot" w:pos="9016"/>
            </w:tabs>
            <w:rPr>
              <w:rFonts w:ascii="Arial" w:hAnsi="Arial" w:cs="Arial"/>
              <w:noProof/>
            </w:rPr>
          </w:pPr>
          <w:hyperlink w:anchor="_Toc200567718" w:history="1">
            <w:r w:rsidR="00DB4464" w:rsidRPr="00DB4464">
              <w:rPr>
                <w:rStyle w:val="Hyperlink"/>
                <w:rFonts w:ascii="Arial" w:hAnsi="Arial" w:cs="Arial"/>
                <w:noProof/>
                <w:color w:val="auto"/>
                <w:lang w:val="en-GB"/>
              </w:rPr>
              <w:t>4.3 Guest Response and Market Positioning</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_Toc200567718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20</w:t>
            </w:r>
            <w:r w:rsidR="00DB4464" w:rsidRPr="00DB4464">
              <w:rPr>
                <w:rFonts w:ascii="Arial" w:hAnsi="Arial" w:cs="Arial"/>
                <w:noProof/>
                <w:webHidden/>
              </w:rPr>
              <w:fldChar w:fldCharType="end"/>
            </w:r>
          </w:hyperlink>
        </w:p>
        <w:p w14:paraId="694B0299" w14:textId="20A21827" w:rsidR="00DB4464" w:rsidRPr="00DB4464" w:rsidRDefault="00482F5E">
          <w:pPr>
            <w:pStyle w:val="TOC1"/>
            <w:tabs>
              <w:tab w:val="right" w:leader="dot" w:pos="9016"/>
            </w:tabs>
            <w:rPr>
              <w:rFonts w:ascii="Arial" w:hAnsi="Arial" w:cs="Arial"/>
              <w:noProof/>
            </w:rPr>
          </w:pPr>
          <w:hyperlink w:anchor="_Toc200567719" w:history="1">
            <w:r w:rsidR="00DB4464" w:rsidRPr="00DB4464">
              <w:rPr>
                <w:rStyle w:val="Hyperlink"/>
                <w:rFonts w:ascii="Arial" w:hAnsi="Arial" w:cs="Arial"/>
                <w:noProof/>
                <w:color w:val="auto"/>
                <w:lang w:val="en-GB"/>
              </w:rPr>
              <w:t>Chapter 5: Conclusion and Recommendations</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_Toc200567719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22</w:t>
            </w:r>
            <w:r w:rsidR="00DB4464" w:rsidRPr="00DB4464">
              <w:rPr>
                <w:rFonts w:ascii="Arial" w:hAnsi="Arial" w:cs="Arial"/>
                <w:noProof/>
                <w:webHidden/>
              </w:rPr>
              <w:fldChar w:fldCharType="end"/>
            </w:r>
          </w:hyperlink>
        </w:p>
        <w:p w14:paraId="7DAF852A" w14:textId="65C893DE" w:rsidR="00DB4464" w:rsidRPr="00DB4464" w:rsidRDefault="00482F5E">
          <w:pPr>
            <w:pStyle w:val="TOC2"/>
            <w:tabs>
              <w:tab w:val="right" w:leader="dot" w:pos="9016"/>
            </w:tabs>
            <w:rPr>
              <w:rFonts w:ascii="Arial" w:hAnsi="Arial" w:cs="Arial"/>
              <w:noProof/>
            </w:rPr>
          </w:pPr>
          <w:hyperlink w:anchor="_Toc200567720" w:history="1">
            <w:r w:rsidR="00DB4464" w:rsidRPr="00DB4464">
              <w:rPr>
                <w:rStyle w:val="Hyperlink"/>
                <w:rFonts w:ascii="Arial" w:hAnsi="Arial" w:cs="Arial"/>
                <w:noProof/>
                <w:color w:val="auto"/>
                <w:lang w:val="en-GB"/>
              </w:rPr>
              <w:t>5.1 Conclusion</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_Toc200567720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22</w:t>
            </w:r>
            <w:r w:rsidR="00DB4464" w:rsidRPr="00DB4464">
              <w:rPr>
                <w:rFonts w:ascii="Arial" w:hAnsi="Arial" w:cs="Arial"/>
                <w:noProof/>
                <w:webHidden/>
              </w:rPr>
              <w:fldChar w:fldCharType="end"/>
            </w:r>
          </w:hyperlink>
        </w:p>
        <w:p w14:paraId="51949770" w14:textId="039B2CF1" w:rsidR="00DB4464" w:rsidRPr="00DB4464" w:rsidRDefault="00482F5E">
          <w:pPr>
            <w:pStyle w:val="TOC2"/>
            <w:tabs>
              <w:tab w:val="right" w:leader="dot" w:pos="9016"/>
            </w:tabs>
            <w:rPr>
              <w:rFonts w:ascii="Arial" w:hAnsi="Arial" w:cs="Arial"/>
              <w:noProof/>
            </w:rPr>
          </w:pPr>
          <w:hyperlink w:anchor="_Toc200567721" w:history="1">
            <w:r w:rsidR="00DB4464" w:rsidRPr="00DB4464">
              <w:rPr>
                <w:rStyle w:val="Hyperlink"/>
                <w:rFonts w:ascii="Arial" w:hAnsi="Arial" w:cs="Arial"/>
                <w:noProof/>
                <w:color w:val="auto"/>
                <w:lang w:val="en-GB"/>
              </w:rPr>
              <w:t>5.2 Recommendations and Practical Strategies</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_Toc200567721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23</w:t>
            </w:r>
            <w:r w:rsidR="00DB4464" w:rsidRPr="00DB4464">
              <w:rPr>
                <w:rFonts w:ascii="Arial" w:hAnsi="Arial" w:cs="Arial"/>
                <w:noProof/>
                <w:webHidden/>
              </w:rPr>
              <w:fldChar w:fldCharType="end"/>
            </w:r>
          </w:hyperlink>
        </w:p>
        <w:p w14:paraId="4C829534" w14:textId="74188C17" w:rsidR="00DB4464" w:rsidRPr="00DB4464" w:rsidRDefault="00482F5E">
          <w:pPr>
            <w:pStyle w:val="TOC1"/>
            <w:tabs>
              <w:tab w:val="right" w:leader="dot" w:pos="9016"/>
            </w:tabs>
            <w:rPr>
              <w:rFonts w:ascii="Arial" w:hAnsi="Arial" w:cs="Arial"/>
              <w:noProof/>
            </w:rPr>
          </w:pPr>
          <w:hyperlink w:anchor="_Toc200567722" w:history="1">
            <w:r w:rsidR="00DB4464" w:rsidRPr="00DB4464">
              <w:rPr>
                <w:rStyle w:val="Hyperlink"/>
                <w:rFonts w:ascii="Arial" w:hAnsi="Arial" w:cs="Arial"/>
                <w:noProof/>
                <w:color w:val="auto"/>
                <w:lang w:val="en-GB"/>
              </w:rPr>
              <w:t>List of References</w:t>
            </w:r>
            <w:r w:rsidR="00DB4464" w:rsidRPr="00DB4464">
              <w:rPr>
                <w:rFonts w:ascii="Arial" w:hAnsi="Arial" w:cs="Arial"/>
                <w:noProof/>
                <w:webHidden/>
              </w:rPr>
              <w:tab/>
            </w:r>
            <w:r w:rsidR="00DB4464" w:rsidRPr="00DB4464">
              <w:rPr>
                <w:rFonts w:ascii="Arial" w:hAnsi="Arial" w:cs="Arial"/>
                <w:noProof/>
                <w:webHidden/>
              </w:rPr>
              <w:fldChar w:fldCharType="begin"/>
            </w:r>
            <w:r w:rsidR="00DB4464" w:rsidRPr="00DB4464">
              <w:rPr>
                <w:rFonts w:ascii="Arial" w:hAnsi="Arial" w:cs="Arial"/>
                <w:noProof/>
                <w:webHidden/>
              </w:rPr>
              <w:instrText xml:space="preserve"> PAGEREF _Toc200567722 \h </w:instrText>
            </w:r>
            <w:r w:rsidR="00DB4464" w:rsidRPr="00DB4464">
              <w:rPr>
                <w:rFonts w:ascii="Arial" w:hAnsi="Arial" w:cs="Arial"/>
                <w:noProof/>
                <w:webHidden/>
              </w:rPr>
            </w:r>
            <w:r w:rsidR="00DB4464" w:rsidRPr="00DB4464">
              <w:rPr>
                <w:rFonts w:ascii="Arial" w:hAnsi="Arial" w:cs="Arial"/>
                <w:noProof/>
                <w:webHidden/>
              </w:rPr>
              <w:fldChar w:fldCharType="separate"/>
            </w:r>
            <w:r w:rsidR="00DB4464" w:rsidRPr="00DB4464">
              <w:rPr>
                <w:rFonts w:ascii="Arial" w:hAnsi="Arial" w:cs="Arial"/>
                <w:noProof/>
                <w:webHidden/>
              </w:rPr>
              <w:t>26</w:t>
            </w:r>
            <w:r w:rsidR="00DB4464" w:rsidRPr="00DB4464">
              <w:rPr>
                <w:rFonts w:ascii="Arial" w:hAnsi="Arial" w:cs="Arial"/>
                <w:noProof/>
                <w:webHidden/>
              </w:rPr>
              <w:fldChar w:fldCharType="end"/>
            </w:r>
          </w:hyperlink>
        </w:p>
        <w:p w14:paraId="18797D4E" w14:textId="6CC344F7" w:rsidR="00DB4464" w:rsidRDefault="00DB4464">
          <w:r w:rsidRPr="00DB4464">
            <w:rPr>
              <w:rFonts w:ascii="Arial" w:hAnsi="Arial" w:cs="Arial"/>
              <w:b/>
              <w:bCs/>
              <w:noProof/>
            </w:rPr>
            <w:fldChar w:fldCharType="end"/>
          </w:r>
        </w:p>
      </w:sdtContent>
    </w:sdt>
    <w:p w14:paraId="69BBBFB1" w14:textId="77777777" w:rsidR="004621A0" w:rsidRDefault="004621A0">
      <w:pPr>
        <w:rPr>
          <w:rFonts w:ascii="Arial" w:hAnsi="Arial" w:cs="Arial"/>
          <w:b/>
          <w:bCs/>
          <w:lang w:val="en-GB"/>
        </w:rPr>
      </w:pPr>
      <w:r>
        <w:rPr>
          <w:rFonts w:ascii="Arial" w:hAnsi="Arial" w:cs="Arial"/>
          <w:b/>
          <w:bCs/>
          <w:lang w:val="en-GB"/>
        </w:rPr>
        <w:br w:type="page"/>
      </w:r>
    </w:p>
    <w:p w14:paraId="74A3EEA5" w14:textId="32BBCD32" w:rsidR="00C27287" w:rsidRPr="004621A0" w:rsidRDefault="00C27287" w:rsidP="00971947">
      <w:pPr>
        <w:pStyle w:val="Heading1"/>
        <w:rPr>
          <w:b w:val="0"/>
          <w:lang w:val="en-GB"/>
        </w:rPr>
      </w:pPr>
      <w:bookmarkStart w:id="0" w:name="_Toc200567703"/>
      <w:r w:rsidRPr="004621A0">
        <w:rPr>
          <w:lang w:val="en-GB"/>
        </w:rPr>
        <w:lastRenderedPageBreak/>
        <w:t>Chapter 1: Introduction</w:t>
      </w:r>
      <w:bookmarkEnd w:id="0"/>
    </w:p>
    <w:p w14:paraId="6B65BE78"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Hospitality industries are under more pressure than ever to be sustainable as the necessity of environmental awareness grows in the global agenda and consumers decision-making patterns. Food and beverage departments are the units in hotel operations, which have great potential to implement sustainability practices, as they use large amounts of resources, produce an enormous amount of waste, and affect the environment (Jones et al., 2013). Greening of food practices is no longer a marginal issue, but a core strategic issue that hotels that aim to be competitive and discharge their environmental obligations consider.</w:t>
      </w:r>
    </w:p>
    <w:p w14:paraId="3948E121" w14:textId="54D7ED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Hotels food and beverage operations are known to consume about 30-40 percent of the hotels total operation budget and produce large amounts of organic waste, thus becoming prime targets of focus when implementing sustainability practices (Pirani and Arafat, 2014). The intricacy of hotel F&amp;B operations that include various outlets, numerous menu items, and differing levels of service offer potential challenges and opportunities to engage in all-embracing sustainable operations. Modern hotels </w:t>
      </w:r>
      <w:r w:rsidR="00971947" w:rsidRPr="004621A0">
        <w:rPr>
          <w:rFonts w:ascii="Arial" w:hAnsi="Arial" w:cs="Arial"/>
          <w:lang w:val="en-GB"/>
        </w:rPr>
        <w:t>must</w:t>
      </w:r>
      <w:r w:rsidRPr="004621A0">
        <w:rPr>
          <w:rFonts w:ascii="Arial" w:hAnsi="Arial" w:cs="Arial"/>
          <w:lang w:val="en-GB"/>
        </w:rPr>
        <w:t xml:space="preserve"> operate in a narrow line between ensuring a high level of service, managing costs of operations and gaining significant environmental progress.</w:t>
      </w:r>
    </w:p>
    <w:p w14:paraId="3BF1793E"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Delta Hotel Tudor Park County Club can be viewed as a perfect case study to explore the idea of sustainable food practices in the hospitality industry. Since it is a high-end hotel facility and country club, the property has various food and beverage operations, catering facilities, and event space, which offers a broad basis of operations to conduct sustainability analysis. The fact that the hotel takes environmental stewardship seriously, together with the presence of the variety of F&amp;B operations, provides insights that are of much importance in terms of the practical application of the idea of sustainability to upscale hospitality establishments.</w:t>
      </w:r>
    </w:p>
    <w:p w14:paraId="39C51997" w14:textId="60A80A11"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This research undertaking is intended to be critical in assessing the current state sustainable food practices within </w:t>
      </w:r>
      <w:r w:rsidR="00971947">
        <w:rPr>
          <w:rFonts w:ascii="Arial" w:hAnsi="Arial" w:cs="Arial"/>
          <w:lang w:val="en-GB"/>
        </w:rPr>
        <w:t>D</w:t>
      </w:r>
      <w:r w:rsidRPr="004621A0">
        <w:rPr>
          <w:rFonts w:ascii="Arial" w:hAnsi="Arial" w:cs="Arial"/>
          <w:lang w:val="en-GB"/>
        </w:rPr>
        <w:t xml:space="preserve">elta </w:t>
      </w:r>
      <w:r w:rsidR="00971947">
        <w:rPr>
          <w:rFonts w:ascii="Arial" w:hAnsi="Arial" w:cs="Arial"/>
          <w:lang w:val="en-GB"/>
        </w:rPr>
        <w:t>H</w:t>
      </w:r>
      <w:r w:rsidRPr="004621A0">
        <w:rPr>
          <w:rFonts w:ascii="Arial" w:hAnsi="Arial" w:cs="Arial"/>
          <w:lang w:val="en-GB"/>
        </w:rPr>
        <w:t xml:space="preserve">otel </w:t>
      </w:r>
      <w:r w:rsidR="00971947">
        <w:rPr>
          <w:rFonts w:ascii="Arial" w:hAnsi="Arial" w:cs="Arial"/>
          <w:lang w:val="en-GB"/>
        </w:rPr>
        <w:t>T</w:t>
      </w:r>
      <w:r w:rsidRPr="004621A0">
        <w:rPr>
          <w:rFonts w:ascii="Arial" w:hAnsi="Arial" w:cs="Arial"/>
          <w:lang w:val="en-GB"/>
        </w:rPr>
        <w:t xml:space="preserve">udor park county club in terms of; the approach used in the implementation of the same, the operational challenges being faced and the results that are being realized </w:t>
      </w:r>
      <w:r w:rsidR="00971947" w:rsidRPr="004621A0">
        <w:rPr>
          <w:rFonts w:ascii="Arial" w:hAnsi="Arial" w:cs="Arial"/>
          <w:lang w:val="en-GB"/>
        </w:rPr>
        <w:t>because of</w:t>
      </w:r>
      <w:r w:rsidRPr="004621A0">
        <w:rPr>
          <w:rFonts w:ascii="Arial" w:hAnsi="Arial" w:cs="Arial"/>
          <w:lang w:val="en-GB"/>
        </w:rPr>
        <w:t xml:space="preserve"> sustainability practice. The inquiry aims at gaining an understanding of best practices, evaluating the efficiency of the existing strategies and evolving the suggestions on how to increase sustainable food operation in the conditions of a hotel. In addition, the paper addresses the </w:t>
      </w:r>
      <w:r w:rsidRPr="004621A0">
        <w:rPr>
          <w:rFonts w:ascii="Arial" w:hAnsi="Arial" w:cs="Arial"/>
          <w:lang w:val="en-GB"/>
        </w:rPr>
        <w:lastRenderedPageBreak/>
        <w:t>association involving sustainability behaviors and operation performance, guest satisfaction, and marketplace positioning in the hospitality market.</w:t>
      </w:r>
    </w:p>
    <w:p w14:paraId="59737611" w14:textId="25BEA93A"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This study has </w:t>
      </w:r>
      <w:r w:rsidR="00971947" w:rsidRPr="004621A0">
        <w:rPr>
          <w:rFonts w:ascii="Arial" w:hAnsi="Arial" w:cs="Arial"/>
          <w:lang w:val="en-GB"/>
        </w:rPr>
        <w:t>several</w:t>
      </w:r>
      <w:r w:rsidRPr="004621A0">
        <w:rPr>
          <w:rFonts w:ascii="Arial" w:hAnsi="Arial" w:cs="Arial"/>
          <w:lang w:val="en-GB"/>
        </w:rPr>
        <w:t xml:space="preserve"> research objectives that form the basis of the research undertaking. The first aim is to perform the overall evaluation of current sustainable food practices in F&amp;B operations in Delta Hotel Tudor Park County Club, covering such aspects as waste management, sourcing policies, energy conservation, and staff engagement programmes. The paper also attempts to assess the difficulties experienced in the process of implementation of sustainability, examining the issues that promote or inhibit the effective uptake of environmental responsible practices.</w:t>
      </w:r>
    </w:p>
    <w:p w14:paraId="1864556F" w14:textId="77777777" w:rsidR="00C27287" w:rsidRPr="004621A0" w:rsidRDefault="00C27287" w:rsidP="00971947">
      <w:pPr>
        <w:pStyle w:val="Heading1"/>
        <w:rPr>
          <w:lang w:val="en-GB"/>
        </w:rPr>
      </w:pPr>
      <w:bookmarkStart w:id="1" w:name="_Toc200567704"/>
      <w:r w:rsidRPr="004621A0">
        <w:rPr>
          <w:lang w:val="en-GB"/>
        </w:rPr>
        <w:t>Chapter 2: Literature Review</w:t>
      </w:r>
      <w:bookmarkEnd w:id="1"/>
    </w:p>
    <w:p w14:paraId="5C2E548C" w14:textId="77777777" w:rsidR="00C27287" w:rsidRPr="004621A0" w:rsidRDefault="00C27287" w:rsidP="00971947">
      <w:pPr>
        <w:pStyle w:val="Heading2"/>
        <w:rPr>
          <w:lang w:val="en-GB"/>
        </w:rPr>
      </w:pPr>
      <w:bookmarkStart w:id="2" w:name="_Toc200567705"/>
      <w:r w:rsidRPr="004621A0">
        <w:rPr>
          <w:lang w:val="en-GB"/>
        </w:rPr>
        <w:t>2.1 Sustainability in the Hospitality Industry</w:t>
      </w:r>
      <w:bookmarkEnd w:id="2"/>
    </w:p>
    <w:p w14:paraId="4739328B" w14:textId="1C450561"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Over the last 20 years, the connection of the hospitality industry and sustainability has changed dramatically, and what was once a voluntary effort has become a strategic necessity imposed by regulatory needs, market pressure, and operational advantages. Legrand et al. (2013) sustain that sustainability in hospitality is a multidimensional concept including environmental, social, and economic facets and needing integrated solutions to consider resource use, waste production, community relations, and profitability in the long term. It is this holistic view that seeks to ensure that any sustainable practice </w:t>
      </w:r>
      <w:r w:rsidR="00971947" w:rsidRPr="004621A0">
        <w:rPr>
          <w:rFonts w:ascii="Arial" w:hAnsi="Arial" w:cs="Arial"/>
          <w:lang w:val="en-GB"/>
        </w:rPr>
        <w:t>can</w:t>
      </w:r>
      <w:r w:rsidRPr="004621A0">
        <w:rPr>
          <w:rFonts w:ascii="Arial" w:hAnsi="Arial" w:cs="Arial"/>
          <w:lang w:val="en-GB"/>
        </w:rPr>
        <w:t xml:space="preserve"> produce quantifiable results that cut across several stakeholder groups and still ensure quality of service and efficiency in operations.</w:t>
      </w:r>
    </w:p>
    <w:p w14:paraId="7854E84B" w14:textId="744F5933"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The aspect of environmental management in hotels has taken centre stage as organisations are realising the high </w:t>
      </w:r>
      <w:r w:rsidR="00971947" w:rsidRPr="004621A0">
        <w:rPr>
          <w:rFonts w:ascii="Arial" w:hAnsi="Arial" w:cs="Arial"/>
          <w:lang w:val="en-GB"/>
        </w:rPr>
        <w:t>number</w:t>
      </w:r>
      <w:r w:rsidRPr="004621A0">
        <w:rPr>
          <w:rFonts w:ascii="Arial" w:hAnsi="Arial" w:cs="Arial"/>
          <w:lang w:val="en-GB"/>
        </w:rPr>
        <w:t xml:space="preserve"> of resources that are used in running hospitality organisations. According to Jones et al. (2013), energy use, water consumption and waste are the key areas in which hotels can attain the most relevant environmental enhancements as well as achieve operational costs savings. Comprehensive sustainability programmes can only be implemented through systematic approaches that flank the guest-facing services with back-of-house operations to ensure that the environment is factored into all operations of hotel management.</w:t>
      </w:r>
    </w:p>
    <w:p w14:paraId="6C60715E"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The case of sustainability in hospitality operations has become quite solid as researchers prove the positive correlations between environment-related activities and financial returns. The study by Lopez-Gemero, et al. (2009) offers support to the idea </w:t>
      </w:r>
      <w:r w:rsidRPr="004621A0">
        <w:rPr>
          <w:rFonts w:ascii="Arial" w:hAnsi="Arial" w:cs="Arial"/>
          <w:lang w:val="en-GB"/>
        </w:rPr>
        <w:lastRenderedPageBreak/>
        <w:t>that environmental management practices may be used to increase competitive advantage and firm performance when they are appropriately applied and are strategic to business goals. Contrary to conventional beliefs which assume that sustainability programmes must invariably raise costs of operation, this study shows that effectively structured environmental programmes can bring both environmental and financial payoffs.</w:t>
      </w:r>
    </w:p>
    <w:p w14:paraId="0E3C406B" w14:textId="77777777" w:rsidR="001E5D88" w:rsidRPr="004621A0" w:rsidRDefault="001E5D88" w:rsidP="00971947">
      <w:pPr>
        <w:pStyle w:val="Heading2"/>
        <w:rPr>
          <w:lang w:val="en-GB"/>
        </w:rPr>
      </w:pPr>
      <w:bookmarkStart w:id="3" w:name="_Toc200567706"/>
      <w:r w:rsidRPr="004621A0">
        <w:rPr>
          <w:lang w:val="en-GB"/>
        </w:rPr>
        <w:t>2.2 Food Waste Management in Hotels</w:t>
      </w:r>
      <w:bookmarkEnd w:id="3"/>
    </w:p>
    <w:p w14:paraId="34291E54" w14:textId="04A3ECD3" w:rsidR="00D64DCD" w:rsidRPr="004621A0" w:rsidRDefault="00D64DCD" w:rsidP="004621A0">
      <w:pPr>
        <w:spacing w:line="360" w:lineRule="auto"/>
        <w:jc w:val="both"/>
        <w:rPr>
          <w:rFonts w:ascii="Arial" w:hAnsi="Arial" w:cs="Arial"/>
          <w:lang w:val="en-GB"/>
        </w:rPr>
      </w:pPr>
      <w:r w:rsidRPr="004621A0">
        <w:rPr>
          <w:rFonts w:ascii="Arial" w:hAnsi="Arial" w:cs="Arial"/>
          <w:lang w:val="en-GB"/>
        </w:rPr>
        <w:t xml:space="preserve">One of the most notable bits about sustainability in hotel food and beverage operations is food waste, which also provokes questions about environmental impact, cost of doing business and compliancy. Filimonau and De Coteau (2018) state that food waste management is also set to become one of the aspects </w:t>
      </w:r>
      <w:r w:rsidR="00971947" w:rsidRPr="004621A0">
        <w:rPr>
          <w:rFonts w:ascii="Arial" w:hAnsi="Arial" w:cs="Arial"/>
          <w:lang w:val="en-GB"/>
        </w:rPr>
        <w:t>about</w:t>
      </w:r>
      <w:r w:rsidRPr="004621A0">
        <w:rPr>
          <w:rFonts w:ascii="Arial" w:hAnsi="Arial" w:cs="Arial"/>
          <w:lang w:val="en-GB"/>
        </w:rPr>
        <w:t xml:space="preserve"> which hotels can achieve considerable improvement in terms of environmental and economic performance due to </w:t>
      </w:r>
      <w:r w:rsidR="00971947" w:rsidRPr="004621A0">
        <w:rPr>
          <w:rFonts w:ascii="Arial" w:hAnsi="Arial" w:cs="Arial"/>
          <w:lang w:val="en-GB"/>
        </w:rPr>
        <w:t>interventions</w:t>
      </w:r>
      <w:r w:rsidRPr="004621A0">
        <w:rPr>
          <w:rFonts w:ascii="Arial" w:hAnsi="Arial" w:cs="Arial"/>
          <w:lang w:val="en-GB"/>
        </w:rPr>
        <w:t xml:space="preserve"> and detailed monitoring strategy. The problem of food waste is gigantic in the hospitality operations, and an average hotel generates 0.5-1.5 kg of food waste per every guest per day, so it becomes apparent that there is a need to address this problem as quickly as possible.</w:t>
      </w:r>
    </w:p>
    <w:p w14:paraId="287D3E4E" w14:textId="77777777" w:rsidR="00D64DCD" w:rsidRPr="004621A0" w:rsidRDefault="00D64DCD" w:rsidP="004621A0">
      <w:pPr>
        <w:spacing w:line="360" w:lineRule="auto"/>
        <w:jc w:val="both"/>
        <w:rPr>
          <w:rFonts w:ascii="Arial" w:hAnsi="Arial" w:cs="Arial"/>
          <w:lang w:val="en-GB"/>
        </w:rPr>
      </w:pPr>
      <w:r w:rsidRPr="004621A0">
        <w:rPr>
          <w:rFonts w:ascii="Arial" w:hAnsi="Arial" w:cs="Arial"/>
          <w:lang w:val="en-GB"/>
        </w:rPr>
        <w:t>Hotels food waste is a sophisticated subject that employs an array of inputs including kitchen preparation, guest plate waste, buffet events, and catering events. The article written by Charlebois et al. (2015) aims at revealing the pattern of food waste in fine dining establishments and demonstrates that food waste back-of-house food preparation is approximately 60 percent of total food waste, and guest plate waste is the other 40 percent. This failure reveals the fact that one should pay attention not only to the efficiency of operations but also to the behaviour of the guests in terms of holistic food waste reduction strategies.</w:t>
      </w:r>
    </w:p>
    <w:p w14:paraId="67CBFC3E" w14:textId="4AFA68A9" w:rsidR="00D64DCD" w:rsidRPr="004621A0" w:rsidRDefault="00D64DCD" w:rsidP="004621A0">
      <w:pPr>
        <w:spacing w:line="360" w:lineRule="auto"/>
        <w:jc w:val="both"/>
        <w:rPr>
          <w:rFonts w:ascii="Arial" w:hAnsi="Arial" w:cs="Arial"/>
          <w:lang w:val="en-GB"/>
        </w:rPr>
      </w:pPr>
      <w:r w:rsidRPr="004621A0">
        <w:rPr>
          <w:rFonts w:ascii="Arial" w:hAnsi="Arial" w:cs="Arial"/>
          <w:lang w:val="en-GB"/>
        </w:rPr>
        <w:t xml:space="preserve">Technological solutions in both monitoring and reduction of food waste have become an influential component in enhancing the level of sustainability performance in the operations of hotels. The evidence of the case study offered by Kasavan et al. (2017) </w:t>
      </w:r>
      <w:r w:rsidR="00971947" w:rsidRPr="004621A0">
        <w:rPr>
          <w:rFonts w:ascii="Arial" w:hAnsi="Arial" w:cs="Arial"/>
          <w:lang w:val="en-GB"/>
        </w:rPr>
        <w:t>about</w:t>
      </w:r>
      <w:r w:rsidRPr="004621A0">
        <w:rPr>
          <w:rFonts w:ascii="Arial" w:hAnsi="Arial" w:cs="Arial"/>
          <w:lang w:val="en-GB"/>
        </w:rPr>
        <w:t xml:space="preserve"> Langkawi UNESCO Global Geopark hotels demonstrates how the introduction of changes in operations can be done based on the systematic measurement and monitoring of food waste to generate a significant reduction in the volumes of the generated waste. The measures usually involve implementation of standardised </w:t>
      </w:r>
      <w:r w:rsidRPr="004621A0">
        <w:rPr>
          <w:rFonts w:ascii="Arial" w:hAnsi="Arial" w:cs="Arial"/>
          <w:lang w:val="en-GB"/>
        </w:rPr>
        <w:lastRenderedPageBreak/>
        <w:t>measurements procedures, training employees on the ways of minimising wastes and establishing waste minimisation targets in different areas of operation.</w:t>
      </w:r>
    </w:p>
    <w:p w14:paraId="1BBA715C" w14:textId="5B36043A" w:rsidR="001E5D88" w:rsidRPr="004621A0" w:rsidRDefault="00D64DCD" w:rsidP="004621A0">
      <w:pPr>
        <w:spacing w:line="360" w:lineRule="auto"/>
        <w:jc w:val="both"/>
        <w:rPr>
          <w:rFonts w:ascii="Arial" w:hAnsi="Arial" w:cs="Arial"/>
          <w:lang w:val="en-GB"/>
        </w:rPr>
      </w:pPr>
      <w:r w:rsidRPr="004621A0">
        <w:rPr>
          <w:rFonts w:ascii="Arial" w:hAnsi="Arial" w:cs="Arial"/>
          <w:lang w:val="en-GB"/>
        </w:rPr>
        <w:t xml:space="preserve">The economic implication of food waste in operations of the hotel is substantial and an average hotel can save up to 20-30 per cent of the operational cost through proper and effective waste reduction programmes. The article of Caldeira et al. (2020) analyses the valorisation pathways of food waste biorefinery, thereby implying that hotels can transform waste streams into resources through composting and biogas production, among other circular economy approaches. These kinds of innovations solution give the hotels not only an opportunity to reduce their waste disposal </w:t>
      </w:r>
      <w:r w:rsidR="00971947" w:rsidRPr="004621A0">
        <w:rPr>
          <w:rFonts w:ascii="Arial" w:hAnsi="Arial" w:cs="Arial"/>
          <w:lang w:val="en-GB"/>
        </w:rPr>
        <w:t>expenditures but</w:t>
      </w:r>
      <w:r w:rsidRPr="004621A0">
        <w:rPr>
          <w:rFonts w:ascii="Arial" w:hAnsi="Arial" w:cs="Arial"/>
          <w:lang w:val="en-GB"/>
        </w:rPr>
        <w:t xml:space="preserve"> also generate new sources of revenues out of waste materials and enhance their image in relation to the environment</w:t>
      </w:r>
      <w:r w:rsidR="001E5D88" w:rsidRPr="004621A0">
        <w:rPr>
          <w:rFonts w:ascii="Arial" w:hAnsi="Arial" w:cs="Arial"/>
          <w:lang w:val="en-GB"/>
        </w:rPr>
        <w:t>.</w:t>
      </w:r>
    </w:p>
    <w:p w14:paraId="5CF79CBB" w14:textId="1E369503" w:rsidR="00C27287" w:rsidRPr="004621A0" w:rsidRDefault="00C27287" w:rsidP="00971947">
      <w:pPr>
        <w:pStyle w:val="Heading2"/>
        <w:rPr>
          <w:lang w:val="en-GB"/>
        </w:rPr>
      </w:pPr>
      <w:bookmarkStart w:id="4" w:name="_Toc200567707"/>
      <w:r w:rsidRPr="004621A0">
        <w:rPr>
          <w:lang w:val="en-GB"/>
        </w:rPr>
        <w:t>2.3 Sustainable Sourcing and Local Procurement</w:t>
      </w:r>
      <w:bookmarkEnd w:id="4"/>
    </w:p>
    <w:p w14:paraId="0F73D4BC" w14:textId="1E3B0990"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Sustainable sourcing in relation to hotel food and beverage operation involves practises in procurement that focus on environmental responsibility, social equity and </w:t>
      </w:r>
      <w:r w:rsidR="00971947" w:rsidRPr="004621A0">
        <w:rPr>
          <w:rFonts w:ascii="Arial" w:hAnsi="Arial" w:cs="Arial"/>
          <w:lang w:val="en-GB"/>
        </w:rPr>
        <w:t>economic</w:t>
      </w:r>
      <w:r w:rsidRPr="004621A0">
        <w:rPr>
          <w:rFonts w:ascii="Arial" w:hAnsi="Arial" w:cs="Arial"/>
          <w:lang w:val="en-GB"/>
        </w:rPr>
        <w:t xml:space="preserve"> feasibility without compromising of quality and cost efficiency. Font and McCabe (2017) review the concepts of sustainability and marketing in tourism-related matters and note how genuine sustainable sourcing could improve the positioning of a hotel, at the same time providing it with quantifiable environmental improvements in the forms of decreased transportation emissions, boosted local economies, and maintained regional food systems.</w:t>
      </w:r>
    </w:p>
    <w:p w14:paraId="69B4FA07"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Local purchasing policies provide hotels with a chance to minimize environmental consequences and, at the same time, surprise guests with the taste of the region and fresh and seasonal products. Hjalager and Johansen (2012) research the topic of food tourism in protected areas showing how hotels can use local sourcing to develop unique dining experiences that attract environmentally conscious consumers in addition to benefitting local producers and limiting the environmental impact of supply chains. The strategy will demand creation of networks with local providers, adjusting menus according to the seasons, and training the visitors on the advantages of local food.</w:t>
      </w:r>
    </w:p>
    <w:p w14:paraId="5EE8BBD9" w14:textId="7A9AF2B8"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The problems that come along with sustainable sourcing in hotel operations are the unreliability of the suppliers, costs, quality, and the unavailability of certain products in certain seasons. The article by Aertsens et al. (2009) considers personal factors that </w:t>
      </w:r>
      <w:r w:rsidRPr="004621A0">
        <w:rPr>
          <w:rFonts w:ascii="Arial" w:hAnsi="Arial" w:cs="Arial"/>
          <w:lang w:val="en-GB"/>
        </w:rPr>
        <w:lastRenderedPageBreak/>
        <w:t xml:space="preserve">determine the consumption of organic foods; the authors find that even though customers are increasingly demanding sustainable products, hotels </w:t>
      </w:r>
      <w:r w:rsidR="00971947" w:rsidRPr="004621A0">
        <w:rPr>
          <w:rFonts w:ascii="Arial" w:hAnsi="Arial" w:cs="Arial"/>
          <w:lang w:val="en-GB"/>
        </w:rPr>
        <w:t>must</w:t>
      </w:r>
      <w:r w:rsidRPr="004621A0">
        <w:rPr>
          <w:rFonts w:ascii="Arial" w:hAnsi="Arial" w:cs="Arial"/>
          <w:lang w:val="en-GB"/>
        </w:rPr>
        <w:t xml:space="preserve"> sufficiently balance the sustainability goal with the demands of their guests in terms of quality, choices and prices. Such a balance necessitates advanced procurement tactics that comprise sustainability standards in the supplier and menu planning procedures.</w:t>
      </w:r>
    </w:p>
    <w:p w14:paraId="217B4B47" w14:textId="6952EA14"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The certification schemes and standards are relevant in informing sustainable sourcing decisions, and in reporting sustainability commitments to the stakeholders. The frameworks presented by the Sustainable Restaurant Association (2021) to assess and enhance food sourcing practices can give hotels some well-designed methods of </w:t>
      </w:r>
      <w:r w:rsidR="00971947" w:rsidRPr="004621A0">
        <w:rPr>
          <w:rFonts w:ascii="Arial" w:hAnsi="Arial" w:cs="Arial"/>
          <w:lang w:val="en-GB"/>
        </w:rPr>
        <w:t>analysing</w:t>
      </w:r>
      <w:r w:rsidRPr="004621A0">
        <w:rPr>
          <w:rFonts w:ascii="Arial" w:hAnsi="Arial" w:cs="Arial"/>
          <w:lang w:val="en-GB"/>
        </w:rPr>
        <w:t xml:space="preserve"> the performance of their suppliers and create a well-informed purchasing strategy. The standards generally focus on environmental impact, animal welfare, fair trade considerations and social responsibility, allowing hotels to create extensive sourcing policies, which can integrate into the bigger picture sustainability goals.</w:t>
      </w:r>
    </w:p>
    <w:p w14:paraId="1203954C"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Some of the technology applications used in sustainable sourcing are supplier management systems, carbon footprint calculators and traceability platforms which give the hotels the ability to track and improve their procurement behaviours. These tools offer data-driven performance perspectives of the supply chain so that hotels may track areas needing improvement and gauge progress in meeting sustainability goals without losing operational performance and control over costs.</w:t>
      </w:r>
    </w:p>
    <w:p w14:paraId="2E83486C" w14:textId="77777777" w:rsidR="001E5D88" w:rsidRPr="004621A0" w:rsidRDefault="001E5D88" w:rsidP="00971947">
      <w:pPr>
        <w:pStyle w:val="Heading2"/>
        <w:rPr>
          <w:lang w:val="en-GB"/>
        </w:rPr>
      </w:pPr>
      <w:bookmarkStart w:id="5" w:name="_Toc200567708"/>
      <w:r w:rsidRPr="004621A0">
        <w:rPr>
          <w:lang w:val="en-GB"/>
        </w:rPr>
        <w:t>2.4 Environmental Management Systems</w:t>
      </w:r>
      <w:bookmarkEnd w:id="5"/>
    </w:p>
    <w:p w14:paraId="7D7E1978"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Environmental Management Systems (EMS) offer well-organized standards by which hotels can undertake, monitor and even advance their sustainability procedures through all facets of operation. The article by Yousaf et al. (2021) focuses on the hotel sector and environmental management systems, showing that a formal approach to EMS implementation can help to improve environmental performance in case of genuine corporate social responsibility commitments and institutionalized measurement strategies. These systems generally include the development of policy, setting objectives, planning of implementation, monitoring procedures and processes of improvement.</w:t>
      </w:r>
    </w:p>
    <w:p w14:paraId="69A4004F"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Application of EMS principles to hotel food and beverage operations demand certain modifications taking into consideration the peculiarities of F&amp;B departments such as </w:t>
      </w:r>
      <w:r w:rsidRPr="004621A0">
        <w:rPr>
          <w:rFonts w:ascii="Arial" w:hAnsi="Arial" w:cs="Arial"/>
          <w:lang w:val="en-GB"/>
        </w:rPr>
        <w:lastRenderedPageBreak/>
        <w:t>perishable products in the store, food safety, and various modes of service delivery. The paper by Chan et al. (2014) explores environmental practices and ecological behaviour among employees in the hotel sector and uncovers the fact that the effective implementation of EMS relies on the involvement of staff, employee training programmes, and proper communication of environmental goals and expectations. This study concentrates on the human resource aspects of environmental management by noting that there is a need to develop organisational cultures which encourage and/or reward sustainable operations.</w:t>
      </w:r>
    </w:p>
    <w:p w14:paraId="53ACD04F"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Use of Technology in the delivery of environmental management systems allows hotels to gather, analyse and report environmental performance data more accurately and efficiently. The study of Prakash et al. (2022) discusses key performance indicators related to better environmental quality in hotel operation suggesting the systematic Data collection and analysis to make decisions and engage in continuous improvement. Such technological fixes normally encompass energy management systems, waste management systems and integrated reporting that offers enviable environmental performance dashboards.</w:t>
      </w:r>
    </w:p>
    <w:p w14:paraId="529B5445" w14:textId="162DB2CD"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Certification and accreditation </w:t>
      </w:r>
      <w:r w:rsidR="00971947" w:rsidRPr="004621A0">
        <w:rPr>
          <w:rFonts w:ascii="Arial" w:hAnsi="Arial" w:cs="Arial"/>
          <w:lang w:val="en-GB"/>
        </w:rPr>
        <w:t>feature</w:t>
      </w:r>
      <w:r w:rsidRPr="004621A0">
        <w:rPr>
          <w:rFonts w:ascii="Arial" w:hAnsi="Arial" w:cs="Arial"/>
          <w:lang w:val="en-GB"/>
        </w:rPr>
        <w:t xml:space="preserve"> of environmental management systems ensure an outside approval of the hotel sustainability initiatives in addition to supplying structures of ongoing enhancement. Hotel Energy Solutions (2018) describes the energy efficiency and the use of renewable energy in the hotel industry and shows how well-organized EMS systems can achieve considerable energy savings, at the same time contributing to higher operational efficiency and guest comfort. Such programmes are normally associated with third party auditing, performance benchmarking and continuous monitoring to ensure that the environment remains clean.</w:t>
      </w:r>
    </w:p>
    <w:p w14:paraId="635257BB" w14:textId="14566CDF" w:rsidR="00C27287" w:rsidRPr="004621A0" w:rsidRDefault="00C27287" w:rsidP="00971947">
      <w:pPr>
        <w:pStyle w:val="Heading2"/>
        <w:rPr>
          <w:lang w:val="en-GB"/>
        </w:rPr>
      </w:pPr>
      <w:bookmarkStart w:id="6" w:name="_Toc200567709"/>
      <w:r w:rsidRPr="004621A0">
        <w:rPr>
          <w:lang w:val="en-GB"/>
        </w:rPr>
        <w:t>2.5 Guest Perceptions and Green Practices</w:t>
      </w:r>
      <w:bookmarkEnd w:id="6"/>
    </w:p>
    <w:p w14:paraId="7D83E90E" w14:textId="368DF47C"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The responses and perceptions of guests to sustainability practices in hotels play an important role in the determination of the success and business sustainability of environmental programmes and initiatives, and knowledge of consumer attitude becomes imperative in the process of effective design and execution of programmes. The study of Han and Kim (2010) on the decision formation among green hotel customers demonstrates that the environmental attitudes of the guests, along with the </w:t>
      </w:r>
      <w:r w:rsidRPr="004621A0">
        <w:rPr>
          <w:rFonts w:ascii="Arial" w:hAnsi="Arial" w:cs="Arial"/>
          <w:lang w:val="en-GB"/>
        </w:rPr>
        <w:lastRenderedPageBreak/>
        <w:t xml:space="preserve">perceived behavioural control and the subjective norms, play a significant role in the green hotel customers intention to choose and to support environmentally responsible hotels. This study shows that the motivations and preferences of guests should be understood </w:t>
      </w:r>
      <w:r w:rsidR="00971947" w:rsidRPr="004621A0">
        <w:rPr>
          <w:rFonts w:ascii="Arial" w:hAnsi="Arial" w:cs="Arial"/>
          <w:lang w:val="en-GB"/>
        </w:rPr>
        <w:t>to</w:t>
      </w:r>
      <w:r w:rsidRPr="004621A0">
        <w:rPr>
          <w:rFonts w:ascii="Arial" w:hAnsi="Arial" w:cs="Arial"/>
          <w:lang w:val="en-GB"/>
        </w:rPr>
        <w:t xml:space="preserve"> create effective sustainability programmes and communication.</w:t>
      </w:r>
    </w:p>
    <w:p w14:paraId="4890A7BC" w14:textId="4CCE93EC"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Correlation between green practices and guest satisfaction exhibits some intricate dynamics, which can only be managed by being careful in a manner that makes sustainability efforts to improve not to sacrifice the guest experience. In the study by Robinot and Giannelloni (2010), it is observed whether green features of hotels do play a role in the satisfaction of the customers, and it is concluded that environmental efforts may indeed have a positive effect on the guest perception </w:t>
      </w:r>
      <w:r w:rsidR="00971947" w:rsidRPr="004621A0">
        <w:rPr>
          <w:rFonts w:ascii="Arial" w:hAnsi="Arial" w:cs="Arial"/>
          <w:lang w:val="en-GB"/>
        </w:rPr>
        <w:t>if</w:t>
      </w:r>
      <w:r w:rsidRPr="004621A0">
        <w:rPr>
          <w:rFonts w:ascii="Arial" w:hAnsi="Arial" w:cs="Arial"/>
          <w:lang w:val="en-GB"/>
        </w:rPr>
        <w:t xml:space="preserve"> they are adequately executed and conveyed. The research however also indicates that guests are more concerned with service delivery and comfort than environmental concerns thus the need to incorporate sustainability as a natural part of service delivery.</w:t>
      </w:r>
    </w:p>
    <w:p w14:paraId="707FB5A1"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Sustainability practices communication strategies are also important to influence the perception of the guests and inviting them to take part in environmental programmes. In their study, Barber and Deale (2013) discuss the potential of drawing on mindfulness to influence the sustainable behaviour of hotel guests, Barber and Deale (2013) reveal how considerate communication strategies can be used to increase the interest of guests in sustainability efforts on the part of the hotel, as well as form positive impressions of the hotel brand. Such plans normally entail information cards, displays, employee training, and interactive aspects that educate visitors on environmental operations in addition to motivating them to take part.</w:t>
      </w:r>
    </w:p>
    <w:p w14:paraId="6E67D5A0" w14:textId="23FBE2E2"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The implication of sustainable practices on premium pricing strategies is also significant factors that the hotel revenue management and positioning strategies need to consider in the market. In the study by Kim and Han (2010), intention to pay traditional hotel rates at green hotels is explored and it is found that although a great proportion of guests claim to support environmental activities, the readiness to pay a premium rate at a sustainable hotel is substantially divided according to the personal features and value perception. This study provides an indication that hotels </w:t>
      </w:r>
      <w:r w:rsidR="00971947" w:rsidRPr="004621A0">
        <w:rPr>
          <w:rFonts w:ascii="Arial" w:hAnsi="Arial" w:cs="Arial"/>
          <w:lang w:val="en-GB"/>
        </w:rPr>
        <w:t>must</w:t>
      </w:r>
      <w:r w:rsidRPr="004621A0">
        <w:rPr>
          <w:rFonts w:ascii="Arial" w:hAnsi="Arial" w:cs="Arial"/>
          <w:lang w:val="en-GB"/>
        </w:rPr>
        <w:t xml:space="preserve"> be very careful in positioning sustainability initiatives in such a way that they can be seen to clearly represent value to guests without compromising their pricing strategies that are aimed at ensuring competitiveness.</w:t>
      </w:r>
    </w:p>
    <w:p w14:paraId="75C50025" w14:textId="451FACCC" w:rsidR="00C27287" w:rsidRPr="004621A0" w:rsidRDefault="001E5D88" w:rsidP="004621A0">
      <w:pPr>
        <w:spacing w:line="360" w:lineRule="auto"/>
        <w:jc w:val="both"/>
        <w:rPr>
          <w:rFonts w:ascii="Arial" w:hAnsi="Arial" w:cs="Arial"/>
          <w:lang w:val="en-GB"/>
        </w:rPr>
      </w:pPr>
      <w:r w:rsidRPr="004621A0">
        <w:rPr>
          <w:rFonts w:ascii="Arial" w:hAnsi="Arial" w:cs="Arial"/>
          <w:lang w:val="en-GB"/>
        </w:rPr>
        <w:lastRenderedPageBreak/>
        <w:t xml:space="preserve">The involvement of guests in sustainability programmes especially food waste reduction and energy conservation programmes can help to greatly improve the efficiency of the programmes and generate enjoyable interaction experiences. The study by Yu et al. (2017) focuses on the effect of green experiences on customer satisfaction based on the evidence of TripAdvisor reviews and shows how effective implementation of authentic sustainability practices can create a positive effect of guest reviews and word-to-mouth recommendations. </w:t>
      </w:r>
    </w:p>
    <w:p w14:paraId="21A379AA" w14:textId="77777777" w:rsidR="00C27287" w:rsidRPr="004621A0" w:rsidRDefault="00C27287" w:rsidP="00971947">
      <w:pPr>
        <w:pStyle w:val="Heading1"/>
        <w:rPr>
          <w:lang w:val="en-GB"/>
        </w:rPr>
      </w:pPr>
      <w:bookmarkStart w:id="7" w:name="_Toc200567710"/>
      <w:r w:rsidRPr="004621A0">
        <w:rPr>
          <w:lang w:val="en-GB"/>
        </w:rPr>
        <w:t>Chapter 3: Methodology</w:t>
      </w:r>
      <w:bookmarkEnd w:id="7"/>
    </w:p>
    <w:p w14:paraId="177F29BB" w14:textId="77777777" w:rsidR="00C27287" w:rsidRPr="004621A0" w:rsidRDefault="00C27287" w:rsidP="00971947">
      <w:pPr>
        <w:pStyle w:val="Heading2"/>
        <w:rPr>
          <w:lang w:val="en-GB"/>
        </w:rPr>
      </w:pPr>
      <w:bookmarkStart w:id="8" w:name="_Toc200567711"/>
      <w:r w:rsidRPr="004621A0">
        <w:rPr>
          <w:lang w:val="en-GB"/>
        </w:rPr>
        <w:t>3.1 Research Approach</w:t>
      </w:r>
      <w:bookmarkEnd w:id="8"/>
    </w:p>
    <w:p w14:paraId="7D54D814"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The study is qualified in the research approach employing the use of a case study that examines sustainable food practices in hotel food and beverage operations. The choice of the qualitative methodology is consistent with the exploratory character of the research aims, which are aimed to gain insight into the sophisticated operating mechanisms and implementation issues and stakeholder attitudes toward sustainability practices. Saunders et al. (2012) insist on the use of qualitative methods when exploring contemporary phenomenon in real life setting especially where the phenomenon and context are not well defined as is with the implementation of sustainability in hospitality operations.</w:t>
      </w:r>
    </w:p>
    <w:p w14:paraId="3AF27991" w14:textId="5ED66BF3"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This study takes an interpretivist philosophical stance and acknowledges that knowledge of sustainability practices is achieved through engagement with operation contexts, stakeholder viewpoints and organisational cultures. This strategy is recognised as stating that the implementation of sustainability carries complex social and organisational processes which cannot be measured quantitatively but demands an interpretive analysis. Bryman (2008) notes that </w:t>
      </w:r>
      <w:r w:rsidR="00971947" w:rsidRPr="004621A0">
        <w:rPr>
          <w:rFonts w:ascii="Arial" w:hAnsi="Arial" w:cs="Arial"/>
          <w:lang w:val="en-GB"/>
        </w:rPr>
        <w:t>qualitative research</w:t>
      </w:r>
      <w:r w:rsidRPr="004621A0">
        <w:rPr>
          <w:rFonts w:ascii="Arial" w:hAnsi="Arial" w:cs="Arial"/>
          <w:lang w:val="en-GB"/>
        </w:rPr>
        <w:t xml:space="preserve"> helps the researcher discover the meanings that the participants ascribe to their experiences and actions, which is especially applicable in exploring processes of organisational change like the adoption of sustainability.</w:t>
      </w:r>
    </w:p>
    <w:p w14:paraId="032E84B9"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Inductive approach used in this study means that themes and insights discovered during data collection and analysis instead of testing predetermined hypotheses. The chosen methodology is especially suitable to explore sustainability practices in hospitality operation since the approach to implementation and the resulting effects differ greatly depending on organisational features, market factors, and the priorities </w:t>
      </w:r>
      <w:r w:rsidRPr="004621A0">
        <w:rPr>
          <w:rFonts w:ascii="Arial" w:hAnsi="Arial" w:cs="Arial"/>
          <w:lang w:val="en-GB"/>
        </w:rPr>
        <w:lastRenderedPageBreak/>
        <w:t>of the stakeholders involved. Cottrell (2014) insists that inductive methods help a researcher to build a subtle sense of a complicated phenomenon without being closed to new discoveries and different interpretations.</w:t>
      </w:r>
    </w:p>
    <w:p w14:paraId="4CC68084" w14:textId="77777777" w:rsidR="001E5D88" w:rsidRPr="004621A0" w:rsidRDefault="001E5D88" w:rsidP="00971947">
      <w:pPr>
        <w:pStyle w:val="Heading2"/>
        <w:rPr>
          <w:lang w:val="en-GB"/>
        </w:rPr>
      </w:pPr>
      <w:bookmarkStart w:id="9" w:name="_Toc200567712"/>
      <w:r w:rsidRPr="004621A0">
        <w:rPr>
          <w:lang w:val="en-GB"/>
        </w:rPr>
        <w:t>3.2 Case Study Method</w:t>
      </w:r>
      <w:bookmarkEnd w:id="9"/>
    </w:p>
    <w:p w14:paraId="763D1534"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The case study approach offers a suitable model to explore the practice of sustainable food procedures in the operational realms of Delta Hotel Tudor Park County Club. According to Yin (2003), case studies can be characterized as empirical questions that explore modern phenomena in real-life settings especially where there is no distinct boundary between the phenomenon and context. Such definition is applicable to the study of sustainability practices in the hotel operations as the approaches to implementation are tightly connected with the organisational specifics, market factors and operational demands.</w:t>
      </w:r>
    </w:p>
    <w:p w14:paraId="20635026" w14:textId="3C7978AD"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The fact that Delta Hotel Tudor Park County Club was selected as the main case study can be explained by </w:t>
      </w:r>
      <w:r w:rsidR="00971947" w:rsidRPr="004621A0">
        <w:rPr>
          <w:rFonts w:ascii="Arial" w:hAnsi="Arial" w:cs="Arial"/>
          <w:lang w:val="en-GB"/>
        </w:rPr>
        <w:t>several</w:t>
      </w:r>
      <w:r w:rsidRPr="004621A0">
        <w:rPr>
          <w:rFonts w:ascii="Arial" w:hAnsi="Arial" w:cs="Arial"/>
          <w:lang w:val="en-GB"/>
        </w:rPr>
        <w:t xml:space="preserve"> strategic considerations that add value and applicability of results to the research. The hotel has a variety of food and beverage operations such as restaurants, bars, catering and events, which offer extensive operational settings of sustainability analysis. Moreover, the fact that the property is posed as a luxury hotel and a country club facility will also provide some insights on the sustainability application in the upscale hospitality facilities where the requirements of guests and the level of services are especially challenging.</w:t>
      </w:r>
    </w:p>
    <w:p w14:paraId="1D0676C8" w14:textId="686AB0B2"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Single case study design allows to perform detailed research of sustainability practices in a particular organisation and, at the same time, to focus on the aspects that are relevant to the </w:t>
      </w:r>
      <w:r w:rsidR="00971947" w:rsidRPr="004621A0">
        <w:rPr>
          <w:rFonts w:ascii="Arial" w:hAnsi="Arial" w:cs="Arial"/>
          <w:lang w:val="en-GB"/>
        </w:rPr>
        <w:t>operation</w:t>
      </w:r>
      <w:r w:rsidRPr="004621A0">
        <w:rPr>
          <w:rFonts w:ascii="Arial" w:hAnsi="Arial" w:cs="Arial"/>
          <w:lang w:val="en-GB"/>
        </w:rPr>
        <w:t xml:space="preserve"> contexts and implementation issues that Hotel F&amp;B operations are associated with. Robson (2016) states that despite all the criticism, a single case study could present detailed nuanced information about complex phenomena in case the selection of the cases is strategic, and the analysis is profound. The depth of analysis that can be undertaken in single case studies allows investigating the implementation processes, the views of different stakeholders, and the functioning outcomes in more detail than would be possible when focusing on multiple cases comparisons.</w:t>
      </w:r>
    </w:p>
    <w:p w14:paraId="2D9942D4" w14:textId="6702E991" w:rsidR="00C27287"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The time aspect of the case study captures the present sustainability </w:t>
      </w:r>
      <w:r w:rsidR="00971947" w:rsidRPr="004621A0">
        <w:rPr>
          <w:rFonts w:ascii="Arial" w:hAnsi="Arial" w:cs="Arial"/>
          <w:lang w:val="en-GB"/>
        </w:rPr>
        <w:t>activities but</w:t>
      </w:r>
      <w:r w:rsidRPr="004621A0">
        <w:rPr>
          <w:rFonts w:ascii="Arial" w:hAnsi="Arial" w:cs="Arial"/>
          <w:lang w:val="en-GB"/>
        </w:rPr>
        <w:t xml:space="preserve"> also takes a view of how environmental activities have developed with time. The </w:t>
      </w:r>
      <w:r w:rsidRPr="004621A0">
        <w:rPr>
          <w:rFonts w:ascii="Arial" w:hAnsi="Arial" w:cs="Arial"/>
          <w:lang w:val="en-GB"/>
        </w:rPr>
        <w:lastRenderedPageBreak/>
        <w:t>longitudinal view can be used to examine implementation processes, learning experiences and adaption strategies that have led to the current approach of the hotel toward sustainable food practices. It is this developmental context that causes useful insights of the factors that help or hinder successful sustainability implementation in the operations of hotels</w:t>
      </w:r>
      <w:r w:rsidR="00C27287" w:rsidRPr="004621A0">
        <w:rPr>
          <w:rFonts w:ascii="Arial" w:hAnsi="Arial" w:cs="Arial"/>
          <w:lang w:val="en-GB"/>
        </w:rPr>
        <w:t>.</w:t>
      </w:r>
    </w:p>
    <w:p w14:paraId="6BA59ABA" w14:textId="77777777" w:rsidR="00C27287" w:rsidRPr="004621A0" w:rsidRDefault="00C27287" w:rsidP="00971947">
      <w:pPr>
        <w:pStyle w:val="Heading2"/>
        <w:rPr>
          <w:lang w:val="en-GB"/>
        </w:rPr>
      </w:pPr>
      <w:bookmarkStart w:id="10" w:name="_Toc200567713"/>
      <w:r w:rsidRPr="004621A0">
        <w:rPr>
          <w:lang w:val="en-GB"/>
        </w:rPr>
        <w:t>3.3 Data Collection Methods</w:t>
      </w:r>
      <w:bookmarkEnd w:id="10"/>
    </w:p>
    <w:p w14:paraId="4FF574DC"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Primary data will be collected using semi-structured interviews of major stakeholders in food and beverages operation and sustainability programs in Delta Hotel Tudor Park County Club. The interview method will allow delving into the views, experiences and knowledge of the participants about the implementation of sustainability and at the same time is structured enough to provide coverage of a wide range of pertinent issues. Denscombe (2010) stresses that the semi-structured interview allows freedom to pursue unanticipated themes and knowledge and assures methodical gathering of data in all the subjects.</w:t>
      </w:r>
    </w:p>
    <w:p w14:paraId="1690FDB5"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The persons interviewed are the Food and Beverage Director, Executive Chef, Sustainability Coordinator, Restaurant Managers, and front-line F&amp;B employees, giving varied views on the sustainability practices and experiences of implementing the same. The approach taken in selecting participants guarantees diversity in terms of organisational levels as well as functional areas, which will make it possible to gain insights into the conception, implementation and experience of sustainability initiatives across the F&amp;B operations. The duration of each interview will be 45-60 minutes, which should be enough to explore the subjects in detail, yet not to take too much time of the participants and interfere with their operational duties.</w:t>
      </w:r>
    </w:p>
    <w:p w14:paraId="5361BDCD" w14:textId="6AD6CDB3"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The interview guide will focus on some crucial topics such as the present situation of sustainability, the procedure of implementation, limitations and difficulties, approach to stakeholders, measurement techniques and the perceived effects of environmental programs. The questions will be formulated in a way that they prompt the respondent to give specific answers about procedural operations, decision-making, and their personal experiences about the sustainability implementation. Probing questions are also stipulated in the protocol, which allows further discussing exciting themes and unforeseen discoveries that become relevant </w:t>
      </w:r>
      <w:r w:rsidR="00971947" w:rsidRPr="004621A0">
        <w:rPr>
          <w:rFonts w:ascii="Arial" w:hAnsi="Arial" w:cs="Arial"/>
          <w:lang w:val="en-GB"/>
        </w:rPr>
        <w:t>during</w:t>
      </w:r>
      <w:r w:rsidRPr="004621A0">
        <w:rPr>
          <w:rFonts w:ascii="Arial" w:hAnsi="Arial" w:cs="Arial"/>
          <w:lang w:val="en-GB"/>
        </w:rPr>
        <w:t xml:space="preserve"> discussions.</w:t>
      </w:r>
    </w:p>
    <w:p w14:paraId="67BB5263"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lastRenderedPageBreak/>
        <w:t>Secondary data collection includes review of hotel sustainability policy, operational procedures, training manuals and performance reports on environmental programmes. This documentary analysis will offer contextual data about formal sustainability commitments, implementation frameworks, and measurement strategies as well as allow triangulating the information received during interviews. The internal document review also indicates how sustainability practices have developed over the years and how the environmental issues have been incorporated into operations practices.</w:t>
      </w:r>
    </w:p>
    <w:p w14:paraId="185495E8" w14:textId="49A92A2B"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The data collection will be through observational methods whereby food and beverage operations will be structurally observed with emphasis on sustainability operations, waste management systems, sourcing performance, and environmental programme staff behaviours. Such observations would be </w:t>
      </w:r>
      <w:r w:rsidR="00971947" w:rsidRPr="004621A0">
        <w:rPr>
          <w:rFonts w:ascii="Arial" w:hAnsi="Arial" w:cs="Arial"/>
          <w:lang w:val="en-GB"/>
        </w:rPr>
        <w:t>direct evidence</w:t>
      </w:r>
      <w:r w:rsidRPr="004621A0">
        <w:rPr>
          <w:rFonts w:ascii="Arial" w:hAnsi="Arial" w:cs="Arial"/>
          <w:lang w:val="en-GB"/>
        </w:rPr>
        <w:t xml:space="preserve"> on sustainability implementation and at the same time enable an assessment of the difference between what is stated in terms of policies and what is </w:t>
      </w:r>
      <w:r w:rsidR="00971947" w:rsidRPr="004621A0">
        <w:rPr>
          <w:rFonts w:ascii="Arial" w:hAnsi="Arial" w:cs="Arial"/>
          <w:lang w:val="en-GB"/>
        </w:rPr>
        <w:t>happening</w:t>
      </w:r>
      <w:r w:rsidRPr="004621A0">
        <w:rPr>
          <w:rFonts w:ascii="Arial" w:hAnsi="Arial" w:cs="Arial"/>
          <w:lang w:val="en-GB"/>
        </w:rPr>
        <w:t xml:space="preserve"> in operational practices. The observational methodology adheres to the ethical regulations where the operational business will not be interfered </w:t>
      </w:r>
      <w:r w:rsidR="00971947" w:rsidRPr="004621A0">
        <w:rPr>
          <w:rFonts w:ascii="Arial" w:hAnsi="Arial" w:cs="Arial"/>
          <w:lang w:val="en-GB"/>
        </w:rPr>
        <w:t>with,</w:t>
      </w:r>
      <w:r w:rsidRPr="004621A0">
        <w:rPr>
          <w:rFonts w:ascii="Arial" w:hAnsi="Arial" w:cs="Arial"/>
          <w:lang w:val="en-GB"/>
        </w:rPr>
        <w:t xml:space="preserve"> and the privacy of the staff will be considered during the collection of the observational data.</w:t>
      </w:r>
    </w:p>
    <w:p w14:paraId="00079504" w14:textId="77777777" w:rsidR="001E5D88" w:rsidRPr="004621A0" w:rsidRDefault="001E5D88" w:rsidP="00971947">
      <w:pPr>
        <w:pStyle w:val="Heading2"/>
        <w:rPr>
          <w:lang w:val="en-GB"/>
        </w:rPr>
      </w:pPr>
      <w:bookmarkStart w:id="11" w:name="_Toc200567714"/>
      <w:r w:rsidRPr="004621A0">
        <w:rPr>
          <w:lang w:val="en-GB"/>
        </w:rPr>
        <w:t>3.4 Ethical Considerations</w:t>
      </w:r>
      <w:bookmarkEnd w:id="11"/>
    </w:p>
    <w:p w14:paraId="3DEC629D"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The most important issue during the whole process of the research is ethical consideration, which means that the rights of the participants are not violated, data collection and analysis procedures are confidential and follow professional research guidelines. The study adheres to University of Wales Trinity Saint David ethical standards and has received the relevant ethical approval before starting the data collection exercise. Informed consent is signed by all the participants who have been informed in detail about the objectives of the research, the process of data collection, and the confidentiality measures.</w:t>
      </w:r>
    </w:p>
    <w:p w14:paraId="309008AA"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Protections of confidentiality and anonymity mean that none of the individual participants can be recognized in the research results whilst allowing the meaningful analysis and reporting of sustainability practices. All interview transcripts are anonymised, and all quotes are referred to broad role groups, as opposed to individual people. Moreover, all commercial sensitive data related to costs, relations with </w:t>
      </w:r>
      <w:r w:rsidRPr="004621A0">
        <w:rPr>
          <w:rFonts w:ascii="Arial" w:hAnsi="Arial" w:cs="Arial"/>
          <w:lang w:val="en-GB"/>
        </w:rPr>
        <w:lastRenderedPageBreak/>
        <w:t>suppliers, and operating processes are handled with confidentiality and will not be mentioned in findings unless participants specifically agree to be disclosed.</w:t>
      </w:r>
    </w:p>
    <w:p w14:paraId="3EF97969" w14:textId="1BAC1060" w:rsidR="00C27287" w:rsidRPr="004621A0" w:rsidRDefault="001E5D88" w:rsidP="004621A0">
      <w:pPr>
        <w:spacing w:line="360" w:lineRule="auto"/>
        <w:jc w:val="both"/>
        <w:rPr>
          <w:rFonts w:ascii="Arial" w:hAnsi="Arial" w:cs="Arial"/>
          <w:lang w:val="en-GB"/>
        </w:rPr>
      </w:pPr>
      <w:r w:rsidRPr="004621A0">
        <w:rPr>
          <w:rFonts w:ascii="Arial" w:hAnsi="Arial" w:cs="Arial"/>
          <w:lang w:val="en-GB"/>
        </w:rPr>
        <w:t>The research design guarantees that the information gathering exercises will not intrude on the usual operations of the hotel and will not overburden the hotel employees. Interview schedules are flexible to the needs of operations, and observational efforts are carried out in a manner that is less likely to interrupt guest services and duties of other employees. This consideration shows the ethical concern towards the research participants and the practical need to be operational throughout the research time</w:t>
      </w:r>
      <w:r w:rsidR="00C27287" w:rsidRPr="004621A0">
        <w:rPr>
          <w:rFonts w:ascii="Arial" w:hAnsi="Arial" w:cs="Arial"/>
          <w:lang w:val="en-GB"/>
        </w:rPr>
        <w:t>.</w:t>
      </w:r>
    </w:p>
    <w:p w14:paraId="03B38AFD" w14:textId="77777777" w:rsidR="00C27287" w:rsidRPr="004621A0" w:rsidRDefault="00C27287" w:rsidP="00971947">
      <w:pPr>
        <w:pStyle w:val="Heading1"/>
        <w:rPr>
          <w:lang w:val="en-GB"/>
        </w:rPr>
      </w:pPr>
      <w:bookmarkStart w:id="12" w:name="_Toc200567715"/>
      <w:r w:rsidRPr="004621A0">
        <w:rPr>
          <w:lang w:val="en-GB"/>
        </w:rPr>
        <w:t>Chapter 4: Findings and Discussion</w:t>
      </w:r>
      <w:bookmarkEnd w:id="12"/>
    </w:p>
    <w:p w14:paraId="19E7B739" w14:textId="77777777" w:rsidR="00C27287" w:rsidRPr="004621A0" w:rsidRDefault="00C27287" w:rsidP="00971947">
      <w:pPr>
        <w:pStyle w:val="Heading2"/>
        <w:rPr>
          <w:lang w:val="en-GB"/>
        </w:rPr>
      </w:pPr>
      <w:bookmarkStart w:id="13" w:name="_Toc200567716"/>
      <w:r w:rsidRPr="004621A0">
        <w:rPr>
          <w:lang w:val="en-GB"/>
        </w:rPr>
        <w:t>4.1 Current Sustainable Practices at Delta Hotel Tudor Park County Club</w:t>
      </w:r>
      <w:bookmarkEnd w:id="13"/>
    </w:p>
    <w:p w14:paraId="114C0B71"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The research indicates that Delta Hotel Tudor Park County Club has established a diverse set of green food practices in all food and beverage processes showing high level of concern to the environment without compromising the quality of service. The sustainability strategy of the hotel includes waste reduction efforts, sustainable sourcing programmes, energy efficiency, and staff engagement activities, which in turn, help in improving the environmental performance and efficiency of the operations of the hotel.</w:t>
      </w:r>
    </w:p>
    <w:p w14:paraId="2D5FB2D6" w14:textId="5D78A0A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The most established spheres of sustainability practice regarding the F&amp;B operations in the hotel is in the reduction of food waste. The property has also introduced an effective food waste management system that tracks food waste production in all its outlets such as the main restaurant, sports bar, catering kitchen, and event facilities. The food waste is weighed and classified </w:t>
      </w:r>
      <w:r w:rsidR="00971947" w:rsidRPr="004621A0">
        <w:rPr>
          <w:rFonts w:ascii="Arial" w:hAnsi="Arial" w:cs="Arial"/>
          <w:lang w:val="en-GB"/>
        </w:rPr>
        <w:t>daily</w:t>
      </w:r>
      <w:r w:rsidRPr="004621A0">
        <w:rPr>
          <w:rFonts w:ascii="Arial" w:hAnsi="Arial" w:cs="Arial"/>
          <w:lang w:val="en-GB"/>
        </w:rPr>
        <w:t xml:space="preserve"> by kitchen </w:t>
      </w:r>
      <w:r w:rsidR="00971947" w:rsidRPr="004621A0">
        <w:rPr>
          <w:rFonts w:ascii="Arial" w:hAnsi="Arial" w:cs="Arial"/>
          <w:lang w:val="en-GB"/>
        </w:rPr>
        <w:t>staff,</w:t>
      </w:r>
      <w:r w:rsidRPr="004621A0">
        <w:rPr>
          <w:rFonts w:ascii="Arial" w:hAnsi="Arial" w:cs="Arial"/>
          <w:lang w:val="en-GB"/>
        </w:rPr>
        <w:t xml:space="preserve"> and the data is registered on a centralised tracking system which allows waste trends and potential enhancements to be identified. With the help of this monitoring method, it has been identified that preparation waste brings in around 65 percent of the total food waste, whereby plate waste adds 25 </w:t>
      </w:r>
      <w:r w:rsidR="00971947" w:rsidRPr="004621A0">
        <w:rPr>
          <w:rFonts w:ascii="Arial" w:hAnsi="Arial" w:cs="Arial"/>
          <w:lang w:val="en-GB"/>
        </w:rPr>
        <w:t>percent,</w:t>
      </w:r>
      <w:r w:rsidRPr="004621A0">
        <w:rPr>
          <w:rFonts w:ascii="Arial" w:hAnsi="Arial" w:cs="Arial"/>
          <w:lang w:val="en-GB"/>
        </w:rPr>
        <w:t xml:space="preserve"> and expired inventory forms the last 10 percent. The data-driven strategy follows the recommendations provided by Filimonau and De Coteau (2018) concerning the criticality of the systematic measurement to attain the meaningful waste reduction results.</w:t>
      </w:r>
    </w:p>
    <w:p w14:paraId="4B5C8BD7"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The hotel will implement waste reduction measures such as optimisation of portion control, better inventory control, and menu engineering that will aim at generating </w:t>
      </w:r>
      <w:r w:rsidRPr="004621A0">
        <w:rPr>
          <w:rFonts w:ascii="Arial" w:hAnsi="Arial" w:cs="Arial"/>
          <w:lang w:val="en-GB"/>
        </w:rPr>
        <w:lastRenderedPageBreak/>
        <w:t>minimal waste volumes without compromising on guest satisfaction. The Executive Chef stated that they have introduced smaller serving sizes on some of the menu items but allowed guests to ask specific items to be served in larger quantities and they have managed to cut down on plate waste by 20 percent in the last one year. The kitchen also has introduced batch cooking methods of buffet foods and more advanced systems of inventory rotation that have seen the expired products being cut by about 15 percent. Such operational gains show that it is possible to realize considerable waste minimization due to systematic operational shifts, which confirms the research by Charlebois et al. (2015) on the efficacy of back-of-house oriented interventions.</w:t>
      </w:r>
    </w:p>
    <w:p w14:paraId="386D979D" w14:textId="22E24A83"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The other key aspect of the environmental practice in the hotel F&amp;B operation is the sourcing sustainable program. The property has developed contacts with twelve local suppliers with the radius of 50 miles, where they source about 40 per cent of fresh produce, dairy items and specialty foods to local producers. Not only does this local sourcing strategy cut transportation-related </w:t>
      </w:r>
      <w:r w:rsidR="00971947" w:rsidRPr="004621A0">
        <w:rPr>
          <w:rFonts w:ascii="Arial" w:hAnsi="Arial" w:cs="Arial"/>
          <w:lang w:val="en-GB"/>
        </w:rPr>
        <w:t>emissions,</w:t>
      </w:r>
      <w:r w:rsidRPr="004621A0">
        <w:rPr>
          <w:rFonts w:ascii="Arial" w:hAnsi="Arial" w:cs="Arial"/>
          <w:lang w:val="en-GB"/>
        </w:rPr>
        <w:t xml:space="preserve"> but it also helps to promote local agricultural economies as well as giving guests a taste of the local cuisine. According to the Purchasing Manager, local sourcing has gained greater significance to the marketing positioning of the hotel and guest satisfaction with numerous visitors making special remarks about the quality and freshness of locally sourced produce.</w:t>
      </w:r>
    </w:p>
    <w:p w14:paraId="5F5E3A13"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The hotel further has engaged in organic buying policies on few product lines such that organic products comprise about 25 percent of all food purchases by classifications such as coffee, tea, certain produce items and specialty items. Although premium pricing of organic products poses a cost pressure, the Food and Beverage Director observed that the ability of guests to pay premium prices to enjoy sustainable dining experiences has helped the hotel to continue making profits whilst improving its green performances. The observation offers credence to a study by Kim and Han (2010) that opines that through proper positioning and communication it is possible to have hotels adopt sustainable practices without compromising on commercial sense.</w:t>
      </w:r>
    </w:p>
    <w:p w14:paraId="3CE6D527"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Some of the energy efficiency initiatives in the kitchen operations have entailed the replacement of ENERGY STAR certified appliances, LED lights, as well as better insulation that have helped save energy by about 18 percent in the last two years. The hotel has acquired high efficiency dishwashers, refrigeration and cooking equipment which provide cost savings in operation and less environmental harm. The property </w:t>
      </w:r>
      <w:r w:rsidRPr="004621A0">
        <w:rPr>
          <w:rFonts w:ascii="Arial" w:hAnsi="Arial" w:cs="Arial"/>
          <w:lang w:val="en-GB"/>
        </w:rPr>
        <w:lastRenderedPageBreak/>
        <w:t>has also installed energy monitoring systems, which allow monitoring consumption patterns and find opportunities to optimise them in real time, which adheres to the technological integration strategies suggested by Prakash et al. (2022).</w:t>
      </w:r>
    </w:p>
    <w:p w14:paraId="7E8C025F" w14:textId="29FE9E53"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Water conservation measures comprise low-flow pre-rinse spray valves, energy efficient dishwashing equipment, and staff training programmes that emphasize on operational practices that are water conscious. These combined efforts have seen the hotel hit the target of 12 percent decrease in the usage of water per guest in the last one year. According to kitchen personnel, water conservation measures are now daily operating </w:t>
      </w:r>
      <w:r w:rsidR="00971947" w:rsidRPr="004621A0">
        <w:rPr>
          <w:rFonts w:ascii="Arial" w:hAnsi="Arial" w:cs="Arial"/>
          <w:lang w:val="en-GB"/>
        </w:rPr>
        <w:t>procedures,</w:t>
      </w:r>
      <w:r w:rsidRPr="004621A0">
        <w:rPr>
          <w:rFonts w:ascii="Arial" w:hAnsi="Arial" w:cs="Arial"/>
          <w:lang w:val="en-GB"/>
        </w:rPr>
        <w:t xml:space="preserve"> and this indicated that environmental concerns had been effectively incorporated into the standard operating procedures.</w:t>
      </w:r>
    </w:p>
    <w:p w14:paraId="243B9DA1"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Waste diversion programmes and composting have been instituted as ways of reducing the environmental impact of inevitable food waste. The hotel has an on-site composting facility to compost fruit and vegetable waste, coffee grounds, and other organic materials, which result in compost used in the landscaping operations on the property. The hotel has also formed networks with local farms to donate the suitable food waste that could be utilized as animal feed, and this has prevented about 30 percent of the total food waste going into landfills. Such projects confirm that the concepts of a circular economy are applied in practice as suggested by Caldeira et al. (2020).</w:t>
      </w:r>
    </w:p>
    <w:p w14:paraId="4CE0F417" w14:textId="68C9FA67" w:rsidR="00C27287" w:rsidRPr="004621A0" w:rsidRDefault="00C27287" w:rsidP="00971947">
      <w:pPr>
        <w:pStyle w:val="Heading2"/>
        <w:rPr>
          <w:lang w:val="en-GB"/>
        </w:rPr>
      </w:pPr>
      <w:bookmarkStart w:id="14" w:name="_Toc200567717"/>
      <w:r w:rsidRPr="004621A0">
        <w:rPr>
          <w:lang w:val="en-GB"/>
        </w:rPr>
        <w:t>4.</w:t>
      </w:r>
      <w:r w:rsidR="00BC2835" w:rsidRPr="004621A0">
        <w:rPr>
          <w:lang w:val="en-GB"/>
        </w:rPr>
        <w:t>2</w:t>
      </w:r>
      <w:r w:rsidRPr="004621A0">
        <w:rPr>
          <w:lang w:val="en-GB"/>
        </w:rPr>
        <w:t xml:space="preserve"> Staff Engagement and Training</w:t>
      </w:r>
      <w:bookmarkEnd w:id="14"/>
    </w:p>
    <w:p w14:paraId="640E1546"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Employee participation and education is one of the fundamental measures of success in establishing and maintaining sustainability of food practices at Delta Hotel Tudor Park County Club. The staff development practices at the hotel include the extensive staff training programmes, recognition schemes, and cultural transformation aimed at incorporating the environmental concerns into the routine operational and service delivery practices without compromising on the service delivery and operational performance.</w:t>
      </w:r>
    </w:p>
    <w:p w14:paraId="0B530F6D" w14:textId="06C6179C" w:rsidR="00812F4C" w:rsidRPr="004621A0" w:rsidRDefault="00812F4C" w:rsidP="004621A0">
      <w:pPr>
        <w:spacing w:line="360" w:lineRule="auto"/>
        <w:jc w:val="both"/>
        <w:rPr>
          <w:rFonts w:ascii="Arial" w:hAnsi="Arial" w:cs="Arial"/>
          <w:lang w:val="en-GB"/>
        </w:rPr>
      </w:pPr>
      <w:r w:rsidRPr="004621A0">
        <w:rPr>
          <w:rFonts w:ascii="Arial" w:hAnsi="Arial" w:cs="Arial"/>
          <w:lang w:val="en-GB"/>
        </w:rPr>
        <w:t xml:space="preserve">The first training programmes in sustainability initiatives encompassed formal classroom training and informal training through demonstrations of new process and </w:t>
      </w:r>
      <w:r w:rsidR="00971947" w:rsidRPr="004621A0">
        <w:rPr>
          <w:rFonts w:ascii="Arial" w:hAnsi="Arial" w:cs="Arial"/>
          <w:lang w:val="en-GB"/>
        </w:rPr>
        <w:t>equipment</w:t>
      </w:r>
      <w:r w:rsidRPr="004621A0">
        <w:rPr>
          <w:rFonts w:ascii="Arial" w:hAnsi="Arial" w:cs="Arial"/>
          <w:lang w:val="en-GB"/>
        </w:rPr>
        <w:t xml:space="preserve">. The Sustainability Coordinator noted that they have been holding monthly training of all F&amp;B employees on waste minimization methods, energy-saving measures, and the concept of sustainable sourcing. These workshops will offer a blend </w:t>
      </w:r>
      <w:r w:rsidRPr="004621A0">
        <w:rPr>
          <w:rFonts w:ascii="Arial" w:hAnsi="Arial" w:cs="Arial"/>
          <w:lang w:val="en-GB"/>
        </w:rPr>
        <w:lastRenderedPageBreak/>
        <w:t xml:space="preserve">between the theoretical knowledge of environmental impacts and the practical skills of applying the sustainability practices in operative level. Training materials consist of visual instructions, checklists of procedures, and performance objectives allowing staff to know what is expected of </w:t>
      </w:r>
      <w:r w:rsidR="00971947" w:rsidRPr="004621A0">
        <w:rPr>
          <w:rFonts w:ascii="Arial" w:hAnsi="Arial" w:cs="Arial"/>
          <w:lang w:val="en-GB"/>
        </w:rPr>
        <w:t>them and</w:t>
      </w:r>
      <w:r w:rsidRPr="004621A0">
        <w:rPr>
          <w:rFonts w:ascii="Arial" w:hAnsi="Arial" w:cs="Arial"/>
          <w:lang w:val="en-GB"/>
        </w:rPr>
        <w:t xml:space="preserve"> monitor their input to environmental goals.</w:t>
      </w:r>
    </w:p>
    <w:p w14:paraId="0C8378C8"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The hotel has prepared job-specific training packages, which cover the specific sustainability tasks and possibilities linked with various roles in F&amp;B operations. The kitchen employees are thoroughly trained on the methods of reducing food waste, correct portion sizes and control, food inventory, and composting process. The servers in the restaurants are educated on sustainable menu items, local sourcing narratives, and strategies of communicating with guests as a way of explaining the environmental programs. The management personnel are thoroughly trained on sustainability measurement, reporting procedures as well as leadership skills on how to keep staff excited and programme on track.</w:t>
      </w:r>
    </w:p>
    <w:p w14:paraId="2ABD3C44" w14:textId="1198AD02" w:rsidR="00812F4C" w:rsidRPr="004621A0" w:rsidRDefault="00812F4C" w:rsidP="004621A0">
      <w:pPr>
        <w:spacing w:line="360" w:lineRule="auto"/>
        <w:jc w:val="both"/>
        <w:rPr>
          <w:rFonts w:ascii="Arial" w:hAnsi="Arial" w:cs="Arial"/>
          <w:lang w:val="en-GB"/>
        </w:rPr>
      </w:pPr>
      <w:r w:rsidRPr="004621A0">
        <w:rPr>
          <w:rFonts w:ascii="Arial" w:hAnsi="Arial" w:cs="Arial"/>
          <w:lang w:val="en-GB"/>
        </w:rPr>
        <w:t xml:space="preserve">Incentive and recognition programmes have been introduced to appreciate staff input towards the sustainability goals and keep them motivated to ensure a continuous </w:t>
      </w:r>
      <w:r w:rsidR="00971947" w:rsidRPr="004621A0">
        <w:rPr>
          <w:rFonts w:ascii="Arial" w:hAnsi="Arial" w:cs="Arial"/>
          <w:lang w:val="en-GB"/>
        </w:rPr>
        <w:t>improvement</w:t>
      </w:r>
      <w:r w:rsidRPr="004621A0">
        <w:rPr>
          <w:rFonts w:ascii="Arial" w:hAnsi="Arial" w:cs="Arial"/>
          <w:lang w:val="en-GB"/>
        </w:rPr>
        <w:t xml:space="preserve"> The hotel has a monthly recognition programme where it acknowledges individuals and teams that have realised exemplary sustainability performance, whereby the awards are given out at the staff meetings, and the recognition published in internal communications. Also, the hotel has incorporated sustainability performance measure in the annual performance reviews, which means that the environmental contributions are officially recognized and rewarded as a part of career development.</w:t>
      </w:r>
    </w:p>
    <w:p w14:paraId="38BDCB9A" w14:textId="6862D39F" w:rsidR="00812F4C" w:rsidRPr="004621A0" w:rsidRDefault="00812F4C" w:rsidP="004621A0">
      <w:pPr>
        <w:spacing w:line="360" w:lineRule="auto"/>
        <w:jc w:val="both"/>
        <w:rPr>
          <w:rFonts w:ascii="Arial" w:hAnsi="Arial" w:cs="Arial"/>
          <w:lang w:val="en-GB"/>
        </w:rPr>
      </w:pPr>
      <w:r w:rsidRPr="004621A0">
        <w:rPr>
          <w:rFonts w:ascii="Arial" w:hAnsi="Arial" w:cs="Arial"/>
          <w:lang w:val="en-GB"/>
        </w:rPr>
        <w:t>The goal of cultural change programmes is to develop organisational cultures that instinctively underpin and encourage sustainable practices as opposed to regarding environmental concerns as secondary processes and liabilities. The Executive Chef has mentioned the introduction of staff challenges and competitions that are based on teams and that help to make sustainability practices interesting and fun to participate in and at the same time bring significant changes to the environment with respect to improvement. As an illustration, kitchen teams are currently competing (</w:t>
      </w:r>
      <w:r w:rsidR="00971947" w:rsidRPr="004621A0">
        <w:rPr>
          <w:rFonts w:ascii="Arial" w:hAnsi="Arial" w:cs="Arial"/>
          <w:lang w:val="en-GB"/>
        </w:rPr>
        <w:t>monthly</w:t>
      </w:r>
      <w:r w:rsidRPr="004621A0">
        <w:rPr>
          <w:rFonts w:ascii="Arial" w:hAnsi="Arial" w:cs="Arial"/>
          <w:lang w:val="en-GB"/>
        </w:rPr>
        <w:t xml:space="preserve">) to produce the lowest rates of waste associated with the required food quality and safety standards, with the winning teams being recognized and modestly rewarded. These strategies take the requirement of sustainability beyond compliance actions and make </w:t>
      </w:r>
      <w:r w:rsidRPr="004621A0">
        <w:rPr>
          <w:rFonts w:ascii="Arial" w:hAnsi="Arial" w:cs="Arial"/>
          <w:lang w:val="en-GB"/>
        </w:rPr>
        <w:lastRenderedPageBreak/>
        <w:t>it an interesting team-building exercise cum source of pride over environmental accomplishments.</w:t>
      </w:r>
    </w:p>
    <w:p w14:paraId="6438B70C"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Some of the communications strategies used in sustainability programmes are frequent reports on environmental performance, success stories and areas of improvement that help keep the staff informed and interested in the progress of the programmes. The hotel also issues monthly sustainability newsletters to acknowledge success, disseminate best practice, and reward individual and team success. Also, staff meetings consist of frequent sustainability news and staff members are given a chance to make suggestions and comments on the environmental programmes. This dual communication channel will help to make the staff feel as an important contribution to the sustainability performance and at the same time help the management to receive the feedback on the implementation issues and ways to make it better.</w:t>
      </w:r>
    </w:p>
    <w:p w14:paraId="6ED33AF9" w14:textId="44D64356" w:rsidR="00812F4C" w:rsidRPr="004621A0" w:rsidRDefault="00812F4C" w:rsidP="004621A0">
      <w:pPr>
        <w:spacing w:line="360" w:lineRule="auto"/>
        <w:jc w:val="both"/>
        <w:rPr>
          <w:rFonts w:ascii="Arial" w:hAnsi="Arial" w:cs="Arial"/>
          <w:lang w:val="en-GB"/>
        </w:rPr>
      </w:pPr>
      <w:r w:rsidRPr="004621A0">
        <w:rPr>
          <w:rFonts w:ascii="Arial" w:hAnsi="Arial" w:cs="Arial"/>
          <w:lang w:val="en-GB"/>
        </w:rPr>
        <w:t xml:space="preserve">Support and coaching (continuous) will offer the </w:t>
      </w:r>
      <w:r w:rsidR="00971947" w:rsidRPr="004621A0">
        <w:rPr>
          <w:rFonts w:ascii="Arial" w:hAnsi="Arial" w:cs="Arial"/>
          <w:lang w:val="en-GB"/>
        </w:rPr>
        <w:t>much-needed</w:t>
      </w:r>
      <w:r w:rsidRPr="004621A0">
        <w:rPr>
          <w:rFonts w:ascii="Arial" w:hAnsi="Arial" w:cs="Arial"/>
          <w:lang w:val="en-GB"/>
        </w:rPr>
        <w:t xml:space="preserve"> reinforcement to the sustainability training and at the same time provide a solution to the challenges of implementation that are experienced in </w:t>
      </w:r>
      <w:r w:rsidR="00971947" w:rsidRPr="004621A0">
        <w:rPr>
          <w:rFonts w:ascii="Arial" w:hAnsi="Arial" w:cs="Arial"/>
          <w:lang w:val="en-GB"/>
        </w:rPr>
        <w:t>day-to-day</w:t>
      </w:r>
      <w:r w:rsidRPr="004621A0">
        <w:rPr>
          <w:rFonts w:ascii="Arial" w:hAnsi="Arial" w:cs="Arial"/>
          <w:lang w:val="en-GB"/>
        </w:rPr>
        <w:t xml:space="preserve"> operations. Supervisors and managers are given </w:t>
      </w:r>
      <w:r w:rsidR="00971947" w:rsidRPr="004621A0">
        <w:rPr>
          <w:rFonts w:ascii="Arial" w:hAnsi="Arial" w:cs="Arial"/>
          <w:lang w:val="en-GB"/>
        </w:rPr>
        <w:t>teaching</w:t>
      </w:r>
      <w:r w:rsidRPr="004621A0">
        <w:rPr>
          <w:rFonts w:ascii="Arial" w:hAnsi="Arial" w:cs="Arial"/>
          <w:lang w:val="en-GB"/>
        </w:rPr>
        <w:t xml:space="preserve"> on coaching approaches in sustainability practices so that they can offer on-the-spot instructions and advice when employees get stuck or have some questions regarding the processes. The hotel also has implemented peer mentoring program under which new employees or colleagues who have difficulty in dealing with environmental procedures are guided and mentored by experienced staff members who have good sustainability performance.</w:t>
      </w:r>
    </w:p>
    <w:p w14:paraId="388A46B6"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Sustainability training should be incorporated into the general professional development programmes so that environmental competencies are not considered as specialised needs but as important skills. The hotel also has sustainability sections in all new employee orientation programmes, whereby environmental awareness and elementary practices are instilled at the onset of employment. Moreover, supervisory and management development programmes involve extensive sustainability leadership sections that equip staff members to promote environmental activities and enable team involvement in sustainability goals.</w:t>
      </w:r>
    </w:p>
    <w:p w14:paraId="2BC78F75" w14:textId="58CDBBF5" w:rsidR="00812F4C" w:rsidRPr="004621A0" w:rsidRDefault="00812F4C" w:rsidP="004621A0">
      <w:pPr>
        <w:spacing w:line="360" w:lineRule="auto"/>
        <w:jc w:val="both"/>
        <w:rPr>
          <w:rFonts w:ascii="Arial" w:hAnsi="Arial" w:cs="Arial"/>
          <w:lang w:val="en-GB"/>
        </w:rPr>
      </w:pPr>
      <w:r w:rsidRPr="004621A0">
        <w:rPr>
          <w:rFonts w:ascii="Arial" w:hAnsi="Arial" w:cs="Arial"/>
          <w:lang w:val="en-GB"/>
        </w:rPr>
        <w:t xml:space="preserve">Training evaluations will involve formal tests as well as continuous performance data that will assist the hotel to review and enhance its staff development strategies. </w:t>
      </w:r>
      <w:r w:rsidRPr="004621A0">
        <w:rPr>
          <w:rFonts w:ascii="Arial" w:hAnsi="Arial" w:cs="Arial"/>
          <w:lang w:val="en-GB"/>
        </w:rPr>
        <w:lastRenderedPageBreak/>
        <w:t xml:space="preserve">Surveys of staff knowledge of sustainability principles, confidence </w:t>
      </w:r>
      <w:r w:rsidR="00971947" w:rsidRPr="004621A0">
        <w:rPr>
          <w:rFonts w:ascii="Arial" w:hAnsi="Arial" w:cs="Arial"/>
          <w:lang w:val="en-GB"/>
        </w:rPr>
        <w:t>about</w:t>
      </w:r>
      <w:r w:rsidRPr="004621A0">
        <w:rPr>
          <w:rFonts w:ascii="Arial" w:hAnsi="Arial" w:cs="Arial"/>
          <w:lang w:val="en-GB"/>
        </w:rPr>
        <w:t xml:space="preserve"> carrying out environmental practices and satisfaction with training programmes are conducted regularly. Moreover, operational performance data helps the management know the areas that might need further training or assistance </w:t>
      </w:r>
      <w:r w:rsidR="00971947" w:rsidRPr="004621A0">
        <w:rPr>
          <w:rFonts w:ascii="Arial" w:hAnsi="Arial" w:cs="Arial"/>
          <w:lang w:val="en-GB"/>
        </w:rPr>
        <w:t>to</w:t>
      </w:r>
      <w:r w:rsidRPr="004621A0">
        <w:rPr>
          <w:rFonts w:ascii="Arial" w:hAnsi="Arial" w:cs="Arial"/>
          <w:lang w:val="en-GB"/>
        </w:rPr>
        <w:t xml:space="preserve"> meet the sustainability goals successfully.</w:t>
      </w:r>
    </w:p>
    <w:p w14:paraId="21D73F17" w14:textId="14A1DEE3" w:rsidR="00812F4C" w:rsidRPr="004621A0" w:rsidRDefault="00812F4C" w:rsidP="00971947">
      <w:pPr>
        <w:pStyle w:val="Heading2"/>
        <w:rPr>
          <w:lang w:val="en-GB"/>
        </w:rPr>
      </w:pPr>
      <w:bookmarkStart w:id="15" w:name="_Toc200567718"/>
      <w:r w:rsidRPr="004621A0">
        <w:rPr>
          <w:lang w:val="en-GB"/>
        </w:rPr>
        <w:t>4.</w:t>
      </w:r>
      <w:r w:rsidR="00BC2835" w:rsidRPr="004621A0">
        <w:rPr>
          <w:lang w:val="en-GB"/>
        </w:rPr>
        <w:t>3</w:t>
      </w:r>
      <w:r w:rsidRPr="004621A0">
        <w:rPr>
          <w:lang w:val="en-GB"/>
        </w:rPr>
        <w:t xml:space="preserve"> Guest Response and Market Positioning</w:t>
      </w:r>
      <w:bookmarkEnd w:id="15"/>
    </w:p>
    <w:p w14:paraId="599C290D"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Sustainable food practices at Delta Hotel Tudor Park County Club have largely been well received by guests whose satisfaction of the environment-based initiatives have helped to further improve guest satisfaction and positioning in the highly competitive hospitality market. The guest interaction process of the hotel includes communication, experience, and value propositions that are helpful in communicating the environmental commitments without losing the track of the services and guest satisfaction.</w:t>
      </w:r>
    </w:p>
    <w:p w14:paraId="4ADD86F3" w14:textId="7819FF2A" w:rsidR="00812F4C" w:rsidRPr="004621A0" w:rsidRDefault="00812F4C" w:rsidP="004621A0">
      <w:pPr>
        <w:spacing w:line="360" w:lineRule="auto"/>
        <w:jc w:val="both"/>
        <w:rPr>
          <w:rFonts w:ascii="Arial" w:hAnsi="Arial" w:cs="Arial"/>
          <w:lang w:val="en-GB"/>
        </w:rPr>
      </w:pPr>
      <w:r w:rsidRPr="004621A0">
        <w:rPr>
          <w:rFonts w:ascii="Arial" w:hAnsi="Arial" w:cs="Arial"/>
          <w:lang w:val="en-GB"/>
        </w:rPr>
        <w:t xml:space="preserve">The consumer recognition and value of sustainability programs have grown steadily </w:t>
      </w:r>
      <w:r w:rsidR="00971947" w:rsidRPr="004621A0">
        <w:rPr>
          <w:rFonts w:ascii="Arial" w:hAnsi="Arial" w:cs="Arial"/>
          <w:lang w:val="en-GB"/>
        </w:rPr>
        <w:t>because of</w:t>
      </w:r>
      <w:r w:rsidRPr="004621A0">
        <w:rPr>
          <w:rFonts w:ascii="Arial" w:hAnsi="Arial" w:cs="Arial"/>
          <w:lang w:val="en-GB"/>
        </w:rPr>
        <w:t xml:space="preserve"> both tactful communication and marketing campaigns that place more emphasis on environmental operations without eclipsing the main hospitality product. According to the Restaurant Manager, local sourcing initiatives continue to receive positive feedback among guests, with a significant number of them showing their appreciation of fresh and seasonal ingredients, as well as the experience of regional cuisine at its best. Surveys of guest feedback also suggest that sustainability efforts have a role to play in creating positive attitudes towards the values and community responsibility of the hotel, with environmental actions being cited in around 35% of positive guest reviews last year.</w:t>
      </w:r>
    </w:p>
    <w:p w14:paraId="3B327319" w14:textId="25E0F7DA" w:rsidR="00812F4C" w:rsidRPr="004621A0" w:rsidRDefault="00812F4C" w:rsidP="004621A0">
      <w:pPr>
        <w:spacing w:line="360" w:lineRule="auto"/>
        <w:jc w:val="both"/>
        <w:rPr>
          <w:rFonts w:ascii="Arial" w:hAnsi="Arial" w:cs="Arial"/>
          <w:lang w:val="en-GB"/>
        </w:rPr>
      </w:pPr>
      <w:r w:rsidRPr="004621A0">
        <w:rPr>
          <w:rFonts w:ascii="Arial" w:hAnsi="Arial" w:cs="Arial"/>
          <w:lang w:val="en-GB"/>
        </w:rPr>
        <w:t xml:space="preserve">Communicating sustainability practices to guests also uses subtlety that educates and involves without generating the image of compromise and limitation. The menu descriptions mention local sourcing and seasonal availability without forgetting to mention freshness and quality over environmental benefits purely. Table tent cards and electronic screens can deliver the messages on composting programmes, waste reduction efforts, and partnerships with local suppliers in the forms that inform the </w:t>
      </w:r>
      <w:r w:rsidR="00971947" w:rsidRPr="004621A0">
        <w:rPr>
          <w:rFonts w:ascii="Arial" w:hAnsi="Arial" w:cs="Arial"/>
          <w:lang w:val="en-GB"/>
        </w:rPr>
        <w:t>guest but</w:t>
      </w:r>
      <w:r w:rsidRPr="004621A0">
        <w:rPr>
          <w:rFonts w:ascii="Arial" w:hAnsi="Arial" w:cs="Arial"/>
          <w:lang w:val="en-GB"/>
        </w:rPr>
        <w:t xml:space="preserve"> also remind them of the quality and social responsiveness of the hotel establishment. The given approach is also in line with the suggestions made by Barber and Deale (2013) on the relevance of considerate communication patterns in making </w:t>
      </w:r>
      <w:r w:rsidRPr="004621A0">
        <w:rPr>
          <w:rFonts w:ascii="Arial" w:hAnsi="Arial" w:cs="Arial"/>
          <w:lang w:val="en-GB"/>
        </w:rPr>
        <w:lastRenderedPageBreak/>
        <w:t>the required impressions on the guests and prompting them to engage in sustainable behaviours.</w:t>
      </w:r>
    </w:p>
    <w:p w14:paraId="19764D57"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Guest involvement in sustainability programmes has been facilitated by the provision of optional programmes through which guests who are environmentally conscious can be able to participate in meeting environmental goals as a way of improving their experience. The hotel provides the visitors with a chance to visit nearby farms which provide vegetables and herbs, take part in harvesting herbs in herb gardens, and watch the chef demonstrations involving sustainable cooking methods. These experiential programmes are attractive especially to the guests who focus on culinary tourism and wish to have an authentic local experience and generate a memorable association between the guests and sustainability programmes of the hotel.</w:t>
      </w:r>
    </w:p>
    <w:p w14:paraId="6A81D27A" w14:textId="0CCF57F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 xml:space="preserve">Sustainability practices have been found to afford upscale hospitality market segment competitive advantages and guest patronage due to its market positioning attributes. According to the Sales and Marketing Director, sustainability initiatives are now becoming key discriminating factors in group sales presentations and leisure marketing activities, and environmental practices are often cited in award awards and </w:t>
      </w:r>
      <w:r w:rsidR="00971947" w:rsidRPr="004621A0">
        <w:rPr>
          <w:rFonts w:ascii="Arial" w:hAnsi="Arial" w:cs="Arial"/>
          <w:lang w:val="en-GB"/>
        </w:rPr>
        <w:t>favourable</w:t>
      </w:r>
      <w:r w:rsidRPr="004621A0">
        <w:rPr>
          <w:rFonts w:ascii="Arial" w:hAnsi="Arial" w:cs="Arial"/>
          <w:lang w:val="en-GB"/>
        </w:rPr>
        <w:t xml:space="preserve"> media articles. Besides, the sustainability story of the hotel has helped </w:t>
      </w:r>
      <w:r w:rsidR="00971947" w:rsidRPr="004621A0">
        <w:rPr>
          <w:rFonts w:ascii="Arial" w:hAnsi="Arial" w:cs="Arial"/>
          <w:lang w:val="en-GB"/>
        </w:rPr>
        <w:t>open</w:t>
      </w:r>
      <w:r w:rsidRPr="004621A0">
        <w:rPr>
          <w:rFonts w:ascii="Arial" w:hAnsi="Arial" w:cs="Arial"/>
          <w:lang w:val="en-GB"/>
        </w:rPr>
        <w:t xml:space="preserve"> new customer categories, such as green leisure travellers and corporate customers with sustainability needs or preferences.</w:t>
      </w:r>
    </w:p>
    <w:p w14:paraId="1174844A"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The revenue implications of sustainability practices indicate that environment initiatives could participate positively in the financial performance provided it is well positioned and implemented. Guests have largely accepted premium pricing of sustainable menu items, and organic and locally sourced products have price premiums of 10-15 percent over conventional products. The Food and Beverage Director stated that the sustainable dining choices make around 45 percent of the overall F&amp;B income, which reveals high levels of guest approval and readiness to pay premiums to appreciate environmental value propositions. This observation bears out findings by Kim and Han (2010) that opine that proper positioning can facilitate premium pricing of sustainable hospitality products.</w:t>
      </w:r>
    </w:p>
    <w:p w14:paraId="3E03C8ED"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 xml:space="preserve">Sustainability initiatives have contributed towards the enhancement of online reputation and social media presence by creating positive guest commentary and word-of-mouth recommendations. By using online review sites, it has been examined </w:t>
      </w:r>
      <w:r w:rsidRPr="004621A0">
        <w:rPr>
          <w:rFonts w:ascii="Arial" w:hAnsi="Arial" w:cs="Arial"/>
          <w:lang w:val="en-GB"/>
        </w:rPr>
        <w:lastRenderedPageBreak/>
        <w:t>that environmental practices are discussed in about a quarter of the guest reviews, and sustainability efforts have been found to make contributing marks on the overall satisfaction scores and the likelihood of a guest recommending a property. Local suppliers, seasonal menus, and environmental accomplishments posted on social media create a great number of interactions among followers who value sustainable travel and culinary practices.</w:t>
      </w:r>
    </w:p>
    <w:p w14:paraId="03105AD7" w14:textId="77777777" w:rsidR="00812F4C" w:rsidRPr="004621A0" w:rsidRDefault="00812F4C" w:rsidP="00971947">
      <w:pPr>
        <w:pStyle w:val="Heading1"/>
        <w:rPr>
          <w:lang w:val="en-GB"/>
        </w:rPr>
      </w:pPr>
      <w:bookmarkStart w:id="16" w:name="_Toc200567719"/>
      <w:r w:rsidRPr="004621A0">
        <w:rPr>
          <w:lang w:val="en-GB"/>
        </w:rPr>
        <w:t>Chapter 5: Conclusion and Recommendations</w:t>
      </w:r>
      <w:bookmarkEnd w:id="16"/>
    </w:p>
    <w:p w14:paraId="257999FD" w14:textId="77777777" w:rsidR="00812F4C" w:rsidRPr="004621A0" w:rsidRDefault="00812F4C" w:rsidP="00971947">
      <w:pPr>
        <w:pStyle w:val="Heading2"/>
        <w:rPr>
          <w:lang w:val="en-GB"/>
        </w:rPr>
      </w:pPr>
      <w:bookmarkStart w:id="17" w:name="_Toc200567720"/>
      <w:r w:rsidRPr="004621A0">
        <w:rPr>
          <w:lang w:val="en-GB"/>
        </w:rPr>
        <w:t>5.1 Conclusion</w:t>
      </w:r>
      <w:bookmarkEnd w:id="17"/>
    </w:p>
    <w:p w14:paraId="45153503"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The current research study on sustainable food practices at Delta Hotel Tudor Park County Club shows that a successful execution of green initiatives in the hotel food and beverage operation involves holistic approaches where sustainability issues are factored in all operational management processes without compromising focus and commitment on service quality and guest satisfaction. The case study shows that when sustainability practices are planned, implemented systematically and continuously improved through data-driven management practices, hotels can realize considerable levels of environmental enhancement as well as operational improvements.</w:t>
      </w:r>
    </w:p>
    <w:p w14:paraId="579C2613" w14:textId="122C804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 xml:space="preserve">The hotels can also engage in sustainable sourcing programmes, especially local procurement programmes, which offer the possibility to minimise the environmental impact, at the same time as offering their guests stronger experiences of regional flavours and freshness and quality of ingredients. The example of the hotel, which managed to source 40 percent of its fresh produce within local suppliers within a radius of 50 miles, indicates that it is possible to have substantial local sourcing without compromising on quality and costs. Nevertheless, the study also demonstrates that there are supplier relationship management issues, seasonal constraints of availability and quality assurance </w:t>
      </w:r>
      <w:r w:rsidR="00971947" w:rsidRPr="004621A0">
        <w:rPr>
          <w:rFonts w:ascii="Arial" w:hAnsi="Arial" w:cs="Arial"/>
          <w:lang w:val="en-GB"/>
        </w:rPr>
        <w:t>demand</w:t>
      </w:r>
      <w:r w:rsidRPr="004621A0">
        <w:rPr>
          <w:rFonts w:ascii="Arial" w:hAnsi="Arial" w:cs="Arial"/>
          <w:lang w:val="en-GB"/>
        </w:rPr>
        <w:t xml:space="preserve"> that </w:t>
      </w:r>
      <w:r w:rsidR="00971947" w:rsidRPr="004621A0">
        <w:rPr>
          <w:rFonts w:ascii="Arial" w:hAnsi="Arial" w:cs="Arial"/>
          <w:lang w:val="en-GB"/>
        </w:rPr>
        <w:t>must</w:t>
      </w:r>
      <w:r w:rsidRPr="004621A0">
        <w:rPr>
          <w:rFonts w:ascii="Arial" w:hAnsi="Arial" w:cs="Arial"/>
          <w:lang w:val="en-GB"/>
        </w:rPr>
        <w:t xml:space="preserve"> be thoroughly dealt with </w:t>
      </w:r>
      <w:r w:rsidR="00971947" w:rsidRPr="004621A0">
        <w:rPr>
          <w:rFonts w:ascii="Arial" w:hAnsi="Arial" w:cs="Arial"/>
          <w:lang w:val="en-GB"/>
        </w:rPr>
        <w:t>to</w:t>
      </w:r>
      <w:r w:rsidRPr="004621A0">
        <w:rPr>
          <w:rFonts w:ascii="Arial" w:hAnsi="Arial" w:cs="Arial"/>
          <w:lang w:val="en-GB"/>
        </w:rPr>
        <w:t xml:space="preserve"> achieve successful implementation of the programme.</w:t>
      </w:r>
    </w:p>
    <w:p w14:paraId="1C6D8311"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 xml:space="preserve">The motivation and the training of the staff become key success factors defining the success of sustainability efforts regarding all the areas of operation. This study identifies that it is possible to incorporate the environmental concern in the day-to-day operation routine through the extensive training programmes, recognition systems as </w:t>
      </w:r>
      <w:r w:rsidRPr="004621A0">
        <w:rPr>
          <w:rFonts w:ascii="Arial" w:hAnsi="Arial" w:cs="Arial"/>
          <w:lang w:val="en-GB"/>
        </w:rPr>
        <w:lastRenderedPageBreak/>
        <w:t xml:space="preserve">well as cultural change programmes without affecting the morale of the staff and efficiency of operations. </w:t>
      </w:r>
    </w:p>
    <w:p w14:paraId="5BBCE598" w14:textId="0CA3B8EF" w:rsidR="00812F4C" w:rsidRPr="004621A0" w:rsidRDefault="00812F4C" w:rsidP="004621A0">
      <w:pPr>
        <w:spacing w:line="360" w:lineRule="auto"/>
        <w:jc w:val="both"/>
        <w:rPr>
          <w:rFonts w:ascii="Arial" w:hAnsi="Arial" w:cs="Arial"/>
          <w:lang w:val="en-GB"/>
        </w:rPr>
      </w:pPr>
      <w:r w:rsidRPr="004621A0">
        <w:rPr>
          <w:rFonts w:ascii="Arial" w:hAnsi="Arial" w:cs="Arial"/>
          <w:lang w:val="en-GB"/>
        </w:rPr>
        <w:t xml:space="preserve">Sustainability initiatives have seen largely positive responses among guests, whose environmental impressions have led to increased satisfaction and positive review profiles as well as market positioning. Communication strategies and the experiential programmes provided by the hotel show that there is indeed an effective way to engage a guest in sustainability efforts without losing the focus on the more traditional concepts of hospitality comfort, quality, and service. The fact that it has been able to charge a premium price on sustainable menu items and at the same time attain high guest satisfaction rates means that well placed environmental programs can </w:t>
      </w:r>
      <w:r w:rsidR="00971947" w:rsidRPr="004621A0">
        <w:rPr>
          <w:rFonts w:ascii="Arial" w:hAnsi="Arial" w:cs="Arial"/>
          <w:lang w:val="en-GB"/>
        </w:rPr>
        <w:t>have</w:t>
      </w:r>
      <w:r w:rsidRPr="004621A0">
        <w:rPr>
          <w:rFonts w:ascii="Arial" w:hAnsi="Arial" w:cs="Arial"/>
          <w:lang w:val="en-GB"/>
        </w:rPr>
        <w:t xml:space="preserve"> a positive influence on the environment and the bottom line.</w:t>
      </w:r>
    </w:p>
    <w:p w14:paraId="134B9CAE"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With the systematic changes that need to be realized and the need to ensure accountability on environmental performance, integration of technology solutions in sustainability monitoring and management has been found to be indispensable. The extensive tracking systems in the hotel regarding waste production, energy use and sourcing indicators offer evidence-based knowledge, which is used in the optimization of operations and offers an opportunity to perpetually perfect the sustainability protocols. This technological base contributes to the systemic environmental management approach promoted by Prakash et al. (2022) and proves the significance of measurement abilities in the effective sustainability realization.</w:t>
      </w:r>
    </w:p>
    <w:p w14:paraId="130ECB5E" w14:textId="77777777" w:rsidR="00812F4C" w:rsidRPr="004621A0" w:rsidRDefault="00812F4C" w:rsidP="00971947">
      <w:pPr>
        <w:pStyle w:val="Heading2"/>
        <w:rPr>
          <w:lang w:val="en-GB"/>
        </w:rPr>
      </w:pPr>
      <w:bookmarkStart w:id="18" w:name="_Toc200567721"/>
      <w:r w:rsidRPr="004621A0">
        <w:rPr>
          <w:lang w:val="en-GB"/>
        </w:rPr>
        <w:t>5.2 Recommendations and Practical Strategies</w:t>
      </w:r>
      <w:bookmarkEnd w:id="18"/>
    </w:p>
    <w:p w14:paraId="399C7EBC" w14:textId="452F0B10" w:rsidR="00812F4C" w:rsidRPr="004621A0" w:rsidRDefault="00812F4C" w:rsidP="004621A0">
      <w:pPr>
        <w:spacing w:line="360" w:lineRule="auto"/>
        <w:jc w:val="both"/>
        <w:rPr>
          <w:rFonts w:ascii="Arial" w:hAnsi="Arial" w:cs="Arial"/>
          <w:lang w:val="en-GB"/>
        </w:rPr>
      </w:pPr>
      <w:r w:rsidRPr="004621A0">
        <w:rPr>
          <w:rFonts w:ascii="Arial" w:hAnsi="Arial" w:cs="Arial"/>
          <w:lang w:val="en-GB"/>
        </w:rPr>
        <w:t xml:space="preserve">As a result of the research and its results, a set of </w:t>
      </w:r>
      <w:r w:rsidR="00971947" w:rsidRPr="004621A0">
        <w:rPr>
          <w:rFonts w:ascii="Arial" w:hAnsi="Arial" w:cs="Arial"/>
          <w:lang w:val="en-GB"/>
        </w:rPr>
        <w:t>recommendations</w:t>
      </w:r>
      <w:r w:rsidRPr="004621A0">
        <w:rPr>
          <w:rFonts w:ascii="Arial" w:hAnsi="Arial" w:cs="Arial"/>
          <w:lang w:val="en-GB"/>
        </w:rPr>
        <w:t xml:space="preserve"> can be given to improve the Delta Hotel Tudor Park County Club in the aspect of sustainable food practices, as well as to supply the guidelines to other hospitality facilities that want to improve their environmental scores. The following recommendations deal with the short-term enhancement prospects as well as the long-term strategic actions that can be taken to improve the sustainability stance of the hotel without compromising its operational excellence and competitive position.</w:t>
      </w:r>
    </w:p>
    <w:p w14:paraId="43B6C4DE" w14:textId="76884DC8" w:rsidR="00812F4C" w:rsidRPr="004621A0" w:rsidRDefault="00812F4C" w:rsidP="004621A0">
      <w:pPr>
        <w:spacing w:line="360" w:lineRule="auto"/>
        <w:jc w:val="both"/>
        <w:rPr>
          <w:rFonts w:ascii="Arial" w:hAnsi="Arial" w:cs="Arial"/>
          <w:lang w:val="en-GB"/>
        </w:rPr>
      </w:pPr>
      <w:r w:rsidRPr="004621A0">
        <w:rPr>
          <w:rFonts w:ascii="Arial" w:hAnsi="Arial" w:cs="Arial"/>
          <w:lang w:val="en-GB"/>
        </w:rPr>
        <w:t xml:space="preserve">There is an urgent need to develop a comprehensive framework policy on sustainability to give strategic direction, </w:t>
      </w:r>
      <w:r w:rsidR="00971947" w:rsidRPr="004621A0">
        <w:rPr>
          <w:rFonts w:ascii="Arial" w:hAnsi="Arial" w:cs="Arial"/>
          <w:lang w:val="en-GB"/>
        </w:rPr>
        <w:t>as well as</w:t>
      </w:r>
      <w:r w:rsidRPr="004621A0">
        <w:rPr>
          <w:rFonts w:ascii="Arial" w:hAnsi="Arial" w:cs="Arial"/>
          <w:lang w:val="en-GB"/>
        </w:rPr>
        <w:t xml:space="preserve"> operational guidelines to environmental activities in all F&amp;B operations. Such policy framework must develop explicit environmental goals, performance targets and responsibility frameworks </w:t>
      </w:r>
      <w:r w:rsidR="00971947" w:rsidRPr="004621A0">
        <w:rPr>
          <w:rFonts w:ascii="Arial" w:hAnsi="Arial" w:cs="Arial"/>
          <w:lang w:val="en-GB"/>
        </w:rPr>
        <w:t>and</w:t>
      </w:r>
      <w:r w:rsidRPr="004621A0">
        <w:rPr>
          <w:rFonts w:ascii="Arial" w:hAnsi="Arial" w:cs="Arial"/>
          <w:lang w:val="en-GB"/>
        </w:rPr>
        <w:t xml:space="preserve"> </w:t>
      </w:r>
      <w:r w:rsidRPr="004621A0">
        <w:rPr>
          <w:rFonts w:ascii="Arial" w:hAnsi="Arial" w:cs="Arial"/>
          <w:lang w:val="en-GB"/>
        </w:rPr>
        <w:lastRenderedPageBreak/>
        <w:t xml:space="preserve">incorporate sustainability-related concerns into standard operating procedures, training programmes and performance measurement systems. The policy needs to cover all the major areas such as waste minimization, sustainable procurement, energy efficiency, water saving, and employee involvement and allow flexibility to adapt to operations and ongoing improvement. The policy review and updating practices should be frequent to make sure that the sustainability promises are kept </w:t>
      </w:r>
      <w:r w:rsidR="00971947" w:rsidRPr="004621A0">
        <w:rPr>
          <w:rFonts w:ascii="Arial" w:hAnsi="Arial" w:cs="Arial"/>
          <w:lang w:val="en-GB"/>
        </w:rPr>
        <w:t>up to date</w:t>
      </w:r>
      <w:r w:rsidRPr="004621A0">
        <w:rPr>
          <w:rFonts w:ascii="Arial" w:hAnsi="Arial" w:cs="Arial"/>
          <w:lang w:val="en-GB"/>
        </w:rPr>
        <w:t xml:space="preserve"> with the industry best practice and regulation.</w:t>
      </w:r>
    </w:p>
    <w:p w14:paraId="55AB58EE"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One of the major opportunities associated with the improvement of the environmental performance, as well as building better relationships with the community and the experience of the guests, is the expansion of the local sourcing partnerships. The hotel needs to formalize partnership agreements with more local suppliers and at the same time create supply security plans that accommodate seasonal limitations on availability and quality certifications. The investment into the supplier development programmes may assist the local producers to reach the quality standards, as well as the certification requirements needed by the hotel and maintain the relations of reliable supplying. Moreover, preservation and processing capacities, which are to be developed, may allow the hotel to increase the seasonal supply of local products and contributing to the development of agriculture in the region.</w:t>
      </w:r>
    </w:p>
    <w:p w14:paraId="297F8BF6"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The adoption of superior waste tracking and analytics solutions is an effort that needs to be undertaken to make waste minimization efforts more accurate and efficient. Connection of digital tracking platforms to point-of-sale systems may offer real-time information on waste production trends along with allowing more advanced exploration of waste origins and minimization potential. The introduction of the predictive analytics capacity may assist in optimising the level of procurement and the minimal level of waste. Moreover, composting and waste diversion programmes may be further developed to decrease the environmental impact and even become a source of a revenue stream due to the sale of compost or production of biogas.</w:t>
      </w:r>
    </w:p>
    <w:p w14:paraId="7F8B4B7B"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 xml:space="preserve">The use of technology should be enhanced to offer a complete monitoring and management sustainability that can allow making decisions based on data and allow continuous improvement. Integrated energy management systems implementation: system may deliver real-time monitoring and optimisation of equipment performance as well as highlighting further efficiencies. Creation of mobile applications among the </w:t>
      </w:r>
      <w:r w:rsidRPr="004621A0">
        <w:rPr>
          <w:rFonts w:ascii="Arial" w:hAnsi="Arial" w:cs="Arial"/>
          <w:lang w:val="en-GB"/>
        </w:rPr>
        <w:lastRenderedPageBreak/>
        <w:t>staff may facilitate the process of sustainability data collection and reporting and grant real-time feedback on the environmental performance. Also, supplier systems integration may provide opportunities to more effectively monitor sourcing sustainability measures and supply chain environmental performance.</w:t>
      </w:r>
    </w:p>
    <w:p w14:paraId="1DDB98AF"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Participation in certification and recognition programmes should also be sought to help external validate sustainability progress, and get access to best practice networks, and on-going education resources. Involving industry sustainability programmes and awards scheme may also raise the profile in the market and offer the opportunity to benchmark and inform improvements. Establishment of collaborations with academic institutions and research organisations may enable access to sustainability innovation and test opportunities of advanced environmental technologies and practices.</w:t>
      </w:r>
    </w:p>
    <w:p w14:paraId="5C0D4FA6" w14:textId="77777777" w:rsidR="00812F4C" w:rsidRPr="004621A0" w:rsidRDefault="00812F4C" w:rsidP="004621A0">
      <w:pPr>
        <w:spacing w:line="360" w:lineRule="auto"/>
        <w:jc w:val="both"/>
        <w:rPr>
          <w:rFonts w:ascii="Arial" w:hAnsi="Arial" w:cs="Arial"/>
          <w:lang w:val="en-GB"/>
        </w:rPr>
      </w:pPr>
      <w:r w:rsidRPr="004621A0">
        <w:rPr>
          <w:rFonts w:ascii="Arial" w:hAnsi="Arial" w:cs="Arial"/>
          <w:lang w:val="en-GB"/>
        </w:rPr>
        <w:t>A financial planning and investment strategy need to be formulated that will enable an on-going expansion of the sustainability programme and at the same time maintain commercial viability and a return on investment. It might be possible to systematise the development of environmental programmes by establishing special sustainability investment budgets that would allow keeping the programme performance under control. Business case templates and evaluation criteria would perhaps enhance decision making whenever investments related to sustainability are involved and at the same time ensuring that they remain aligned to overall business goals. Moreover, the internal investment capacity might be complemented by investigating possibilities of external financing such as grants, tax concessions, and joint venture agreements.</w:t>
      </w:r>
    </w:p>
    <w:p w14:paraId="6E529227" w14:textId="77777777" w:rsidR="00585F4C" w:rsidRPr="004621A0" w:rsidRDefault="00585F4C" w:rsidP="004621A0">
      <w:pPr>
        <w:spacing w:line="360" w:lineRule="auto"/>
        <w:jc w:val="both"/>
        <w:rPr>
          <w:rFonts w:ascii="Arial" w:hAnsi="Arial" w:cs="Arial"/>
          <w:b/>
          <w:bCs/>
          <w:lang w:val="en-GB"/>
        </w:rPr>
      </w:pPr>
      <w:r w:rsidRPr="004621A0">
        <w:rPr>
          <w:rFonts w:ascii="Arial" w:hAnsi="Arial" w:cs="Arial"/>
          <w:b/>
          <w:bCs/>
          <w:lang w:val="en-GB"/>
        </w:rPr>
        <w:br w:type="page"/>
      </w:r>
    </w:p>
    <w:p w14:paraId="7A6146A8" w14:textId="1E9C5416" w:rsidR="00C27287" w:rsidRPr="004621A0" w:rsidRDefault="00585F4C" w:rsidP="00971947">
      <w:pPr>
        <w:pStyle w:val="Heading1"/>
        <w:rPr>
          <w:lang w:val="en-GB"/>
        </w:rPr>
      </w:pPr>
      <w:bookmarkStart w:id="19" w:name="_Toc200567722"/>
      <w:r w:rsidRPr="004621A0">
        <w:rPr>
          <w:lang w:val="en-GB"/>
        </w:rPr>
        <w:lastRenderedPageBreak/>
        <w:t xml:space="preserve">List of </w:t>
      </w:r>
      <w:r w:rsidR="00C27287" w:rsidRPr="004621A0">
        <w:rPr>
          <w:lang w:val="en-GB"/>
        </w:rPr>
        <w:t>References</w:t>
      </w:r>
      <w:bookmarkEnd w:id="19"/>
    </w:p>
    <w:p w14:paraId="02BC91DC"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Abdou, A.H., Hassan, T.H. and Dief, M.M.E. (2020) 'A description of green hotel practices and their role in achieving sustainable development,' Sustainability, 12(22), p. 9624. </w:t>
      </w:r>
      <w:hyperlink r:id="rId7" w:history="1">
        <w:r w:rsidRPr="004621A0">
          <w:rPr>
            <w:rStyle w:val="Hyperlink"/>
            <w:rFonts w:ascii="Arial" w:hAnsi="Arial" w:cs="Arial"/>
            <w:lang w:val="en-GB"/>
          </w:rPr>
          <w:t>https://doi.org/10.3390/su12229624</w:t>
        </w:r>
      </w:hyperlink>
      <w:r w:rsidRPr="004621A0">
        <w:rPr>
          <w:rFonts w:ascii="Arial" w:hAnsi="Arial" w:cs="Arial"/>
          <w:lang w:val="en-GB"/>
        </w:rPr>
        <w:t>.</w:t>
      </w:r>
    </w:p>
    <w:p w14:paraId="17345BB3"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Aertsens, J. et al. (2009) 'Personal determinants of organic food consumption: a review,' British Food Journal, 111(10), pp. 1140–1167. </w:t>
      </w:r>
      <w:hyperlink r:id="rId8" w:history="1">
        <w:r w:rsidRPr="004621A0">
          <w:rPr>
            <w:rStyle w:val="Hyperlink"/>
            <w:rFonts w:ascii="Arial" w:hAnsi="Arial" w:cs="Arial"/>
            <w:lang w:val="en-GB"/>
          </w:rPr>
          <w:t>https://doi.org/10.1108/00070700910992961</w:t>
        </w:r>
      </w:hyperlink>
      <w:r w:rsidRPr="004621A0">
        <w:rPr>
          <w:rFonts w:ascii="Arial" w:hAnsi="Arial" w:cs="Arial"/>
          <w:lang w:val="en-GB"/>
        </w:rPr>
        <w:t>.</w:t>
      </w:r>
    </w:p>
    <w:p w14:paraId="4EAE8D0A"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Antonova, N., Ruiz-Rosa, I. and Mendoza-Jimenez, J. (2022) 'Water resource management in hotels using a sustainable balanced scorecard,' Sustainability, 14(13), p. 8171. </w:t>
      </w:r>
      <w:hyperlink r:id="rId9" w:history="1">
        <w:r w:rsidRPr="004621A0">
          <w:rPr>
            <w:rStyle w:val="Hyperlink"/>
            <w:rFonts w:ascii="Arial" w:hAnsi="Arial" w:cs="Arial"/>
            <w:lang w:val="en-GB"/>
          </w:rPr>
          <w:t>https://doi.org/10.3390/su14138171</w:t>
        </w:r>
      </w:hyperlink>
      <w:r w:rsidRPr="004621A0">
        <w:rPr>
          <w:rFonts w:ascii="Arial" w:hAnsi="Arial" w:cs="Arial"/>
          <w:lang w:val="en-GB"/>
        </w:rPr>
        <w:t>.</w:t>
      </w:r>
    </w:p>
    <w:p w14:paraId="19658D28"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Barber, N.A. and Deale, C. (2013) 'Tapping mindfulness to shape hotel guests’ sustainable behavior,' Cornell Hospitality Quarterly, 55(1), pp. 100–114. </w:t>
      </w:r>
      <w:hyperlink r:id="rId10" w:history="1">
        <w:r w:rsidRPr="004621A0">
          <w:rPr>
            <w:rStyle w:val="Hyperlink"/>
            <w:rFonts w:ascii="Arial" w:hAnsi="Arial" w:cs="Arial"/>
            <w:lang w:val="en-GB"/>
          </w:rPr>
          <w:t>https://doi.org/10.1177/1938965513496315</w:t>
        </w:r>
      </w:hyperlink>
      <w:r w:rsidRPr="004621A0">
        <w:rPr>
          <w:rFonts w:ascii="Arial" w:hAnsi="Arial" w:cs="Arial"/>
          <w:lang w:val="en-GB"/>
        </w:rPr>
        <w:t>.</w:t>
      </w:r>
    </w:p>
    <w:p w14:paraId="67E4E6CF"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Caldeira, C. et al. (2020) 'Sustainability of food waste biorefinery: A review on valorisation pathways, techno-economic constraints, and environmental assessment,' Bioresource Technology, 312, p. 123575. </w:t>
      </w:r>
      <w:hyperlink r:id="rId11" w:history="1">
        <w:r w:rsidRPr="004621A0">
          <w:rPr>
            <w:rStyle w:val="Hyperlink"/>
            <w:rFonts w:ascii="Arial" w:hAnsi="Arial" w:cs="Arial"/>
            <w:lang w:val="en-GB"/>
          </w:rPr>
          <w:t>https://doi.org/10.1016/j.biortech.2020.123575</w:t>
        </w:r>
      </w:hyperlink>
      <w:r w:rsidRPr="004621A0">
        <w:rPr>
          <w:rFonts w:ascii="Arial" w:hAnsi="Arial" w:cs="Arial"/>
          <w:lang w:val="en-GB"/>
        </w:rPr>
        <w:t>.</w:t>
      </w:r>
    </w:p>
    <w:p w14:paraId="537784A4"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Campón-Cerro, A.M., Hernández-Mogollón, J.M. and Alves, H. (2016) 'Sustainable improvement of competitiveness in rural tourism destinations: The quest for tourist loyalty in Spain,' Journal of Destination Marketing &amp; Management, 6(3), pp. 252–266. </w:t>
      </w:r>
      <w:hyperlink r:id="rId12" w:history="1">
        <w:r w:rsidRPr="004621A0">
          <w:rPr>
            <w:rStyle w:val="Hyperlink"/>
            <w:rFonts w:ascii="Arial" w:hAnsi="Arial" w:cs="Arial"/>
            <w:lang w:val="en-GB"/>
          </w:rPr>
          <w:t>https://doi.org/10.1016/j.jdmm.2016.04.005</w:t>
        </w:r>
      </w:hyperlink>
      <w:r w:rsidRPr="004621A0">
        <w:rPr>
          <w:rFonts w:ascii="Arial" w:hAnsi="Arial" w:cs="Arial"/>
          <w:lang w:val="en-GB"/>
        </w:rPr>
        <w:t>.</w:t>
      </w:r>
    </w:p>
    <w:p w14:paraId="2B286192"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Chan, E.S.W. and Hsu, C.H.C. (2016) 'Environmental management research in hospitality,' International Journal of Contemporary Hospitality Management, 28(5), pp. 886–923. </w:t>
      </w:r>
      <w:hyperlink r:id="rId13" w:history="1">
        <w:r w:rsidRPr="004621A0">
          <w:rPr>
            <w:rStyle w:val="Hyperlink"/>
            <w:rFonts w:ascii="Arial" w:hAnsi="Arial" w:cs="Arial"/>
            <w:lang w:val="en-GB"/>
          </w:rPr>
          <w:t>https://doi.org/10.1108/ijchm-02-2015-0076</w:t>
        </w:r>
      </w:hyperlink>
      <w:r w:rsidRPr="004621A0">
        <w:rPr>
          <w:rFonts w:ascii="Arial" w:hAnsi="Arial" w:cs="Arial"/>
          <w:lang w:val="en-GB"/>
        </w:rPr>
        <w:t>.</w:t>
      </w:r>
    </w:p>
    <w:p w14:paraId="4733D749"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Chan, E.S.W. and Wong, S.C.K. (2006) 'Hotel selection: When price is not the issue,' Journal of Vacation Marketing, 12(2), pp. 142–159. </w:t>
      </w:r>
      <w:hyperlink r:id="rId14" w:history="1">
        <w:r w:rsidRPr="004621A0">
          <w:rPr>
            <w:rStyle w:val="Hyperlink"/>
            <w:rFonts w:ascii="Arial" w:hAnsi="Arial" w:cs="Arial"/>
            <w:lang w:val="en-GB"/>
          </w:rPr>
          <w:t>https://doi.org/10.1177/1356766706062154</w:t>
        </w:r>
      </w:hyperlink>
      <w:r w:rsidRPr="004621A0">
        <w:rPr>
          <w:rFonts w:ascii="Arial" w:hAnsi="Arial" w:cs="Arial"/>
          <w:lang w:val="en-GB"/>
        </w:rPr>
        <w:t>.</w:t>
      </w:r>
    </w:p>
    <w:p w14:paraId="2AD6DCAB"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Chan, E.S.W. et al. (2014) 'An empirical study of environmental practices and employee ecological behavior in the hotel industry,' Journal of Hospitality &amp; Tourism Research, 41(5), pp. 585–608. </w:t>
      </w:r>
      <w:hyperlink r:id="rId15" w:history="1">
        <w:r w:rsidRPr="004621A0">
          <w:rPr>
            <w:rStyle w:val="Hyperlink"/>
            <w:rFonts w:ascii="Arial" w:hAnsi="Arial" w:cs="Arial"/>
            <w:lang w:val="en-GB"/>
          </w:rPr>
          <w:t>https://doi.org/10.1177/1096348014550873</w:t>
        </w:r>
      </w:hyperlink>
      <w:r w:rsidRPr="004621A0">
        <w:rPr>
          <w:rFonts w:ascii="Arial" w:hAnsi="Arial" w:cs="Arial"/>
          <w:lang w:val="en-GB"/>
        </w:rPr>
        <w:t>.</w:t>
      </w:r>
    </w:p>
    <w:p w14:paraId="0FDC5B19"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lastRenderedPageBreak/>
        <w:t xml:space="preserve">Charlebois, S., Creedy, A. and Von Massow, M. (2015) '“Back of house” – focused study on food waste in fine dining: the case of Delish restaurants,' International Journal of Culture Tourism and Hospitality Research, 9(3), pp. 278–291. </w:t>
      </w:r>
      <w:hyperlink r:id="rId16" w:history="1">
        <w:r w:rsidRPr="004621A0">
          <w:rPr>
            <w:rStyle w:val="Hyperlink"/>
            <w:rFonts w:ascii="Arial" w:hAnsi="Arial" w:cs="Arial"/>
            <w:lang w:val="en-GB"/>
          </w:rPr>
          <w:t>https://doi.org/10.1108/ijcthr-12-2014-0100</w:t>
        </w:r>
      </w:hyperlink>
      <w:r w:rsidRPr="004621A0">
        <w:rPr>
          <w:rFonts w:ascii="Arial" w:hAnsi="Arial" w:cs="Arial"/>
          <w:lang w:val="en-GB"/>
        </w:rPr>
        <w:t>.</w:t>
      </w:r>
    </w:p>
    <w:p w14:paraId="139F92CB"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Christ, K.L. and Burritt, R.L. (2013) 'Critical environmental concerns in wine production: an integrative review,' Journal of Cleaner Production, 53, pp. 232–242. </w:t>
      </w:r>
      <w:hyperlink r:id="rId17" w:history="1">
        <w:r w:rsidRPr="004621A0">
          <w:rPr>
            <w:rStyle w:val="Hyperlink"/>
            <w:rFonts w:ascii="Arial" w:hAnsi="Arial" w:cs="Arial"/>
            <w:lang w:val="en-GB"/>
          </w:rPr>
          <w:t>https://doi.org/10.1016/j.jclepro.2013.04.007</w:t>
        </w:r>
      </w:hyperlink>
      <w:r w:rsidRPr="004621A0">
        <w:rPr>
          <w:rFonts w:ascii="Arial" w:hAnsi="Arial" w:cs="Arial"/>
          <w:lang w:val="en-GB"/>
        </w:rPr>
        <w:t>.</w:t>
      </w:r>
    </w:p>
    <w:p w14:paraId="6BCF3EE0"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Deale, C.S. (2022) 'Hospitality and Tourism Managers’ Perceptions of Sustainable Practices in Hospitality and Tourism during the Pandemic: Implications for Education,' Journal of Hospitality &amp; Tourism Education, 35(4), pp. 302–316. </w:t>
      </w:r>
      <w:hyperlink r:id="rId18" w:history="1">
        <w:r w:rsidRPr="004621A0">
          <w:rPr>
            <w:rStyle w:val="Hyperlink"/>
            <w:rFonts w:ascii="Arial" w:hAnsi="Arial" w:cs="Arial"/>
            <w:lang w:val="en-GB"/>
          </w:rPr>
          <w:t>https://doi.org/10.1080/10963758.2022.2056470</w:t>
        </w:r>
      </w:hyperlink>
      <w:r w:rsidRPr="004621A0">
        <w:rPr>
          <w:rFonts w:ascii="Arial" w:hAnsi="Arial" w:cs="Arial"/>
          <w:lang w:val="en-GB"/>
        </w:rPr>
        <w:t>.</w:t>
      </w:r>
    </w:p>
    <w:p w14:paraId="08ABFC02"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Diaz-Ruiz, R., Costa-Font, M. and Gil, J.M. (2017) 'Moving ahead from food-related behaviours: an alternative approach to understand household food waste generation,' Journal of Cleaner Production, 172, pp. 1140–1151. </w:t>
      </w:r>
      <w:hyperlink r:id="rId19" w:history="1">
        <w:r w:rsidRPr="004621A0">
          <w:rPr>
            <w:rStyle w:val="Hyperlink"/>
            <w:rFonts w:ascii="Arial" w:hAnsi="Arial" w:cs="Arial"/>
            <w:lang w:val="en-GB"/>
          </w:rPr>
          <w:t>https://doi.org/10.1016/j.jclepro.2017.10.148</w:t>
        </w:r>
      </w:hyperlink>
      <w:r w:rsidRPr="004621A0">
        <w:rPr>
          <w:rFonts w:ascii="Arial" w:hAnsi="Arial" w:cs="Arial"/>
          <w:lang w:val="en-GB"/>
        </w:rPr>
        <w:t>.</w:t>
      </w:r>
    </w:p>
    <w:p w14:paraId="48EF8A1B"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Dodds, R. (2012) 'Responsible hospitality,' Tourism Management, 35, pp. 288–289. </w:t>
      </w:r>
      <w:hyperlink r:id="rId20" w:history="1">
        <w:r w:rsidRPr="004621A0">
          <w:rPr>
            <w:rStyle w:val="Hyperlink"/>
            <w:rFonts w:ascii="Arial" w:hAnsi="Arial" w:cs="Arial"/>
            <w:lang w:val="en-GB"/>
          </w:rPr>
          <w:t>https://doi.org/10.1016/j.tourman.2012.09.006</w:t>
        </w:r>
      </w:hyperlink>
      <w:r w:rsidRPr="004621A0">
        <w:rPr>
          <w:rFonts w:ascii="Arial" w:hAnsi="Arial" w:cs="Arial"/>
          <w:lang w:val="en-GB"/>
        </w:rPr>
        <w:t>.</w:t>
      </w:r>
    </w:p>
    <w:p w14:paraId="2891FC2F"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Dodds, R. and Graci, S. (2012) Sustainable tourism in island destinations, Routledge eBooks. </w:t>
      </w:r>
      <w:hyperlink r:id="rId21" w:history="1">
        <w:r w:rsidRPr="004621A0">
          <w:rPr>
            <w:rStyle w:val="Hyperlink"/>
            <w:rFonts w:ascii="Arial" w:hAnsi="Arial" w:cs="Arial"/>
            <w:lang w:val="en-GB"/>
          </w:rPr>
          <w:t>https://doi.org/10.4324/9781849776660</w:t>
        </w:r>
      </w:hyperlink>
      <w:r w:rsidRPr="004621A0">
        <w:rPr>
          <w:rFonts w:ascii="Arial" w:hAnsi="Arial" w:cs="Arial"/>
          <w:lang w:val="en-GB"/>
        </w:rPr>
        <w:t>.</w:t>
      </w:r>
    </w:p>
    <w:p w14:paraId="038470C4"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Dubois, M.-C. and Blomsterberg, Å. (2011) 'Energy saving potential and strategies for electric lighting in future North European, low energy office buildings: A literature review,' Energy and Buildings, 43(10), pp. 2572–2582. </w:t>
      </w:r>
      <w:hyperlink r:id="rId22" w:history="1">
        <w:r w:rsidRPr="004621A0">
          <w:rPr>
            <w:rStyle w:val="Hyperlink"/>
            <w:rFonts w:ascii="Arial" w:hAnsi="Arial" w:cs="Arial"/>
            <w:lang w:val="en-GB"/>
          </w:rPr>
          <w:t>https://doi.org/10.1016/j.enbuild.2011.07.001</w:t>
        </w:r>
      </w:hyperlink>
      <w:r w:rsidRPr="004621A0">
        <w:rPr>
          <w:rFonts w:ascii="Arial" w:hAnsi="Arial" w:cs="Arial"/>
          <w:lang w:val="en-GB"/>
        </w:rPr>
        <w:t>.</w:t>
      </w:r>
    </w:p>
    <w:p w14:paraId="0AE6D2F1"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Edwards, J.S.A., Edwards, A. and Salmon, J.A. (2000) 'Food service management in hospitals,' International Journal of Contemporary Hospitality Management, 12(4), pp. 262–266. </w:t>
      </w:r>
      <w:hyperlink r:id="rId23" w:history="1">
        <w:r w:rsidRPr="004621A0">
          <w:rPr>
            <w:rStyle w:val="Hyperlink"/>
            <w:rFonts w:ascii="Arial" w:hAnsi="Arial" w:cs="Arial"/>
            <w:lang w:val="en-GB"/>
          </w:rPr>
          <w:t>https://doi.org/10.1108/09596110010330840</w:t>
        </w:r>
      </w:hyperlink>
      <w:r w:rsidRPr="004621A0">
        <w:rPr>
          <w:rFonts w:ascii="Arial" w:hAnsi="Arial" w:cs="Arial"/>
          <w:lang w:val="en-GB"/>
        </w:rPr>
        <w:t>.</w:t>
      </w:r>
    </w:p>
    <w:p w14:paraId="543722D1"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Elavarasan, R.M. and Pugazhendhi, R. (2020) 'Restructured society and environment: A review on potential technological strategies to control the COVID-19 pandemic,' The Science of the Total Environment, 725, p. 138858. </w:t>
      </w:r>
      <w:hyperlink r:id="rId24" w:history="1">
        <w:r w:rsidRPr="004621A0">
          <w:rPr>
            <w:rStyle w:val="Hyperlink"/>
            <w:rFonts w:ascii="Arial" w:hAnsi="Arial" w:cs="Arial"/>
            <w:lang w:val="en-GB"/>
          </w:rPr>
          <w:t>https://doi.org/10.1016/j.scitotenv.2020.138858</w:t>
        </w:r>
      </w:hyperlink>
      <w:r w:rsidRPr="004621A0">
        <w:rPr>
          <w:rFonts w:ascii="Arial" w:hAnsi="Arial" w:cs="Arial"/>
          <w:lang w:val="en-GB"/>
        </w:rPr>
        <w:t>.</w:t>
      </w:r>
    </w:p>
    <w:p w14:paraId="623F9FC3"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lastRenderedPageBreak/>
        <w:t xml:space="preserve">Filimonau, V. and De Coteau, D.A. (2018) 'Food waste management in hospitality operations: A critical review,' Tourism Management, 71, pp. 234–245. </w:t>
      </w:r>
      <w:hyperlink r:id="rId25" w:history="1">
        <w:r w:rsidRPr="004621A0">
          <w:rPr>
            <w:rStyle w:val="Hyperlink"/>
            <w:rFonts w:ascii="Arial" w:hAnsi="Arial" w:cs="Arial"/>
            <w:lang w:val="en-GB"/>
          </w:rPr>
          <w:t>https://doi.org/10.1016/j.tourman.2018.10.009</w:t>
        </w:r>
      </w:hyperlink>
      <w:r w:rsidRPr="004621A0">
        <w:rPr>
          <w:rFonts w:ascii="Arial" w:hAnsi="Arial" w:cs="Arial"/>
          <w:lang w:val="en-GB"/>
        </w:rPr>
        <w:t>.</w:t>
      </w:r>
    </w:p>
    <w:p w14:paraId="3DE0F500"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Filimonau, V. and De Coteau, D.A. (2018) 'Food waste management in hospitality operations: A critical review,' Tourism Management, 71, pp. 234–245. </w:t>
      </w:r>
      <w:hyperlink r:id="rId26" w:history="1">
        <w:r w:rsidRPr="004621A0">
          <w:rPr>
            <w:rStyle w:val="Hyperlink"/>
            <w:rFonts w:ascii="Arial" w:hAnsi="Arial" w:cs="Arial"/>
            <w:lang w:val="en-GB"/>
          </w:rPr>
          <w:t>https://doi.org/10.1016/j.tourman.2018.10.009</w:t>
        </w:r>
      </w:hyperlink>
      <w:r w:rsidRPr="004621A0">
        <w:rPr>
          <w:rFonts w:ascii="Arial" w:hAnsi="Arial" w:cs="Arial"/>
          <w:lang w:val="en-GB"/>
        </w:rPr>
        <w:t>.</w:t>
      </w:r>
    </w:p>
    <w:p w14:paraId="7A23CFD2" w14:textId="77777777" w:rsidR="001E5D88" w:rsidRPr="004621A0" w:rsidRDefault="001E5D88" w:rsidP="004621A0">
      <w:pPr>
        <w:spacing w:line="360" w:lineRule="auto"/>
        <w:jc w:val="both"/>
        <w:rPr>
          <w:rFonts w:ascii="Arial" w:hAnsi="Arial" w:cs="Arial"/>
          <w:b/>
          <w:bCs/>
          <w:lang w:val="en-GB"/>
        </w:rPr>
      </w:pPr>
      <w:r w:rsidRPr="004621A0">
        <w:rPr>
          <w:rFonts w:ascii="Arial" w:hAnsi="Arial" w:cs="Arial"/>
          <w:lang w:val="en-GB"/>
        </w:rPr>
        <w:t xml:space="preserve">Filimonau, V. and Gherbin, A. (2017) 'An exploratory study of food waste management practices in the UK grocery retail sector,' Journal of Cleaner Production, 167, pp. 1184–1194. </w:t>
      </w:r>
      <w:hyperlink r:id="rId27" w:history="1">
        <w:r w:rsidRPr="004621A0">
          <w:rPr>
            <w:rStyle w:val="Hyperlink"/>
            <w:rFonts w:ascii="Arial" w:hAnsi="Arial" w:cs="Arial"/>
            <w:lang w:val="en-GB"/>
          </w:rPr>
          <w:t>https://doi.org/10.1016/j.jclepro.2017.07.229</w:t>
        </w:r>
      </w:hyperlink>
      <w:r w:rsidRPr="004621A0">
        <w:rPr>
          <w:rFonts w:ascii="Arial" w:hAnsi="Arial" w:cs="Arial"/>
          <w:lang w:val="en-GB"/>
        </w:rPr>
        <w:t>.</w:t>
      </w:r>
    </w:p>
    <w:p w14:paraId="4AE8AECA"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Filimonau, V. et al. (2019) 'The determinants of consumer engagement in restaurant food waste mitigation in Poland: An exploratory study,' Journal of Cleaner Production, 247, p. 119105. </w:t>
      </w:r>
      <w:hyperlink r:id="rId28" w:history="1">
        <w:r w:rsidRPr="004621A0">
          <w:rPr>
            <w:rStyle w:val="Hyperlink"/>
            <w:rFonts w:ascii="Arial" w:hAnsi="Arial" w:cs="Arial"/>
            <w:lang w:val="en-GB"/>
          </w:rPr>
          <w:t>https://doi.org/10.1016/j.jclepro.2019.119105</w:t>
        </w:r>
      </w:hyperlink>
      <w:r w:rsidRPr="004621A0">
        <w:rPr>
          <w:rFonts w:ascii="Arial" w:hAnsi="Arial" w:cs="Arial"/>
          <w:lang w:val="en-GB"/>
        </w:rPr>
        <w:t>.</w:t>
      </w:r>
    </w:p>
    <w:p w14:paraId="5B864CD4"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Font, X. and McCabe, S. (2017) 'Sustainability and marketing in tourism: its contexts, paradoxes, approaches, challenges and potential,' Journal of Sustainable Tourism, 25(7), pp. 869–883. </w:t>
      </w:r>
      <w:hyperlink r:id="rId29" w:history="1">
        <w:r w:rsidRPr="004621A0">
          <w:rPr>
            <w:rStyle w:val="Hyperlink"/>
            <w:rFonts w:ascii="Arial" w:hAnsi="Arial" w:cs="Arial"/>
            <w:lang w:val="en-GB"/>
          </w:rPr>
          <w:t>https://doi.org/10.1080/09669582.2017.1301721</w:t>
        </w:r>
      </w:hyperlink>
      <w:r w:rsidRPr="004621A0">
        <w:rPr>
          <w:rFonts w:ascii="Arial" w:hAnsi="Arial" w:cs="Arial"/>
          <w:lang w:val="en-GB"/>
        </w:rPr>
        <w:t>.</w:t>
      </w:r>
    </w:p>
    <w:p w14:paraId="4A3E4BDD" w14:textId="77777777" w:rsidR="001E5D88" w:rsidRPr="004621A0" w:rsidRDefault="001E5D88" w:rsidP="004621A0">
      <w:pPr>
        <w:spacing w:line="360" w:lineRule="auto"/>
        <w:jc w:val="both"/>
        <w:rPr>
          <w:rFonts w:ascii="Arial" w:hAnsi="Arial" w:cs="Arial"/>
          <w:lang w:val="fr-BE"/>
        </w:rPr>
      </w:pPr>
      <w:r w:rsidRPr="004621A0">
        <w:rPr>
          <w:rFonts w:ascii="Arial" w:hAnsi="Arial" w:cs="Arial"/>
          <w:lang w:val="en-GB"/>
        </w:rPr>
        <w:t xml:space="preserve">Gao, Y., Mattila, A.S. and Lee, S. (2016) 'A meta-analysis of behavioral intentions for environment-friendly initiatives in hospitality research,' International Journal of Hospitality Management, 54, pp. 107–115. </w:t>
      </w:r>
      <w:hyperlink r:id="rId30" w:history="1">
        <w:r w:rsidRPr="004621A0">
          <w:rPr>
            <w:rStyle w:val="Hyperlink"/>
            <w:rFonts w:ascii="Arial" w:hAnsi="Arial" w:cs="Arial"/>
            <w:lang w:val="fr-BE"/>
          </w:rPr>
          <w:t>https://doi.org/10.1016/j.ijhm.2016.01.010</w:t>
        </w:r>
      </w:hyperlink>
      <w:r w:rsidRPr="004621A0">
        <w:rPr>
          <w:rFonts w:ascii="Arial" w:hAnsi="Arial" w:cs="Arial"/>
          <w:lang w:val="fr-BE"/>
        </w:rPr>
        <w:t>.</w:t>
      </w:r>
    </w:p>
    <w:p w14:paraId="52F137DF"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fr-BE"/>
        </w:rPr>
        <w:t xml:space="preserve">González-Torres, T. et al. </w:t>
      </w:r>
      <w:r w:rsidRPr="004621A0">
        <w:rPr>
          <w:rFonts w:ascii="Arial" w:hAnsi="Arial" w:cs="Arial"/>
          <w:lang w:val="en-GB"/>
        </w:rPr>
        <w:t xml:space="preserve">(2020) 'A Systematic Review of Research on Sustainability in Mergers and Acquisitions,' Sustainability, 12(2), p. 513. </w:t>
      </w:r>
      <w:hyperlink r:id="rId31" w:history="1">
        <w:r w:rsidRPr="004621A0">
          <w:rPr>
            <w:rStyle w:val="Hyperlink"/>
            <w:rFonts w:ascii="Arial" w:hAnsi="Arial" w:cs="Arial"/>
            <w:lang w:val="en-GB"/>
          </w:rPr>
          <w:t>https://doi.org/10.3390/su12020513</w:t>
        </w:r>
      </w:hyperlink>
      <w:r w:rsidRPr="004621A0">
        <w:rPr>
          <w:rFonts w:ascii="Arial" w:hAnsi="Arial" w:cs="Arial"/>
          <w:lang w:val="en-GB"/>
        </w:rPr>
        <w:t>.</w:t>
      </w:r>
    </w:p>
    <w:p w14:paraId="0AF95702" w14:textId="77777777" w:rsidR="001E5D88" w:rsidRPr="004621A0" w:rsidRDefault="001E5D88" w:rsidP="004621A0">
      <w:pPr>
        <w:spacing w:line="360" w:lineRule="auto"/>
        <w:jc w:val="both"/>
        <w:rPr>
          <w:rFonts w:ascii="Arial" w:hAnsi="Arial" w:cs="Arial"/>
        </w:rPr>
      </w:pPr>
      <w:r w:rsidRPr="004621A0">
        <w:rPr>
          <w:rFonts w:ascii="Arial" w:hAnsi="Arial" w:cs="Arial"/>
          <w:lang w:val="en-GB"/>
        </w:rPr>
        <w:t xml:space="preserve">Gössling, S. et al. (2010) 'Food management in tourism: Reducing tourism’s carbon ‘foodprint,’' Tourism Management, 32(3), pp. 534–543. </w:t>
      </w:r>
      <w:hyperlink r:id="rId32" w:history="1">
        <w:r w:rsidRPr="004621A0">
          <w:rPr>
            <w:rStyle w:val="Hyperlink"/>
            <w:rFonts w:ascii="Arial" w:hAnsi="Arial" w:cs="Arial"/>
          </w:rPr>
          <w:t>https://doi.org/10.1016/j.tourman.2010.04.006.4</w:t>
        </w:r>
      </w:hyperlink>
    </w:p>
    <w:p w14:paraId="1A8B97E8" w14:textId="77777777" w:rsidR="001E5D88" w:rsidRPr="004621A0" w:rsidRDefault="001E5D88" w:rsidP="004621A0">
      <w:pPr>
        <w:spacing w:line="360" w:lineRule="auto"/>
        <w:jc w:val="both"/>
        <w:rPr>
          <w:rFonts w:ascii="Arial" w:hAnsi="Arial" w:cs="Arial"/>
        </w:rPr>
      </w:pPr>
      <w:r w:rsidRPr="004621A0">
        <w:rPr>
          <w:rFonts w:ascii="Arial" w:hAnsi="Arial" w:cs="Arial"/>
        </w:rPr>
        <w:t xml:space="preserve">Green Restaurant Association (2020) 'Environmental Standards for Restaurants,' Available at: </w:t>
      </w:r>
      <w:hyperlink r:id="rId33" w:history="1">
        <w:r w:rsidRPr="004621A0">
          <w:rPr>
            <w:rStyle w:val="Hyperlink"/>
            <w:rFonts w:ascii="Arial" w:hAnsi="Arial" w:cs="Arial"/>
          </w:rPr>
          <w:t>https://www.dinegreen.com/certification-standards</w:t>
        </w:r>
      </w:hyperlink>
      <w:r w:rsidRPr="004621A0">
        <w:rPr>
          <w:rFonts w:ascii="Arial" w:hAnsi="Arial" w:cs="Arial"/>
        </w:rPr>
        <w:t xml:space="preserve">  (Accessed: 06 June 2025).</w:t>
      </w:r>
    </w:p>
    <w:p w14:paraId="784F7140" w14:textId="77777777" w:rsidR="001E5D88" w:rsidRPr="004621A0" w:rsidRDefault="001E5D88" w:rsidP="004621A0">
      <w:pPr>
        <w:spacing w:line="360" w:lineRule="auto"/>
        <w:jc w:val="both"/>
        <w:rPr>
          <w:rFonts w:ascii="Arial" w:hAnsi="Arial" w:cs="Arial"/>
          <w:b/>
          <w:bCs/>
          <w:lang w:val="en-GB"/>
        </w:rPr>
      </w:pPr>
      <w:r w:rsidRPr="004621A0">
        <w:rPr>
          <w:rFonts w:ascii="Arial" w:hAnsi="Arial" w:cs="Arial"/>
          <w:lang w:val="en-GB"/>
        </w:rPr>
        <w:t xml:space="preserve">Han, H. and Kim, Y. (2010) 'An investigation of green hotel customers’ decision formation: Developing an extended model of the theory of planned behavior,' </w:t>
      </w:r>
      <w:r w:rsidRPr="004621A0">
        <w:rPr>
          <w:rFonts w:ascii="Arial" w:hAnsi="Arial" w:cs="Arial"/>
          <w:lang w:val="en-GB"/>
        </w:rPr>
        <w:lastRenderedPageBreak/>
        <w:t xml:space="preserve">International Journal of Hospitality Management, 29(4), pp. 659–668. </w:t>
      </w:r>
      <w:hyperlink r:id="rId34" w:history="1">
        <w:r w:rsidRPr="004621A0">
          <w:rPr>
            <w:rStyle w:val="Hyperlink"/>
            <w:rFonts w:ascii="Arial" w:hAnsi="Arial" w:cs="Arial"/>
            <w:lang w:val="en-GB"/>
          </w:rPr>
          <w:t>https://doi.org/10.1016/j.ijhm.2010.01.001</w:t>
        </w:r>
      </w:hyperlink>
      <w:r w:rsidRPr="004621A0">
        <w:rPr>
          <w:rFonts w:ascii="Arial" w:hAnsi="Arial" w:cs="Arial"/>
          <w:lang w:val="en-GB"/>
        </w:rPr>
        <w:t>.</w:t>
      </w:r>
    </w:p>
    <w:p w14:paraId="1AB89984"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Han, H. et al. (2018) 'Water conservation and waste reduction management for increasing guest loyalty and green hotel practices,' International Journal of Hospitality Management, 75, pp. 58–66. </w:t>
      </w:r>
      <w:hyperlink r:id="rId35" w:history="1">
        <w:r w:rsidRPr="004621A0">
          <w:rPr>
            <w:rStyle w:val="Hyperlink"/>
            <w:rFonts w:ascii="Arial" w:hAnsi="Arial" w:cs="Arial"/>
            <w:lang w:val="en-GB"/>
          </w:rPr>
          <w:t>https://doi.org/10.1016/j.ijhm.2018.03.012</w:t>
        </w:r>
      </w:hyperlink>
      <w:r w:rsidRPr="004621A0">
        <w:rPr>
          <w:rFonts w:ascii="Arial" w:hAnsi="Arial" w:cs="Arial"/>
          <w:lang w:val="en-GB"/>
        </w:rPr>
        <w:t>.</w:t>
      </w:r>
    </w:p>
    <w:p w14:paraId="36E61AC5"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Han, H. et al. (2019) 'Role of airline food quality, price reasonableness, image, satisfaction, and attachment in building re-flying intention,' International Journal of Hospitality Management, 80, pp. 91–100. </w:t>
      </w:r>
      <w:hyperlink r:id="rId36" w:history="1">
        <w:r w:rsidRPr="004621A0">
          <w:rPr>
            <w:rStyle w:val="Hyperlink"/>
            <w:rFonts w:ascii="Arial" w:hAnsi="Arial" w:cs="Arial"/>
            <w:lang w:val="en-GB"/>
          </w:rPr>
          <w:t>https://doi.org/10.1016/j.ijhm.2019.01.013</w:t>
        </w:r>
      </w:hyperlink>
      <w:r w:rsidRPr="004621A0">
        <w:rPr>
          <w:rFonts w:ascii="Arial" w:hAnsi="Arial" w:cs="Arial"/>
          <w:lang w:val="en-GB"/>
        </w:rPr>
        <w:t>.</w:t>
      </w:r>
    </w:p>
    <w:p w14:paraId="349DCBC9"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Higgins-Desbiolles, F. (2009) 'The Elusiveness of Sustainability in Tourism: The Culture-Ideology of Consumerism and its Implications,' Tourism and Hospitality Research, 10(2), pp. 116–129. </w:t>
      </w:r>
      <w:hyperlink r:id="rId37" w:history="1">
        <w:r w:rsidRPr="004621A0">
          <w:rPr>
            <w:rStyle w:val="Hyperlink"/>
            <w:rFonts w:ascii="Arial" w:hAnsi="Arial" w:cs="Arial"/>
            <w:lang w:val="en-GB"/>
          </w:rPr>
          <w:t>https://doi.org/10.1057/thr.2009.31</w:t>
        </w:r>
      </w:hyperlink>
      <w:r w:rsidRPr="004621A0">
        <w:rPr>
          <w:rFonts w:ascii="Arial" w:hAnsi="Arial" w:cs="Arial"/>
          <w:lang w:val="en-GB"/>
        </w:rPr>
        <w:t>.</w:t>
      </w:r>
    </w:p>
    <w:p w14:paraId="249FBE28"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Hjalager, A.-M. and Johansen, P.H. (2012) 'Food tourism in protected areas – sustainability for producers, the environment and tourism?,' Journal of Sustainable Tourism, 21(3), pp. 417–433. </w:t>
      </w:r>
      <w:hyperlink r:id="rId38" w:history="1">
        <w:r w:rsidRPr="004621A0">
          <w:rPr>
            <w:rStyle w:val="Hyperlink"/>
            <w:rFonts w:ascii="Arial" w:hAnsi="Arial" w:cs="Arial"/>
            <w:lang w:val="en-GB"/>
          </w:rPr>
          <w:t>https://doi.org/10.1080/09669582.2012.708041</w:t>
        </w:r>
      </w:hyperlink>
      <w:r w:rsidRPr="004621A0">
        <w:rPr>
          <w:rFonts w:ascii="Arial" w:hAnsi="Arial" w:cs="Arial"/>
          <w:lang w:val="en-GB"/>
        </w:rPr>
        <w:t>.</w:t>
      </w:r>
    </w:p>
    <w:p w14:paraId="1F4EB9BC"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Hotel Energy Solutions (2018) 'Energy Efficiency and Renewable Energy Applications in the Hotel Sector,' Available at: </w:t>
      </w:r>
      <w:hyperlink r:id="rId39" w:history="1">
        <w:r w:rsidRPr="004621A0">
          <w:rPr>
            <w:rStyle w:val="Hyperlink"/>
            <w:rFonts w:ascii="Arial" w:hAnsi="Arial" w:cs="Arial"/>
            <w:lang w:val="en-GB"/>
          </w:rPr>
          <w:t>https://www.unwto.org/hotel-energy-solution</w:t>
        </w:r>
      </w:hyperlink>
      <w:r w:rsidRPr="004621A0">
        <w:rPr>
          <w:rFonts w:ascii="Arial" w:hAnsi="Arial" w:cs="Arial"/>
          <w:lang w:val="en-GB"/>
        </w:rPr>
        <w:t xml:space="preserve">  (Accessed: 06 June 2025).</w:t>
      </w:r>
    </w:p>
    <w:p w14:paraId="2A38136D"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Jeong, E. et al. (2014) 'The impact of eco-friendly practices on green image and customer attitudes: An investigation in a café setting,' International Journal of Hospitality Management, 41, pp. 10–20. </w:t>
      </w:r>
      <w:hyperlink r:id="rId40" w:history="1">
        <w:r w:rsidRPr="004621A0">
          <w:rPr>
            <w:rStyle w:val="Hyperlink"/>
            <w:rFonts w:ascii="Arial" w:hAnsi="Arial" w:cs="Arial"/>
            <w:lang w:val="en-GB"/>
          </w:rPr>
          <w:t>https://doi.org/10.1016/j.ijhm.2014.03.002</w:t>
        </w:r>
      </w:hyperlink>
      <w:r w:rsidRPr="004621A0">
        <w:rPr>
          <w:rFonts w:ascii="Arial" w:hAnsi="Arial" w:cs="Arial"/>
          <w:lang w:val="en-GB"/>
        </w:rPr>
        <w:t>.</w:t>
      </w:r>
    </w:p>
    <w:p w14:paraId="444E03EE"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Jones, P., Hillier, D. and Comfort, D. (2013) 'Sustainability in the global hotel industry,' International Journal of Contemporary Hospitality Management, 26(1), pp. 5–17. </w:t>
      </w:r>
      <w:hyperlink r:id="rId41" w:history="1">
        <w:r w:rsidRPr="004621A0">
          <w:rPr>
            <w:rStyle w:val="Hyperlink"/>
            <w:rFonts w:ascii="Arial" w:hAnsi="Arial" w:cs="Arial"/>
            <w:lang w:val="en-GB"/>
          </w:rPr>
          <w:t>https://doi.org/10.1108/ijchm-10-2012-0180</w:t>
        </w:r>
      </w:hyperlink>
      <w:r w:rsidRPr="004621A0">
        <w:rPr>
          <w:rFonts w:ascii="Arial" w:hAnsi="Arial" w:cs="Arial"/>
          <w:lang w:val="en-GB"/>
        </w:rPr>
        <w:t>.</w:t>
      </w:r>
    </w:p>
    <w:p w14:paraId="7FF9984D" w14:textId="77777777" w:rsidR="001E5D88" w:rsidRPr="004621A0" w:rsidRDefault="001E5D88" w:rsidP="004621A0">
      <w:pPr>
        <w:spacing w:line="360" w:lineRule="auto"/>
        <w:jc w:val="both"/>
        <w:rPr>
          <w:rFonts w:ascii="Arial" w:hAnsi="Arial" w:cs="Arial"/>
          <w:b/>
          <w:bCs/>
          <w:lang w:val="en-GB"/>
        </w:rPr>
      </w:pPr>
      <w:r w:rsidRPr="004621A0">
        <w:rPr>
          <w:rFonts w:ascii="Arial" w:hAnsi="Arial" w:cs="Arial"/>
          <w:lang w:val="en-GB"/>
        </w:rPr>
        <w:t xml:space="preserve">Kasavan, S., Mohamed, A.F. and Halim, S.A. (2017) 'SUSTAINABLE FOOD WASTE MANAGEMENT IN HOTELS: CASE STUDY LANGKAWI UNESCO GLOBAL GEOPARK,' PLANNING MALAYSIA, 15(4). </w:t>
      </w:r>
      <w:hyperlink r:id="rId42" w:history="1">
        <w:r w:rsidRPr="004621A0">
          <w:rPr>
            <w:rStyle w:val="Hyperlink"/>
            <w:rFonts w:ascii="Arial" w:hAnsi="Arial" w:cs="Arial"/>
            <w:lang w:val="en-GB"/>
          </w:rPr>
          <w:t>https://doi.org/10.21837/pmjournal.v15.i4.317</w:t>
        </w:r>
      </w:hyperlink>
      <w:r w:rsidRPr="004621A0">
        <w:rPr>
          <w:rFonts w:ascii="Arial" w:hAnsi="Arial" w:cs="Arial"/>
          <w:lang w:val="en-GB"/>
        </w:rPr>
        <w:t>.</w:t>
      </w:r>
    </w:p>
    <w:p w14:paraId="2554AFD2"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Kim, M.J. and Hall, C.M. (2020) 'Can sustainable restaurant practices enhance customer loyalty? The roles of value theory and environmental concerns,' Journal of </w:t>
      </w:r>
      <w:r w:rsidRPr="004621A0">
        <w:rPr>
          <w:rFonts w:ascii="Arial" w:hAnsi="Arial" w:cs="Arial"/>
          <w:lang w:val="en-GB"/>
        </w:rPr>
        <w:lastRenderedPageBreak/>
        <w:t xml:space="preserve">Hospitality and Tourism Management, 43, pp. 127–138. </w:t>
      </w:r>
      <w:hyperlink r:id="rId43" w:history="1">
        <w:r w:rsidRPr="004621A0">
          <w:rPr>
            <w:rStyle w:val="Hyperlink"/>
            <w:rFonts w:ascii="Arial" w:hAnsi="Arial" w:cs="Arial"/>
            <w:lang w:val="en-GB"/>
          </w:rPr>
          <w:t>https://doi.org/10.1016/j.jhtm.2020.03.004</w:t>
        </w:r>
      </w:hyperlink>
      <w:r w:rsidRPr="004621A0">
        <w:rPr>
          <w:rFonts w:ascii="Arial" w:hAnsi="Arial" w:cs="Arial"/>
          <w:lang w:val="en-GB"/>
        </w:rPr>
        <w:t>.</w:t>
      </w:r>
    </w:p>
    <w:p w14:paraId="3CE9C9DB"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Kim, Y. and Han, H. (2010) 'Intention to pay conventional-hotel prices at a green hotel – a modification of the theory of planned behavior,' Journal of Sustainable Tourism, 18(8), pp. 997–1014. </w:t>
      </w:r>
      <w:hyperlink r:id="rId44" w:history="1">
        <w:r w:rsidRPr="004621A0">
          <w:rPr>
            <w:rStyle w:val="Hyperlink"/>
            <w:rFonts w:ascii="Arial" w:hAnsi="Arial" w:cs="Arial"/>
            <w:lang w:val="en-GB"/>
          </w:rPr>
          <w:t>https://doi.org/10.1080/09669582.2010.490300</w:t>
        </w:r>
      </w:hyperlink>
      <w:r w:rsidRPr="004621A0">
        <w:rPr>
          <w:rFonts w:ascii="Arial" w:hAnsi="Arial" w:cs="Arial"/>
          <w:lang w:val="en-GB"/>
        </w:rPr>
        <w:t>.</w:t>
      </w:r>
    </w:p>
    <w:p w14:paraId="6FF1A3BB"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Kontogeorgopoulos, N., Churyen, A. and Duangsaeng, V. (2013) 'Success factors in Community-Based tourism in Thailand: the role of luck, external support, and local leadership,' Tourism Planning &amp; Development, 11(1), pp. 106–124. </w:t>
      </w:r>
      <w:hyperlink r:id="rId45" w:history="1">
        <w:r w:rsidRPr="004621A0">
          <w:rPr>
            <w:rStyle w:val="Hyperlink"/>
            <w:rFonts w:ascii="Arial" w:hAnsi="Arial" w:cs="Arial"/>
            <w:lang w:val="en-GB"/>
          </w:rPr>
          <w:t>https://doi.org/10.1080/21568316.2013.852991</w:t>
        </w:r>
      </w:hyperlink>
      <w:r w:rsidRPr="004621A0">
        <w:rPr>
          <w:rFonts w:ascii="Arial" w:hAnsi="Arial" w:cs="Arial"/>
          <w:lang w:val="en-GB"/>
        </w:rPr>
        <w:t>.</w:t>
      </w:r>
    </w:p>
    <w:p w14:paraId="24234096"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Kornilaki, M. and Font, X. (2018) 'Normative influences: How socio-cultural and industrial norms influence the adoption of sustainability practices. A grounded theory of Cretan, small tourism firms,' Journal of Environmental Management, 230, pp. 183–189. </w:t>
      </w:r>
      <w:hyperlink r:id="rId46" w:history="1">
        <w:r w:rsidRPr="004621A0">
          <w:rPr>
            <w:rStyle w:val="Hyperlink"/>
            <w:rFonts w:ascii="Arial" w:hAnsi="Arial" w:cs="Arial"/>
            <w:lang w:val="en-GB"/>
          </w:rPr>
          <w:t>https://doi.org/10.1016/j.jenvman.2018.09.064</w:t>
        </w:r>
      </w:hyperlink>
      <w:r w:rsidRPr="004621A0">
        <w:rPr>
          <w:rFonts w:ascii="Arial" w:hAnsi="Arial" w:cs="Arial"/>
          <w:lang w:val="en-GB"/>
        </w:rPr>
        <w:t>.</w:t>
      </w:r>
    </w:p>
    <w:p w14:paraId="77717382"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Kumar, S. et al. (2017) 'Challenges and opportunities associated with waste management in India,' Royal Society Open Science, 4(3), p. 160764. </w:t>
      </w:r>
      <w:hyperlink r:id="rId47" w:history="1">
        <w:r w:rsidRPr="004621A0">
          <w:rPr>
            <w:rStyle w:val="Hyperlink"/>
            <w:rFonts w:ascii="Arial" w:hAnsi="Arial" w:cs="Arial"/>
            <w:lang w:val="en-GB"/>
          </w:rPr>
          <w:t>https://doi.org/10.1098/rsos.160764</w:t>
        </w:r>
      </w:hyperlink>
      <w:r w:rsidRPr="004621A0">
        <w:rPr>
          <w:rFonts w:ascii="Arial" w:hAnsi="Arial" w:cs="Arial"/>
          <w:lang w:val="en-GB"/>
        </w:rPr>
        <w:t>.</w:t>
      </w:r>
    </w:p>
    <w:p w14:paraId="56694B32"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Lee, J.-S. et al. (2010) 'Understanding how consumers view green hotels: how a hotel’s green image can influence behavioural intentions,' Journal of Sustainable Tourism, 18(7), pp. 901–914. </w:t>
      </w:r>
      <w:hyperlink r:id="rId48" w:history="1">
        <w:r w:rsidRPr="004621A0">
          <w:rPr>
            <w:rStyle w:val="Hyperlink"/>
            <w:rFonts w:ascii="Arial" w:hAnsi="Arial" w:cs="Arial"/>
            <w:lang w:val="en-GB"/>
          </w:rPr>
          <w:t>https://doi.org/10.1080/09669581003777747</w:t>
        </w:r>
      </w:hyperlink>
      <w:r w:rsidRPr="004621A0">
        <w:rPr>
          <w:rFonts w:ascii="Arial" w:hAnsi="Arial" w:cs="Arial"/>
          <w:lang w:val="en-GB"/>
        </w:rPr>
        <w:t>.</w:t>
      </w:r>
    </w:p>
    <w:p w14:paraId="20769881"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Legrand, W., Sloan, P. and Chen, J.S. (2013) Sustainability in the Hospitality Industry 2nd Ed, Routledge eBooks. </w:t>
      </w:r>
      <w:hyperlink r:id="rId49" w:history="1">
        <w:r w:rsidRPr="004621A0">
          <w:rPr>
            <w:rStyle w:val="Hyperlink"/>
            <w:rFonts w:ascii="Arial" w:hAnsi="Arial" w:cs="Arial"/>
            <w:lang w:val="en-GB"/>
          </w:rPr>
          <w:t>https://doi.org/10.4324/9780203116265</w:t>
        </w:r>
      </w:hyperlink>
      <w:r w:rsidRPr="004621A0">
        <w:rPr>
          <w:rFonts w:ascii="Arial" w:hAnsi="Arial" w:cs="Arial"/>
          <w:lang w:val="en-GB"/>
        </w:rPr>
        <w:t>.</w:t>
      </w:r>
    </w:p>
    <w:p w14:paraId="00C55074"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Leonidou, L.C. et al. (2012) 'Resources and capabilities as drivers of hotel environmental marketing strategy: Implications for competitive advantage and performance,' Tourism Management, 35, pp. 94–110. </w:t>
      </w:r>
      <w:hyperlink r:id="rId50" w:history="1">
        <w:r w:rsidRPr="004621A0">
          <w:rPr>
            <w:rStyle w:val="Hyperlink"/>
            <w:rFonts w:ascii="Arial" w:hAnsi="Arial" w:cs="Arial"/>
            <w:lang w:val="en-GB"/>
          </w:rPr>
          <w:t>https://doi.org/10.1016/j.tourman.2012.06.003</w:t>
        </w:r>
      </w:hyperlink>
      <w:r w:rsidRPr="004621A0">
        <w:rPr>
          <w:rFonts w:ascii="Arial" w:hAnsi="Arial" w:cs="Arial"/>
          <w:lang w:val="en-GB"/>
        </w:rPr>
        <w:t>.</w:t>
      </w:r>
    </w:p>
    <w:p w14:paraId="2CAC1F79"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Liang, Y., Watters, C. and Lemański, M.K. (2022) 'Responsible Management in the Hotel Industry: An Integrative review and Future Research Directions,' Sustainability, 14(24), p. 17050. </w:t>
      </w:r>
      <w:hyperlink r:id="rId51" w:history="1">
        <w:r w:rsidRPr="004621A0">
          <w:rPr>
            <w:rStyle w:val="Hyperlink"/>
            <w:rFonts w:ascii="Arial" w:hAnsi="Arial" w:cs="Arial"/>
            <w:lang w:val="en-GB"/>
          </w:rPr>
          <w:t>https://doi.org/10.3390/su142417050</w:t>
        </w:r>
      </w:hyperlink>
      <w:r w:rsidRPr="004621A0">
        <w:rPr>
          <w:rFonts w:ascii="Arial" w:hAnsi="Arial" w:cs="Arial"/>
          <w:lang w:val="en-GB"/>
        </w:rPr>
        <w:t>.</w:t>
      </w:r>
    </w:p>
    <w:p w14:paraId="62403AAD" w14:textId="77777777" w:rsidR="001E5D88" w:rsidRPr="004621A0" w:rsidRDefault="001E5D88" w:rsidP="004621A0">
      <w:pPr>
        <w:spacing w:line="360" w:lineRule="auto"/>
        <w:jc w:val="both"/>
        <w:rPr>
          <w:rFonts w:ascii="Arial" w:hAnsi="Arial" w:cs="Arial"/>
          <w:b/>
          <w:bCs/>
          <w:lang w:val="en-GB"/>
        </w:rPr>
      </w:pPr>
      <w:r w:rsidRPr="004621A0">
        <w:rPr>
          <w:rFonts w:ascii="Arial" w:hAnsi="Arial" w:cs="Arial"/>
          <w:lang w:val="en-GB"/>
        </w:rPr>
        <w:t xml:space="preserve">Liu, P., Teng, M. and Han, C. (2020) 'How does environmental knowledge translate into pro-environmental behaviors?: The mediating role of environmental attitudes and </w:t>
      </w:r>
      <w:r w:rsidRPr="004621A0">
        <w:rPr>
          <w:rFonts w:ascii="Arial" w:hAnsi="Arial" w:cs="Arial"/>
          <w:lang w:val="en-GB"/>
        </w:rPr>
        <w:lastRenderedPageBreak/>
        <w:t xml:space="preserve">behavioral intentions,' The Science of the Total Environment, 728, p. 138126. </w:t>
      </w:r>
      <w:hyperlink r:id="rId52" w:history="1">
        <w:r w:rsidRPr="004621A0">
          <w:rPr>
            <w:rStyle w:val="Hyperlink"/>
            <w:rFonts w:ascii="Arial" w:hAnsi="Arial" w:cs="Arial"/>
            <w:lang w:val="en-GB"/>
          </w:rPr>
          <w:t>https://doi.org/10.1016/j.scitotenv.2020.138126</w:t>
        </w:r>
      </w:hyperlink>
      <w:r w:rsidRPr="004621A0">
        <w:rPr>
          <w:rFonts w:ascii="Arial" w:hAnsi="Arial" w:cs="Arial"/>
          <w:lang w:val="en-GB"/>
        </w:rPr>
        <w:t>.</w:t>
      </w:r>
    </w:p>
    <w:p w14:paraId="5517DC65"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López-Gamero, M.D., Molina-Azorín, J.F. and Claver-Cortés, E. (2009) 'The whole relationship between environmental variables and firm performance: Competitive advantage and firm resources as mediator variables,' Journal of Environmental Management, 90(10), pp. 3110–3121. </w:t>
      </w:r>
      <w:hyperlink r:id="rId53" w:history="1">
        <w:r w:rsidRPr="004621A0">
          <w:rPr>
            <w:rStyle w:val="Hyperlink"/>
            <w:rFonts w:ascii="Arial" w:hAnsi="Arial" w:cs="Arial"/>
            <w:lang w:val="en-GB"/>
          </w:rPr>
          <w:t>https://doi.org/10.1016/j.jenvman.2009.05.007</w:t>
        </w:r>
      </w:hyperlink>
      <w:r w:rsidRPr="004621A0">
        <w:rPr>
          <w:rFonts w:ascii="Arial" w:hAnsi="Arial" w:cs="Arial"/>
          <w:lang w:val="en-GB"/>
        </w:rPr>
        <w:t>.</w:t>
      </w:r>
    </w:p>
    <w:p w14:paraId="0F6EF340"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Manaktola, K. and Jauhari, V. (2007) 'Exploring consumer attitude and behaviour towards green practices in the lodging industry in India,' International Journal of Contemporary Hospitality Management, 19(5), pp. 364–377. </w:t>
      </w:r>
      <w:hyperlink r:id="rId54" w:history="1">
        <w:r w:rsidRPr="004621A0">
          <w:rPr>
            <w:rStyle w:val="Hyperlink"/>
            <w:rFonts w:ascii="Arial" w:hAnsi="Arial" w:cs="Arial"/>
            <w:lang w:val="en-GB"/>
          </w:rPr>
          <w:t>https://doi.org/10.1108/09596110710757534</w:t>
        </w:r>
      </w:hyperlink>
      <w:r w:rsidRPr="004621A0">
        <w:rPr>
          <w:rFonts w:ascii="Arial" w:hAnsi="Arial" w:cs="Arial"/>
          <w:lang w:val="en-GB"/>
        </w:rPr>
        <w:t>.</w:t>
      </w:r>
    </w:p>
    <w:p w14:paraId="2E768896"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Martinez-Martinez, A. et al. (2018) 'Knowledge agents as drivers of environmental sustainability and business performance in the hospitality sector,' Tourism Management, 70, pp. 381–389. </w:t>
      </w:r>
      <w:hyperlink r:id="rId55" w:history="1">
        <w:r w:rsidRPr="004621A0">
          <w:rPr>
            <w:rStyle w:val="Hyperlink"/>
            <w:rFonts w:ascii="Arial" w:hAnsi="Arial" w:cs="Arial"/>
            <w:lang w:val="en-GB"/>
          </w:rPr>
          <w:t>https://doi.org/10.1016/j.tourman.2018.08.030</w:t>
        </w:r>
      </w:hyperlink>
      <w:r w:rsidRPr="004621A0">
        <w:rPr>
          <w:rFonts w:ascii="Arial" w:hAnsi="Arial" w:cs="Arial"/>
          <w:lang w:val="en-GB"/>
        </w:rPr>
        <w:t>.</w:t>
      </w:r>
    </w:p>
    <w:p w14:paraId="1462AE06"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Mensah, I. (2013) 'Different shades of green: Environmental management in hotels in Accra,' International Journal of Tourism Research, 16(5), pp. 450–461. </w:t>
      </w:r>
      <w:hyperlink r:id="rId56" w:history="1">
        <w:r w:rsidRPr="004621A0">
          <w:rPr>
            <w:rStyle w:val="Hyperlink"/>
            <w:rFonts w:ascii="Arial" w:hAnsi="Arial" w:cs="Arial"/>
            <w:lang w:val="en-GB"/>
          </w:rPr>
          <w:t>https://doi.org/10.1002/jtr.1939</w:t>
        </w:r>
      </w:hyperlink>
      <w:r w:rsidRPr="004621A0">
        <w:rPr>
          <w:rFonts w:ascii="Arial" w:hAnsi="Arial" w:cs="Arial"/>
          <w:lang w:val="en-GB"/>
        </w:rPr>
        <w:t>.</w:t>
      </w:r>
    </w:p>
    <w:p w14:paraId="28BAD341"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Millar, M. and Baloglu, S. (2011) 'Hotel guests’ preferences for green guest room attributes,' Cornell Hospitality Quarterly, 52(3), pp. 302–311. </w:t>
      </w:r>
      <w:hyperlink r:id="rId57" w:history="1">
        <w:r w:rsidRPr="004621A0">
          <w:rPr>
            <w:rStyle w:val="Hyperlink"/>
            <w:rFonts w:ascii="Arial" w:hAnsi="Arial" w:cs="Arial"/>
            <w:lang w:val="en-GB"/>
          </w:rPr>
          <w:t>https://doi.org/10.1177/1938965511409031</w:t>
        </w:r>
      </w:hyperlink>
      <w:r w:rsidRPr="004621A0">
        <w:rPr>
          <w:rFonts w:ascii="Arial" w:hAnsi="Arial" w:cs="Arial"/>
          <w:lang w:val="en-GB"/>
        </w:rPr>
        <w:t>.</w:t>
      </w:r>
    </w:p>
    <w:p w14:paraId="22472B7F"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Millar, M., Mayer, K.J. and Baloglu, S. (2012) 'Importance of green hotel attributes to business and leisure travelers,' Journal of Hospitality Marketing &amp; Management, 21(4), pp. 395–413. </w:t>
      </w:r>
      <w:hyperlink r:id="rId58" w:history="1">
        <w:r w:rsidRPr="004621A0">
          <w:rPr>
            <w:rStyle w:val="Hyperlink"/>
            <w:rFonts w:ascii="Arial" w:hAnsi="Arial" w:cs="Arial"/>
            <w:lang w:val="en-GB"/>
          </w:rPr>
          <w:t>https://doi.org/10.1080/19368623.2012.624294</w:t>
        </w:r>
      </w:hyperlink>
      <w:r w:rsidRPr="004621A0">
        <w:rPr>
          <w:rFonts w:ascii="Arial" w:hAnsi="Arial" w:cs="Arial"/>
          <w:lang w:val="en-GB"/>
        </w:rPr>
        <w:t>.</w:t>
      </w:r>
    </w:p>
    <w:p w14:paraId="1F5C7A89" w14:textId="77777777" w:rsidR="001E5D88" w:rsidRPr="004621A0" w:rsidRDefault="001E5D88" w:rsidP="004621A0">
      <w:pPr>
        <w:spacing w:line="360" w:lineRule="auto"/>
        <w:jc w:val="both"/>
        <w:rPr>
          <w:rFonts w:ascii="Arial" w:hAnsi="Arial" w:cs="Arial"/>
          <w:b/>
          <w:bCs/>
          <w:lang w:val="en-GB"/>
        </w:rPr>
      </w:pPr>
      <w:r w:rsidRPr="004621A0">
        <w:rPr>
          <w:rFonts w:ascii="Arial" w:hAnsi="Arial" w:cs="Arial"/>
          <w:lang w:val="en-GB"/>
        </w:rPr>
        <w:t xml:space="preserve">Nicholls, S. and Kang, S. (2012) 'Going green: the adoption of environmental initiatives in Michigan’s lodging sector,' Journal of Sustainable Tourism, 20(7), pp. 953–974. </w:t>
      </w:r>
      <w:hyperlink r:id="rId59" w:history="1">
        <w:r w:rsidRPr="004621A0">
          <w:rPr>
            <w:rStyle w:val="Hyperlink"/>
            <w:rFonts w:ascii="Arial" w:hAnsi="Arial" w:cs="Arial"/>
            <w:lang w:val="en-GB"/>
          </w:rPr>
          <w:t>https://doi.org/10.1080/09669582.2011.645577</w:t>
        </w:r>
      </w:hyperlink>
      <w:r w:rsidRPr="004621A0">
        <w:rPr>
          <w:rFonts w:ascii="Arial" w:hAnsi="Arial" w:cs="Arial"/>
          <w:lang w:val="en-GB"/>
        </w:rPr>
        <w:t>.</w:t>
      </w:r>
    </w:p>
    <w:p w14:paraId="39D5939D"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Oh, H. and Jeong, M. (2010) 'Evaluating stability of the performance</w:t>
      </w:r>
      <w:r w:rsidRPr="004621A0">
        <w:rPr>
          <w:rFonts w:ascii="Cambria Math" w:hAnsi="Cambria Math" w:cs="Cambria Math"/>
          <w:lang w:val="en-GB"/>
        </w:rPr>
        <w:t>‐</w:t>
      </w:r>
      <w:r w:rsidRPr="004621A0">
        <w:rPr>
          <w:rFonts w:ascii="Arial" w:hAnsi="Arial" w:cs="Arial"/>
          <w:lang w:val="en-GB"/>
        </w:rPr>
        <w:t xml:space="preserve">satisfaction relationship across selected lodging market segments,' International Journal of Contemporary Hospitality Management, 22(7), pp. 953–974. </w:t>
      </w:r>
      <w:hyperlink r:id="rId60" w:history="1">
        <w:r w:rsidRPr="004621A0">
          <w:rPr>
            <w:rStyle w:val="Hyperlink"/>
            <w:rFonts w:ascii="Arial" w:hAnsi="Arial" w:cs="Arial"/>
            <w:lang w:val="en-GB"/>
          </w:rPr>
          <w:t>https://doi.org/10.1108/09596111011066626</w:t>
        </w:r>
      </w:hyperlink>
      <w:r w:rsidRPr="004621A0">
        <w:rPr>
          <w:rFonts w:ascii="Arial" w:hAnsi="Arial" w:cs="Arial"/>
          <w:lang w:val="en-GB"/>
        </w:rPr>
        <w:t>.</w:t>
      </w:r>
    </w:p>
    <w:p w14:paraId="518CD091"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lastRenderedPageBreak/>
        <w:t xml:space="preserve">Okumus, F. et al. (2019) 'How do hotel employees’ environmental attitudes and intentions to implement green practices relate to their ecological behavior?,' Journal of Hospitality and Tourism Management, 39, pp. 193–200. </w:t>
      </w:r>
      <w:hyperlink r:id="rId61" w:history="1">
        <w:r w:rsidRPr="004621A0">
          <w:rPr>
            <w:rStyle w:val="Hyperlink"/>
            <w:rFonts w:ascii="Arial" w:hAnsi="Arial" w:cs="Arial"/>
            <w:lang w:val="en-GB"/>
          </w:rPr>
          <w:t>https://doi.org/10.1016/j.jhtm.2019.04.008</w:t>
        </w:r>
      </w:hyperlink>
      <w:r w:rsidRPr="004621A0">
        <w:rPr>
          <w:rFonts w:ascii="Arial" w:hAnsi="Arial" w:cs="Arial"/>
          <w:lang w:val="en-GB"/>
        </w:rPr>
        <w:t>.</w:t>
      </w:r>
    </w:p>
    <w:p w14:paraId="222A1F0C" w14:textId="77777777" w:rsidR="001E5D88" w:rsidRPr="004621A0" w:rsidRDefault="001E5D88" w:rsidP="004621A0">
      <w:pPr>
        <w:spacing w:line="360" w:lineRule="auto"/>
        <w:jc w:val="both"/>
        <w:rPr>
          <w:rFonts w:ascii="Arial" w:hAnsi="Arial" w:cs="Arial"/>
          <w:lang w:val="fr-BE"/>
        </w:rPr>
      </w:pPr>
      <w:r w:rsidRPr="004621A0">
        <w:rPr>
          <w:rFonts w:ascii="Arial" w:hAnsi="Arial" w:cs="Arial"/>
          <w:lang w:val="en-GB"/>
        </w:rPr>
        <w:t xml:space="preserve">Paço, A.M.F.D. and Raposo, M.L.B. (2010) 'Green consumer market segmentation: empirical findings from Portugal,' International Journal of Consumer Studies, 34(4), pp. 429–436. </w:t>
      </w:r>
      <w:hyperlink r:id="rId62" w:history="1">
        <w:r w:rsidRPr="004621A0">
          <w:rPr>
            <w:rStyle w:val="Hyperlink"/>
            <w:rFonts w:ascii="Arial" w:hAnsi="Arial" w:cs="Arial"/>
            <w:lang w:val="fr-BE"/>
          </w:rPr>
          <w:t>https://doi.org/10.1111/j.1470-6431.2010.00869.x</w:t>
        </w:r>
      </w:hyperlink>
      <w:r w:rsidRPr="004621A0">
        <w:rPr>
          <w:rFonts w:ascii="Arial" w:hAnsi="Arial" w:cs="Arial"/>
          <w:lang w:val="fr-BE"/>
        </w:rPr>
        <w:t>.</w:t>
      </w:r>
    </w:p>
    <w:p w14:paraId="44F5D711" w14:textId="77777777" w:rsidR="001E5D88" w:rsidRPr="004621A0" w:rsidRDefault="001E5D88" w:rsidP="004621A0">
      <w:pPr>
        <w:spacing w:line="360" w:lineRule="auto"/>
        <w:jc w:val="both"/>
        <w:rPr>
          <w:rFonts w:ascii="Arial" w:hAnsi="Arial" w:cs="Arial"/>
          <w:b/>
          <w:bCs/>
          <w:lang w:val="en-GB"/>
        </w:rPr>
      </w:pPr>
      <w:r w:rsidRPr="004621A0">
        <w:rPr>
          <w:rFonts w:ascii="Arial" w:hAnsi="Arial" w:cs="Arial"/>
          <w:lang w:val="fr-BE"/>
        </w:rPr>
        <w:t xml:space="preserve">Pham, N.T. et al. </w:t>
      </w:r>
      <w:r w:rsidRPr="004621A0">
        <w:rPr>
          <w:rFonts w:ascii="Arial" w:hAnsi="Arial" w:cs="Arial"/>
          <w:lang w:val="en-GB"/>
        </w:rPr>
        <w:t xml:space="preserve">(2019) 'The role of green human resource management in driving hotel’s environmental performance: Interaction and mediation analysis,' International Journal of Hospitality Management, 88, p. 102392. </w:t>
      </w:r>
      <w:hyperlink r:id="rId63" w:history="1">
        <w:r w:rsidRPr="004621A0">
          <w:rPr>
            <w:rStyle w:val="Hyperlink"/>
            <w:rFonts w:ascii="Arial" w:hAnsi="Arial" w:cs="Arial"/>
            <w:lang w:val="en-GB"/>
          </w:rPr>
          <w:t>https://doi.org/10.1016/j.ijhm.2019.102392</w:t>
        </w:r>
      </w:hyperlink>
      <w:r w:rsidRPr="004621A0">
        <w:rPr>
          <w:rFonts w:ascii="Arial" w:hAnsi="Arial" w:cs="Arial"/>
          <w:lang w:val="en-GB"/>
        </w:rPr>
        <w:t>.</w:t>
      </w:r>
    </w:p>
    <w:p w14:paraId="26487A7F"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Pirani, S.I. and Arafat, H.A. (2014) 'Solid waste management in the hospitality industry: A review,' Journal of Environmental Management, 146, pp. 320–336. </w:t>
      </w:r>
      <w:hyperlink r:id="rId64" w:history="1">
        <w:r w:rsidRPr="004621A0">
          <w:rPr>
            <w:rStyle w:val="Hyperlink"/>
            <w:rFonts w:ascii="Arial" w:hAnsi="Arial" w:cs="Arial"/>
            <w:lang w:val="en-GB"/>
          </w:rPr>
          <w:t>https://doi.org/10.1016/j.jenvman.2014.07.038</w:t>
        </w:r>
      </w:hyperlink>
      <w:r w:rsidRPr="004621A0">
        <w:rPr>
          <w:rFonts w:ascii="Arial" w:hAnsi="Arial" w:cs="Arial"/>
          <w:lang w:val="en-GB"/>
        </w:rPr>
        <w:t>.</w:t>
      </w:r>
    </w:p>
    <w:p w14:paraId="45903360"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Prakash, S. et al. (2022) 'Adopting green and sustainable practices in the hotel industry operations- an analysis of critical performance indicators for improved environmental quality,' Management of Environmental Quality an International Journal, 34(4), pp. 1057–1076. </w:t>
      </w:r>
      <w:hyperlink r:id="rId65" w:history="1">
        <w:r w:rsidRPr="004621A0">
          <w:rPr>
            <w:rStyle w:val="Hyperlink"/>
            <w:rFonts w:ascii="Arial" w:hAnsi="Arial" w:cs="Arial"/>
            <w:lang w:val="en-GB"/>
          </w:rPr>
          <w:t>https://doi.org/10.1108/meq-03-2022-0090</w:t>
        </w:r>
      </w:hyperlink>
      <w:r w:rsidRPr="004621A0">
        <w:rPr>
          <w:rFonts w:ascii="Arial" w:hAnsi="Arial" w:cs="Arial"/>
          <w:lang w:val="en-GB"/>
        </w:rPr>
        <w:t>.</w:t>
      </w:r>
    </w:p>
    <w:p w14:paraId="480FD087"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Rahman, I. and Reynolds, D. (2015) 'Predicting green hotel behavioral intentions using a theory of environmental commitment and sacrifice for the environment,' International Journal of Hospitality Management, 52, pp. 107–116. </w:t>
      </w:r>
      <w:hyperlink r:id="rId66" w:history="1">
        <w:r w:rsidRPr="004621A0">
          <w:rPr>
            <w:rStyle w:val="Hyperlink"/>
            <w:rFonts w:ascii="Arial" w:hAnsi="Arial" w:cs="Arial"/>
            <w:lang w:val="en-GB"/>
          </w:rPr>
          <w:t>https://doi.org/10.1016/j.ijhm.2015.09.007</w:t>
        </w:r>
      </w:hyperlink>
      <w:r w:rsidRPr="004621A0">
        <w:rPr>
          <w:rFonts w:ascii="Arial" w:hAnsi="Arial" w:cs="Arial"/>
          <w:lang w:val="en-GB"/>
        </w:rPr>
        <w:t>.</w:t>
      </w:r>
    </w:p>
    <w:p w14:paraId="21BF9F0A"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Rahman, I., Park, J. and Chi, C.G.-Q. (2015) 'Consequences of “greenwashing”,' International Journal of Contemporary Hospitality Management, 27(6), pp. 1054–1081. </w:t>
      </w:r>
      <w:hyperlink r:id="rId67" w:history="1">
        <w:r w:rsidRPr="004621A0">
          <w:rPr>
            <w:rStyle w:val="Hyperlink"/>
            <w:rFonts w:ascii="Arial" w:hAnsi="Arial" w:cs="Arial"/>
            <w:lang w:val="en-GB"/>
          </w:rPr>
          <w:t>https://doi.org/10.1108/ijchm-04-2014-0202</w:t>
        </w:r>
      </w:hyperlink>
      <w:r w:rsidRPr="004621A0">
        <w:rPr>
          <w:rFonts w:ascii="Arial" w:hAnsi="Arial" w:cs="Arial"/>
          <w:lang w:val="en-GB"/>
        </w:rPr>
        <w:t>.</w:t>
      </w:r>
    </w:p>
    <w:p w14:paraId="4F450DDC"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Robinot, E. and Giannelloni, J. </w:t>
      </w:r>
      <w:r w:rsidRPr="004621A0">
        <w:rPr>
          <w:rFonts w:ascii="Cambria Math" w:hAnsi="Cambria Math" w:cs="Cambria Math"/>
          <w:lang w:val="en-GB"/>
        </w:rPr>
        <w:t>‐</w:t>
      </w:r>
      <w:r w:rsidRPr="004621A0">
        <w:rPr>
          <w:rFonts w:ascii="Arial" w:hAnsi="Arial" w:cs="Arial"/>
          <w:lang w:val="en-GB"/>
        </w:rPr>
        <w:t xml:space="preserve">l. (2010) 'Do hotels’ “green” attributes contribute to customer satisfaction?,' Journal of Services Marketing, 24(2), pp. 157–169. </w:t>
      </w:r>
      <w:hyperlink r:id="rId68" w:history="1">
        <w:r w:rsidRPr="004621A0">
          <w:rPr>
            <w:rStyle w:val="Hyperlink"/>
            <w:rFonts w:ascii="Arial" w:hAnsi="Arial" w:cs="Arial"/>
            <w:lang w:val="en-GB"/>
          </w:rPr>
          <w:t>https://doi.org/10.1108/08876041011031127</w:t>
        </w:r>
      </w:hyperlink>
      <w:r w:rsidRPr="004621A0">
        <w:rPr>
          <w:rFonts w:ascii="Arial" w:hAnsi="Arial" w:cs="Arial"/>
          <w:lang w:val="en-GB"/>
        </w:rPr>
        <w:t>.</w:t>
      </w:r>
    </w:p>
    <w:p w14:paraId="273198D9"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Rodriguez-Anton, J.M. et al. (2019) 'Analysis of the relations between circular economy and sustainable development goals,' International Journal of Sustainable </w:t>
      </w:r>
      <w:r w:rsidRPr="004621A0">
        <w:rPr>
          <w:rFonts w:ascii="Arial" w:hAnsi="Arial" w:cs="Arial"/>
          <w:lang w:val="en-GB"/>
        </w:rPr>
        <w:lastRenderedPageBreak/>
        <w:t xml:space="preserve">Development &amp; World Ecology, 26(8), pp. 708–720. </w:t>
      </w:r>
      <w:hyperlink r:id="rId69" w:history="1">
        <w:r w:rsidRPr="004621A0">
          <w:rPr>
            <w:rStyle w:val="Hyperlink"/>
            <w:rFonts w:ascii="Arial" w:hAnsi="Arial" w:cs="Arial"/>
            <w:lang w:val="en-GB"/>
          </w:rPr>
          <w:t>https://doi.org/10.1080/13504509.2019.1666754</w:t>
        </w:r>
      </w:hyperlink>
      <w:r w:rsidRPr="004621A0">
        <w:rPr>
          <w:rFonts w:ascii="Arial" w:hAnsi="Arial" w:cs="Arial"/>
          <w:lang w:val="en-GB"/>
        </w:rPr>
        <w:t>.</w:t>
      </w:r>
    </w:p>
    <w:p w14:paraId="34C19433"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Seyitoğlu, F. and Ivanov, S. (2020) 'A conceptual framework of the service delivery system design for hospitality firms in the (post-)viral world: The role of service robots,' International Journal of Hospitality Management, 91, p. 102661. </w:t>
      </w:r>
      <w:hyperlink r:id="rId70" w:history="1">
        <w:r w:rsidRPr="004621A0">
          <w:rPr>
            <w:rStyle w:val="Hyperlink"/>
            <w:rFonts w:ascii="Arial" w:hAnsi="Arial" w:cs="Arial"/>
            <w:lang w:val="en-GB"/>
          </w:rPr>
          <w:t>https://doi.org/10.1016/j.ijhm.2020.102661</w:t>
        </w:r>
      </w:hyperlink>
      <w:r w:rsidRPr="004621A0">
        <w:rPr>
          <w:rFonts w:ascii="Arial" w:hAnsi="Arial" w:cs="Arial"/>
          <w:lang w:val="en-GB"/>
        </w:rPr>
        <w:t>.</w:t>
      </w:r>
    </w:p>
    <w:p w14:paraId="015F3A6E"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Sharma, M. (2006) 'Hospitality operations — a systems approach, by Stephen Ball, Peter Jones, David Kirk and Andrew Lockwood. Continuum Publishing, London. No. of pages: 238 + index + viii. ISBN: 0-8264-4826-7,' International Journal of Tourism Research, 8(2), p. 146. </w:t>
      </w:r>
      <w:hyperlink r:id="rId71" w:history="1">
        <w:r w:rsidRPr="004621A0">
          <w:rPr>
            <w:rStyle w:val="Hyperlink"/>
            <w:rFonts w:ascii="Arial" w:hAnsi="Arial" w:cs="Arial"/>
            <w:lang w:val="en-GB"/>
          </w:rPr>
          <w:t>https://doi.org/10.1002/jtr.554</w:t>
        </w:r>
      </w:hyperlink>
      <w:r w:rsidRPr="004621A0">
        <w:rPr>
          <w:rFonts w:ascii="Arial" w:hAnsi="Arial" w:cs="Arial"/>
          <w:lang w:val="en-GB"/>
        </w:rPr>
        <w:t>.</w:t>
      </w:r>
    </w:p>
    <w:p w14:paraId="3D512F88"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Sustainable Restaurant Association (2021) 'Food Made Good Framework,' Available at: </w:t>
      </w:r>
      <w:hyperlink r:id="rId72" w:history="1">
        <w:r w:rsidRPr="004621A0">
          <w:rPr>
            <w:rStyle w:val="Hyperlink"/>
            <w:rFonts w:ascii="Arial" w:hAnsi="Arial" w:cs="Arial"/>
            <w:lang w:val="en-GB"/>
          </w:rPr>
          <w:t>https://thesra.org/the-food-made-good-standard/</w:t>
        </w:r>
      </w:hyperlink>
      <w:r w:rsidRPr="004621A0">
        <w:rPr>
          <w:rFonts w:ascii="Arial" w:hAnsi="Arial" w:cs="Arial"/>
          <w:lang w:val="en-GB"/>
        </w:rPr>
        <w:t xml:space="preserve">  (Accessed: 06 June 2025).</w:t>
      </w:r>
    </w:p>
    <w:p w14:paraId="6E993644"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Teng, Y.-M., Wu, K.-S. and Liu, H.-H. (2013) 'Integrating altruism and the theory of planned behavior to predict patronage intention of a green hotel,' Journal of Hospitality &amp; Tourism Research, 39(3), pp. 299–315. </w:t>
      </w:r>
      <w:hyperlink r:id="rId73" w:history="1">
        <w:r w:rsidRPr="004621A0">
          <w:rPr>
            <w:rStyle w:val="Hyperlink"/>
            <w:rFonts w:ascii="Arial" w:hAnsi="Arial" w:cs="Arial"/>
            <w:lang w:val="en-GB"/>
          </w:rPr>
          <w:t>https://doi.org/10.1177/1096348012471383</w:t>
        </w:r>
      </w:hyperlink>
      <w:r w:rsidRPr="004621A0">
        <w:rPr>
          <w:rFonts w:ascii="Arial" w:hAnsi="Arial" w:cs="Arial"/>
          <w:lang w:val="en-GB"/>
        </w:rPr>
        <w:t>.</w:t>
      </w:r>
    </w:p>
    <w:p w14:paraId="06C3CD69"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Tzschentke, N.A., Kirk, D. and Lynch, P.A. (2007) 'Going green: Decisional factors in small hospitality operations,' International Journal of Hospitality Management, 27(1), pp. 126–133. </w:t>
      </w:r>
      <w:hyperlink r:id="rId74" w:history="1">
        <w:r w:rsidRPr="004621A0">
          <w:rPr>
            <w:rStyle w:val="Hyperlink"/>
            <w:rFonts w:ascii="Arial" w:hAnsi="Arial" w:cs="Arial"/>
            <w:lang w:val="en-GB"/>
          </w:rPr>
          <w:t>https://doi.org/10.1016/j.ijhm.2007.07.010</w:t>
        </w:r>
      </w:hyperlink>
      <w:r w:rsidRPr="004621A0">
        <w:rPr>
          <w:rFonts w:ascii="Arial" w:hAnsi="Arial" w:cs="Arial"/>
          <w:lang w:val="en-GB"/>
        </w:rPr>
        <w:t>.</w:t>
      </w:r>
    </w:p>
    <w:p w14:paraId="20ABEE9E"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Unurlu, Ç. (2021) 'THE EFFECT OF PLACE IDENTITY, PLACE IMAGE AND RESIDENTS WELCOMING TOURISTS ON ATTITUDES TO POSITIVE IMPACTS OF TOURISM,' ENLIGHTENING TOURISM a PATHMAKING JOURNAL, 11(2), p. 470. </w:t>
      </w:r>
      <w:hyperlink r:id="rId75" w:history="1">
        <w:r w:rsidRPr="004621A0">
          <w:rPr>
            <w:rStyle w:val="Hyperlink"/>
            <w:rFonts w:ascii="Arial" w:hAnsi="Arial" w:cs="Arial"/>
            <w:lang w:val="en-GB"/>
          </w:rPr>
          <w:t>https://doi.org/10.33776/et.v11i2.5267</w:t>
        </w:r>
      </w:hyperlink>
      <w:r w:rsidRPr="004621A0">
        <w:rPr>
          <w:rFonts w:ascii="Arial" w:hAnsi="Arial" w:cs="Arial"/>
          <w:lang w:val="en-GB"/>
        </w:rPr>
        <w:t>.</w:t>
      </w:r>
    </w:p>
    <w:p w14:paraId="7EEDE315"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Verma, V.K. and Chandra, B. (2017) 'An application of theory of planned behavior to predict young Indian consumers’ green hotel visit intention,' Journal of Cleaner Production, 172, pp. 1152–1162. </w:t>
      </w:r>
      <w:hyperlink r:id="rId76" w:history="1">
        <w:r w:rsidRPr="004621A0">
          <w:rPr>
            <w:rStyle w:val="Hyperlink"/>
            <w:rFonts w:ascii="Arial" w:hAnsi="Arial" w:cs="Arial"/>
            <w:lang w:val="en-GB"/>
          </w:rPr>
          <w:t>https://doi.org/10.1016/j.jclepro.2017.10.047</w:t>
        </w:r>
      </w:hyperlink>
      <w:r w:rsidRPr="004621A0">
        <w:rPr>
          <w:rFonts w:ascii="Arial" w:hAnsi="Arial" w:cs="Arial"/>
          <w:lang w:val="en-GB"/>
        </w:rPr>
        <w:t>.</w:t>
      </w:r>
    </w:p>
    <w:p w14:paraId="072DABF8" w14:textId="77777777" w:rsidR="001E5D88" w:rsidRPr="004621A0" w:rsidRDefault="001E5D88" w:rsidP="004621A0">
      <w:pPr>
        <w:spacing w:line="360" w:lineRule="auto"/>
        <w:jc w:val="both"/>
        <w:rPr>
          <w:rFonts w:ascii="Arial" w:hAnsi="Arial" w:cs="Arial"/>
          <w:b/>
          <w:bCs/>
          <w:lang w:val="en-GB"/>
        </w:rPr>
      </w:pPr>
      <w:r w:rsidRPr="004621A0">
        <w:rPr>
          <w:rFonts w:ascii="Arial" w:hAnsi="Arial" w:cs="Arial"/>
          <w:lang w:val="en-GB"/>
        </w:rPr>
        <w:t xml:space="preserve">Wan, Y.K.P. and Chan, S.H.J. (2011) 'Factors that Affect the Levels of Tourists’ Satisfaction and Loyalty towards Food Festivals: a Case Study of Macau,' International Journal of Tourism Research, 15(3), pp. 226–240. </w:t>
      </w:r>
      <w:hyperlink r:id="rId77" w:history="1">
        <w:r w:rsidRPr="004621A0">
          <w:rPr>
            <w:rStyle w:val="Hyperlink"/>
            <w:rFonts w:ascii="Arial" w:hAnsi="Arial" w:cs="Arial"/>
            <w:lang w:val="en-GB"/>
          </w:rPr>
          <w:t>https://doi.org/10.1002/jtr.1863</w:t>
        </w:r>
      </w:hyperlink>
      <w:r w:rsidRPr="004621A0">
        <w:rPr>
          <w:rFonts w:ascii="Arial" w:hAnsi="Arial" w:cs="Arial"/>
          <w:lang w:val="en-GB"/>
        </w:rPr>
        <w:t>.</w:t>
      </w:r>
    </w:p>
    <w:p w14:paraId="7E2B0F00"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lastRenderedPageBreak/>
        <w:t xml:space="preserve">Waste and Resources Action Programme (2020) 'Food Waste in the Hospitality and Foodservice Sector,' Available at: </w:t>
      </w:r>
      <w:hyperlink r:id="rId78" w:history="1">
        <w:r w:rsidRPr="004621A0">
          <w:rPr>
            <w:rStyle w:val="Hyperlink"/>
            <w:rFonts w:ascii="Arial" w:hAnsi="Arial" w:cs="Arial"/>
            <w:lang w:val="en-GB"/>
          </w:rPr>
          <w:t>https://www.wrap.ngo/taking-action/food-drink/sectors/hospitality-food-service</w:t>
        </w:r>
      </w:hyperlink>
      <w:r w:rsidRPr="004621A0">
        <w:rPr>
          <w:rFonts w:ascii="Arial" w:hAnsi="Arial" w:cs="Arial"/>
          <w:lang w:val="en-GB"/>
        </w:rPr>
        <w:t xml:space="preserve">  (Accessed: 07 June 2025).</w:t>
      </w:r>
    </w:p>
    <w:p w14:paraId="54EB5EE5"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World Tourism Organization (2019) 'International Guidelines for Sustainable Tourism,' Available at: </w:t>
      </w:r>
      <w:hyperlink r:id="rId79" w:history="1">
        <w:r w:rsidRPr="004621A0">
          <w:rPr>
            <w:rStyle w:val="Hyperlink"/>
            <w:rFonts w:ascii="Arial" w:hAnsi="Arial" w:cs="Arial"/>
            <w:lang w:val="en-GB"/>
          </w:rPr>
          <w:t>https://www.unwto.org/sustainable-development</w:t>
        </w:r>
      </w:hyperlink>
      <w:r w:rsidRPr="004621A0">
        <w:rPr>
          <w:rFonts w:ascii="Arial" w:hAnsi="Arial" w:cs="Arial"/>
          <w:lang w:val="en-GB"/>
        </w:rPr>
        <w:t xml:space="preserve">   (Accessed: 06 June 2025).</w:t>
      </w:r>
    </w:p>
    <w:p w14:paraId="64A4669C"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Yousaf, Z. et al. (2021) 'Environmental Management System towards Environmental Performance of Hotel Industry: Does Corporate Social Responsibility Authenticity Really Matter?,' Engineering Economics, 32(5), pp. 484–498. </w:t>
      </w:r>
      <w:hyperlink r:id="rId80" w:history="1">
        <w:r w:rsidRPr="004621A0">
          <w:rPr>
            <w:rStyle w:val="Hyperlink"/>
            <w:rFonts w:ascii="Arial" w:hAnsi="Arial" w:cs="Arial"/>
            <w:lang w:val="en-GB"/>
          </w:rPr>
          <w:t>https://doi.org/10.5755/j01.ee.32.5.28619</w:t>
        </w:r>
      </w:hyperlink>
      <w:r w:rsidRPr="004621A0">
        <w:rPr>
          <w:rFonts w:ascii="Arial" w:hAnsi="Arial" w:cs="Arial"/>
          <w:lang w:val="en-GB"/>
        </w:rPr>
        <w:t>.</w:t>
      </w:r>
    </w:p>
    <w:p w14:paraId="12014C56" w14:textId="77777777" w:rsidR="001E5D88" w:rsidRPr="004621A0" w:rsidRDefault="001E5D88" w:rsidP="004621A0">
      <w:pPr>
        <w:spacing w:line="360" w:lineRule="auto"/>
        <w:jc w:val="both"/>
        <w:rPr>
          <w:rFonts w:ascii="Arial" w:hAnsi="Arial" w:cs="Arial"/>
          <w:lang w:val="en-GB"/>
        </w:rPr>
      </w:pPr>
      <w:r w:rsidRPr="004621A0">
        <w:rPr>
          <w:rFonts w:ascii="Arial" w:hAnsi="Arial" w:cs="Arial"/>
          <w:lang w:val="en-GB"/>
        </w:rPr>
        <w:t xml:space="preserve">Yu, Y., Li, X. and Jai, T.-M. (2017) 'The impact of green experience on customer satisfaction: evidence from TripAdvisor,' International Journal of Contemporary Hospitality Management, 29(5), pp. 1340–1361. </w:t>
      </w:r>
      <w:hyperlink r:id="rId81" w:history="1">
        <w:r w:rsidRPr="004621A0">
          <w:rPr>
            <w:rStyle w:val="Hyperlink"/>
            <w:rFonts w:ascii="Arial" w:hAnsi="Arial" w:cs="Arial"/>
            <w:lang w:val="en-GB"/>
          </w:rPr>
          <w:t>https://doi.org/10.1108/ijchm-07-2015-0371</w:t>
        </w:r>
      </w:hyperlink>
      <w:r w:rsidRPr="004621A0">
        <w:rPr>
          <w:rFonts w:ascii="Arial" w:hAnsi="Arial" w:cs="Arial"/>
          <w:lang w:val="en-GB"/>
        </w:rPr>
        <w:t>.</w:t>
      </w:r>
    </w:p>
    <w:p w14:paraId="56DA34AA" w14:textId="77777777" w:rsidR="001E5D88" w:rsidRPr="004621A0" w:rsidRDefault="001E5D88" w:rsidP="004621A0">
      <w:pPr>
        <w:spacing w:line="360" w:lineRule="auto"/>
        <w:jc w:val="both"/>
        <w:rPr>
          <w:rFonts w:ascii="Arial" w:hAnsi="Arial" w:cs="Arial"/>
          <w:lang w:val="fr-BE"/>
        </w:rPr>
      </w:pPr>
      <w:r w:rsidRPr="004621A0">
        <w:rPr>
          <w:rFonts w:ascii="Arial" w:hAnsi="Arial" w:cs="Arial"/>
          <w:lang w:val="en-GB"/>
        </w:rPr>
        <w:t xml:space="preserve">Yusof, Z.B. and Jamaludin, M. (2013) 'Green approaches of Malaysian green hotels and resorts,' Procedia - Social and Behavioral Sciences, 85, pp. 421–431. </w:t>
      </w:r>
      <w:hyperlink r:id="rId82" w:history="1">
        <w:r w:rsidRPr="004621A0">
          <w:rPr>
            <w:rStyle w:val="Hyperlink"/>
            <w:rFonts w:ascii="Arial" w:hAnsi="Arial" w:cs="Arial"/>
            <w:lang w:val="fr-BE"/>
          </w:rPr>
          <w:t>https://doi.org/10.1016/j.sbspro.2013.08.371</w:t>
        </w:r>
      </w:hyperlink>
      <w:r w:rsidRPr="004621A0">
        <w:rPr>
          <w:rFonts w:ascii="Arial" w:hAnsi="Arial" w:cs="Arial"/>
          <w:lang w:val="fr-BE"/>
        </w:rPr>
        <w:t>.</w:t>
      </w:r>
    </w:p>
    <w:p w14:paraId="3C0B3F44" w14:textId="696FD648" w:rsidR="00D31A3C" w:rsidRPr="004621A0" w:rsidRDefault="001E5D88" w:rsidP="004621A0">
      <w:pPr>
        <w:spacing w:line="360" w:lineRule="auto"/>
        <w:jc w:val="both"/>
        <w:rPr>
          <w:rFonts w:ascii="Arial" w:hAnsi="Arial" w:cs="Arial"/>
          <w:lang w:val="en-GB"/>
        </w:rPr>
      </w:pPr>
      <w:r w:rsidRPr="004621A0">
        <w:rPr>
          <w:rFonts w:ascii="Arial" w:hAnsi="Arial" w:cs="Arial"/>
          <w:lang w:val="fr-BE"/>
        </w:rPr>
        <w:t xml:space="preserve">Zhang, J.J. et al. </w:t>
      </w:r>
      <w:r w:rsidRPr="004621A0">
        <w:rPr>
          <w:rFonts w:ascii="Arial" w:hAnsi="Arial" w:cs="Arial"/>
          <w:lang w:val="en-GB"/>
        </w:rPr>
        <w:t xml:space="preserve">(2014) 'Eco-efficiency of service co-production,' Cornell Hospitality Quarterly, 55(3), pp. 252–264. </w:t>
      </w:r>
      <w:hyperlink r:id="rId83" w:history="1">
        <w:r w:rsidRPr="004621A0">
          <w:rPr>
            <w:rStyle w:val="Hyperlink"/>
            <w:rFonts w:ascii="Arial" w:hAnsi="Arial" w:cs="Arial"/>
            <w:lang w:val="en-GB"/>
          </w:rPr>
          <w:t>https://doi.org/10.1177/1938965514533988</w:t>
        </w:r>
      </w:hyperlink>
      <w:r w:rsidRPr="004621A0">
        <w:rPr>
          <w:rFonts w:ascii="Arial" w:hAnsi="Arial" w:cs="Arial"/>
          <w:lang w:val="en-GB"/>
        </w:rPr>
        <w:t>.</w:t>
      </w:r>
    </w:p>
    <w:p w14:paraId="72E78A0C" w14:textId="77777777" w:rsidR="00FD5592" w:rsidRPr="004621A0" w:rsidRDefault="00FD5592" w:rsidP="004621A0">
      <w:pPr>
        <w:spacing w:line="360" w:lineRule="auto"/>
        <w:jc w:val="both"/>
        <w:rPr>
          <w:rFonts w:ascii="Arial" w:hAnsi="Arial" w:cs="Arial"/>
        </w:rPr>
      </w:pPr>
    </w:p>
    <w:sectPr w:rsidR="00FD5592" w:rsidRPr="004621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FE3623"/>
    <w:multiLevelType w:val="multilevel"/>
    <w:tmpl w:val="5906C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6F391C"/>
    <w:multiLevelType w:val="multilevel"/>
    <w:tmpl w:val="5CA0F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E1C"/>
    <w:rsid w:val="001B6542"/>
    <w:rsid w:val="001E5D88"/>
    <w:rsid w:val="00370056"/>
    <w:rsid w:val="003C6687"/>
    <w:rsid w:val="00430E44"/>
    <w:rsid w:val="004621A0"/>
    <w:rsid w:val="00482F5E"/>
    <w:rsid w:val="004B4D78"/>
    <w:rsid w:val="004C4F3F"/>
    <w:rsid w:val="00503E1C"/>
    <w:rsid w:val="00585F4C"/>
    <w:rsid w:val="005D566B"/>
    <w:rsid w:val="00614DF3"/>
    <w:rsid w:val="00626041"/>
    <w:rsid w:val="007D026C"/>
    <w:rsid w:val="00812F4C"/>
    <w:rsid w:val="00971947"/>
    <w:rsid w:val="00BC2835"/>
    <w:rsid w:val="00C27287"/>
    <w:rsid w:val="00C32E82"/>
    <w:rsid w:val="00C974D5"/>
    <w:rsid w:val="00D31A3C"/>
    <w:rsid w:val="00D64DCD"/>
    <w:rsid w:val="00DB4464"/>
    <w:rsid w:val="00E5457B"/>
    <w:rsid w:val="00E93E32"/>
    <w:rsid w:val="00EB5CA6"/>
    <w:rsid w:val="00FD5592"/>
    <w:rsid w:val="00FF5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6E513"/>
  <w15:chartTrackingRefBased/>
  <w15:docId w15:val="{9ACA6350-ACB0-4926-A475-C5035639F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ro-RO"/>
    </w:rPr>
  </w:style>
  <w:style w:type="paragraph" w:styleId="Heading1">
    <w:name w:val="heading 1"/>
    <w:basedOn w:val="Normal"/>
    <w:next w:val="Normal"/>
    <w:link w:val="Heading1Char"/>
    <w:uiPriority w:val="9"/>
    <w:qFormat/>
    <w:rsid w:val="00971947"/>
    <w:pPr>
      <w:keepNext/>
      <w:keepLines/>
      <w:spacing w:after="0" w:line="360" w:lineRule="auto"/>
      <w:jc w:val="both"/>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971947"/>
    <w:pPr>
      <w:keepNext/>
      <w:keepLines/>
      <w:spacing w:after="0" w:line="360" w:lineRule="auto"/>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503E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3E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3E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3E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E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E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E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947"/>
    <w:rPr>
      <w:rFonts w:ascii="Arial" w:eastAsiaTheme="majorEastAsia" w:hAnsi="Arial" w:cstheme="majorBidi"/>
      <w:b/>
      <w:color w:val="000000" w:themeColor="text1"/>
      <w:sz w:val="28"/>
      <w:szCs w:val="40"/>
      <w:lang w:val="ro-RO"/>
    </w:rPr>
  </w:style>
  <w:style w:type="character" w:customStyle="1" w:styleId="Heading2Char">
    <w:name w:val="Heading 2 Char"/>
    <w:basedOn w:val="DefaultParagraphFont"/>
    <w:link w:val="Heading2"/>
    <w:uiPriority w:val="9"/>
    <w:rsid w:val="00971947"/>
    <w:rPr>
      <w:rFonts w:ascii="Arial" w:eastAsiaTheme="majorEastAsia" w:hAnsi="Arial" w:cstheme="majorBidi"/>
      <w:b/>
      <w:color w:val="000000" w:themeColor="text1"/>
      <w:szCs w:val="32"/>
      <w:lang w:val="ro-RO"/>
    </w:rPr>
  </w:style>
  <w:style w:type="character" w:customStyle="1" w:styleId="Heading3Char">
    <w:name w:val="Heading 3 Char"/>
    <w:basedOn w:val="DefaultParagraphFont"/>
    <w:link w:val="Heading3"/>
    <w:uiPriority w:val="9"/>
    <w:semiHidden/>
    <w:rsid w:val="00503E1C"/>
    <w:rPr>
      <w:rFonts w:eastAsiaTheme="majorEastAsia" w:cstheme="majorBidi"/>
      <w:color w:val="0F4761" w:themeColor="accent1" w:themeShade="BF"/>
      <w:sz w:val="28"/>
      <w:szCs w:val="28"/>
      <w:lang w:val="ro-RO"/>
    </w:rPr>
  </w:style>
  <w:style w:type="character" w:customStyle="1" w:styleId="Heading4Char">
    <w:name w:val="Heading 4 Char"/>
    <w:basedOn w:val="DefaultParagraphFont"/>
    <w:link w:val="Heading4"/>
    <w:uiPriority w:val="9"/>
    <w:semiHidden/>
    <w:rsid w:val="00503E1C"/>
    <w:rPr>
      <w:rFonts w:eastAsiaTheme="majorEastAsia" w:cstheme="majorBidi"/>
      <w:i/>
      <w:iCs/>
      <w:color w:val="0F4761" w:themeColor="accent1" w:themeShade="BF"/>
      <w:lang w:val="ro-RO"/>
    </w:rPr>
  </w:style>
  <w:style w:type="character" w:customStyle="1" w:styleId="Heading5Char">
    <w:name w:val="Heading 5 Char"/>
    <w:basedOn w:val="DefaultParagraphFont"/>
    <w:link w:val="Heading5"/>
    <w:uiPriority w:val="9"/>
    <w:semiHidden/>
    <w:rsid w:val="00503E1C"/>
    <w:rPr>
      <w:rFonts w:eastAsiaTheme="majorEastAsia" w:cstheme="majorBidi"/>
      <w:color w:val="0F4761" w:themeColor="accent1" w:themeShade="BF"/>
      <w:lang w:val="ro-RO"/>
    </w:rPr>
  </w:style>
  <w:style w:type="character" w:customStyle="1" w:styleId="Heading6Char">
    <w:name w:val="Heading 6 Char"/>
    <w:basedOn w:val="DefaultParagraphFont"/>
    <w:link w:val="Heading6"/>
    <w:uiPriority w:val="9"/>
    <w:semiHidden/>
    <w:rsid w:val="00503E1C"/>
    <w:rPr>
      <w:rFonts w:eastAsiaTheme="majorEastAsia" w:cstheme="majorBidi"/>
      <w:i/>
      <w:iCs/>
      <w:color w:val="595959" w:themeColor="text1" w:themeTint="A6"/>
      <w:lang w:val="ro-RO"/>
    </w:rPr>
  </w:style>
  <w:style w:type="character" w:customStyle="1" w:styleId="Heading7Char">
    <w:name w:val="Heading 7 Char"/>
    <w:basedOn w:val="DefaultParagraphFont"/>
    <w:link w:val="Heading7"/>
    <w:uiPriority w:val="9"/>
    <w:semiHidden/>
    <w:rsid w:val="00503E1C"/>
    <w:rPr>
      <w:rFonts w:eastAsiaTheme="majorEastAsia" w:cstheme="majorBidi"/>
      <w:color w:val="595959" w:themeColor="text1" w:themeTint="A6"/>
      <w:lang w:val="ro-RO"/>
    </w:rPr>
  </w:style>
  <w:style w:type="character" w:customStyle="1" w:styleId="Heading8Char">
    <w:name w:val="Heading 8 Char"/>
    <w:basedOn w:val="DefaultParagraphFont"/>
    <w:link w:val="Heading8"/>
    <w:uiPriority w:val="9"/>
    <w:semiHidden/>
    <w:rsid w:val="00503E1C"/>
    <w:rPr>
      <w:rFonts w:eastAsiaTheme="majorEastAsia" w:cstheme="majorBidi"/>
      <w:i/>
      <w:iCs/>
      <w:color w:val="272727" w:themeColor="text1" w:themeTint="D8"/>
      <w:lang w:val="ro-RO"/>
    </w:rPr>
  </w:style>
  <w:style w:type="character" w:customStyle="1" w:styleId="Heading9Char">
    <w:name w:val="Heading 9 Char"/>
    <w:basedOn w:val="DefaultParagraphFont"/>
    <w:link w:val="Heading9"/>
    <w:uiPriority w:val="9"/>
    <w:semiHidden/>
    <w:rsid w:val="00503E1C"/>
    <w:rPr>
      <w:rFonts w:eastAsiaTheme="majorEastAsia" w:cstheme="majorBidi"/>
      <w:color w:val="272727" w:themeColor="text1" w:themeTint="D8"/>
      <w:lang w:val="ro-RO"/>
    </w:rPr>
  </w:style>
  <w:style w:type="paragraph" w:styleId="Title">
    <w:name w:val="Title"/>
    <w:basedOn w:val="Normal"/>
    <w:next w:val="Normal"/>
    <w:link w:val="TitleChar"/>
    <w:uiPriority w:val="10"/>
    <w:qFormat/>
    <w:rsid w:val="00503E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E1C"/>
    <w:rPr>
      <w:rFonts w:asciiTheme="majorHAnsi" w:eastAsiaTheme="majorEastAsia" w:hAnsiTheme="majorHAnsi" w:cstheme="majorBidi"/>
      <w:spacing w:val="-10"/>
      <w:kern w:val="28"/>
      <w:sz w:val="56"/>
      <w:szCs w:val="56"/>
      <w:lang w:val="ro-RO"/>
    </w:rPr>
  </w:style>
  <w:style w:type="paragraph" w:styleId="Subtitle">
    <w:name w:val="Subtitle"/>
    <w:basedOn w:val="Normal"/>
    <w:next w:val="Normal"/>
    <w:link w:val="SubtitleChar"/>
    <w:uiPriority w:val="11"/>
    <w:qFormat/>
    <w:rsid w:val="00503E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E1C"/>
    <w:rPr>
      <w:rFonts w:eastAsiaTheme="majorEastAsia" w:cstheme="majorBidi"/>
      <w:color w:val="595959" w:themeColor="text1" w:themeTint="A6"/>
      <w:spacing w:val="15"/>
      <w:sz w:val="28"/>
      <w:szCs w:val="28"/>
      <w:lang w:val="ro-RO"/>
    </w:rPr>
  </w:style>
  <w:style w:type="paragraph" w:styleId="Quote">
    <w:name w:val="Quote"/>
    <w:basedOn w:val="Normal"/>
    <w:next w:val="Normal"/>
    <w:link w:val="QuoteChar"/>
    <w:uiPriority w:val="29"/>
    <w:qFormat/>
    <w:rsid w:val="00503E1C"/>
    <w:pPr>
      <w:spacing w:before="160"/>
      <w:jc w:val="center"/>
    </w:pPr>
    <w:rPr>
      <w:i/>
      <w:iCs/>
      <w:color w:val="404040" w:themeColor="text1" w:themeTint="BF"/>
    </w:rPr>
  </w:style>
  <w:style w:type="character" w:customStyle="1" w:styleId="QuoteChar">
    <w:name w:val="Quote Char"/>
    <w:basedOn w:val="DefaultParagraphFont"/>
    <w:link w:val="Quote"/>
    <w:uiPriority w:val="29"/>
    <w:rsid w:val="00503E1C"/>
    <w:rPr>
      <w:i/>
      <w:iCs/>
      <w:color w:val="404040" w:themeColor="text1" w:themeTint="BF"/>
      <w:lang w:val="ro-RO"/>
    </w:rPr>
  </w:style>
  <w:style w:type="paragraph" w:styleId="ListParagraph">
    <w:name w:val="List Paragraph"/>
    <w:basedOn w:val="Normal"/>
    <w:uiPriority w:val="34"/>
    <w:qFormat/>
    <w:rsid w:val="00503E1C"/>
    <w:pPr>
      <w:ind w:left="720"/>
      <w:contextualSpacing/>
    </w:pPr>
  </w:style>
  <w:style w:type="character" w:styleId="IntenseEmphasis">
    <w:name w:val="Intense Emphasis"/>
    <w:basedOn w:val="DefaultParagraphFont"/>
    <w:uiPriority w:val="21"/>
    <w:qFormat/>
    <w:rsid w:val="00503E1C"/>
    <w:rPr>
      <w:i/>
      <w:iCs/>
      <w:color w:val="0F4761" w:themeColor="accent1" w:themeShade="BF"/>
    </w:rPr>
  </w:style>
  <w:style w:type="paragraph" w:styleId="IntenseQuote">
    <w:name w:val="Intense Quote"/>
    <w:basedOn w:val="Normal"/>
    <w:next w:val="Normal"/>
    <w:link w:val="IntenseQuoteChar"/>
    <w:uiPriority w:val="30"/>
    <w:qFormat/>
    <w:rsid w:val="00503E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3E1C"/>
    <w:rPr>
      <w:i/>
      <w:iCs/>
      <w:color w:val="0F4761" w:themeColor="accent1" w:themeShade="BF"/>
      <w:lang w:val="ro-RO"/>
    </w:rPr>
  </w:style>
  <w:style w:type="character" w:styleId="IntenseReference">
    <w:name w:val="Intense Reference"/>
    <w:basedOn w:val="DefaultParagraphFont"/>
    <w:uiPriority w:val="32"/>
    <w:qFormat/>
    <w:rsid w:val="00503E1C"/>
    <w:rPr>
      <w:b/>
      <w:bCs/>
      <w:smallCaps/>
      <w:color w:val="0F4761" w:themeColor="accent1" w:themeShade="BF"/>
      <w:spacing w:val="5"/>
    </w:rPr>
  </w:style>
  <w:style w:type="character" w:styleId="Hyperlink">
    <w:name w:val="Hyperlink"/>
    <w:basedOn w:val="DefaultParagraphFont"/>
    <w:uiPriority w:val="99"/>
    <w:unhideWhenUsed/>
    <w:rsid w:val="001E5D88"/>
    <w:rPr>
      <w:color w:val="467886" w:themeColor="hyperlink"/>
      <w:u w:val="single"/>
    </w:rPr>
  </w:style>
  <w:style w:type="paragraph" w:styleId="TOCHeading">
    <w:name w:val="TOC Heading"/>
    <w:basedOn w:val="Heading1"/>
    <w:next w:val="Normal"/>
    <w:uiPriority w:val="39"/>
    <w:unhideWhenUsed/>
    <w:qFormat/>
    <w:rsid w:val="00DB4464"/>
    <w:pPr>
      <w:spacing w:before="24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DB4464"/>
    <w:pPr>
      <w:spacing w:after="100"/>
    </w:pPr>
  </w:style>
  <w:style w:type="paragraph" w:styleId="TOC2">
    <w:name w:val="toc 2"/>
    <w:basedOn w:val="Normal"/>
    <w:next w:val="Normal"/>
    <w:autoRedefine/>
    <w:uiPriority w:val="39"/>
    <w:unhideWhenUsed/>
    <w:rsid w:val="00DB446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475423">
      <w:bodyDiv w:val="1"/>
      <w:marLeft w:val="0"/>
      <w:marRight w:val="0"/>
      <w:marTop w:val="0"/>
      <w:marBottom w:val="0"/>
      <w:divBdr>
        <w:top w:val="none" w:sz="0" w:space="0" w:color="auto"/>
        <w:left w:val="none" w:sz="0" w:space="0" w:color="auto"/>
        <w:bottom w:val="none" w:sz="0" w:space="0" w:color="auto"/>
        <w:right w:val="none" w:sz="0" w:space="0" w:color="auto"/>
      </w:divBdr>
    </w:div>
    <w:div w:id="288164954">
      <w:bodyDiv w:val="1"/>
      <w:marLeft w:val="0"/>
      <w:marRight w:val="0"/>
      <w:marTop w:val="0"/>
      <w:marBottom w:val="0"/>
      <w:divBdr>
        <w:top w:val="none" w:sz="0" w:space="0" w:color="auto"/>
        <w:left w:val="none" w:sz="0" w:space="0" w:color="auto"/>
        <w:bottom w:val="none" w:sz="0" w:space="0" w:color="auto"/>
        <w:right w:val="none" w:sz="0" w:space="0" w:color="auto"/>
      </w:divBdr>
    </w:div>
    <w:div w:id="357705307">
      <w:bodyDiv w:val="1"/>
      <w:marLeft w:val="0"/>
      <w:marRight w:val="0"/>
      <w:marTop w:val="0"/>
      <w:marBottom w:val="0"/>
      <w:divBdr>
        <w:top w:val="none" w:sz="0" w:space="0" w:color="auto"/>
        <w:left w:val="none" w:sz="0" w:space="0" w:color="auto"/>
        <w:bottom w:val="none" w:sz="0" w:space="0" w:color="auto"/>
        <w:right w:val="none" w:sz="0" w:space="0" w:color="auto"/>
      </w:divBdr>
    </w:div>
    <w:div w:id="526911366">
      <w:bodyDiv w:val="1"/>
      <w:marLeft w:val="0"/>
      <w:marRight w:val="0"/>
      <w:marTop w:val="0"/>
      <w:marBottom w:val="0"/>
      <w:divBdr>
        <w:top w:val="none" w:sz="0" w:space="0" w:color="auto"/>
        <w:left w:val="none" w:sz="0" w:space="0" w:color="auto"/>
        <w:bottom w:val="none" w:sz="0" w:space="0" w:color="auto"/>
        <w:right w:val="none" w:sz="0" w:space="0" w:color="auto"/>
      </w:divBdr>
    </w:div>
    <w:div w:id="760757123">
      <w:bodyDiv w:val="1"/>
      <w:marLeft w:val="0"/>
      <w:marRight w:val="0"/>
      <w:marTop w:val="0"/>
      <w:marBottom w:val="0"/>
      <w:divBdr>
        <w:top w:val="none" w:sz="0" w:space="0" w:color="auto"/>
        <w:left w:val="none" w:sz="0" w:space="0" w:color="auto"/>
        <w:bottom w:val="none" w:sz="0" w:space="0" w:color="auto"/>
        <w:right w:val="none" w:sz="0" w:space="0" w:color="auto"/>
      </w:divBdr>
    </w:div>
    <w:div w:id="835071259">
      <w:bodyDiv w:val="1"/>
      <w:marLeft w:val="0"/>
      <w:marRight w:val="0"/>
      <w:marTop w:val="0"/>
      <w:marBottom w:val="0"/>
      <w:divBdr>
        <w:top w:val="none" w:sz="0" w:space="0" w:color="auto"/>
        <w:left w:val="none" w:sz="0" w:space="0" w:color="auto"/>
        <w:bottom w:val="none" w:sz="0" w:space="0" w:color="auto"/>
        <w:right w:val="none" w:sz="0" w:space="0" w:color="auto"/>
      </w:divBdr>
    </w:div>
    <w:div w:id="1071082738">
      <w:bodyDiv w:val="1"/>
      <w:marLeft w:val="0"/>
      <w:marRight w:val="0"/>
      <w:marTop w:val="0"/>
      <w:marBottom w:val="0"/>
      <w:divBdr>
        <w:top w:val="none" w:sz="0" w:space="0" w:color="auto"/>
        <w:left w:val="none" w:sz="0" w:space="0" w:color="auto"/>
        <w:bottom w:val="none" w:sz="0" w:space="0" w:color="auto"/>
        <w:right w:val="none" w:sz="0" w:space="0" w:color="auto"/>
      </w:divBdr>
    </w:div>
    <w:div w:id="1110200280">
      <w:bodyDiv w:val="1"/>
      <w:marLeft w:val="0"/>
      <w:marRight w:val="0"/>
      <w:marTop w:val="0"/>
      <w:marBottom w:val="0"/>
      <w:divBdr>
        <w:top w:val="none" w:sz="0" w:space="0" w:color="auto"/>
        <w:left w:val="none" w:sz="0" w:space="0" w:color="auto"/>
        <w:bottom w:val="none" w:sz="0" w:space="0" w:color="auto"/>
        <w:right w:val="none" w:sz="0" w:space="0" w:color="auto"/>
      </w:divBdr>
    </w:div>
    <w:div w:id="1172449344">
      <w:bodyDiv w:val="1"/>
      <w:marLeft w:val="0"/>
      <w:marRight w:val="0"/>
      <w:marTop w:val="0"/>
      <w:marBottom w:val="0"/>
      <w:divBdr>
        <w:top w:val="none" w:sz="0" w:space="0" w:color="auto"/>
        <w:left w:val="none" w:sz="0" w:space="0" w:color="auto"/>
        <w:bottom w:val="none" w:sz="0" w:space="0" w:color="auto"/>
        <w:right w:val="none" w:sz="0" w:space="0" w:color="auto"/>
      </w:divBdr>
    </w:div>
    <w:div w:id="1290867166">
      <w:bodyDiv w:val="1"/>
      <w:marLeft w:val="0"/>
      <w:marRight w:val="0"/>
      <w:marTop w:val="0"/>
      <w:marBottom w:val="0"/>
      <w:divBdr>
        <w:top w:val="none" w:sz="0" w:space="0" w:color="auto"/>
        <w:left w:val="none" w:sz="0" w:space="0" w:color="auto"/>
        <w:bottom w:val="none" w:sz="0" w:space="0" w:color="auto"/>
        <w:right w:val="none" w:sz="0" w:space="0" w:color="auto"/>
      </w:divBdr>
    </w:div>
    <w:div w:id="1348142099">
      <w:bodyDiv w:val="1"/>
      <w:marLeft w:val="0"/>
      <w:marRight w:val="0"/>
      <w:marTop w:val="0"/>
      <w:marBottom w:val="0"/>
      <w:divBdr>
        <w:top w:val="none" w:sz="0" w:space="0" w:color="auto"/>
        <w:left w:val="none" w:sz="0" w:space="0" w:color="auto"/>
        <w:bottom w:val="none" w:sz="0" w:space="0" w:color="auto"/>
        <w:right w:val="none" w:sz="0" w:space="0" w:color="auto"/>
      </w:divBdr>
    </w:div>
    <w:div w:id="1595478228">
      <w:bodyDiv w:val="1"/>
      <w:marLeft w:val="0"/>
      <w:marRight w:val="0"/>
      <w:marTop w:val="0"/>
      <w:marBottom w:val="0"/>
      <w:divBdr>
        <w:top w:val="none" w:sz="0" w:space="0" w:color="auto"/>
        <w:left w:val="none" w:sz="0" w:space="0" w:color="auto"/>
        <w:bottom w:val="none" w:sz="0" w:space="0" w:color="auto"/>
        <w:right w:val="none" w:sz="0" w:space="0" w:color="auto"/>
      </w:divBdr>
    </w:div>
    <w:div w:id="1616477015">
      <w:bodyDiv w:val="1"/>
      <w:marLeft w:val="0"/>
      <w:marRight w:val="0"/>
      <w:marTop w:val="0"/>
      <w:marBottom w:val="0"/>
      <w:divBdr>
        <w:top w:val="none" w:sz="0" w:space="0" w:color="auto"/>
        <w:left w:val="none" w:sz="0" w:space="0" w:color="auto"/>
        <w:bottom w:val="none" w:sz="0" w:space="0" w:color="auto"/>
        <w:right w:val="none" w:sz="0" w:space="0" w:color="auto"/>
      </w:divBdr>
    </w:div>
    <w:div w:id="2088111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tourman.2018.10.009" TargetMode="External"/><Relationship Id="rId21" Type="http://schemas.openxmlformats.org/officeDocument/2006/relationships/hyperlink" Target="https://doi.org/10.4324/9781849776660" TargetMode="External"/><Relationship Id="rId42" Type="http://schemas.openxmlformats.org/officeDocument/2006/relationships/hyperlink" Target="https://doi.org/10.21837/pmjournal.v15.i4.317" TargetMode="External"/><Relationship Id="rId47" Type="http://schemas.openxmlformats.org/officeDocument/2006/relationships/hyperlink" Target="https://doi.org/10.1098/rsos.160764" TargetMode="External"/><Relationship Id="rId63" Type="http://schemas.openxmlformats.org/officeDocument/2006/relationships/hyperlink" Target="https://doi.org/10.1016/j.ijhm.2019.102392" TargetMode="External"/><Relationship Id="rId68" Type="http://schemas.openxmlformats.org/officeDocument/2006/relationships/hyperlink" Target="https://doi.org/10.1108/08876041011031127" TargetMode="External"/><Relationship Id="rId84" Type="http://schemas.openxmlformats.org/officeDocument/2006/relationships/fontTable" Target="fontTable.xml"/><Relationship Id="rId16" Type="http://schemas.openxmlformats.org/officeDocument/2006/relationships/hyperlink" Target="https://doi.org/10.1108/ijcthr-12-2014-0100" TargetMode="External"/><Relationship Id="rId11" Type="http://schemas.openxmlformats.org/officeDocument/2006/relationships/hyperlink" Target="https://doi.org/10.1016/j.biortech.2020.123575" TargetMode="External"/><Relationship Id="rId32" Type="http://schemas.openxmlformats.org/officeDocument/2006/relationships/hyperlink" Target="https://doi.org/10.1016/j.tourman.2010.04.006.4" TargetMode="External"/><Relationship Id="rId37" Type="http://schemas.openxmlformats.org/officeDocument/2006/relationships/hyperlink" Target="https://doi.org/10.1057/thr.2009.31" TargetMode="External"/><Relationship Id="rId53" Type="http://schemas.openxmlformats.org/officeDocument/2006/relationships/hyperlink" Target="https://doi.org/10.1016/j.jenvman.2009.05.007" TargetMode="External"/><Relationship Id="rId58" Type="http://schemas.openxmlformats.org/officeDocument/2006/relationships/hyperlink" Target="https://doi.org/10.1080/19368623.2012.624294" TargetMode="External"/><Relationship Id="rId74" Type="http://schemas.openxmlformats.org/officeDocument/2006/relationships/hyperlink" Target="https://doi.org/10.1016/j.ijhm.2007.07.010" TargetMode="External"/><Relationship Id="rId79" Type="http://schemas.openxmlformats.org/officeDocument/2006/relationships/hyperlink" Target="https://www.unwto.org/sustainable-development" TargetMode="External"/><Relationship Id="rId5" Type="http://schemas.openxmlformats.org/officeDocument/2006/relationships/webSettings" Target="webSettings.xml"/><Relationship Id="rId19" Type="http://schemas.openxmlformats.org/officeDocument/2006/relationships/hyperlink" Target="https://doi.org/10.1016/j.jclepro.2017.10.148" TargetMode="External"/><Relationship Id="rId14" Type="http://schemas.openxmlformats.org/officeDocument/2006/relationships/hyperlink" Target="https://doi.org/10.1177/1356766706062154" TargetMode="External"/><Relationship Id="rId22" Type="http://schemas.openxmlformats.org/officeDocument/2006/relationships/hyperlink" Target="https://doi.org/10.1016/j.enbuild.2011.07.001" TargetMode="External"/><Relationship Id="rId27" Type="http://schemas.openxmlformats.org/officeDocument/2006/relationships/hyperlink" Target="https://doi.org/10.1016/j.jclepro.2017.07.229" TargetMode="External"/><Relationship Id="rId30" Type="http://schemas.openxmlformats.org/officeDocument/2006/relationships/hyperlink" Target="https://doi.org/10.1016/j.ijhm.2016.01.010" TargetMode="External"/><Relationship Id="rId35" Type="http://schemas.openxmlformats.org/officeDocument/2006/relationships/hyperlink" Target="https://doi.org/10.1016/j.ijhm.2018.03.012" TargetMode="External"/><Relationship Id="rId43" Type="http://schemas.openxmlformats.org/officeDocument/2006/relationships/hyperlink" Target="https://doi.org/10.1016/j.jhtm.2020.03.004" TargetMode="External"/><Relationship Id="rId48" Type="http://schemas.openxmlformats.org/officeDocument/2006/relationships/hyperlink" Target="https://doi.org/10.1080/09669581003777747" TargetMode="External"/><Relationship Id="rId56" Type="http://schemas.openxmlformats.org/officeDocument/2006/relationships/hyperlink" Target="https://doi.org/10.1002/jtr.1939" TargetMode="External"/><Relationship Id="rId64" Type="http://schemas.openxmlformats.org/officeDocument/2006/relationships/hyperlink" Target="https://doi.org/10.1016/j.jenvman.2014.07.038" TargetMode="External"/><Relationship Id="rId69" Type="http://schemas.openxmlformats.org/officeDocument/2006/relationships/hyperlink" Target="https://doi.org/10.1080/13504509.2019.1666754" TargetMode="External"/><Relationship Id="rId77" Type="http://schemas.openxmlformats.org/officeDocument/2006/relationships/hyperlink" Target="https://doi.org/10.1002/jtr.1863" TargetMode="External"/><Relationship Id="rId8" Type="http://schemas.openxmlformats.org/officeDocument/2006/relationships/hyperlink" Target="https://doi.org/10.1108/00070700910992961" TargetMode="External"/><Relationship Id="rId51" Type="http://schemas.openxmlformats.org/officeDocument/2006/relationships/hyperlink" Target="https://doi.org/10.3390/su142417050" TargetMode="External"/><Relationship Id="rId72" Type="http://schemas.openxmlformats.org/officeDocument/2006/relationships/hyperlink" Target="https://thesra.org/the-food-made-good-standard/" TargetMode="External"/><Relationship Id="rId80" Type="http://schemas.openxmlformats.org/officeDocument/2006/relationships/hyperlink" Target="https://doi.org/10.5755/j01.ee.32.5.28619"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016/j.jdmm.2016.04.005" TargetMode="External"/><Relationship Id="rId17" Type="http://schemas.openxmlformats.org/officeDocument/2006/relationships/hyperlink" Target="https://doi.org/10.1016/j.jclepro.2013.04.007" TargetMode="External"/><Relationship Id="rId25" Type="http://schemas.openxmlformats.org/officeDocument/2006/relationships/hyperlink" Target="https://doi.org/10.1016/j.tourman.2018.10.009" TargetMode="External"/><Relationship Id="rId33" Type="http://schemas.openxmlformats.org/officeDocument/2006/relationships/hyperlink" Target="https://www.dinegreen.com/certification-standards" TargetMode="External"/><Relationship Id="rId38" Type="http://schemas.openxmlformats.org/officeDocument/2006/relationships/hyperlink" Target="https://doi.org/10.1080/09669582.2012.708041" TargetMode="External"/><Relationship Id="rId46" Type="http://schemas.openxmlformats.org/officeDocument/2006/relationships/hyperlink" Target="https://doi.org/10.1016/j.jenvman.2018.09.064" TargetMode="External"/><Relationship Id="rId59" Type="http://schemas.openxmlformats.org/officeDocument/2006/relationships/hyperlink" Target="https://doi.org/10.1080/09669582.2011.645577" TargetMode="External"/><Relationship Id="rId67" Type="http://schemas.openxmlformats.org/officeDocument/2006/relationships/hyperlink" Target="https://doi.org/10.1108/ijchm-04-2014-0202" TargetMode="External"/><Relationship Id="rId20" Type="http://schemas.openxmlformats.org/officeDocument/2006/relationships/hyperlink" Target="https://doi.org/10.1016/j.tourman.2012.09.006" TargetMode="External"/><Relationship Id="rId41" Type="http://schemas.openxmlformats.org/officeDocument/2006/relationships/hyperlink" Target="https://doi.org/10.1108/ijchm-10-2012-0180" TargetMode="External"/><Relationship Id="rId54" Type="http://schemas.openxmlformats.org/officeDocument/2006/relationships/hyperlink" Target="https://doi.org/10.1108/09596110710757534" TargetMode="External"/><Relationship Id="rId62" Type="http://schemas.openxmlformats.org/officeDocument/2006/relationships/hyperlink" Target="https://doi.org/10.1111/j.1470-6431.2010.00869.x" TargetMode="External"/><Relationship Id="rId70" Type="http://schemas.openxmlformats.org/officeDocument/2006/relationships/hyperlink" Target="https://doi.org/10.1016/j.ijhm.2020.102661" TargetMode="External"/><Relationship Id="rId75" Type="http://schemas.openxmlformats.org/officeDocument/2006/relationships/hyperlink" Target="https://doi.org/10.33776/et.v11i2.5267" TargetMode="External"/><Relationship Id="rId83" Type="http://schemas.openxmlformats.org/officeDocument/2006/relationships/hyperlink" Target="https://doi.org/10.1177/1938965514533988"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doi.org/10.1177/1096348014550873" TargetMode="External"/><Relationship Id="rId23" Type="http://schemas.openxmlformats.org/officeDocument/2006/relationships/hyperlink" Target="https://doi.org/10.1108/09596110010330840" TargetMode="External"/><Relationship Id="rId28" Type="http://schemas.openxmlformats.org/officeDocument/2006/relationships/hyperlink" Target="https://doi.org/10.1016/j.jclepro.2019.119105" TargetMode="External"/><Relationship Id="rId36" Type="http://schemas.openxmlformats.org/officeDocument/2006/relationships/hyperlink" Target="https://doi.org/10.1016/j.ijhm.2019.01.013" TargetMode="External"/><Relationship Id="rId49" Type="http://schemas.openxmlformats.org/officeDocument/2006/relationships/hyperlink" Target="https://doi.org/10.4324/9780203116265" TargetMode="External"/><Relationship Id="rId57" Type="http://schemas.openxmlformats.org/officeDocument/2006/relationships/hyperlink" Target="https://doi.org/10.1177/1938965511409031" TargetMode="External"/><Relationship Id="rId10" Type="http://schemas.openxmlformats.org/officeDocument/2006/relationships/hyperlink" Target="https://doi.org/10.1177/1938965513496315" TargetMode="External"/><Relationship Id="rId31" Type="http://schemas.openxmlformats.org/officeDocument/2006/relationships/hyperlink" Target="https://doi.org/10.3390/su12020513" TargetMode="External"/><Relationship Id="rId44" Type="http://schemas.openxmlformats.org/officeDocument/2006/relationships/hyperlink" Target="https://doi.org/10.1080/09669582.2010.490300" TargetMode="External"/><Relationship Id="rId52" Type="http://schemas.openxmlformats.org/officeDocument/2006/relationships/hyperlink" Target="https://doi.org/10.1016/j.scitotenv.2020.138126" TargetMode="External"/><Relationship Id="rId60" Type="http://schemas.openxmlformats.org/officeDocument/2006/relationships/hyperlink" Target="https://doi.org/10.1108/09596111011066626" TargetMode="External"/><Relationship Id="rId65" Type="http://schemas.openxmlformats.org/officeDocument/2006/relationships/hyperlink" Target="https://doi.org/10.1108/meq-03-2022-0090" TargetMode="External"/><Relationship Id="rId73" Type="http://schemas.openxmlformats.org/officeDocument/2006/relationships/hyperlink" Target="https://doi.org/10.1177/1096348012471383" TargetMode="External"/><Relationship Id="rId78" Type="http://schemas.openxmlformats.org/officeDocument/2006/relationships/hyperlink" Target="https://www.wrap.ngo/taking-action/food-drink/sectors/hospitality-food-service" TargetMode="External"/><Relationship Id="rId81" Type="http://schemas.openxmlformats.org/officeDocument/2006/relationships/hyperlink" Target="https://doi.org/10.1108/ijchm-07-2015-0371" TargetMode="External"/><Relationship Id="rId4" Type="http://schemas.openxmlformats.org/officeDocument/2006/relationships/settings" Target="settings.xml"/><Relationship Id="rId9" Type="http://schemas.openxmlformats.org/officeDocument/2006/relationships/hyperlink" Target="https://doi.org/10.3390/su14138171" TargetMode="External"/><Relationship Id="rId13" Type="http://schemas.openxmlformats.org/officeDocument/2006/relationships/hyperlink" Target="https://doi.org/10.1108/ijchm-02-2015-0076" TargetMode="External"/><Relationship Id="rId18" Type="http://schemas.openxmlformats.org/officeDocument/2006/relationships/hyperlink" Target="https://doi.org/10.1080/10963758.2022.2056470" TargetMode="External"/><Relationship Id="rId39" Type="http://schemas.openxmlformats.org/officeDocument/2006/relationships/hyperlink" Target="https://www.unwto.org/hotel-energy-solution" TargetMode="External"/><Relationship Id="rId34" Type="http://schemas.openxmlformats.org/officeDocument/2006/relationships/hyperlink" Target="https://doi.org/10.1016/j.ijhm.2010.01.001" TargetMode="External"/><Relationship Id="rId50" Type="http://schemas.openxmlformats.org/officeDocument/2006/relationships/hyperlink" Target="https://doi.org/10.1016/j.tourman.2012.06.003" TargetMode="External"/><Relationship Id="rId55" Type="http://schemas.openxmlformats.org/officeDocument/2006/relationships/hyperlink" Target="https://doi.org/10.1016/j.tourman.2018.08.030" TargetMode="External"/><Relationship Id="rId76" Type="http://schemas.openxmlformats.org/officeDocument/2006/relationships/hyperlink" Target="https://doi.org/10.1016/j.jclepro.2017.10.047" TargetMode="External"/><Relationship Id="rId7" Type="http://schemas.openxmlformats.org/officeDocument/2006/relationships/hyperlink" Target="https://doi.org/10.3390/su12229624" TargetMode="External"/><Relationship Id="rId71" Type="http://schemas.openxmlformats.org/officeDocument/2006/relationships/hyperlink" Target="https://doi.org/10.1002/jtr.554" TargetMode="External"/><Relationship Id="rId2" Type="http://schemas.openxmlformats.org/officeDocument/2006/relationships/numbering" Target="numbering.xml"/><Relationship Id="rId29" Type="http://schemas.openxmlformats.org/officeDocument/2006/relationships/hyperlink" Target="https://doi.org/10.1080/09669582.2017.1301721" TargetMode="External"/><Relationship Id="rId24" Type="http://schemas.openxmlformats.org/officeDocument/2006/relationships/hyperlink" Target="https://doi.org/10.1016/j.scitotenv.2020.138858" TargetMode="External"/><Relationship Id="rId40" Type="http://schemas.openxmlformats.org/officeDocument/2006/relationships/hyperlink" Target="https://doi.org/10.1016/j.ijhm.2014.03.002" TargetMode="External"/><Relationship Id="rId45" Type="http://schemas.openxmlformats.org/officeDocument/2006/relationships/hyperlink" Target="https://doi.org/10.1080/21568316.2013.852991" TargetMode="External"/><Relationship Id="rId66" Type="http://schemas.openxmlformats.org/officeDocument/2006/relationships/hyperlink" Target="https://doi.org/10.1016/j.ijhm.2015.09.007" TargetMode="External"/><Relationship Id="rId61" Type="http://schemas.openxmlformats.org/officeDocument/2006/relationships/hyperlink" Target="https://doi.org/10.1016/j.jhtm.2019.04.008" TargetMode="External"/><Relationship Id="rId82" Type="http://schemas.openxmlformats.org/officeDocument/2006/relationships/hyperlink" Target="https://doi.org/10.1016/j.sbspro.2013.08.3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63045E-4C7D-4171-92E2-AE982DE58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34</Pages>
  <Words>12034</Words>
  <Characters>68597</Characters>
  <Application>Microsoft Office Word</Application>
  <DocSecurity>0</DocSecurity>
  <Lines>571</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Buzdugan</dc:creator>
  <cp:keywords/>
  <dc:description/>
  <cp:lastModifiedBy>Denis Buzdugan (2130036)</cp:lastModifiedBy>
  <cp:revision>22</cp:revision>
  <dcterms:created xsi:type="dcterms:W3CDTF">2025-06-10T19:43:00Z</dcterms:created>
  <dcterms:modified xsi:type="dcterms:W3CDTF">2025-06-12T19:17:00Z</dcterms:modified>
</cp:coreProperties>
</file>