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0731C" w14:textId="1341DAD0" w:rsidR="00B96E95" w:rsidRPr="00B06684" w:rsidRDefault="00502A91" w:rsidP="00F13BF2">
      <w:pPr>
        <w:rPr>
          <w:rFonts w:ascii="Arial" w:hAnsi="Arial" w:cs="Arial"/>
          <w:sz w:val="24"/>
          <w:szCs w:val="24"/>
        </w:rPr>
      </w:pPr>
      <w:r w:rsidRPr="00B06684">
        <w:rPr>
          <w:rFonts w:ascii="Arial" w:hAnsi="Arial" w:cs="Arial"/>
          <w:sz w:val="24"/>
          <w:szCs w:val="24"/>
        </w:rPr>
        <w:t xml:space="preserve">Equality and diversity </w:t>
      </w:r>
      <w:r w:rsidR="00A730FB" w:rsidRPr="00B06684">
        <w:rPr>
          <w:rFonts w:ascii="Arial" w:hAnsi="Arial" w:cs="Arial"/>
          <w:sz w:val="24"/>
          <w:szCs w:val="24"/>
        </w:rPr>
        <w:t xml:space="preserve">in the legal profession </w:t>
      </w:r>
      <w:r w:rsidR="007433EA" w:rsidRPr="00B06684">
        <w:rPr>
          <w:rFonts w:ascii="Arial" w:hAnsi="Arial" w:cs="Arial"/>
          <w:sz w:val="24"/>
          <w:szCs w:val="24"/>
        </w:rPr>
        <w:t>guarantee</w:t>
      </w:r>
      <w:r w:rsidR="00B70EC0" w:rsidRPr="00B06684">
        <w:rPr>
          <w:rFonts w:ascii="Arial" w:hAnsi="Arial" w:cs="Arial"/>
          <w:sz w:val="24"/>
          <w:szCs w:val="24"/>
        </w:rPr>
        <w:t xml:space="preserve"> that everyone who requires legal services access them, regardless of their background, and that the profession, both at the </w:t>
      </w:r>
      <w:r w:rsidR="006008DE" w:rsidRPr="00B06684">
        <w:rPr>
          <w:rFonts w:ascii="Arial" w:hAnsi="Arial" w:cs="Arial"/>
          <w:sz w:val="24"/>
          <w:szCs w:val="24"/>
        </w:rPr>
        <w:t>entry</w:t>
      </w:r>
      <w:r w:rsidR="00B70EC0" w:rsidRPr="00B06684">
        <w:rPr>
          <w:rFonts w:ascii="Arial" w:hAnsi="Arial" w:cs="Arial"/>
          <w:sz w:val="24"/>
          <w:szCs w:val="24"/>
        </w:rPr>
        <w:t xml:space="preserve"> and senior levels, represents the society it serves</w:t>
      </w:r>
      <w:r w:rsidR="003B3AE6" w:rsidRPr="00B06684">
        <w:rPr>
          <w:rFonts w:ascii="Arial" w:hAnsi="Arial" w:cs="Arial"/>
          <w:sz w:val="24"/>
          <w:szCs w:val="24"/>
        </w:rPr>
        <w:t xml:space="preserve"> (LSB, no date)</w:t>
      </w:r>
      <w:r w:rsidR="00B70EC0" w:rsidRPr="00B06684">
        <w:rPr>
          <w:rFonts w:ascii="Arial" w:hAnsi="Arial" w:cs="Arial"/>
          <w:sz w:val="24"/>
          <w:szCs w:val="24"/>
        </w:rPr>
        <w:t>.</w:t>
      </w:r>
      <w:r w:rsidR="00614947" w:rsidRPr="00B06684">
        <w:rPr>
          <w:rFonts w:ascii="Arial" w:hAnsi="Arial" w:cs="Arial"/>
          <w:sz w:val="24"/>
          <w:szCs w:val="24"/>
        </w:rPr>
        <w:t xml:space="preserve"> </w:t>
      </w:r>
      <w:r w:rsidR="00457894" w:rsidRPr="00B06684">
        <w:rPr>
          <w:rFonts w:ascii="Arial" w:hAnsi="Arial" w:cs="Arial"/>
          <w:sz w:val="24"/>
          <w:szCs w:val="24"/>
        </w:rPr>
        <w:t>The regulations governing equality and diversity have changed significantly over the years.</w:t>
      </w:r>
      <w:r w:rsidR="00C834D2" w:rsidRPr="00B06684">
        <w:rPr>
          <w:rFonts w:ascii="Arial" w:hAnsi="Arial" w:cs="Arial"/>
          <w:sz w:val="24"/>
          <w:szCs w:val="24"/>
        </w:rPr>
        <w:t xml:space="preserve"> </w:t>
      </w:r>
      <w:r w:rsidR="00490073" w:rsidRPr="00B06684">
        <w:rPr>
          <w:rFonts w:ascii="Arial" w:hAnsi="Arial" w:cs="Arial"/>
          <w:sz w:val="24"/>
          <w:szCs w:val="24"/>
        </w:rPr>
        <w:t xml:space="preserve">The Law Society previously published a model code for dealing with racial issues, and all firms were assumed to have adopted it. </w:t>
      </w:r>
      <w:r w:rsidR="00490A68" w:rsidRPr="00B06684">
        <w:rPr>
          <w:rFonts w:ascii="Arial" w:hAnsi="Arial" w:cs="Arial"/>
          <w:sz w:val="24"/>
          <w:szCs w:val="24"/>
        </w:rPr>
        <w:t>To</w:t>
      </w:r>
      <w:r w:rsidR="00490073" w:rsidRPr="00B06684">
        <w:rPr>
          <w:rFonts w:ascii="Arial" w:hAnsi="Arial" w:cs="Arial"/>
          <w:sz w:val="24"/>
          <w:szCs w:val="24"/>
        </w:rPr>
        <w:t xml:space="preserve"> ensure actual commitment to these principles rather than the lip service that was probably obtained by having a policy imposed on them, the regulator has now made it mandatory or encouraged for solicitors in private practice to develop their own equality and diversity policy</w:t>
      </w:r>
      <w:r w:rsidR="00DE3C47" w:rsidRPr="00B06684">
        <w:rPr>
          <w:rFonts w:ascii="Arial" w:hAnsi="Arial" w:cs="Arial"/>
          <w:sz w:val="24"/>
          <w:szCs w:val="24"/>
        </w:rPr>
        <w:t xml:space="preserve"> </w:t>
      </w:r>
      <w:r w:rsidR="00566E3A" w:rsidRPr="00B06684">
        <w:rPr>
          <w:rFonts w:ascii="Arial" w:hAnsi="Arial" w:cs="Arial"/>
          <w:color w:val="212121"/>
          <w:sz w:val="24"/>
          <w:szCs w:val="24"/>
          <w:shd w:val="clear" w:color="auto" w:fill="FFFFFF"/>
        </w:rPr>
        <w:t>(Moore and Bronwen, 2021, pp.551)</w:t>
      </w:r>
      <w:r w:rsidR="00490073" w:rsidRPr="00B06684">
        <w:rPr>
          <w:rFonts w:ascii="Arial" w:hAnsi="Arial" w:cs="Arial"/>
          <w:sz w:val="24"/>
          <w:szCs w:val="24"/>
        </w:rPr>
        <w:t>.</w:t>
      </w:r>
    </w:p>
    <w:p w14:paraId="6EFAFDFC" w14:textId="2CA99028" w:rsidR="00F13BF2" w:rsidRPr="00B06684" w:rsidRDefault="00B453B0" w:rsidP="00F13BF2">
      <w:pPr>
        <w:rPr>
          <w:rFonts w:ascii="Arial" w:hAnsi="Arial" w:cs="Arial"/>
          <w:sz w:val="24"/>
          <w:szCs w:val="24"/>
        </w:rPr>
      </w:pPr>
      <w:r w:rsidRPr="00B06684">
        <w:rPr>
          <w:rFonts w:ascii="Arial" w:hAnsi="Arial"/>
          <w:sz w:val="24"/>
          <w:szCs w:val="24"/>
          <w:shd w:val="clear" w:color="auto" w:fill="FFFFFF"/>
        </w:rPr>
        <w:t>In fact</w:t>
      </w:r>
      <w:r w:rsidR="00563124" w:rsidRPr="00B06684">
        <w:rPr>
          <w:rFonts w:ascii="Arial" w:hAnsi="Arial"/>
          <w:sz w:val="24"/>
          <w:szCs w:val="24"/>
          <w:shd w:val="clear" w:color="auto" w:fill="FFFFFF"/>
        </w:rPr>
        <w:t>,</w:t>
      </w:r>
      <w:r w:rsidRPr="00B06684">
        <w:rPr>
          <w:rFonts w:ascii="Arial" w:hAnsi="Arial"/>
          <w:sz w:val="24"/>
          <w:szCs w:val="24"/>
          <w:shd w:val="clear" w:color="auto" w:fill="FFFFFF"/>
        </w:rPr>
        <w:t xml:space="preserve"> </w:t>
      </w:r>
      <w:r w:rsidR="00563124" w:rsidRPr="00B06684">
        <w:rPr>
          <w:rFonts w:ascii="Arial" w:hAnsi="Arial"/>
          <w:sz w:val="24"/>
          <w:szCs w:val="24"/>
          <w:shd w:val="clear" w:color="auto" w:fill="FFFFFF"/>
        </w:rPr>
        <w:t>the l</w:t>
      </w:r>
      <w:r w:rsidR="00816A75" w:rsidRPr="00B06684">
        <w:rPr>
          <w:rFonts w:ascii="Arial" w:hAnsi="Arial"/>
          <w:sz w:val="24"/>
          <w:szCs w:val="24"/>
          <w:shd w:val="clear" w:color="auto" w:fill="FFFFFF"/>
        </w:rPr>
        <w:t xml:space="preserve">egal </w:t>
      </w:r>
      <w:r w:rsidR="00563124" w:rsidRPr="00B06684">
        <w:rPr>
          <w:rFonts w:ascii="Arial" w:hAnsi="Arial"/>
          <w:sz w:val="24"/>
          <w:szCs w:val="24"/>
          <w:shd w:val="clear" w:color="auto" w:fill="FFFFFF"/>
        </w:rPr>
        <w:t>p</w:t>
      </w:r>
      <w:r w:rsidR="00816A75" w:rsidRPr="00B06684">
        <w:rPr>
          <w:rFonts w:ascii="Arial" w:hAnsi="Arial"/>
          <w:sz w:val="24"/>
          <w:szCs w:val="24"/>
          <w:shd w:val="clear" w:color="auto" w:fill="FFFFFF"/>
        </w:rPr>
        <w:t>rofession has changed generally</w:t>
      </w:r>
      <w:r w:rsidR="003F6274" w:rsidRPr="00B06684">
        <w:rPr>
          <w:rFonts w:ascii="Arial" w:hAnsi="Arial"/>
          <w:sz w:val="24"/>
          <w:szCs w:val="24"/>
          <w:shd w:val="clear" w:color="auto" w:fill="FFFFFF"/>
        </w:rPr>
        <w:t xml:space="preserve"> in 2004</w:t>
      </w:r>
      <w:r w:rsidR="00656C2E" w:rsidRPr="00B06684">
        <w:rPr>
          <w:rFonts w:ascii="Arial" w:hAnsi="Arial"/>
          <w:sz w:val="24"/>
          <w:szCs w:val="24"/>
          <w:shd w:val="clear" w:color="auto" w:fill="FFFFFF"/>
        </w:rPr>
        <w:t xml:space="preserve"> </w:t>
      </w:r>
      <w:r w:rsidR="0089215C" w:rsidRPr="00B06684">
        <w:rPr>
          <w:rFonts w:ascii="Arial" w:hAnsi="Arial"/>
          <w:sz w:val="24"/>
          <w:szCs w:val="24"/>
          <w:shd w:val="clear" w:color="auto" w:fill="FFFFFF"/>
        </w:rPr>
        <w:t xml:space="preserve">after </w:t>
      </w:r>
      <w:r w:rsidR="00DF4F58" w:rsidRPr="00B06684">
        <w:rPr>
          <w:rFonts w:ascii="Arial" w:hAnsi="Arial"/>
          <w:sz w:val="24"/>
          <w:szCs w:val="24"/>
          <w:shd w:val="clear" w:color="auto" w:fill="FFFFFF"/>
        </w:rPr>
        <w:t>Clementi</w:t>
      </w:r>
      <w:r w:rsidR="00DF1985" w:rsidRPr="00B06684">
        <w:rPr>
          <w:rFonts w:ascii="Arial" w:hAnsi="Arial"/>
          <w:sz w:val="24"/>
          <w:szCs w:val="24"/>
          <w:shd w:val="clear" w:color="auto" w:fill="FFFFFF"/>
        </w:rPr>
        <w:t>’s independent review</w:t>
      </w:r>
      <w:r w:rsidR="004F2950" w:rsidRPr="00B06684">
        <w:rPr>
          <w:rFonts w:ascii="Arial" w:hAnsi="Arial"/>
          <w:sz w:val="24"/>
          <w:szCs w:val="24"/>
          <w:shd w:val="clear" w:color="auto" w:fill="FFFFFF"/>
        </w:rPr>
        <w:t xml:space="preserve"> regarding the </w:t>
      </w:r>
      <w:r w:rsidR="00FD5390" w:rsidRPr="00B06684">
        <w:rPr>
          <w:rFonts w:ascii="Arial" w:hAnsi="Arial"/>
          <w:sz w:val="24"/>
          <w:szCs w:val="24"/>
          <w:shd w:val="clear" w:color="auto" w:fill="FFFFFF"/>
        </w:rPr>
        <w:t>regulatory</w:t>
      </w:r>
      <w:r w:rsidR="004F2950" w:rsidRPr="00B06684">
        <w:rPr>
          <w:rFonts w:ascii="Arial" w:hAnsi="Arial"/>
          <w:sz w:val="24"/>
          <w:szCs w:val="24"/>
          <w:shd w:val="clear" w:color="auto" w:fill="FFFFFF"/>
        </w:rPr>
        <w:t xml:space="preserve"> framework </w:t>
      </w:r>
      <w:r w:rsidR="00FD5390" w:rsidRPr="00B06684">
        <w:rPr>
          <w:rFonts w:ascii="Arial" w:hAnsi="Arial"/>
          <w:sz w:val="24"/>
          <w:szCs w:val="24"/>
          <w:shd w:val="clear" w:color="auto" w:fill="FFFFFF"/>
        </w:rPr>
        <w:t xml:space="preserve">for </w:t>
      </w:r>
      <w:r w:rsidR="00F9495A" w:rsidRPr="00B06684">
        <w:rPr>
          <w:rFonts w:ascii="Arial" w:hAnsi="Arial"/>
          <w:sz w:val="24"/>
          <w:szCs w:val="24"/>
          <w:shd w:val="clear" w:color="auto" w:fill="FFFFFF"/>
        </w:rPr>
        <w:t xml:space="preserve">legal services </w:t>
      </w:r>
      <w:r w:rsidR="004F2950" w:rsidRPr="00B06684">
        <w:rPr>
          <w:rFonts w:ascii="Arial" w:hAnsi="Arial"/>
          <w:sz w:val="24"/>
          <w:szCs w:val="24"/>
          <w:shd w:val="clear" w:color="auto" w:fill="FFFFFF"/>
        </w:rPr>
        <w:t>in England and Wales</w:t>
      </w:r>
      <w:r w:rsidR="00DF4F58" w:rsidRPr="00B06684">
        <w:rPr>
          <w:rFonts w:ascii="Arial" w:hAnsi="Arial"/>
          <w:sz w:val="24"/>
          <w:szCs w:val="24"/>
          <w:shd w:val="clear" w:color="auto" w:fill="FFFFFF"/>
        </w:rPr>
        <w:t xml:space="preserve">. </w:t>
      </w:r>
      <w:r w:rsidR="00B4791F" w:rsidRPr="00B06684">
        <w:rPr>
          <w:rFonts w:ascii="Arial" w:hAnsi="Arial" w:cs="Arial"/>
          <w:sz w:val="24"/>
          <w:szCs w:val="24"/>
        </w:rPr>
        <w:t>One of the six objectives of regulation listed in the review was the "encouragement of a confident, strong, and effective legal profession." However, an equity component was included between</w:t>
      </w:r>
      <w:r w:rsidR="00BB48B4" w:rsidRPr="00B06684">
        <w:rPr>
          <w:rFonts w:ascii="Arial" w:hAnsi="Arial" w:cs="Arial"/>
          <w:sz w:val="24"/>
          <w:szCs w:val="24"/>
        </w:rPr>
        <w:t xml:space="preserve"> </w:t>
      </w:r>
      <w:r w:rsidR="00B4791F" w:rsidRPr="00B06684">
        <w:rPr>
          <w:rFonts w:ascii="Arial" w:hAnsi="Arial" w:cs="Arial"/>
          <w:sz w:val="24"/>
          <w:szCs w:val="24"/>
        </w:rPr>
        <w:t>th</w:t>
      </w:r>
      <w:r w:rsidR="003C4419" w:rsidRPr="00B06684">
        <w:rPr>
          <w:rFonts w:ascii="Arial" w:hAnsi="Arial" w:cs="Arial"/>
          <w:sz w:val="24"/>
          <w:szCs w:val="24"/>
        </w:rPr>
        <w:t>at</w:t>
      </w:r>
      <w:r w:rsidR="0089330C" w:rsidRPr="00B06684">
        <w:rPr>
          <w:rFonts w:ascii="Arial" w:hAnsi="Arial" w:cs="Arial"/>
          <w:sz w:val="24"/>
          <w:szCs w:val="24"/>
        </w:rPr>
        <w:t xml:space="preserve"> </w:t>
      </w:r>
      <w:r w:rsidR="00B4791F" w:rsidRPr="00B06684">
        <w:rPr>
          <w:rFonts w:ascii="Arial" w:hAnsi="Arial" w:cs="Arial"/>
          <w:sz w:val="24"/>
          <w:szCs w:val="24"/>
        </w:rPr>
        <w:t xml:space="preserve">review and the enactment of the </w:t>
      </w:r>
      <w:r w:rsidR="00B4791F" w:rsidRPr="00B06684">
        <w:rPr>
          <w:rFonts w:ascii="Arial" w:hAnsi="Arial" w:cs="Arial"/>
          <w:i/>
          <w:iCs/>
          <w:sz w:val="24"/>
          <w:szCs w:val="24"/>
        </w:rPr>
        <w:t>Legal Services Act (LSA) 2007</w:t>
      </w:r>
      <w:r w:rsidR="00D027F7" w:rsidRPr="00B06684">
        <w:rPr>
          <w:rFonts w:ascii="Arial" w:hAnsi="Arial" w:cs="Arial"/>
          <w:sz w:val="24"/>
          <w:szCs w:val="24"/>
        </w:rPr>
        <w:t xml:space="preserve"> which</w:t>
      </w:r>
      <w:r w:rsidR="00736234" w:rsidRPr="00B06684">
        <w:rPr>
          <w:rFonts w:ascii="Arial" w:hAnsi="Arial" w:cs="Arial"/>
          <w:sz w:val="24"/>
          <w:szCs w:val="24"/>
        </w:rPr>
        <w:t xml:space="preserve"> resulted in fast and ongoing changes to the way legal services are provided to the public</w:t>
      </w:r>
      <w:r w:rsidR="004621AD" w:rsidRPr="00B06684">
        <w:rPr>
          <w:rFonts w:ascii="Arial" w:hAnsi="Arial" w:cs="Arial"/>
          <w:sz w:val="24"/>
          <w:szCs w:val="24"/>
        </w:rPr>
        <w:t>.</w:t>
      </w:r>
      <w:r w:rsidR="002C5296" w:rsidRPr="00B06684">
        <w:rPr>
          <w:rFonts w:ascii="Arial" w:hAnsi="Arial" w:cs="Arial"/>
          <w:sz w:val="24"/>
          <w:szCs w:val="24"/>
        </w:rPr>
        <w:t xml:space="preserve"> T</w:t>
      </w:r>
      <w:r w:rsidR="00363138" w:rsidRPr="00B06684">
        <w:rPr>
          <w:rFonts w:ascii="Arial" w:hAnsi="Arial" w:cs="Arial"/>
          <w:sz w:val="24"/>
          <w:szCs w:val="24"/>
        </w:rPr>
        <w:t xml:space="preserve">he </w:t>
      </w:r>
      <w:r w:rsidR="00786248" w:rsidRPr="00B06684">
        <w:rPr>
          <w:rFonts w:ascii="Arial" w:hAnsi="Arial" w:cs="Arial"/>
          <w:i/>
          <w:iCs/>
          <w:sz w:val="24"/>
          <w:szCs w:val="24"/>
        </w:rPr>
        <w:t>LSA 2007</w:t>
      </w:r>
      <w:r w:rsidR="00363138" w:rsidRPr="00B06684">
        <w:rPr>
          <w:rFonts w:ascii="Arial" w:hAnsi="Arial" w:cs="Arial"/>
          <w:sz w:val="24"/>
          <w:szCs w:val="24"/>
        </w:rPr>
        <w:t xml:space="preserve"> establishes regulatory objectives</w:t>
      </w:r>
      <w:r w:rsidR="00BE7253" w:rsidRPr="00B06684">
        <w:rPr>
          <w:rFonts w:ascii="Arial" w:hAnsi="Arial" w:cs="Arial"/>
          <w:sz w:val="24"/>
          <w:szCs w:val="24"/>
        </w:rPr>
        <w:t xml:space="preserve"> (</w:t>
      </w:r>
      <w:r w:rsidR="004928FF" w:rsidRPr="00B06684">
        <w:rPr>
          <w:rFonts w:ascii="Arial" w:hAnsi="Arial" w:cs="Arial"/>
          <w:sz w:val="24"/>
          <w:szCs w:val="24"/>
        </w:rPr>
        <w:t xml:space="preserve">under </w:t>
      </w:r>
      <w:r w:rsidR="00BE7253" w:rsidRPr="00B06684">
        <w:rPr>
          <w:rFonts w:ascii="Arial" w:hAnsi="Arial" w:cs="Arial"/>
          <w:sz w:val="24"/>
          <w:szCs w:val="24"/>
        </w:rPr>
        <w:t xml:space="preserve">section </w:t>
      </w:r>
      <w:r w:rsidR="00CC6036" w:rsidRPr="00B06684">
        <w:rPr>
          <w:rFonts w:ascii="Arial" w:hAnsi="Arial" w:cs="Arial"/>
          <w:sz w:val="24"/>
          <w:szCs w:val="24"/>
        </w:rPr>
        <w:t>1</w:t>
      </w:r>
      <w:r w:rsidR="0080584D" w:rsidRPr="00B06684">
        <w:rPr>
          <w:rFonts w:ascii="Arial" w:hAnsi="Arial" w:cs="Arial"/>
          <w:sz w:val="24"/>
          <w:szCs w:val="24"/>
        </w:rPr>
        <w:t>(1)</w:t>
      </w:r>
      <w:r w:rsidR="00CC6036" w:rsidRPr="00B06684">
        <w:rPr>
          <w:rFonts w:ascii="Arial" w:hAnsi="Arial" w:cs="Arial"/>
          <w:sz w:val="24"/>
          <w:szCs w:val="24"/>
        </w:rPr>
        <w:t>)</w:t>
      </w:r>
      <w:r w:rsidR="00363138" w:rsidRPr="00B06684">
        <w:rPr>
          <w:rFonts w:ascii="Arial" w:hAnsi="Arial" w:cs="Arial"/>
          <w:sz w:val="24"/>
          <w:szCs w:val="24"/>
        </w:rPr>
        <w:t xml:space="preserve"> that guide </w:t>
      </w:r>
      <w:r w:rsidR="005114EB" w:rsidRPr="00B06684">
        <w:rPr>
          <w:rFonts w:ascii="Arial" w:hAnsi="Arial" w:cs="Arial"/>
          <w:sz w:val="24"/>
          <w:szCs w:val="24"/>
        </w:rPr>
        <w:t>all</w:t>
      </w:r>
      <w:r w:rsidR="00363138" w:rsidRPr="00B06684">
        <w:rPr>
          <w:rFonts w:ascii="Arial" w:hAnsi="Arial" w:cs="Arial"/>
          <w:sz w:val="24"/>
          <w:szCs w:val="24"/>
        </w:rPr>
        <w:t xml:space="preserve"> the regulatory activities of the main regulator, the Legal Services Board (LSB), as well as all other approved regulators, including the Solicitors Regulation Authority (SRA)</w:t>
      </w:r>
      <w:r w:rsidR="00B97EB7" w:rsidRPr="00B06684">
        <w:rPr>
          <w:rFonts w:ascii="Arial" w:hAnsi="Arial" w:cs="Arial"/>
          <w:sz w:val="24"/>
          <w:szCs w:val="24"/>
        </w:rPr>
        <w:t xml:space="preserve"> and Bar Standard Board (BSB</w:t>
      </w:r>
      <w:r w:rsidR="00090CB8" w:rsidRPr="00B06684">
        <w:rPr>
          <w:rFonts w:ascii="Arial" w:hAnsi="Arial" w:cs="Arial"/>
          <w:sz w:val="24"/>
          <w:szCs w:val="24"/>
        </w:rPr>
        <w:t>, 2022)</w:t>
      </w:r>
      <w:r w:rsidR="00363138" w:rsidRPr="00B06684">
        <w:rPr>
          <w:rFonts w:ascii="Arial" w:hAnsi="Arial" w:cs="Arial"/>
          <w:sz w:val="24"/>
          <w:szCs w:val="24"/>
        </w:rPr>
        <w:t>.</w:t>
      </w:r>
      <w:r w:rsidR="00B21406" w:rsidRPr="00B06684">
        <w:rPr>
          <w:rFonts w:ascii="Arial" w:hAnsi="Arial" w:cs="Arial"/>
          <w:sz w:val="24"/>
          <w:szCs w:val="24"/>
        </w:rPr>
        <w:t xml:space="preserve"> </w:t>
      </w:r>
      <w:r w:rsidR="0006081D" w:rsidRPr="00B06684">
        <w:rPr>
          <w:rFonts w:ascii="Arial" w:hAnsi="Arial" w:cs="Arial"/>
          <w:sz w:val="24"/>
          <w:szCs w:val="24"/>
        </w:rPr>
        <w:t xml:space="preserve">The </w:t>
      </w:r>
      <w:r w:rsidR="002E3CF6" w:rsidRPr="00B06684">
        <w:rPr>
          <w:rFonts w:ascii="Arial" w:hAnsi="Arial" w:cs="Arial"/>
          <w:sz w:val="24"/>
          <w:szCs w:val="24"/>
        </w:rPr>
        <w:t xml:space="preserve">regulatory objectives to </w:t>
      </w:r>
      <w:r w:rsidR="000B7089" w:rsidRPr="00B06684">
        <w:rPr>
          <w:rFonts w:ascii="Arial" w:hAnsi="Arial" w:cs="Arial"/>
          <w:sz w:val="24"/>
          <w:szCs w:val="24"/>
        </w:rPr>
        <w:t>encourage</w:t>
      </w:r>
      <w:r w:rsidR="00F13BF2" w:rsidRPr="00B06684">
        <w:rPr>
          <w:rFonts w:ascii="Arial" w:hAnsi="Arial" w:cs="Arial"/>
          <w:sz w:val="24"/>
          <w:szCs w:val="24"/>
        </w:rPr>
        <w:t xml:space="preserve"> </w:t>
      </w:r>
      <w:r w:rsidR="000B7089" w:rsidRPr="00B06684">
        <w:rPr>
          <w:rFonts w:ascii="Arial" w:hAnsi="Arial" w:cs="Arial"/>
          <w:sz w:val="24"/>
          <w:szCs w:val="24"/>
        </w:rPr>
        <w:t>‘</w:t>
      </w:r>
      <w:r w:rsidR="00F13BF2" w:rsidRPr="00B06684">
        <w:rPr>
          <w:rFonts w:ascii="Arial" w:hAnsi="Arial" w:cs="Arial"/>
          <w:sz w:val="24"/>
          <w:szCs w:val="24"/>
        </w:rPr>
        <w:t>an independent, strong, diverse, and effective legal profession</w:t>
      </w:r>
      <w:r w:rsidR="000B7089" w:rsidRPr="00B06684">
        <w:rPr>
          <w:rFonts w:ascii="Arial" w:hAnsi="Arial" w:cs="Arial"/>
          <w:sz w:val="24"/>
          <w:szCs w:val="24"/>
        </w:rPr>
        <w:t>’</w:t>
      </w:r>
      <w:r w:rsidR="0006081D" w:rsidRPr="00B06684">
        <w:rPr>
          <w:rFonts w:ascii="Arial" w:hAnsi="Arial" w:cs="Arial"/>
          <w:sz w:val="24"/>
          <w:szCs w:val="24"/>
        </w:rPr>
        <w:t xml:space="preserve"> are set out in </w:t>
      </w:r>
      <w:r w:rsidR="00D66238" w:rsidRPr="00B06684">
        <w:rPr>
          <w:rFonts w:ascii="Arial" w:hAnsi="Arial" w:cs="Arial"/>
          <w:sz w:val="24"/>
          <w:szCs w:val="24"/>
        </w:rPr>
        <w:t>subsection</w:t>
      </w:r>
      <w:r w:rsidR="0006081D" w:rsidRPr="00B06684">
        <w:rPr>
          <w:rFonts w:ascii="Arial" w:hAnsi="Arial" w:cs="Arial"/>
          <w:sz w:val="24"/>
          <w:szCs w:val="24"/>
        </w:rPr>
        <w:t xml:space="preserve"> 1(1)(f)</w:t>
      </w:r>
      <w:r w:rsidR="00C9162C" w:rsidRPr="00B06684">
        <w:rPr>
          <w:rFonts w:ascii="Arial" w:hAnsi="Arial" w:cs="Arial"/>
          <w:sz w:val="24"/>
          <w:szCs w:val="24"/>
        </w:rPr>
        <w:t xml:space="preserve"> of the </w:t>
      </w:r>
      <w:r w:rsidR="00C9162C" w:rsidRPr="00B06684">
        <w:rPr>
          <w:rFonts w:ascii="Arial" w:hAnsi="Arial" w:cs="Arial"/>
          <w:i/>
          <w:iCs/>
          <w:sz w:val="24"/>
          <w:szCs w:val="24"/>
        </w:rPr>
        <w:t>LSA 2007</w:t>
      </w:r>
      <w:r w:rsidR="000B7089" w:rsidRPr="00B06684">
        <w:rPr>
          <w:rFonts w:ascii="Arial" w:hAnsi="Arial" w:cs="Arial"/>
          <w:sz w:val="24"/>
          <w:szCs w:val="24"/>
        </w:rPr>
        <w:t>.</w:t>
      </w:r>
      <w:r w:rsidR="00CE7B14" w:rsidRPr="00B06684">
        <w:rPr>
          <w:rFonts w:ascii="Arial" w:hAnsi="Arial" w:cs="Arial"/>
          <w:sz w:val="24"/>
          <w:szCs w:val="24"/>
        </w:rPr>
        <w:t xml:space="preserve"> </w:t>
      </w:r>
      <w:r w:rsidR="00C33444" w:rsidRPr="00B06684">
        <w:rPr>
          <w:rFonts w:ascii="Arial" w:hAnsi="Arial" w:cs="Arial"/>
          <w:sz w:val="24"/>
          <w:szCs w:val="24"/>
        </w:rPr>
        <w:t>Therefore, t</w:t>
      </w:r>
      <w:r w:rsidR="00F13BF2" w:rsidRPr="00B06684">
        <w:rPr>
          <w:rFonts w:ascii="Arial" w:hAnsi="Arial" w:cs="Arial"/>
          <w:sz w:val="24"/>
          <w:szCs w:val="24"/>
        </w:rPr>
        <w:t>he period between 2004 and 2007 may be identified as the moment when the regulation of the legal profession first explicitly addressed diversity.</w:t>
      </w:r>
      <w:r w:rsidR="00B4174F" w:rsidRPr="00B06684">
        <w:rPr>
          <w:rFonts w:ascii="Arial" w:hAnsi="Arial" w:cs="Arial"/>
          <w:sz w:val="24"/>
          <w:szCs w:val="24"/>
        </w:rPr>
        <w:t xml:space="preserve"> </w:t>
      </w:r>
      <w:r w:rsidR="00F13BF2" w:rsidRPr="00B06684">
        <w:rPr>
          <w:rFonts w:ascii="Arial" w:hAnsi="Arial" w:cs="Arial"/>
          <w:sz w:val="24"/>
          <w:szCs w:val="24"/>
        </w:rPr>
        <w:t>Nevertheless,</w:t>
      </w:r>
      <w:r w:rsidR="00610D8F" w:rsidRPr="00B06684">
        <w:rPr>
          <w:rFonts w:ascii="Arial" w:hAnsi="Arial" w:cs="Arial"/>
          <w:sz w:val="24"/>
          <w:szCs w:val="24"/>
        </w:rPr>
        <w:t xml:space="preserve"> </w:t>
      </w:r>
      <w:r w:rsidR="00F13BF2" w:rsidRPr="00B06684">
        <w:rPr>
          <w:rFonts w:ascii="Arial" w:hAnsi="Arial" w:cs="Arial"/>
          <w:sz w:val="24"/>
          <w:szCs w:val="24"/>
        </w:rPr>
        <w:t xml:space="preserve">an innovative equality-related requirement </w:t>
      </w:r>
      <w:r w:rsidR="00610D8F" w:rsidRPr="00B06684">
        <w:rPr>
          <w:rFonts w:ascii="Arial" w:hAnsi="Arial" w:cs="Arial"/>
          <w:sz w:val="24"/>
          <w:szCs w:val="24"/>
        </w:rPr>
        <w:t xml:space="preserve">is </w:t>
      </w:r>
      <w:r w:rsidR="00F13BF2" w:rsidRPr="00B06684">
        <w:rPr>
          <w:rFonts w:ascii="Arial" w:hAnsi="Arial" w:cs="Arial"/>
          <w:sz w:val="24"/>
          <w:szCs w:val="24"/>
        </w:rPr>
        <w:t>being imposed on various regulatory organisations rather than those that establish and sustain legal elites mainly (law firms and barristers' chambers).</w:t>
      </w:r>
      <w:r w:rsidR="00B4174F" w:rsidRPr="00B06684">
        <w:rPr>
          <w:sz w:val="24"/>
          <w:szCs w:val="24"/>
        </w:rPr>
        <w:t xml:space="preserve"> </w:t>
      </w:r>
      <w:r w:rsidR="00B4174F" w:rsidRPr="00B06684">
        <w:rPr>
          <w:rFonts w:ascii="Arial" w:hAnsi="Arial" w:cs="Arial"/>
          <w:sz w:val="24"/>
          <w:szCs w:val="24"/>
        </w:rPr>
        <w:t xml:space="preserve">The </w:t>
      </w:r>
      <w:r w:rsidR="002018AC" w:rsidRPr="00B06684">
        <w:rPr>
          <w:rFonts w:ascii="Arial" w:hAnsi="Arial" w:cs="Arial"/>
          <w:i/>
          <w:iCs/>
          <w:sz w:val="24"/>
          <w:szCs w:val="24"/>
        </w:rPr>
        <w:t>LSA 2007</w:t>
      </w:r>
      <w:r w:rsidR="00B4174F" w:rsidRPr="00B06684">
        <w:rPr>
          <w:rFonts w:ascii="Arial" w:hAnsi="Arial" w:cs="Arial"/>
          <w:sz w:val="24"/>
          <w:szCs w:val="24"/>
        </w:rPr>
        <w:t xml:space="preserve"> established the newly forme</w:t>
      </w:r>
      <w:r w:rsidR="001D5094" w:rsidRPr="00B06684">
        <w:rPr>
          <w:rFonts w:ascii="Arial" w:hAnsi="Arial" w:cs="Arial"/>
          <w:sz w:val="24"/>
          <w:szCs w:val="24"/>
        </w:rPr>
        <w:t>d LSB</w:t>
      </w:r>
      <w:r w:rsidR="00B4174F" w:rsidRPr="00B06684">
        <w:rPr>
          <w:rFonts w:ascii="Arial" w:hAnsi="Arial" w:cs="Arial"/>
          <w:sz w:val="24"/>
          <w:szCs w:val="24"/>
        </w:rPr>
        <w:t xml:space="preserve"> to monitor the Society's discharge of its obligations as an Approved Regulator, including the diversity</w:t>
      </w:r>
      <w:r w:rsidR="00792CAE" w:rsidRPr="00B06684">
        <w:rPr>
          <w:rFonts w:ascii="Arial" w:hAnsi="Arial" w:cs="Arial"/>
          <w:sz w:val="24"/>
          <w:szCs w:val="24"/>
        </w:rPr>
        <w:t xml:space="preserve"> </w:t>
      </w:r>
      <w:r w:rsidR="00B4174F" w:rsidRPr="00B06684">
        <w:rPr>
          <w:rFonts w:ascii="Arial" w:hAnsi="Arial" w:cs="Arial"/>
          <w:sz w:val="24"/>
          <w:szCs w:val="24"/>
        </w:rPr>
        <w:t>objective. In order to carry out its new responsibilities, the Law Society conducted a review of the regulation of law firms, which was led by Lord Hunt.</w:t>
      </w:r>
      <w:r w:rsidR="00E142EE" w:rsidRPr="00B06684">
        <w:rPr>
          <w:sz w:val="24"/>
          <w:szCs w:val="24"/>
        </w:rPr>
        <w:t xml:space="preserve"> </w:t>
      </w:r>
      <w:r w:rsidR="00E142EE" w:rsidRPr="00B06684">
        <w:rPr>
          <w:rFonts w:ascii="Arial" w:hAnsi="Arial" w:cs="Arial"/>
          <w:sz w:val="24"/>
          <w:szCs w:val="24"/>
        </w:rPr>
        <w:t xml:space="preserve">In his final report, he suggested that the SRA continue its efforts to diversify the legal profession in order to ensure that there is, to the greatest extent possible, </w:t>
      </w:r>
      <w:r w:rsidR="007B16E3" w:rsidRPr="00B06684">
        <w:rPr>
          <w:rFonts w:ascii="Arial" w:hAnsi="Arial" w:cs="Arial"/>
          <w:sz w:val="24"/>
          <w:szCs w:val="24"/>
        </w:rPr>
        <w:t>real</w:t>
      </w:r>
      <w:r w:rsidR="00E142EE" w:rsidRPr="00B06684">
        <w:rPr>
          <w:rFonts w:ascii="Arial" w:hAnsi="Arial" w:cs="Arial"/>
          <w:sz w:val="24"/>
          <w:szCs w:val="24"/>
        </w:rPr>
        <w:t xml:space="preserve"> equality of opportunity across all protected grounds</w:t>
      </w:r>
      <w:r w:rsidR="000A4849" w:rsidRPr="00B06684">
        <w:rPr>
          <w:rFonts w:ascii="Arial" w:hAnsi="Arial" w:cs="Arial"/>
          <w:sz w:val="24"/>
          <w:szCs w:val="24"/>
        </w:rPr>
        <w:t xml:space="preserve"> (Barmes</w:t>
      </w:r>
      <w:r w:rsidR="004406C0" w:rsidRPr="00B06684">
        <w:rPr>
          <w:rFonts w:ascii="Arial" w:hAnsi="Arial" w:cs="Arial"/>
          <w:sz w:val="24"/>
          <w:szCs w:val="24"/>
        </w:rPr>
        <w:t xml:space="preserve"> and </w:t>
      </w:r>
      <w:proofErr w:type="spellStart"/>
      <w:r w:rsidR="004406C0" w:rsidRPr="00B06684">
        <w:rPr>
          <w:rFonts w:ascii="Arial" w:hAnsi="Arial" w:cs="Arial"/>
          <w:sz w:val="24"/>
          <w:szCs w:val="24"/>
        </w:rPr>
        <w:t>Malle</w:t>
      </w:r>
      <w:r w:rsidR="00BB64BB" w:rsidRPr="00B06684">
        <w:rPr>
          <w:rFonts w:ascii="Arial" w:hAnsi="Arial" w:cs="Arial"/>
          <w:sz w:val="24"/>
          <w:szCs w:val="24"/>
        </w:rPr>
        <w:t>son</w:t>
      </w:r>
      <w:proofErr w:type="spellEnd"/>
      <w:r w:rsidR="000A4849" w:rsidRPr="00B06684">
        <w:rPr>
          <w:rFonts w:ascii="Arial" w:hAnsi="Arial" w:cs="Arial"/>
          <w:sz w:val="24"/>
          <w:szCs w:val="24"/>
        </w:rPr>
        <w:t xml:space="preserve">, </w:t>
      </w:r>
      <w:r w:rsidR="004E403B" w:rsidRPr="00B06684">
        <w:rPr>
          <w:rFonts w:ascii="Arial" w:hAnsi="Arial" w:cs="Arial"/>
          <w:sz w:val="24"/>
          <w:szCs w:val="24"/>
        </w:rPr>
        <w:t>2011, pp.258-259)</w:t>
      </w:r>
      <w:r w:rsidR="00E142EE" w:rsidRPr="00B06684">
        <w:rPr>
          <w:rFonts w:ascii="Arial" w:hAnsi="Arial" w:cs="Arial"/>
          <w:sz w:val="24"/>
          <w:szCs w:val="24"/>
        </w:rPr>
        <w:t>.</w:t>
      </w:r>
    </w:p>
    <w:p w14:paraId="7487BC00" w14:textId="4E7E84E3" w:rsidR="00B358A7" w:rsidRPr="00B06684" w:rsidRDefault="00EE4350" w:rsidP="00F93C49">
      <w:pPr>
        <w:rPr>
          <w:rFonts w:ascii="Arial" w:hAnsi="Arial" w:cs="Arial"/>
          <w:sz w:val="24"/>
          <w:szCs w:val="24"/>
        </w:rPr>
      </w:pPr>
      <w:r w:rsidRPr="00B06684">
        <w:rPr>
          <w:rFonts w:ascii="Arial" w:hAnsi="Arial" w:cs="Arial"/>
          <w:sz w:val="24"/>
          <w:szCs w:val="24"/>
        </w:rPr>
        <w:t>According to the LSB, a diverse workforce, is essential to creating a</w:t>
      </w:r>
      <w:r w:rsidR="009C03B7" w:rsidRPr="00B06684">
        <w:rPr>
          <w:rFonts w:ascii="Arial" w:hAnsi="Arial" w:cs="Arial"/>
          <w:sz w:val="24"/>
          <w:szCs w:val="24"/>
        </w:rPr>
        <w:t xml:space="preserve"> legal profession that best serves customers and encourages innovation.</w:t>
      </w:r>
      <w:r w:rsidR="00BD02BB" w:rsidRPr="00B06684">
        <w:rPr>
          <w:rFonts w:ascii="Arial" w:hAnsi="Arial" w:cs="Arial"/>
          <w:sz w:val="24"/>
          <w:szCs w:val="24"/>
        </w:rPr>
        <w:t xml:space="preserve"> </w:t>
      </w:r>
      <w:r w:rsidRPr="00B06684">
        <w:rPr>
          <w:rFonts w:ascii="Arial" w:hAnsi="Arial" w:cs="Arial"/>
          <w:sz w:val="24"/>
          <w:szCs w:val="24"/>
        </w:rPr>
        <w:t>As a result, in order to promote a high-performing legal profession, all regulators must take diversity problems into account in their regulatory action</w:t>
      </w:r>
      <w:r w:rsidR="0065010B" w:rsidRPr="00B06684">
        <w:rPr>
          <w:rFonts w:ascii="Arial" w:hAnsi="Arial" w:cs="Arial"/>
          <w:sz w:val="24"/>
          <w:szCs w:val="24"/>
        </w:rPr>
        <w:t>.</w:t>
      </w:r>
      <w:r w:rsidR="00E84338" w:rsidRPr="00B06684">
        <w:rPr>
          <w:rFonts w:ascii="Arial" w:hAnsi="Arial" w:cs="Arial"/>
          <w:sz w:val="24"/>
          <w:szCs w:val="24"/>
        </w:rPr>
        <w:t xml:space="preserve"> </w:t>
      </w:r>
      <w:r w:rsidR="0065010B" w:rsidRPr="00B06684">
        <w:rPr>
          <w:rFonts w:ascii="Arial" w:hAnsi="Arial" w:cs="Arial"/>
          <w:sz w:val="24"/>
          <w:szCs w:val="24"/>
        </w:rPr>
        <w:t>The LSB updated its guidance for legal services regulators on how to support a diverse workforce in February 2017</w:t>
      </w:r>
      <w:r w:rsidR="009C4E87" w:rsidRPr="00B06684">
        <w:rPr>
          <w:rFonts w:ascii="Arial" w:hAnsi="Arial" w:cs="Arial"/>
          <w:sz w:val="24"/>
          <w:szCs w:val="24"/>
        </w:rPr>
        <w:t>(CILEx Regulation, no date).</w:t>
      </w:r>
      <w:r w:rsidR="00762284" w:rsidRPr="00B06684">
        <w:rPr>
          <w:rFonts w:ascii="Arial" w:hAnsi="Arial" w:cs="Arial"/>
          <w:sz w:val="24"/>
          <w:szCs w:val="24"/>
        </w:rPr>
        <w:t xml:space="preserve"> </w:t>
      </w:r>
      <w:r w:rsidR="003E7825" w:rsidRPr="00B06684">
        <w:rPr>
          <w:rFonts w:ascii="Arial" w:hAnsi="Arial" w:cs="Arial"/>
          <w:sz w:val="24"/>
          <w:szCs w:val="24"/>
        </w:rPr>
        <w:t>It</w:t>
      </w:r>
      <w:r w:rsidR="00762284" w:rsidRPr="00B06684">
        <w:rPr>
          <w:rFonts w:ascii="Arial" w:hAnsi="Arial" w:cs="Arial"/>
          <w:sz w:val="24"/>
          <w:szCs w:val="24"/>
        </w:rPr>
        <w:t xml:space="preserve"> set out the protected characteristic</w:t>
      </w:r>
      <w:r w:rsidR="00B4010B" w:rsidRPr="00B06684">
        <w:rPr>
          <w:rFonts w:ascii="Arial" w:hAnsi="Arial" w:cs="Arial"/>
          <w:sz w:val="24"/>
          <w:szCs w:val="24"/>
        </w:rPr>
        <w:t>s</w:t>
      </w:r>
      <w:r w:rsidR="004B162D" w:rsidRPr="00B06684">
        <w:rPr>
          <w:rFonts w:ascii="Arial" w:hAnsi="Arial" w:cs="Arial"/>
          <w:sz w:val="24"/>
          <w:szCs w:val="24"/>
        </w:rPr>
        <w:t xml:space="preserve">, </w:t>
      </w:r>
      <w:r w:rsidR="00762284" w:rsidRPr="00B06684">
        <w:rPr>
          <w:rFonts w:ascii="Arial" w:hAnsi="Arial" w:cs="Arial"/>
          <w:sz w:val="24"/>
          <w:szCs w:val="24"/>
        </w:rPr>
        <w:t xml:space="preserve">also listed in </w:t>
      </w:r>
      <w:r w:rsidR="00551660" w:rsidRPr="00B06684">
        <w:rPr>
          <w:rFonts w:ascii="Arial" w:hAnsi="Arial" w:cs="Arial"/>
          <w:sz w:val="24"/>
          <w:szCs w:val="24"/>
        </w:rPr>
        <w:t xml:space="preserve">the </w:t>
      </w:r>
      <w:r w:rsidR="00762284" w:rsidRPr="00B06684">
        <w:rPr>
          <w:rFonts w:ascii="Arial" w:hAnsi="Arial" w:cs="Arial"/>
          <w:i/>
          <w:iCs/>
          <w:sz w:val="24"/>
          <w:szCs w:val="24"/>
        </w:rPr>
        <w:t>E</w:t>
      </w:r>
      <w:r w:rsidR="00C51C71" w:rsidRPr="00B06684">
        <w:rPr>
          <w:rFonts w:ascii="Arial" w:hAnsi="Arial" w:cs="Arial"/>
          <w:i/>
          <w:iCs/>
          <w:sz w:val="24"/>
          <w:szCs w:val="24"/>
        </w:rPr>
        <w:t xml:space="preserve">quality </w:t>
      </w:r>
      <w:r w:rsidR="00762284" w:rsidRPr="00B06684">
        <w:rPr>
          <w:rFonts w:ascii="Arial" w:hAnsi="Arial" w:cs="Arial"/>
          <w:i/>
          <w:iCs/>
          <w:sz w:val="24"/>
          <w:szCs w:val="24"/>
        </w:rPr>
        <w:t>A</w:t>
      </w:r>
      <w:r w:rsidR="00C51C71" w:rsidRPr="00B06684">
        <w:rPr>
          <w:rFonts w:ascii="Arial" w:hAnsi="Arial" w:cs="Arial"/>
          <w:i/>
          <w:iCs/>
          <w:sz w:val="24"/>
          <w:szCs w:val="24"/>
        </w:rPr>
        <w:t>ct</w:t>
      </w:r>
      <w:r w:rsidR="00483B97" w:rsidRPr="00B06684">
        <w:rPr>
          <w:rFonts w:ascii="Arial" w:hAnsi="Arial" w:cs="Arial"/>
          <w:i/>
          <w:iCs/>
          <w:sz w:val="24"/>
          <w:szCs w:val="24"/>
        </w:rPr>
        <w:t xml:space="preserve"> (EA)</w:t>
      </w:r>
      <w:r w:rsidR="00762284" w:rsidRPr="00B06684">
        <w:rPr>
          <w:rFonts w:ascii="Arial" w:hAnsi="Arial" w:cs="Arial"/>
          <w:i/>
          <w:iCs/>
          <w:sz w:val="24"/>
          <w:szCs w:val="24"/>
        </w:rPr>
        <w:t xml:space="preserve"> 2010</w:t>
      </w:r>
      <w:r w:rsidR="00762284" w:rsidRPr="00B06684">
        <w:rPr>
          <w:rFonts w:ascii="Arial" w:hAnsi="Arial" w:cs="Arial"/>
          <w:sz w:val="24"/>
          <w:szCs w:val="24"/>
        </w:rPr>
        <w:t xml:space="preserve">, that expect regulators to focus on. </w:t>
      </w:r>
      <w:r w:rsidR="00561C07" w:rsidRPr="00B06684">
        <w:rPr>
          <w:rFonts w:ascii="Arial" w:hAnsi="Arial" w:cs="Arial"/>
          <w:sz w:val="24"/>
          <w:szCs w:val="24"/>
          <w:lang w:val="bg-BG"/>
        </w:rPr>
        <w:t>This provision aims</w:t>
      </w:r>
      <w:r w:rsidR="00762284" w:rsidRPr="00B06684">
        <w:rPr>
          <w:rFonts w:ascii="Arial" w:hAnsi="Arial" w:cs="Arial"/>
          <w:sz w:val="24"/>
          <w:szCs w:val="24"/>
        </w:rPr>
        <w:t xml:space="preserve"> to avoid the negative of illegal discrimination and to work towards the positive of achieving a more diverse practice where all would be treated equally regardless of their background or characteristics</w:t>
      </w:r>
      <w:r w:rsidR="00F9012F" w:rsidRPr="00B06684">
        <w:rPr>
          <w:rFonts w:ascii="Arial" w:hAnsi="Arial" w:cs="Arial"/>
          <w:sz w:val="24"/>
          <w:szCs w:val="24"/>
        </w:rPr>
        <w:t>(</w:t>
      </w:r>
      <w:r w:rsidR="00F9012F" w:rsidRPr="00B06684">
        <w:rPr>
          <w:rFonts w:ascii="Arial" w:hAnsi="Arial" w:cs="Arial"/>
          <w:spacing w:val="15"/>
          <w:sz w:val="24"/>
          <w:szCs w:val="24"/>
          <w:shd w:val="clear" w:color="auto" w:fill="FFFFFF"/>
        </w:rPr>
        <w:t xml:space="preserve">age, disability, gender reassignment, marriage and civil partnership, pregnancy and maternity, race, religion or </w:t>
      </w:r>
      <w:r w:rsidR="00F9012F" w:rsidRPr="00B06684">
        <w:rPr>
          <w:rFonts w:ascii="Arial" w:hAnsi="Arial" w:cs="Arial"/>
          <w:spacing w:val="15"/>
          <w:sz w:val="24"/>
          <w:szCs w:val="24"/>
          <w:shd w:val="clear" w:color="auto" w:fill="FFFFFF"/>
        </w:rPr>
        <w:lastRenderedPageBreak/>
        <w:t>belief, sex, or sexual orientation</w:t>
      </w:r>
      <w:r w:rsidR="00F9012F" w:rsidRPr="00B06684">
        <w:rPr>
          <w:rFonts w:ascii="Arial" w:hAnsi="Arial" w:cs="Arial"/>
          <w:sz w:val="24"/>
          <w:szCs w:val="24"/>
        </w:rPr>
        <w:t>)</w:t>
      </w:r>
      <w:r w:rsidR="00762284" w:rsidRPr="00B06684">
        <w:rPr>
          <w:rFonts w:ascii="Arial" w:hAnsi="Arial" w:cs="Arial"/>
          <w:sz w:val="24"/>
          <w:szCs w:val="24"/>
        </w:rPr>
        <w:t>.</w:t>
      </w:r>
      <w:r w:rsidR="008E073D" w:rsidRPr="00B06684">
        <w:rPr>
          <w:sz w:val="24"/>
          <w:szCs w:val="24"/>
        </w:rPr>
        <w:t xml:space="preserve"> </w:t>
      </w:r>
      <w:r w:rsidR="00402B6A" w:rsidRPr="00B06684">
        <w:rPr>
          <w:rFonts w:ascii="Arial" w:hAnsi="Arial" w:cs="Arial"/>
          <w:sz w:val="24"/>
          <w:szCs w:val="24"/>
        </w:rPr>
        <w:t>T</w:t>
      </w:r>
      <w:r w:rsidR="00F5718C" w:rsidRPr="00B06684">
        <w:rPr>
          <w:rFonts w:ascii="Arial" w:hAnsi="Arial" w:cs="Arial"/>
          <w:sz w:val="24"/>
          <w:szCs w:val="24"/>
        </w:rPr>
        <w:t xml:space="preserve">he </w:t>
      </w:r>
      <w:r w:rsidR="001F6181" w:rsidRPr="00B06684">
        <w:rPr>
          <w:rFonts w:ascii="Arial" w:hAnsi="Arial" w:cs="Arial"/>
          <w:sz w:val="24"/>
          <w:szCs w:val="24"/>
        </w:rPr>
        <w:t xml:space="preserve">guidance outlines that the </w:t>
      </w:r>
      <w:r w:rsidR="00F5718C" w:rsidRPr="00B06684">
        <w:rPr>
          <w:rFonts w:ascii="Arial" w:hAnsi="Arial" w:cs="Arial"/>
          <w:sz w:val="24"/>
          <w:szCs w:val="24"/>
        </w:rPr>
        <w:t>r</w:t>
      </w:r>
      <w:r w:rsidR="005F77F7" w:rsidRPr="00B06684">
        <w:rPr>
          <w:rFonts w:ascii="Arial" w:hAnsi="Arial" w:cs="Arial"/>
          <w:sz w:val="24"/>
          <w:szCs w:val="24"/>
        </w:rPr>
        <w:t xml:space="preserve">egulators have the freedom to create their own strategy for collecting </w:t>
      </w:r>
      <w:r w:rsidR="003B2C76" w:rsidRPr="00B06684">
        <w:rPr>
          <w:rFonts w:ascii="Arial" w:hAnsi="Arial" w:cs="Arial"/>
          <w:sz w:val="24"/>
          <w:szCs w:val="24"/>
        </w:rPr>
        <w:t>diverse</w:t>
      </w:r>
      <w:r w:rsidR="005F77F7" w:rsidRPr="00B06684">
        <w:rPr>
          <w:rFonts w:ascii="Arial" w:hAnsi="Arial" w:cs="Arial"/>
          <w:sz w:val="24"/>
          <w:szCs w:val="24"/>
        </w:rPr>
        <w:t xml:space="preserve"> data</w:t>
      </w:r>
      <w:r w:rsidR="007B010E" w:rsidRPr="00B06684">
        <w:rPr>
          <w:rFonts w:ascii="Arial" w:hAnsi="Arial" w:cs="Arial"/>
          <w:sz w:val="24"/>
          <w:szCs w:val="24"/>
        </w:rPr>
        <w:t xml:space="preserve"> in the best possible way. This</w:t>
      </w:r>
      <w:r w:rsidR="00D94015" w:rsidRPr="00B06684">
        <w:rPr>
          <w:rFonts w:ascii="Arial" w:hAnsi="Arial" w:cs="Arial"/>
          <w:sz w:val="24"/>
          <w:szCs w:val="24"/>
        </w:rPr>
        <w:t xml:space="preserve"> enables</w:t>
      </w:r>
      <w:r w:rsidR="004A21E3" w:rsidRPr="00B06684">
        <w:rPr>
          <w:rFonts w:ascii="Arial" w:hAnsi="Arial" w:cs="Arial"/>
          <w:sz w:val="24"/>
          <w:szCs w:val="24"/>
        </w:rPr>
        <w:t xml:space="preserve"> them to</w:t>
      </w:r>
      <w:r w:rsidR="007E6D40" w:rsidRPr="00B06684">
        <w:rPr>
          <w:rFonts w:ascii="Arial" w:hAnsi="Arial" w:cs="Arial"/>
          <w:sz w:val="24"/>
          <w:szCs w:val="24"/>
        </w:rPr>
        <w:t xml:space="preserve"> better</w:t>
      </w:r>
      <w:r w:rsidR="004A21E3" w:rsidRPr="00B06684">
        <w:rPr>
          <w:rFonts w:ascii="Arial" w:hAnsi="Arial" w:cs="Arial"/>
          <w:sz w:val="24"/>
          <w:szCs w:val="24"/>
        </w:rPr>
        <w:t xml:space="preserve"> understand </w:t>
      </w:r>
      <w:r w:rsidR="007E6D40" w:rsidRPr="00B06684">
        <w:rPr>
          <w:rFonts w:ascii="Arial" w:hAnsi="Arial" w:cs="Arial"/>
          <w:sz w:val="24"/>
          <w:szCs w:val="24"/>
        </w:rPr>
        <w:t xml:space="preserve">the diversity profile of </w:t>
      </w:r>
      <w:r w:rsidR="00FC7C64" w:rsidRPr="00B06684">
        <w:rPr>
          <w:rFonts w:ascii="Arial" w:hAnsi="Arial" w:cs="Arial"/>
          <w:sz w:val="24"/>
          <w:szCs w:val="24"/>
        </w:rPr>
        <w:t xml:space="preserve">those they </w:t>
      </w:r>
      <w:r w:rsidR="009F4507" w:rsidRPr="00B06684">
        <w:rPr>
          <w:rFonts w:ascii="Arial" w:hAnsi="Arial" w:cs="Arial"/>
          <w:sz w:val="24"/>
          <w:szCs w:val="24"/>
        </w:rPr>
        <w:t>regulate</w:t>
      </w:r>
      <w:r w:rsidR="00FC7C64" w:rsidRPr="00B06684">
        <w:rPr>
          <w:rFonts w:ascii="Arial" w:hAnsi="Arial" w:cs="Arial"/>
          <w:sz w:val="24"/>
          <w:szCs w:val="24"/>
        </w:rPr>
        <w:t xml:space="preserve"> and</w:t>
      </w:r>
      <w:r w:rsidR="00306BDC" w:rsidRPr="00B06684">
        <w:rPr>
          <w:rFonts w:ascii="Arial" w:hAnsi="Arial" w:cs="Arial"/>
          <w:sz w:val="24"/>
          <w:szCs w:val="24"/>
        </w:rPr>
        <w:t xml:space="preserve"> </w:t>
      </w:r>
      <w:r w:rsidR="00CD3672" w:rsidRPr="00B06684">
        <w:rPr>
          <w:rFonts w:ascii="Arial" w:hAnsi="Arial" w:cs="Arial"/>
          <w:sz w:val="24"/>
          <w:szCs w:val="24"/>
        </w:rPr>
        <w:t xml:space="preserve">serve to </w:t>
      </w:r>
      <w:r w:rsidR="00D94015" w:rsidRPr="00B06684">
        <w:rPr>
          <w:rFonts w:ascii="Arial" w:hAnsi="Arial" w:cs="Arial"/>
          <w:sz w:val="24"/>
          <w:szCs w:val="24"/>
        </w:rPr>
        <w:t>improve</w:t>
      </w:r>
      <w:r w:rsidR="00306BDC" w:rsidRPr="00B06684">
        <w:rPr>
          <w:rFonts w:ascii="Arial" w:hAnsi="Arial" w:cs="Arial"/>
          <w:sz w:val="24"/>
          <w:szCs w:val="24"/>
        </w:rPr>
        <w:t xml:space="preserve"> </w:t>
      </w:r>
      <w:r w:rsidR="00D94015" w:rsidRPr="00B06684">
        <w:rPr>
          <w:rFonts w:ascii="Arial" w:hAnsi="Arial" w:cs="Arial"/>
          <w:sz w:val="24"/>
          <w:szCs w:val="24"/>
        </w:rPr>
        <w:t xml:space="preserve">their </w:t>
      </w:r>
      <w:r w:rsidR="009F4507" w:rsidRPr="00B06684">
        <w:rPr>
          <w:rFonts w:ascii="Arial" w:hAnsi="Arial" w:cs="Arial"/>
          <w:sz w:val="24"/>
          <w:szCs w:val="24"/>
        </w:rPr>
        <w:t xml:space="preserve">policies and decisions. </w:t>
      </w:r>
      <w:r w:rsidR="007D0292" w:rsidRPr="00B06684">
        <w:rPr>
          <w:rFonts w:ascii="Arial" w:hAnsi="Arial" w:cs="Arial"/>
          <w:sz w:val="24"/>
          <w:szCs w:val="24"/>
        </w:rPr>
        <w:t>Furthermore</w:t>
      </w:r>
      <w:r w:rsidR="0065010B" w:rsidRPr="00B06684">
        <w:rPr>
          <w:rFonts w:ascii="Arial" w:hAnsi="Arial" w:cs="Arial"/>
          <w:sz w:val="24"/>
          <w:szCs w:val="24"/>
        </w:rPr>
        <w:t xml:space="preserve">, the updated </w:t>
      </w:r>
      <w:r w:rsidR="004A1643" w:rsidRPr="00B06684">
        <w:rPr>
          <w:rFonts w:ascii="Arial" w:hAnsi="Arial" w:cs="Arial"/>
          <w:sz w:val="24"/>
          <w:szCs w:val="24"/>
        </w:rPr>
        <w:t>guidance</w:t>
      </w:r>
      <w:r w:rsidR="0065010B" w:rsidRPr="00B06684">
        <w:rPr>
          <w:rFonts w:ascii="Arial" w:hAnsi="Arial" w:cs="Arial"/>
          <w:sz w:val="24"/>
          <w:szCs w:val="24"/>
        </w:rPr>
        <w:t xml:space="preserve"> </w:t>
      </w:r>
      <w:r w:rsidR="00B64593" w:rsidRPr="00B06684">
        <w:rPr>
          <w:rFonts w:ascii="Arial" w:hAnsi="Arial" w:cs="Arial"/>
          <w:sz w:val="24"/>
          <w:szCs w:val="24"/>
        </w:rPr>
        <w:t>allows</w:t>
      </w:r>
      <w:r w:rsidR="0065010B" w:rsidRPr="00B06684">
        <w:rPr>
          <w:rFonts w:ascii="Arial" w:hAnsi="Arial" w:cs="Arial"/>
          <w:sz w:val="24"/>
          <w:szCs w:val="24"/>
        </w:rPr>
        <w:t xml:space="preserve"> regulators to use speci</w:t>
      </w:r>
      <w:r w:rsidR="00CA25B7" w:rsidRPr="00B06684">
        <w:rPr>
          <w:rFonts w:ascii="Arial" w:hAnsi="Arial" w:cs="Arial"/>
          <w:sz w:val="24"/>
          <w:szCs w:val="24"/>
        </w:rPr>
        <w:t>fic</w:t>
      </w:r>
      <w:r w:rsidR="0065010B" w:rsidRPr="00B06684">
        <w:rPr>
          <w:rFonts w:ascii="Arial" w:hAnsi="Arial" w:cs="Arial"/>
          <w:sz w:val="24"/>
          <w:szCs w:val="24"/>
        </w:rPr>
        <w:t xml:space="preserve"> </w:t>
      </w:r>
      <w:r w:rsidR="00550443" w:rsidRPr="00B06684">
        <w:rPr>
          <w:rFonts w:ascii="Arial" w:hAnsi="Arial" w:cs="Arial"/>
          <w:sz w:val="24"/>
          <w:szCs w:val="24"/>
        </w:rPr>
        <w:t>approaches</w:t>
      </w:r>
      <w:r w:rsidR="0065010B" w:rsidRPr="00B06684">
        <w:rPr>
          <w:rFonts w:ascii="Arial" w:hAnsi="Arial" w:cs="Arial"/>
          <w:sz w:val="24"/>
          <w:szCs w:val="24"/>
        </w:rPr>
        <w:t xml:space="preserve"> that are appropriate for their regulated community</w:t>
      </w:r>
      <w:r w:rsidR="008B28FD" w:rsidRPr="00B06684">
        <w:rPr>
          <w:rFonts w:ascii="Arial" w:hAnsi="Arial" w:cs="Arial"/>
          <w:sz w:val="24"/>
          <w:szCs w:val="24"/>
        </w:rPr>
        <w:t xml:space="preserve"> </w:t>
      </w:r>
      <w:r w:rsidR="008D08E3" w:rsidRPr="00B06684">
        <w:rPr>
          <w:rFonts w:ascii="Arial" w:hAnsi="Arial" w:cs="Arial"/>
          <w:sz w:val="24"/>
          <w:szCs w:val="24"/>
        </w:rPr>
        <w:t>(LSB, 2017)</w:t>
      </w:r>
      <w:r w:rsidR="0065010B" w:rsidRPr="00B06684">
        <w:rPr>
          <w:rFonts w:ascii="Arial" w:hAnsi="Arial" w:cs="Arial"/>
          <w:sz w:val="24"/>
          <w:szCs w:val="24"/>
        </w:rPr>
        <w:t xml:space="preserve">. </w:t>
      </w:r>
    </w:p>
    <w:p w14:paraId="48616DEA" w14:textId="1D58D9F7" w:rsidR="00FE405F" w:rsidRPr="00B06684" w:rsidRDefault="0015205E" w:rsidP="00FE405F">
      <w:pPr>
        <w:rPr>
          <w:rFonts w:ascii="Arial" w:hAnsi="Arial" w:cs="Arial"/>
          <w:sz w:val="24"/>
          <w:szCs w:val="24"/>
        </w:rPr>
      </w:pPr>
      <w:r w:rsidRPr="00B06684">
        <w:rPr>
          <w:rFonts w:ascii="Arial" w:hAnsi="Arial" w:cs="Arial"/>
          <w:color w:val="000000" w:themeColor="text1"/>
          <w:sz w:val="24"/>
          <w:szCs w:val="24"/>
        </w:rPr>
        <w:t xml:space="preserve">The SRA’s </w:t>
      </w:r>
      <w:r w:rsidR="00F93C49" w:rsidRPr="00B06684">
        <w:rPr>
          <w:rFonts w:ascii="Arial" w:eastAsia="Times New Roman" w:hAnsi="Arial" w:cs="Arial"/>
          <w:color w:val="000000" w:themeColor="text1"/>
          <w:spacing w:val="-7"/>
          <w:kern w:val="0"/>
          <w:sz w:val="24"/>
          <w:szCs w:val="24"/>
          <w:lang w:eastAsia="en-GB"/>
          <w14:ligatures w14:val="none"/>
        </w:rPr>
        <w:t>approach to equality, diversity and inclusion</w:t>
      </w:r>
      <w:r w:rsidR="001473D5" w:rsidRPr="00B06684">
        <w:rPr>
          <w:rFonts w:ascii="Arial" w:eastAsia="Times New Roman" w:hAnsi="Arial" w:cs="Arial"/>
          <w:color w:val="000000" w:themeColor="text1"/>
          <w:spacing w:val="-7"/>
          <w:kern w:val="0"/>
          <w:sz w:val="24"/>
          <w:szCs w:val="24"/>
          <w:lang w:eastAsia="en-GB"/>
          <w14:ligatures w14:val="none"/>
        </w:rPr>
        <w:t xml:space="preserve"> (EDI)</w:t>
      </w:r>
      <w:r w:rsidR="00F93C49" w:rsidRPr="00B06684">
        <w:rPr>
          <w:rFonts w:ascii="Arial" w:eastAsia="Times New Roman" w:hAnsi="Arial" w:cs="Arial"/>
          <w:color w:val="000000" w:themeColor="text1"/>
          <w:spacing w:val="-7"/>
          <w:kern w:val="0"/>
          <w:sz w:val="24"/>
          <w:szCs w:val="24"/>
          <w:lang w:eastAsia="en-GB"/>
          <w14:ligatures w14:val="none"/>
        </w:rPr>
        <w:t xml:space="preserve"> </w:t>
      </w:r>
      <w:r w:rsidR="00557A10" w:rsidRPr="00B06684">
        <w:rPr>
          <w:rFonts w:ascii="Arial" w:eastAsia="Times New Roman" w:hAnsi="Arial" w:cs="Arial"/>
          <w:color w:val="000000" w:themeColor="text1"/>
          <w:spacing w:val="-7"/>
          <w:kern w:val="0"/>
          <w:sz w:val="24"/>
          <w:szCs w:val="24"/>
          <w:lang w:eastAsia="en-GB"/>
          <w14:ligatures w14:val="none"/>
        </w:rPr>
        <w:t xml:space="preserve">guidance </w:t>
      </w:r>
      <w:r w:rsidR="003724B7" w:rsidRPr="00B06684">
        <w:rPr>
          <w:rFonts w:ascii="Arial" w:eastAsia="Times New Roman" w:hAnsi="Arial" w:cs="Arial"/>
          <w:color w:val="000000" w:themeColor="text1"/>
          <w:spacing w:val="-7"/>
          <w:kern w:val="0"/>
          <w:sz w:val="24"/>
          <w:szCs w:val="24"/>
          <w:lang w:eastAsia="en-GB"/>
          <w14:ligatures w14:val="none"/>
        </w:rPr>
        <w:t>regulates</w:t>
      </w:r>
      <w:r w:rsidR="00A1660B" w:rsidRPr="00B06684">
        <w:rPr>
          <w:rFonts w:ascii="Arial" w:eastAsia="Times New Roman" w:hAnsi="Arial" w:cs="Arial"/>
          <w:color w:val="000000" w:themeColor="text1"/>
          <w:spacing w:val="-7"/>
          <w:kern w:val="0"/>
          <w:sz w:val="24"/>
          <w:szCs w:val="24"/>
          <w:lang w:eastAsia="en-GB"/>
          <w14:ligatures w14:val="none"/>
        </w:rPr>
        <w:t xml:space="preserve"> </w:t>
      </w:r>
      <w:r w:rsidR="007906B0" w:rsidRPr="00B06684">
        <w:rPr>
          <w:rFonts w:ascii="Arial" w:eastAsia="Times New Roman" w:hAnsi="Arial" w:cs="Arial"/>
          <w:color w:val="000000" w:themeColor="text1"/>
          <w:spacing w:val="-7"/>
          <w:kern w:val="0"/>
          <w:sz w:val="24"/>
          <w:szCs w:val="24"/>
          <w:lang w:eastAsia="en-GB"/>
          <w14:ligatures w14:val="none"/>
        </w:rPr>
        <w:t xml:space="preserve">all regulated firms and individuals </w:t>
      </w:r>
      <w:r w:rsidR="00A1660B" w:rsidRPr="00B06684">
        <w:rPr>
          <w:rFonts w:ascii="Arial" w:eastAsia="Times New Roman" w:hAnsi="Arial" w:cs="Arial"/>
          <w:color w:val="000000" w:themeColor="text1"/>
          <w:spacing w:val="-7"/>
          <w:kern w:val="0"/>
          <w:sz w:val="24"/>
          <w:szCs w:val="24"/>
          <w:lang w:eastAsia="en-GB"/>
          <w14:ligatures w14:val="none"/>
        </w:rPr>
        <w:t xml:space="preserve">according to </w:t>
      </w:r>
      <w:r w:rsidR="00DD1BC3" w:rsidRPr="00B06684">
        <w:rPr>
          <w:rFonts w:ascii="Arial" w:eastAsia="Times New Roman" w:hAnsi="Arial" w:cs="Arial"/>
          <w:color w:val="000000" w:themeColor="text1"/>
          <w:spacing w:val="-7"/>
          <w:kern w:val="0"/>
          <w:sz w:val="24"/>
          <w:szCs w:val="24"/>
          <w:lang w:eastAsia="en-GB"/>
          <w14:ligatures w14:val="none"/>
        </w:rPr>
        <w:t>Principle</w:t>
      </w:r>
      <w:r w:rsidR="00A04326" w:rsidRPr="00B06684">
        <w:rPr>
          <w:rFonts w:ascii="Arial" w:eastAsia="Times New Roman" w:hAnsi="Arial" w:cs="Arial"/>
          <w:color w:val="000000" w:themeColor="text1"/>
          <w:spacing w:val="-7"/>
          <w:kern w:val="0"/>
          <w:sz w:val="24"/>
          <w:szCs w:val="24"/>
          <w:lang w:eastAsia="en-GB"/>
          <w14:ligatures w14:val="none"/>
        </w:rPr>
        <w:t xml:space="preserve"> 6 </w:t>
      </w:r>
      <w:r w:rsidR="000E3B81" w:rsidRPr="00B06684">
        <w:rPr>
          <w:rFonts w:ascii="Arial" w:eastAsia="Times New Roman" w:hAnsi="Arial" w:cs="Arial"/>
          <w:color w:val="000000" w:themeColor="text1"/>
          <w:spacing w:val="-7"/>
          <w:kern w:val="0"/>
          <w:sz w:val="24"/>
          <w:szCs w:val="24"/>
          <w:lang w:eastAsia="en-GB"/>
          <w14:ligatures w14:val="none"/>
        </w:rPr>
        <w:t xml:space="preserve">of the SRA Standards and Regulations </w:t>
      </w:r>
      <w:r w:rsidR="00A1660B" w:rsidRPr="00B06684">
        <w:rPr>
          <w:rFonts w:ascii="Arial" w:eastAsia="Times New Roman" w:hAnsi="Arial" w:cs="Arial"/>
          <w:color w:val="000000" w:themeColor="text1"/>
          <w:spacing w:val="-7"/>
          <w:kern w:val="0"/>
          <w:sz w:val="24"/>
          <w:szCs w:val="24"/>
          <w:lang w:eastAsia="en-GB"/>
          <w14:ligatures w14:val="none"/>
        </w:rPr>
        <w:t>which states</w:t>
      </w:r>
      <w:r w:rsidR="00DD1BC3" w:rsidRPr="00B06684">
        <w:rPr>
          <w:rFonts w:ascii="Arial" w:eastAsia="Times New Roman" w:hAnsi="Arial" w:cs="Arial"/>
          <w:color w:val="000000" w:themeColor="text1"/>
          <w:spacing w:val="-7"/>
          <w:kern w:val="0"/>
          <w:sz w:val="24"/>
          <w:szCs w:val="24"/>
          <w:lang w:eastAsia="en-GB"/>
          <w14:ligatures w14:val="none"/>
        </w:rPr>
        <w:t xml:space="preserve"> that they should</w:t>
      </w:r>
      <w:r w:rsidR="003724B7" w:rsidRPr="00B06684">
        <w:rPr>
          <w:rFonts w:ascii="Arial" w:hAnsi="Arial" w:cs="Arial"/>
          <w:color w:val="212529"/>
          <w:sz w:val="24"/>
          <w:szCs w:val="24"/>
          <w:shd w:val="clear" w:color="auto" w:fill="FFFFFF"/>
        </w:rPr>
        <w:t xml:space="preserve"> </w:t>
      </w:r>
      <w:r w:rsidR="008354B4" w:rsidRPr="00B06684">
        <w:rPr>
          <w:rFonts w:ascii="Arial" w:hAnsi="Arial" w:cs="Arial"/>
          <w:color w:val="212529"/>
          <w:sz w:val="24"/>
          <w:szCs w:val="24"/>
          <w:shd w:val="clear" w:color="auto" w:fill="FFFFFF"/>
        </w:rPr>
        <w:t>‘‘</w:t>
      </w:r>
      <w:r w:rsidR="003724B7" w:rsidRPr="00B06684">
        <w:rPr>
          <w:rFonts w:ascii="Arial" w:hAnsi="Arial" w:cs="Arial"/>
          <w:color w:val="212529"/>
          <w:sz w:val="24"/>
          <w:szCs w:val="24"/>
          <w:shd w:val="clear" w:color="auto" w:fill="FFFFFF"/>
        </w:rPr>
        <w:t>act in a way that encourages equality, diversity and inclusion</w:t>
      </w:r>
      <w:r w:rsidR="008354B4" w:rsidRPr="00B06684">
        <w:rPr>
          <w:rFonts w:ascii="Arial" w:hAnsi="Arial" w:cs="Arial"/>
          <w:color w:val="212529"/>
          <w:sz w:val="24"/>
          <w:szCs w:val="24"/>
          <w:shd w:val="clear" w:color="auto" w:fill="FFFFFF"/>
        </w:rPr>
        <w:t>’’</w:t>
      </w:r>
      <w:r w:rsidR="003724B7" w:rsidRPr="00B06684">
        <w:rPr>
          <w:rFonts w:ascii="Arial" w:hAnsi="Arial" w:cs="Arial"/>
          <w:color w:val="212529"/>
          <w:sz w:val="24"/>
          <w:szCs w:val="24"/>
          <w:shd w:val="clear" w:color="auto" w:fill="FFFFFF"/>
        </w:rPr>
        <w:t>.</w:t>
      </w:r>
      <w:r w:rsidR="00A1660B" w:rsidRPr="00B06684">
        <w:rPr>
          <w:rFonts w:ascii="Arial" w:eastAsia="Times New Roman" w:hAnsi="Arial" w:cs="Arial"/>
          <w:color w:val="000000" w:themeColor="text1"/>
          <w:spacing w:val="-7"/>
          <w:kern w:val="0"/>
          <w:sz w:val="24"/>
          <w:szCs w:val="24"/>
          <w:lang w:eastAsia="en-GB"/>
          <w14:ligatures w14:val="none"/>
        </w:rPr>
        <w:t xml:space="preserve"> </w:t>
      </w:r>
      <w:r w:rsidR="00685B70" w:rsidRPr="00B06684">
        <w:rPr>
          <w:rFonts w:ascii="Arial" w:eastAsia="Times New Roman" w:hAnsi="Arial" w:cs="Arial"/>
          <w:color w:val="000000" w:themeColor="text1"/>
          <w:spacing w:val="-7"/>
          <w:kern w:val="0"/>
          <w:sz w:val="24"/>
          <w:szCs w:val="24"/>
          <w:lang w:eastAsia="en-GB"/>
          <w14:ligatures w14:val="none"/>
        </w:rPr>
        <w:t>The guidance</w:t>
      </w:r>
      <w:r w:rsidR="00265033" w:rsidRPr="00B06684">
        <w:rPr>
          <w:rFonts w:ascii="Arial" w:eastAsia="Times New Roman" w:hAnsi="Arial" w:cs="Arial"/>
          <w:color w:val="000000" w:themeColor="text1"/>
          <w:spacing w:val="-7"/>
          <w:kern w:val="0"/>
          <w:sz w:val="24"/>
          <w:szCs w:val="24"/>
          <w:lang w:eastAsia="en-GB"/>
          <w14:ligatures w14:val="none"/>
        </w:rPr>
        <w:t xml:space="preserve"> </w:t>
      </w:r>
      <w:r w:rsidR="00685B70" w:rsidRPr="00B06684">
        <w:rPr>
          <w:rFonts w:ascii="Arial" w:eastAsia="Times New Roman" w:hAnsi="Arial" w:cs="Arial"/>
          <w:color w:val="000000" w:themeColor="text1"/>
          <w:spacing w:val="-7"/>
          <w:kern w:val="0"/>
          <w:sz w:val="24"/>
          <w:szCs w:val="24"/>
          <w:lang w:eastAsia="en-GB"/>
          <w14:ligatures w14:val="none"/>
        </w:rPr>
        <w:t xml:space="preserve">is designed to help legal professionals </w:t>
      </w:r>
      <w:r w:rsidR="00A153B8" w:rsidRPr="00B06684">
        <w:rPr>
          <w:rFonts w:ascii="Arial" w:eastAsia="Times New Roman" w:hAnsi="Arial" w:cs="Arial"/>
          <w:color w:val="000000" w:themeColor="text1"/>
          <w:spacing w:val="-7"/>
          <w:kern w:val="0"/>
          <w:sz w:val="24"/>
          <w:szCs w:val="24"/>
          <w:lang w:eastAsia="en-GB"/>
          <w14:ligatures w14:val="none"/>
        </w:rPr>
        <w:t xml:space="preserve">understand </w:t>
      </w:r>
      <w:r w:rsidR="00FF63BE" w:rsidRPr="00B06684">
        <w:rPr>
          <w:rFonts w:ascii="Arial" w:eastAsia="Times New Roman" w:hAnsi="Arial" w:cs="Arial"/>
          <w:color w:val="000000" w:themeColor="text1"/>
          <w:spacing w:val="-7"/>
          <w:kern w:val="0"/>
          <w:sz w:val="24"/>
          <w:szCs w:val="24"/>
          <w:lang w:eastAsia="en-GB"/>
          <w14:ligatures w14:val="none"/>
        </w:rPr>
        <w:t xml:space="preserve">what is expected of them according to </w:t>
      </w:r>
      <w:r w:rsidR="00A153B8" w:rsidRPr="00B06684">
        <w:rPr>
          <w:rFonts w:ascii="Arial" w:eastAsia="Times New Roman" w:hAnsi="Arial" w:cs="Arial"/>
          <w:color w:val="000000" w:themeColor="text1"/>
          <w:spacing w:val="-7"/>
          <w:kern w:val="0"/>
          <w:sz w:val="24"/>
          <w:szCs w:val="24"/>
          <w:lang w:eastAsia="en-GB"/>
          <w14:ligatures w14:val="none"/>
        </w:rPr>
        <w:t xml:space="preserve">their EDI obligations and </w:t>
      </w:r>
      <w:r w:rsidR="00FF63BE" w:rsidRPr="00B06684">
        <w:rPr>
          <w:rFonts w:ascii="Arial" w:eastAsia="Times New Roman" w:hAnsi="Arial" w:cs="Arial"/>
          <w:color w:val="000000" w:themeColor="text1"/>
          <w:spacing w:val="-7"/>
          <w:kern w:val="0"/>
          <w:sz w:val="24"/>
          <w:szCs w:val="24"/>
          <w:lang w:eastAsia="en-GB"/>
          <w14:ligatures w14:val="none"/>
        </w:rPr>
        <w:t xml:space="preserve">responsibilities and why they are so important. </w:t>
      </w:r>
      <w:r w:rsidR="00895EE7" w:rsidRPr="00B06684">
        <w:rPr>
          <w:rFonts w:ascii="Arial" w:hAnsi="Arial" w:cs="Arial"/>
          <w:sz w:val="24"/>
          <w:szCs w:val="24"/>
        </w:rPr>
        <w:t xml:space="preserve"> </w:t>
      </w:r>
      <w:r w:rsidR="00D73D47" w:rsidRPr="00B06684">
        <w:rPr>
          <w:rFonts w:ascii="Arial" w:hAnsi="Arial" w:cs="Arial"/>
          <w:sz w:val="24"/>
          <w:szCs w:val="24"/>
        </w:rPr>
        <w:t>EDI is crucial for a variety of reasons.</w:t>
      </w:r>
      <w:r w:rsidR="00895EE7" w:rsidRPr="00B06684">
        <w:rPr>
          <w:rFonts w:ascii="Arial" w:hAnsi="Arial" w:cs="Arial"/>
          <w:sz w:val="24"/>
          <w:szCs w:val="24"/>
        </w:rPr>
        <w:t xml:space="preserve"> </w:t>
      </w:r>
      <w:r w:rsidR="00D73D47" w:rsidRPr="00B06684">
        <w:rPr>
          <w:rFonts w:ascii="Arial" w:hAnsi="Arial" w:cs="Arial"/>
          <w:sz w:val="24"/>
          <w:szCs w:val="24"/>
        </w:rPr>
        <w:t>The successful administration of justice promotes an independent judicial system and upholds the rule of law via a range of perspectives and methods, whether in law firms or in the judiciary.</w:t>
      </w:r>
      <w:r w:rsidR="00972747" w:rsidRPr="00B06684">
        <w:rPr>
          <w:rFonts w:ascii="Arial" w:hAnsi="Arial" w:cs="Arial"/>
          <w:sz w:val="24"/>
          <w:szCs w:val="24"/>
        </w:rPr>
        <w:t xml:space="preserve"> Next, </w:t>
      </w:r>
      <w:r w:rsidR="00111B72" w:rsidRPr="00B06684">
        <w:rPr>
          <w:rFonts w:ascii="Arial" w:hAnsi="Arial" w:cs="Arial"/>
          <w:sz w:val="24"/>
          <w:szCs w:val="24"/>
        </w:rPr>
        <w:t>increasing</w:t>
      </w:r>
      <w:r w:rsidR="00972747" w:rsidRPr="00B06684">
        <w:rPr>
          <w:rFonts w:ascii="Arial" w:hAnsi="Arial" w:cs="Arial"/>
          <w:sz w:val="24"/>
          <w:szCs w:val="24"/>
        </w:rPr>
        <w:t xml:space="preserve"> access to services is </w:t>
      </w:r>
      <w:r w:rsidR="00D54E04" w:rsidRPr="00B06684">
        <w:rPr>
          <w:rFonts w:ascii="Arial" w:hAnsi="Arial" w:cs="Arial"/>
          <w:sz w:val="24"/>
          <w:szCs w:val="24"/>
        </w:rPr>
        <w:t>essential</w:t>
      </w:r>
      <w:r w:rsidR="00972747" w:rsidRPr="00B06684">
        <w:rPr>
          <w:rFonts w:ascii="Arial" w:hAnsi="Arial" w:cs="Arial"/>
          <w:sz w:val="24"/>
          <w:szCs w:val="24"/>
        </w:rPr>
        <w:t xml:space="preserve"> because some clients may be more likely to contact solicitors with whom they have </w:t>
      </w:r>
      <w:r w:rsidR="00D54E04" w:rsidRPr="00B06684">
        <w:rPr>
          <w:rFonts w:ascii="Arial" w:hAnsi="Arial" w:cs="Arial"/>
          <w:sz w:val="24"/>
          <w:szCs w:val="24"/>
        </w:rPr>
        <w:t>particular</w:t>
      </w:r>
      <w:r w:rsidR="00972747" w:rsidRPr="00B06684">
        <w:rPr>
          <w:rFonts w:ascii="Arial" w:hAnsi="Arial" w:cs="Arial"/>
          <w:sz w:val="24"/>
          <w:szCs w:val="24"/>
        </w:rPr>
        <w:t xml:space="preserve"> social or cultural characteristics.</w:t>
      </w:r>
      <w:r w:rsidR="00DD1B3C" w:rsidRPr="00B06684">
        <w:rPr>
          <w:sz w:val="24"/>
          <w:szCs w:val="24"/>
        </w:rPr>
        <w:t xml:space="preserve"> </w:t>
      </w:r>
      <w:r w:rsidR="00DD1B3C" w:rsidRPr="00B06684">
        <w:rPr>
          <w:rFonts w:ascii="Arial" w:hAnsi="Arial" w:cs="Arial"/>
          <w:sz w:val="24"/>
          <w:szCs w:val="24"/>
        </w:rPr>
        <w:t>Finally, EDI enables the most talented individuals to succeed in their careers as solicitors, which contributes to maintaining high standards.</w:t>
      </w:r>
      <w:r w:rsidR="00163786" w:rsidRPr="00B06684">
        <w:rPr>
          <w:rFonts w:ascii="Arial" w:hAnsi="Arial" w:cs="Arial"/>
          <w:sz w:val="24"/>
          <w:szCs w:val="24"/>
        </w:rPr>
        <w:t xml:space="preserve"> </w:t>
      </w:r>
      <w:r w:rsidR="0040346A" w:rsidRPr="00B06684">
        <w:rPr>
          <w:rFonts w:ascii="Arial" w:hAnsi="Arial" w:cs="Arial"/>
          <w:sz w:val="24"/>
          <w:szCs w:val="24"/>
        </w:rPr>
        <w:t>All in all, t</w:t>
      </w:r>
      <w:r w:rsidR="00C632BE" w:rsidRPr="00B06684">
        <w:rPr>
          <w:rFonts w:ascii="Arial" w:hAnsi="Arial" w:cs="Arial"/>
          <w:sz w:val="24"/>
          <w:szCs w:val="24"/>
        </w:rPr>
        <w:t xml:space="preserve">he </w:t>
      </w:r>
      <w:r w:rsidR="00FE405F" w:rsidRPr="00B06684">
        <w:rPr>
          <w:rFonts w:ascii="Arial" w:hAnsi="Arial" w:cs="Arial"/>
          <w:sz w:val="24"/>
          <w:szCs w:val="24"/>
        </w:rPr>
        <w:t xml:space="preserve">diverse </w:t>
      </w:r>
      <w:r w:rsidR="00EC10B8" w:rsidRPr="00B06684">
        <w:rPr>
          <w:rFonts w:ascii="Arial" w:hAnsi="Arial" w:cs="Arial"/>
          <w:sz w:val="24"/>
          <w:szCs w:val="24"/>
        </w:rPr>
        <w:t>employees</w:t>
      </w:r>
      <w:r w:rsidR="00FE405F" w:rsidRPr="00B06684">
        <w:rPr>
          <w:rFonts w:ascii="Arial" w:hAnsi="Arial" w:cs="Arial"/>
          <w:sz w:val="24"/>
          <w:szCs w:val="24"/>
        </w:rPr>
        <w:t xml:space="preserve"> with a range of skills and experiences</w:t>
      </w:r>
      <w:r w:rsidR="005D1B8B" w:rsidRPr="00B06684">
        <w:rPr>
          <w:rFonts w:ascii="Arial" w:hAnsi="Arial" w:cs="Arial"/>
          <w:sz w:val="24"/>
          <w:szCs w:val="24"/>
        </w:rPr>
        <w:t xml:space="preserve"> improve access to justice and</w:t>
      </w:r>
      <w:r w:rsidR="00FE405F" w:rsidRPr="00B06684">
        <w:rPr>
          <w:rFonts w:ascii="Arial" w:hAnsi="Arial" w:cs="Arial"/>
          <w:sz w:val="24"/>
          <w:szCs w:val="24"/>
        </w:rPr>
        <w:t xml:space="preserve"> </w:t>
      </w:r>
      <w:r w:rsidR="00FB289F" w:rsidRPr="00B06684">
        <w:rPr>
          <w:rFonts w:ascii="Arial" w:hAnsi="Arial" w:cs="Arial"/>
          <w:sz w:val="24"/>
          <w:szCs w:val="24"/>
        </w:rPr>
        <w:t>indicate</w:t>
      </w:r>
      <w:r w:rsidR="00FE405F" w:rsidRPr="00B06684">
        <w:rPr>
          <w:rFonts w:ascii="Arial" w:hAnsi="Arial" w:cs="Arial"/>
          <w:sz w:val="24"/>
          <w:szCs w:val="24"/>
        </w:rPr>
        <w:t xml:space="preserve"> to clients that legal professionals are likely to comprehend their needs and those of their community</w:t>
      </w:r>
      <w:r w:rsidR="00A51CA1" w:rsidRPr="00B06684">
        <w:rPr>
          <w:rFonts w:ascii="Arial" w:hAnsi="Arial" w:cs="Arial"/>
          <w:sz w:val="24"/>
          <w:szCs w:val="24"/>
        </w:rPr>
        <w:t>.</w:t>
      </w:r>
      <w:r w:rsidR="00C04774" w:rsidRPr="00B06684">
        <w:rPr>
          <w:sz w:val="24"/>
          <w:szCs w:val="24"/>
        </w:rPr>
        <w:t xml:space="preserve"> </w:t>
      </w:r>
      <w:r w:rsidR="00C04774" w:rsidRPr="00B06684">
        <w:rPr>
          <w:rFonts w:ascii="Arial" w:hAnsi="Arial" w:cs="Arial"/>
          <w:sz w:val="24"/>
          <w:szCs w:val="24"/>
        </w:rPr>
        <w:t>This guideline further addresses the following requirements in the SRA Code of Conduct for Solicitors, RELs, and RFLs and the SRA Code of Conduct for Firms</w:t>
      </w:r>
      <w:r w:rsidR="009B127D" w:rsidRPr="00B06684">
        <w:rPr>
          <w:rFonts w:ascii="Arial" w:hAnsi="Arial" w:cs="Arial"/>
          <w:sz w:val="24"/>
          <w:szCs w:val="24"/>
        </w:rPr>
        <w:t xml:space="preserve"> (Codes of Conduct)</w:t>
      </w:r>
      <w:r w:rsidR="00CE2DCD" w:rsidRPr="00B06684">
        <w:rPr>
          <w:rFonts w:ascii="Arial" w:hAnsi="Arial" w:cs="Arial"/>
          <w:sz w:val="24"/>
          <w:szCs w:val="24"/>
        </w:rPr>
        <w:t xml:space="preserve"> (SRA, 2019)</w:t>
      </w:r>
      <w:r w:rsidR="00C04774" w:rsidRPr="00B06684">
        <w:rPr>
          <w:rFonts w:ascii="Arial" w:hAnsi="Arial" w:cs="Arial"/>
          <w:sz w:val="24"/>
          <w:szCs w:val="24"/>
        </w:rPr>
        <w:t>.</w:t>
      </w:r>
    </w:p>
    <w:p w14:paraId="516ED862" w14:textId="04663AAB" w:rsidR="00C04774" w:rsidRPr="00B06684" w:rsidRDefault="00CA4FCF" w:rsidP="00AC6F79">
      <w:pPr>
        <w:rPr>
          <w:rFonts w:ascii="Arial" w:hAnsi="Arial" w:cs="Arial"/>
          <w:sz w:val="24"/>
          <w:szCs w:val="24"/>
        </w:rPr>
      </w:pPr>
      <w:r w:rsidRPr="00B06684">
        <w:rPr>
          <w:rFonts w:ascii="Arial" w:hAnsi="Arial" w:cs="Arial"/>
          <w:sz w:val="24"/>
          <w:szCs w:val="24"/>
        </w:rPr>
        <w:t>In both versions of the Codes of Conduct, the r</w:t>
      </w:r>
      <w:r w:rsidR="00D46686" w:rsidRPr="00B06684">
        <w:rPr>
          <w:rFonts w:ascii="Arial" w:hAnsi="Arial" w:cs="Arial"/>
          <w:sz w:val="24"/>
          <w:szCs w:val="24"/>
        </w:rPr>
        <w:t>ule</w:t>
      </w:r>
      <w:r w:rsidRPr="00B06684">
        <w:rPr>
          <w:rFonts w:ascii="Arial" w:hAnsi="Arial" w:cs="Arial"/>
          <w:sz w:val="24"/>
          <w:szCs w:val="24"/>
        </w:rPr>
        <w:t xml:space="preserve"> to avoid discrimination is outlined in paragraph 1.1. and </w:t>
      </w:r>
      <w:r w:rsidR="00871531" w:rsidRPr="00B06684">
        <w:rPr>
          <w:rFonts w:ascii="Arial" w:hAnsi="Arial" w:cs="Arial"/>
          <w:sz w:val="24"/>
          <w:szCs w:val="24"/>
        </w:rPr>
        <w:t>defines that l</w:t>
      </w:r>
      <w:r w:rsidR="00195C9D" w:rsidRPr="00B06684">
        <w:rPr>
          <w:rFonts w:ascii="Arial" w:hAnsi="Arial" w:cs="Arial"/>
          <w:sz w:val="24"/>
          <w:szCs w:val="24"/>
        </w:rPr>
        <w:t xml:space="preserve">egal </w:t>
      </w:r>
      <w:r w:rsidR="00A25070" w:rsidRPr="00B06684">
        <w:rPr>
          <w:rFonts w:ascii="Arial" w:hAnsi="Arial" w:cs="Arial"/>
          <w:sz w:val="24"/>
          <w:szCs w:val="24"/>
        </w:rPr>
        <w:t>professionals must not</w:t>
      </w:r>
      <w:r w:rsidR="00195C9D" w:rsidRPr="00B06684">
        <w:rPr>
          <w:rFonts w:ascii="Arial" w:hAnsi="Arial" w:cs="Arial"/>
          <w:sz w:val="24"/>
          <w:szCs w:val="24"/>
        </w:rPr>
        <w:t xml:space="preserve"> discriminate unfairly by using </w:t>
      </w:r>
      <w:r w:rsidR="00A25070" w:rsidRPr="00B06684">
        <w:rPr>
          <w:rFonts w:ascii="Arial" w:hAnsi="Arial" w:cs="Arial"/>
          <w:sz w:val="24"/>
          <w:szCs w:val="24"/>
        </w:rPr>
        <w:t>their</w:t>
      </w:r>
      <w:r w:rsidR="00195C9D" w:rsidRPr="00B06684">
        <w:rPr>
          <w:rFonts w:ascii="Arial" w:hAnsi="Arial" w:cs="Arial"/>
          <w:sz w:val="24"/>
          <w:szCs w:val="24"/>
        </w:rPr>
        <w:t xml:space="preserve"> personal beliefs to influence </w:t>
      </w:r>
      <w:r w:rsidR="00871531" w:rsidRPr="00B06684">
        <w:rPr>
          <w:rFonts w:ascii="Arial" w:hAnsi="Arial" w:cs="Arial"/>
          <w:sz w:val="24"/>
          <w:szCs w:val="24"/>
        </w:rPr>
        <w:t>their</w:t>
      </w:r>
      <w:r w:rsidR="00195C9D" w:rsidRPr="00B06684">
        <w:rPr>
          <w:rFonts w:ascii="Arial" w:hAnsi="Arial" w:cs="Arial"/>
          <w:sz w:val="24"/>
          <w:szCs w:val="24"/>
        </w:rPr>
        <w:t xml:space="preserve"> professional relationships and the way </w:t>
      </w:r>
      <w:r w:rsidR="00871531" w:rsidRPr="00B06684">
        <w:rPr>
          <w:rFonts w:ascii="Arial" w:hAnsi="Arial" w:cs="Arial"/>
          <w:sz w:val="24"/>
          <w:szCs w:val="24"/>
        </w:rPr>
        <w:t>they</w:t>
      </w:r>
      <w:r w:rsidR="00195C9D" w:rsidRPr="00B06684">
        <w:rPr>
          <w:rFonts w:ascii="Arial" w:hAnsi="Arial" w:cs="Arial"/>
          <w:sz w:val="24"/>
          <w:szCs w:val="24"/>
        </w:rPr>
        <w:t xml:space="preserve"> perform </w:t>
      </w:r>
      <w:r w:rsidR="00871531" w:rsidRPr="00B06684">
        <w:rPr>
          <w:rFonts w:ascii="Arial" w:hAnsi="Arial" w:cs="Arial"/>
          <w:sz w:val="24"/>
          <w:szCs w:val="24"/>
        </w:rPr>
        <w:t>their</w:t>
      </w:r>
      <w:r w:rsidR="00195C9D" w:rsidRPr="00B06684">
        <w:rPr>
          <w:rFonts w:ascii="Arial" w:hAnsi="Arial" w:cs="Arial"/>
          <w:sz w:val="24"/>
          <w:szCs w:val="24"/>
        </w:rPr>
        <w:t xml:space="preserve"> services.</w:t>
      </w:r>
      <w:r w:rsidR="00B23466" w:rsidRPr="00B06684">
        <w:rPr>
          <w:rFonts w:ascii="Arial" w:hAnsi="Arial" w:cs="Arial"/>
          <w:sz w:val="24"/>
          <w:szCs w:val="24"/>
        </w:rPr>
        <w:t xml:space="preserve"> </w:t>
      </w:r>
      <w:r w:rsidR="00D14574" w:rsidRPr="00B06684">
        <w:rPr>
          <w:rFonts w:ascii="Arial" w:hAnsi="Arial" w:cs="Arial"/>
          <w:sz w:val="24"/>
          <w:szCs w:val="24"/>
        </w:rPr>
        <w:t xml:space="preserve">Regarding the implementation of these requirements, the revised wording in the Standards and Regulations appears to recognise that while some persons may hold views that are </w:t>
      </w:r>
      <w:r w:rsidR="005573FE" w:rsidRPr="00B06684">
        <w:rPr>
          <w:rFonts w:ascii="Arial" w:hAnsi="Arial" w:cs="Arial"/>
          <w:sz w:val="24"/>
          <w:szCs w:val="24"/>
        </w:rPr>
        <w:t>prejudiced,</w:t>
      </w:r>
      <w:r w:rsidR="00D14574" w:rsidRPr="00B06684">
        <w:rPr>
          <w:rFonts w:ascii="Arial" w:hAnsi="Arial" w:cs="Arial"/>
          <w:sz w:val="24"/>
          <w:szCs w:val="24"/>
        </w:rPr>
        <w:t xml:space="preserve"> they should not let these views affect their practice. </w:t>
      </w:r>
      <w:r w:rsidR="00070D70" w:rsidRPr="00B06684">
        <w:rPr>
          <w:rFonts w:ascii="Arial" w:hAnsi="Arial" w:cs="Arial"/>
          <w:sz w:val="24"/>
          <w:szCs w:val="24"/>
        </w:rPr>
        <w:t xml:space="preserve">Discrimination can typically take one of </w:t>
      </w:r>
      <w:r w:rsidR="00C00AAA" w:rsidRPr="00B06684">
        <w:rPr>
          <w:rFonts w:ascii="Arial" w:hAnsi="Arial" w:cs="Arial"/>
          <w:sz w:val="24"/>
          <w:szCs w:val="24"/>
        </w:rPr>
        <w:t>the</w:t>
      </w:r>
      <w:r w:rsidR="00C54BB0" w:rsidRPr="00B06684">
        <w:rPr>
          <w:rFonts w:ascii="Arial" w:hAnsi="Arial" w:cs="Arial"/>
          <w:sz w:val="24"/>
          <w:szCs w:val="24"/>
        </w:rPr>
        <w:t xml:space="preserve"> following</w:t>
      </w:r>
      <w:r w:rsidR="00C00AAA" w:rsidRPr="00B06684">
        <w:rPr>
          <w:rFonts w:ascii="Arial" w:hAnsi="Arial" w:cs="Arial"/>
          <w:sz w:val="24"/>
          <w:szCs w:val="24"/>
        </w:rPr>
        <w:t xml:space="preserve"> </w:t>
      </w:r>
      <w:r w:rsidR="00070D70" w:rsidRPr="00B06684">
        <w:rPr>
          <w:rFonts w:ascii="Arial" w:hAnsi="Arial" w:cs="Arial"/>
          <w:sz w:val="24"/>
          <w:szCs w:val="24"/>
        </w:rPr>
        <w:t xml:space="preserve">four forms under the </w:t>
      </w:r>
      <w:r w:rsidR="00D22A67" w:rsidRPr="00B06684">
        <w:rPr>
          <w:rFonts w:ascii="Arial" w:hAnsi="Arial" w:cs="Arial"/>
          <w:i/>
          <w:iCs/>
          <w:sz w:val="24"/>
          <w:szCs w:val="24"/>
        </w:rPr>
        <w:t>EA</w:t>
      </w:r>
      <w:r w:rsidR="00070D70" w:rsidRPr="00B06684">
        <w:rPr>
          <w:rFonts w:ascii="Arial" w:hAnsi="Arial" w:cs="Arial"/>
          <w:i/>
          <w:iCs/>
          <w:sz w:val="24"/>
          <w:szCs w:val="24"/>
        </w:rPr>
        <w:t xml:space="preserve"> 2010</w:t>
      </w:r>
      <w:r w:rsidR="00070D70" w:rsidRPr="00B06684">
        <w:rPr>
          <w:rFonts w:ascii="Arial" w:hAnsi="Arial" w:cs="Arial"/>
          <w:sz w:val="24"/>
          <w:szCs w:val="24"/>
        </w:rPr>
        <w:t>.</w:t>
      </w:r>
      <w:r w:rsidR="00AC6F79" w:rsidRPr="00B06684">
        <w:rPr>
          <w:sz w:val="24"/>
          <w:szCs w:val="24"/>
        </w:rPr>
        <w:t xml:space="preserve"> </w:t>
      </w:r>
      <w:r w:rsidR="00D63AFD" w:rsidRPr="00B06684">
        <w:rPr>
          <w:rFonts w:ascii="Arial" w:hAnsi="Arial" w:cs="Arial"/>
          <w:sz w:val="24"/>
          <w:szCs w:val="24"/>
        </w:rPr>
        <w:t>According to section 13</w:t>
      </w:r>
      <w:r w:rsidR="00EC1184" w:rsidRPr="00B06684">
        <w:rPr>
          <w:rFonts w:ascii="Arial" w:hAnsi="Arial" w:cs="Arial"/>
          <w:sz w:val="24"/>
          <w:szCs w:val="24"/>
        </w:rPr>
        <w:t xml:space="preserve"> of </w:t>
      </w:r>
      <w:r w:rsidR="00EC1184" w:rsidRPr="00B06684">
        <w:rPr>
          <w:rFonts w:ascii="Arial" w:hAnsi="Arial" w:cs="Arial"/>
          <w:i/>
          <w:iCs/>
          <w:sz w:val="24"/>
          <w:szCs w:val="24"/>
        </w:rPr>
        <w:t>EA 2010</w:t>
      </w:r>
      <w:r w:rsidR="00D63AFD" w:rsidRPr="00B06684">
        <w:rPr>
          <w:rFonts w:ascii="Arial" w:hAnsi="Arial" w:cs="Arial"/>
          <w:sz w:val="24"/>
          <w:szCs w:val="24"/>
        </w:rPr>
        <w:t xml:space="preserve">, </w:t>
      </w:r>
      <w:r w:rsidR="00407688" w:rsidRPr="00B06684">
        <w:rPr>
          <w:rFonts w:ascii="Arial" w:hAnsi="Arial" w:cs="Arial"/>
          <w:sz w:val="24"/>
          <w:szCs w:val="24"/>
        </w:rPr>
        <w:t xml:space="preserve">when </w:t>
      </w:r>
      <w:r w:rsidR="00AC6F79" w:rsidRPr="00B06684">
        <w:rPr>
          <w:rFonts w:ascii="Arial" w:hAnsi="Arial" w:cs="Arial"/>
          <w:sz w:val="24"/>
          <w:szCs w:val="24"/>
        </w:rPr>
        <w:t>an individual is treated less favourably because of a relevant protected characteristic,</w:t>
      </w:r>
      <w:r w:rsidR="00C5158A" w:rsidRPr="00B06684">
        <w:rPr>
          <w:rFonts w:ascii="Arial" w:hAnsi="Arial" w:cs="Arial"/>
          <w:sz w:val="24"/>
          <w:szCs w:val="24"/>
        </w:rPr>
        <w:t xml:space="preserve"> </w:t>
      </w:r>
      <w:r w:rsidR="00AC6F79" w:rsidRPr="00B06684">
        <w:rPr>
          <w:rFonts w:ascii="Arial" w:hAnsi="Arial" w:cs="Arial"/>
          <w:sz w:val="24"/>
          <w:szCs w:val="24"/>
        </w:rPr>
        <w:t>direct discrimination</w:t>
      </w:r>
      <w:r w:rsidR="00C5158A" w:rsidRPr="00B06684">
        <w:rPr>
          <w:rFonts w:ascii="Arial" w:hAnsi="Arial" w:cs="Arial"/>
          <w:sz w:val="24"/>
          <w:szCs w:val="24"/>
        </w:rPr>
        <w:t xml:space="preserve"> applies</w:t>
      </w:r>
      <w:r w:rsidR="00AC6F79" w:rsidRPr="00B06684">
        <w:rPr>
          <w:rFonts w:ascii="Arial" w:hAnsi="Arial" w:cs="Arial"/>
          <w:sz w:val="24"/>
          <w:szCs w:val="24"/>
        </w:rPr>
        <w:t>.</w:t>
      </w:r>
      <w:r w:rsidR="00D63AFD" w:rsidRPr="00B06684">
        <w:rPr>
          <w:rFonts w:ascii="Arial" w:hAnsi="Arial" w:cs="Arial"/>
          <w:sz w:val="24"/>
          <w:szCs w:val="24"/>
        </w:rPr>
        <w:t xml:space="preserve"> </w:t>
      </w:r>
      <w:r w:rsidR="00AC6F79" w:rsidRPr="00B06684">
        <w:rPr>
          <w:rFonts w:ascii="Arial" w:hAnsi="Arial" w:cs="Arial"/>
          <w:sz w:val="24"/>
          <w:szCs w:val="24"/>
        </w:rPr>
        <w:t>This definition was expanded further with the idea of 'associative discrimination which refers to a person close to the victim</w:t>
      </w:r>
      <w:r w:rsidR="00EB2F82" w:rsidRPr="00B06684">
        <w:rPr>
          <w:rFonts w:ascii="Arial" w:hAnsi="Arial" w:cs="Arial"/>
          <w:sz w:val="24"/>
          <w:szCs w:val="24"/>
        </w:rPr>
        <w:t xml:space="preserve"> as proved in the case ‘</w:t>
      </w:r>
      <w:r w:rsidR="00EB2F82" w:rsidRPr="00B06684">
        <w:rPr>
          <w:rStyle w:val="ssit"/>
          <w:rFonts w:ascii="Arial" w:hAnsi="Arial" w:cs="Arial"/>
          <w:i/>
          <w:iCs/>
          <w:color w:val="000000" w:themeColor="text1"/>
          <w:sz w:val="24"/>
          <w:szCs w:val="24"/>
          <w:bdr w:val="none" w:sz="0" w:space="0" w:color="auto" w:frame="1"/>
          <w:shd w:val="clear" w:color="auto" w:fill="FFFFFF"/>
        </w:rPr>
        <w:t>Coleman v Attridge Law</w:t>
      </w:r>
      <w:r w:rsidR="007E51DA" w:rsidRPr="00B06684">
        <w:rPr>
          <w:rFonts w:ascii="Arial" w:hAnsi="Arial" w:cs="Arial"/>
          <w:color w:val="000000" w:themeColor="text1"/>
          <w:sz w:val="24"/>
          <w:szCs w:val="24"/>
          <w:shd w:val="clear" w:color="auto" w:fill="FFFFFF"/>
        </w:rPr>
        <w:t xml:space="preserve"> </w:t>
      </w:r>
      <w:r w:rsidR="007E51DA" w:rsidRPr="00B06684">
        <w:rPr>
          <w:rFonts w:ascii="Arial" w:hAnsi="Arial" w:cs="Arial"/>
          <w:i/>
          <w:iCs/>
          <w:color w:val="000000" w:themeColor="text1"/>
          <w:sz w:val="24"/>
          <w:szCs w:val="24"/>
          <w:shd w:val="clear" w:color="auto" w:fill="FFFFFF"/>
        </w:rPr>
        <w:t>and Steve Law’</w:t>
      </w:r>
      <w:r w:rsidR="009B6C65" w:rsidRPr="00B06684">
        <w:rPr>
          <w:rFonts w:ascii="Arial" w:hAnsi="Arial" w:cs="Arial"/>
          <w:i/>
          <w:iCs/>
          <w:color w:val="000000" w:themeColor="text1"/>
          <w:sz w:val="24"/>
          <w:szCs w:val="24"/>
          <w:shd w:val="clear" w:color="auto" w:fill="FFFFFF"/>
        </w:rPr>
        <w:t xml:space="preserve"> </w:t>
      </w:r>
      <w:r w:rsidR="007E51DA" w:rsidRPr="00B06684">
        <w:rPr>
          <w:rFonts w:ascii="Arial" w:hAnsi="Arial" w:cs="Arial"/>
          <w:color w:val="000000" w:themeColor="text1"/>
          <w:sz w:val="24"/>
          <w:szCs w:val="24"/>
          <w:shd w:val="clear" w:color="auto" w:fill="FFFFFF"/>
        </w:rPr>
        <w:t>(2008)</w:t>
      </w:r>
      <w:r w:rsidR="00470445" w:rsidRPr="00B06684">
        <w:rPr>
          <w:rFonts w:ascii="Arial" w:hAnsi="Arial" w:cs="Arial"/>
          <w:color w:val="000000" w:themeColor="text1"/>
          <w:sz w:val="24"/>
          <w:szCs w:val="24"/>
          <w:shd w:val="clear" w:color="auto" w:fill="FFFFFF"/>
        </w:rPr>
        <w:t xml:space="preserve">. </w:t>
      </w:r>
      <w:r w:rsidR="00470445" w:rsidRPr="00B06684">
        <w:rPr>
          <w:rFonts w:ascii="Arial" w:hAnsi="Arial" w:cs="Arial"/>
          <w:color w:val="000000" w:themeColor="text1"/>
          <w:sz w:val="24"/>
          <w:szCs w:val="24"/>
        </w:rPr>
        <w:t>Next,</w:t>
      </w:r>
      <w:r w:rsidR="001204F2" w:rsidRPr="00B06684">
        <w:rPr>
          <w:rFonts w:ascii="Arial" w:hAnsi="Arial" w:cs="Arial"/>
          <w:color w:val="000000" w:themeColor="text1"/>
          <w:sz w:val="24"/>
          <w:szCs w:val="24"/>
        </w:rPr>
        <w:t xml:space="preserve"> i</w:t>
      </w:r>
      <w:r w:rsidR="00691BCE" w:rsidRPr="00B06684">
        <w:rPr>
          <w:rFonts w:ascii="Arial" w:hAnsi="Arial" w:cs="Arial"/>
          <w:color w:val="000000" w:themeColor="text1"/>
          <w:sz w:val="24"/>
          <w:szCs w:val="24"/>
        </w:rPr>
        <w:t xml:space="preserve">ndirect discrimination </w:t>
      </w:r>
      <w:r w:rsidR="00D72252" w:rsidRPr="00B06684">
        <w:rPr>
          <w:rFonts w:ascii="Arial" w:hAnsi="Arial" w:cs="Arial"/>
          <w:color w:val="000000" w:themeColor="text1"/>
          <w:sz w:val="24"/>
          <w:szCs w:val="24"/>
        </w:rPr>
        <w:t xml:space="preserve">under section 19 of </w:t>
      </w:r>
      <w:r w:rsidR="00D72252" w:rsidRPr="00B06684">
        <w:rPr>
          <w:rFonts w:ascii="Arial" w:hAnsi="Arial" w:cs="Arial"/>
          <w:i/>
          <w:iCs/>
          <w:color w:val="000000" w:themeColor="text1"/>
          <w:sz w:val="24"/>
          <w:szCs w:val="24"/>
        </w:rPr>
        <w:t>EA 2010</w:t>
      </w:r>
      <w:r w:rsidR="00D72252" w:rsidRPr="00B06684">
        <w:rPr>
          <w:rFonts w:ascii="Arial" w:hAnsi="Arial" w:cs="Arial"/>
          <w:color w:val="000000" w:themeColor="text1"/>
          <w:sz w:val="24"/>
          <w:szCs w:val="24"/>
        </w:rPr>
        <w:t xml:space="preserve"> </w:t>
      </w:r>
      <w:r w:rsidR="00691BCE" w:rsidRPr="00B06684">
        <w:rPr>
          <w:rFonts w:ascii="Arial" w:hAnsi="Arial" w:cs="Arial"/>
          <w:color w:val="000000" w:themeColor="text1"/>
          <w:sz w:val="24"/>
          <w:szCs w:val="24"/>
        </w:rPr>
        <w:t xml:space="preserve">occurs when a law that </w:t>
      </w:r>
      <w:r w:rsidR="00590FCD" w:rsidRPr="00B06684">
        <w:rPr>
          <w:rFonts w:ascii="Arial" w:hAnsi="Arial" w:cs="Arial"/>
          <w:color w:val="000000" w:themeColor="text1"/>
          <w:sz w:val="24"/>
          <w:szCs w:val="24"/>
        </w:rPr>
        <w:t>relates</w:t>
      </w:r>
      <w:r w:rsidR="00691BCE" w:rsidRPr="00B06684">
        <w:rPr>
          <w:rFonts w:ascii="Arial" w:hAnsi="Arial" w:cs="Arial"/>
          <w:color w:val="000000" w:themeColor="text1"/>
          <w:sz w:val="24"/>
          <w:szCs w:val="24"/>
        </w:rPr>
        <w:t xml:space="preserve"> to everyone has the unintended consequence of significantly reducing the number of members of a protected group who can qualify.</w:t>
      </w:r>
      <w:r w:rsidR="00B27E0B" w:rsidRPr="00B06684">
        <w:rPr>
          <w:rFonts w:ascii="Arial" w:hAnsi="Arial" w:cs="Arial"/>
          <w:sz w:val="24"/>
          <w:szCs w:val="24"/>
        </w:rPr>
        <w:t xml:space="preserve"> </w:t>
      </w:r>
      <w:r w:rsidR="00495A23" w:rsidRPr="00B06684">
        <w:rPr>
          <w:rFonts w:ascii="Arial" w:hAnsi="Arial" w:cs="Arial"/>
          <w:sz w:val="24"/>
          <w:szCs w:val="24"/>
        </w:rPr>
        <w:t>In addition, h</w:t>
      </w:r>
      <w:r w:rsidR="00B27E0B" w:rsidRPr="00B06684">
        <w:rPr>
          <w:rFonts w:ascii="Arial" w:hAnsi="Arial" w:cs="Arial"/>
          <w:sz w:val="24"/>
          <w:szCs w:val="24"/>
        </w:rPr>
        <w:t xml:space="preserve">arassment is defined under Section 26 of </w:t>
      </w:r>
      <w:r w:rsidR="00B27E0B" w:rsidRPr="00B06684">
        <w:rPr>
          <w:rFonts w:ascii="Arial" w:hAnsi="Arial" w:cs="Arial"/>
          <w:i/>
          <w:iCs/>
          <w:sz w:val="24"/>
          <w:szCs w:val="24"/>
        </w:rPr>
        <w:t>EA 2010</w:t>
      </w:r>
      <w:r w:rsidR="00B27E0B" w:rsidRPr="00B06684">
        <w:rPr>
          <w:rFonts w:ascii="Arial" w:hAnsi="Arial" w:cs="Arial"/>
          <w:sz w:val="24"/>
          <w:szCs w:val="24"/>
        </w:rPr>
        <w:t xml:space="preserve"> as unwanted behaviour connected to a relevant protected characteristic that violates the victim's ''dignity or creates an intimidating, hostile, degrading, humiliating or offensive environment'</w:t>
      </w:r>
      <w:r w:rsidR="006D767B" w:rsidRPr="00B06684">
        <w:rPr>
          <w:rFonts w:ascii="Arial" w:hAnsi="Arial" w:cs="Arial"/>
          <w:sz w:val="24"/>
          <w:szCs w:val="24"/>
        </w:rPr>
        <w:t>‘. Further</w:t>
      </w:r>
      <w:r w:rsidR="003177B4" w:rsidRPr="00B06684">
        <w:rPr>
          <w:rFonts w:ascii="Arial" w:hAnsi="Arial" w:cs="Arial"/>
          <w:color w:val="000000" w:themeColor="text1"/>
          <w:sz w:val="24"/>
          <w:szCs w:val="24"/>
        </w:rPr>
        <w:t>, if</w:t>
      </w:r>
      <w:r w:rsidR="007E38B6" w:rsidRPr="00B06684">
        <w:rPr>
          <w:rFonts w:ascii="Arial" w:hAnsi="Arial" w:cs="Arial"/>
          <w:color w:val="000000" w:themeColor="text1"/>
          <w:sz w:val="24"/>
          <w:szCs w:val="24"/>
        </w:rPr>
        <w:t xml:space="preserve"> </w:t>
      </w:r>
      <w:r w:rsidR="00AC6AF8" w:rsidRPr="00B06684">
        <w:rPr>
          <w:rFonts w:ascii="Arial" w:hAnsi="Arial" w:cs="Arial"/>
          <w:color w:val="000000" w:themeColor="text1"/>
          <w:sz w:val="24"/>
          <w:szCs w:val="24"/>
        </w:rPr>
        <w:t xml:space="preserve">someone is treated less favourably as a result of </w:t>
      </w:r>
      <w:r w:rsidR="007E38B6" w:rsidRPr="00B06684">
        <w:rPr>
          <w:rFonts w:ascii="Arial" w:hAnsi="Arial" w:cs="Arial"/>
          <w:color w:val="000000" w:themeColor="text1"/>
          <w:sz w:val="24"/>
          <w:szCs w:val="24"/>
        </w:rPr>
        <w:t>initiating</w:t>
      </w:r>
      <w:r w:rsidR="00AC6AF8" w:rsidRPr="00B06684">
        <w:rPr>
          <w:rFonts w:ascii="Arial" w:hAnsi="Arial" w:cs="Arial"/>
          <w:color w:val="000000" w:themeColor="text1"/>
          <w:sz w:val="24"/>
          <w:szCs w:val="24"/>
        </w:rPr>
        <w:t xml:space="preserve"> (or being suspected of) a protected act (such as complaining of discrimination), this is known as victimisation</w:t>
      </w:r>
      <w:r w:rsidR="0019036B" w:rsidRPr="00B06684">
        <w:rPr>
          <w:rFonts w:ascii="Arial" w:hAnsi="Arial" w:cs="Arial"/>
          <w:color w:val="000000" w:themeColor="text1"/>
          <w:sz w:val="24"/>
          <w:szCs w:val="24"/>
        </w:rPr>
        <w:t xml:space="preserve"> (Section 27</w:t>
      </w:r>
      <w:r w:rsidR="00E568BD" w:rsidRPr="00B06684">
        <w:rPr>
          <w:rFonts w:ascii="Arial" w:hAnsi="Arial" w:cs="Arial"/>
          <w:color w:val="000000" w:themeColor="text1"/>
          <w:sz w:val="24"/>
          <w:szCs w:val="24"/>
        </w:rPr>
        <w:t xml:space="preserve"> of</w:t>
      </w:r>
      <w:r w:rsidR="00E568BD" w:rsidRPr="00B06684">
        <w:rPr>
          <w:rFonts w:ascii="Arial" w:hAnsi="Arial" w:cs="Arial"/>
          <w:i/>
          <w:iCs/>
          <w:color w:val="000000" w:themeColor="text1"/>
          <w:sz w:val="24"/>
          <w:szCs w:val="24"/>
        </w:rPr>
        <w:t xml:space="preserve"> EA 2010</w:t>
      </w:r>
      <w:r w:rsidR="00E568BD" w:rsidRPr="00B06684">
        <w:rPr>
          <w:rFonts w:ascii="Arial" w:hAnsi="Arial" w:cs="Arial"/>
          <w:color w:val="000000" w:themeColor="text1"/>
          <w:sz w:val="24"/>
          <w:szCs w:val="24"/>
        </w:rPr>
        <w:t>)</w:t>
      </w:r>
      <w:r w:rsidR="00967825" w:rsidRPr="00B06684">
        <w:rPr>
          <w:rFonts w:ascii="Arial" w:hAnsi="Arial" w:cs="Arial"/>
          <w:color w:val="212121"/>
          <w:sz w:val="24"/>
          <w:szCs w:val="24"/>
          <w:shd w:val="clear" w:color="auto" w:fill="FFFFFF"/>
        </w:rPr>
        <w:t xml:space="preserve"> (Moore and Bronwen, 2021, p.551)</w:t>
      </w:r>
      <w:r w:rsidR="00AC6AF8" w:rsidRPr="00B06684">
        <w:rPr>
          <w:rFonts w:ascii="Arial" w:hAnsi="Arial" w:cs="Arial"/>
          <w:color w:val="000000" w:themeColor="text1"/>
          <w:sz w:val="24"/>
          <w:szCs w:val="24"/>
        </w:rPr>
        <w:t>.</w:t>
      </w:r>
      <w:r w:rsidR="00BE4377" w:rsidRPr="00B06684">
        <w:rPr>
          <w:rFonts w:ascii="Arial" w:hAnsi="Arial" w:cs="Arial"/>
          <w:color w:val="212121"/>
          <w:sz w:val="24"/>
          <w:szCs w:val="24"/>
          <w:shd w:val="clear" w:color="auto" w:fill="FFFFFF"/>
        </w:rPr>
        <w:t xml:space="preserve"> </w:t>
      </w:r>
      <w:r w:rsidR="00521B97" w:rsidRPr="00B06684">
        <w:rPr>
          <w:rFonts w:ascii="Arial" w:hAnsi="Arial" w:cs="Arial"/>
          <w:color w:val="212121"/>
          <w:sz w:val="24"/>
          <w:szCs w:val="24"/>
          <w:shd w:val="clear" w:color="auto" w:fill="FFFFFF"/>
        </w:rPr>
        <w:t>Moreover</w:t>
      </w:r>
      <w:r w:rsidR="006D7062" w:rsidRPr="00B06684">
        <w:rPr>
          <w:rFonts w:ascii="Arial" w:hAnsi="Arial" w:cs="Arial"/>
          <w:color w:val="212121"/>
          <w:sz w:val="24"/>
          <w:szCs w:val="24"/>
          <w:shd w:val="clear" w:color="auto" w:fill="FFFFFF"/>
        </w:rPr>
        <w:t>,</w:t>
      </w:r>
      <w:r w:rsidR="00985B6B" w:rsidRPr="00B06684">
        <w:rPr>
          <w:rFonts w:ascii="Arial" w:hAnsi="Arial" w:cs="Arial"/>
          <w:color w:val="212121"/>
          <w:sz w:val="24"/>
          <w:szCs w:val="24"/>
          <w:shd w:val="clear" w:color="auto" w:fill="FFFFFF"/>
        </w:rPr>
        <w:t xml:space="preserve"> </w:t>
      </w:r>
      <w:r w:rsidR="00521B97" w:rsidRPr="00B06684">
        <w:rPr>
          <w:rFonts w:ascii="Arial" w:hAnsi="Arial" w:cs="Arial"/>
          <w:color w:val="212121"/>
          <w:sz w:val="24"/>
          <w:szCs w:val="24"/>
          <w:shd w:val="clear" w:color="auto" w:fill="FFFFFF"/>
        </w:rPr>
        <w:t xml:space="preserve">the </w:t>
      </w:r>
      <w:r w:rsidR="00985B6B" w:rsidRPr="00B06684">
        <w:rPr>
          <w:rFonts w:ascii="Arial" w:hAnsi="Arial" w:cs="Arial"/>
          <w:color w:val="212121"/>
          <w:sz w:val="24"/>
          <w:szCs w:val="24"/>
          <w:shd w:val="clear" w:color="auto" w:fill="FFFFFF"/>
        </w:rPr>
        <w:t>SRA Code for Solicitors, RELs, and RFLs (paragraph 1.5)</w:t>
      </w:r>
      <w:r w:rsidR="006D7062" w:rsidRPr="00B06684">
        <w:rPr>
          <w:rFonts w:ascii="Arial" w:hAnsi="Arial" w:cs="Arial"/>
          <w:color w:val="212121"/>
          <w:sz w:val="24"/>
          <w:szCs w:val="24"/>
          <w:shd w:val="clear" w:color="auto" w:fill="FFFFFF"/>
        </w:rPr>
        <w:t xml:space="preserve"> </w:t>
      </w:r>
      <w:r w:rsidR="00521B97" w:rsidRPr="00B06684">
        <w:rPr>
          <w:rFonts w:ascii="Arial" w:hAnsi="Arial" w:cs="Arial"/>
          <w:color w:val="212121"/>
          <w:sz w:val="24"/>
          <w:szCs w:val="24"/>
          <w:shd w:val="clear" w:color="auto" w:fill="FFFFFF"/>
        </w:rPr>
        <w:t>and the</w:t>
      </w:r>
      <w:r w:rsidR="00521B97" w:rsidRPr="00B06684">
        <w:rPr>
          <w:sz w:val="24"/>
          <w:szCs w:val="24"/>
        </w:rPr>
        <w:t xml:space="preserve"> </w:t>
      </w:r>
      <w:r w:rsidR="00521B97" w:rsidRPr="00B06684">
        <w:rPr>
          <w:rFonts w:ascii="Arial" w:hAnsi="Arial" w:cs="Arial"/>
          <w:color w:val="212121"/>
          <w:sz w:val="24"/>
          <w:szCs w:val="24"/>
          <w:shd w:val="clear" w:color="auto" w:fill="FFFFFF"/>
        </w:rPr>
        <w:t>SRA Code for Firms (paragraph 1.6</w:t>
      </w:r>
      <w:r w:rsidR="003D7EE0" w:rsidRPr="00B06684">
        <w:rPr>
          <w:rFonts w:ascii="Arial" w:hAnsi="Arial" w:cs="Arial"/>
          <w:color w:val="212121"/>
          <w:sz w:val="24"/>
          <w:szCs w:val="24"/>
          <w:shd w:val="clear" w:color="auto" w:fill="FFFFFF"/>
        </w:rPr>
        <w:t xml:space="preserve">) </w:t>
      </w:r>
      <w:r w:rsidR="003D7EE0" w:rsidRPr="00B06684">
        <w:rPr>
          <w:rFonts w:ascii="Arial" w:hAnsi="Arial" w:cs="Arial"/>
          <w:color w:val="212121"/>
          <w:sz w:val="24"/>
          <w:szCs w:val="24"/>
          <w:shd w:val="clear" w:color="auto" w:fill="FFFFFF"/>
        </w:rPr>
        <w:lastRenderedPageBreak/>
        <w:t>introduce</w:t>
      </w:r>
      <w:r w:rsidR="00287A14" w:rsidRPr="00B06684">
        <w:rPr>
          <w:rFonts w:ascii="Arial" w:hAnsi="Arial" w:cs="Arial"/>
          <w:color w:val="212121"/>
          <w:sz w:val="24"/>
          <w:szCs w:val="24"/>
          <w:shd w:val="clear" w:color="auto" w:fill="FFFFFF"/>
        </w:rPr>
        <w:t xml:space="preserve"> explicit requirements for individuals to treat </w:t>
      </w:r>
      <w:r w:rsidR="007F13B8" w:rsidRPr="00B06684">
        <w:rPr>
          <w:rFonts w:ascii="Arial" w:hAnsi="Arial" w:cs="Arial"/>
          <w:color w:val="212121"/>
          <w:sz w:val="24"/>
          <w:szCs w:val="24"/>
          <w:shd w:val="clear" w:color="auto" w:fill="FFFFFF"/>
        </w:rPr>
        <w:t>colleagues</w:t>
      </w:r>
      <w:r w:rsidR="00287A14" w:rsidRPr="00B06684">
        <w:rPr>
          <w:rFonts w:ascii="Arial" w:hAnsi="Arial" w:cs="Arial"/>
          <w:color w:val="212121"/>
          <w:sz w:val="24"/>
          <w:szCs w:val="24"/>
          <w:shd w:val="clear" w:color="auto" w:fill="FFFFFF"/>
        </w:rPr>
        <w:t xml:space="preserve"> fairly and respectfully, </w:t>
      </w:r>
      <w:r w:rsidR="006704F4" w:rsidRPr="00B06684">
        <w:rPr>
          <w:rFonts w:ascii="Arial" w:hAnsi="Arial" w:cs="Arial"/>
          <w:color w:val="212121"/>
          <w:sz w:val="24"/>
          <w:szCs w:val="24"/>
          <w:shd w:val="clear" w:color="auto" w:fill="FFFFFF"/>
        </w:rPr>
        <w:t xml:space="preserve">for </w:t>
      </w:r>
      <w:r w:rsidR="00287A14" w:rsidRPr="00B06684">
        <w:rPr>
          <w:rFonts w:ascii="Arial" w:hAnsi="Arial" w:cs="Arial"/>
          <w:color w:val="212121"/>
          <w:sz w:val="24"/>
          <w:szCs w:val="24"/>
          <w:shd w:val="clear" w:color="auto" w:fill="FFFFFF"/>
        </w:rPr>
        <w:t>managers to challenge behaviour that does not meet this standard, and for firms to treat those who work for and with them fairly and respectfully, and to require their employees to meet that standard.</w:t>
      </w:r>
      <w:r w:rsidR="008F0623" w:rsidRPr="00B06684">
        <w:rPr>
          <w:sz w:val="24"/>
          <w:szCs w:val="24"/>
        </w:rPr>
        <w:t xml:space="preserve"> </w:t>
      </w:r>
      <w:r w:rsidR="008F0623" w:rsidRPr="00B06684">
        <w:rPr>
          <w:rFonts w:ascii="Arial" w:hAnsi="Arial" w:cs="Arial"/>
          <w:color w:val="212121"/>
          <w:sz w:val="24"/>
          <w:szCs w:val="24"/>
          <w:shd w:val="clear" w:color="auto" w:fill="FFFFFF"/>
        </w:rPr>
        <w:t xml:space="preserve">The SRA will </w:t>
      </w:r>
      <w:proofErr w:type="gramStart"/>
      <w:r w:rsidR="008F0623" w:rsidRPr="00B06684">
        <w:rPr>
          <w:rFonts w:ascii="Arial" w:hAnsi="Arial" w:cs="Arial"/>
          <w:color w:val="212121"/>
          <w:sz w:val="24"/>
          <w:szCs w:val="24"/>
          <w:shd w:val="clear" w:color="auto" w:fill="FFFFFF"/>
        </w:rPr>
        <w:t>take action</w:t>
      </w:r>
      <w:proofErr w:type="gramEnd"/>
      <w:r w:rsidR="008F0623" w:rsidRPr="00B06684">
        <w:rPr>
          <w:rFonts w:ascii="Arial" w:hAnsi="Arial" w:cs="Arial"/>
          <w:color w:val="212121"/>
          <w:sz w:val="24"/>
          <w:szCs w:val="24"/>
          <w:shd w:val="clear" w:color="auto" w:fill="FFFFFF"/>
        </w:rPr>
        <w:t xml:space="preserve"> if individuals and firms fail to uphold these standards, such as when someone purposefully undermines, bullies, harasses or victimises a colleague or when a company fails to handle a complaint of such behaviour</w:t>
      </w:r>
      <w:r w:rsidR="00680414" w:rsidRPr="00B06684">
        <w:rPr>
          <w:rFonts w:ascii="Arial" w:hAnsi="Arial" w:cs="Arial"/>
          <w:color w:val="212121"/>
          <w:sz w:val="24"/>
          <w:szCs w:val="24"/>
          <w:shd w:val="clear" w:color="auto" w:fill="FFFFFF"/>
        </w:rPr>
        <w:t xml:space="preserve"> (SRA, 202</w:t>
      </w:r>
      <w:r w:rsidR="00443B1A" w:rsidRPr="00B06684">
        <w:rPr>
          <w:rFonts w:ascii="Arial" w:hAnsi="Arial" w:cs="Arial"/>
          <w:color w:val="212121"/>
          <w:sz w:val="24"/>
          <w:szCs w:val="24"/>
          <w:shd w:val="clear" w:color="auto" w:fill="FFFFFF"/>
        </w:rPr>
        <w:t>3</w:t>
      </w:r>
      <w:r w:rsidR="00680414" w:rsidRPr="00B06684">
        <w:rPr>
          <w:rFonts w:ascii="Arial" w:hAnsi="Arial" w:cs="Arial"/>
          <w:color w:val="212121"/>
          <w:sz w:val="24"/>
          <w:szCs w:val="24"/>
          <w:shd w:val="clear" w:color="auto" w:fill="FFFFFF"/>
        </w:rPr>
        <w:t>)</w:t>
      </w:r>
      <w:r w:rsidR="008F0623" w:rsidRPr="00B06684">
        <w:rPr>
          <w:rFonts w:ascii="Arial" w:hAnsi="Arial" w:cs="Arial"/>
          <w:color w:val="212121"/>
          <w:sz w:val="24"/>
          <w:szCs w:val="24"/>
          <w:shd w:val="clear" w:color="auto" w:fill="FFFFFF"/>
        </w:rPr>
        <w:t>.</w:t>
      </w:r>
    </w:p>
    <w:p w14:paraId="2911F84F" w14:textId="1A8FCABC" w:rsidR="005D74D7" w:rsidRPr="00B06684" w:rsidRDefault="004738E7" w:rsidP="00BF2FDB">
      <w:pPr>
        <w:rPr>
          <w:rFonts w:ascii="Arial" w:hAnsi="Arial" w:cs="Arial"/>
          <w:color w:val="212121"/>
          <w:sz w:val="24"/>
          <w:szCs w:val="24"/>
          <w:shd w:val="clear" w:color="auto" w:fill="FFFFFF"/>
        </w:rPr>
      </w:pPr>
      <w:r w:rsidRPr="00B06684">
        <w:rPr>
          <w:rFonts w:ascii="Arial" w:hAnsi="Arial" w:cs="Arial"/>
          <w:color w:val="212121"/>
          <w:sz w:val="24"/>
          <w:szCs w:val="24"/>
          <w:shd w:val="clear" w:color="auto" w:fill="FFFFFF"/>
        </w:rPr>
        <w:t>Additionally, t</w:t>
      </w:r>
      <w:r w:rsidR="00BF2FDB" w:rsidRPr="00B06684">
        <w:rPr>
          <w:rFonts w:ascii="Arial" w:hAnsi="Arial" w:cs="Arial"/>
          <w:color w:val="212121"/>
          <w:sz w:val="24"/>
          <w:szCs w:val="24"/>
          <w:shd w:val="clear" w:color="auto" w:fill="FFFFFF"/>
        </w:rPr>
        <w:t xml:space="preserve">he law on equality, as reflected in the SRA </w:t>
      </w:r>
      <w:r w:rsidR="007863C6" w:rsidRPr="00B06684">
        <w:rPr>
          <w:rFonts w:ascii="Arial" w:hAnsi="Arial" w:cs="Arial"/>
          <w:color w:val="212121"/>
          <w:sz w:val="24"/>
          <w:szCs w:val="24"/>
          <w:shd w:val="clear" w:color="auto" w:fill="FFFFFF"/>
        </w:rPr>
        <w:t xml:space="preserve">EDI </w:t>
      </w:r>
      <w:r w:rsidR="002A5074" w:rsidRPr="00B06684">
        <w:rPr>
          <w:rFonts w:ascii="Arial" w:hAnsi="Arial" w:cs="Arial"/>
          <w:color w:val="212121"/>
          <w:sz w:val="24"/>
          <w:szCs w:val="24"/>
          <w:shd w:val="clear" w:color="auto" w:fill="FFFFFF"/>
        </w:rPr>
        <w:t>g</w:t>
      </w:r>
      <w:r w:rsidR="00BF2FDB" w:rsidRPr="00B06684">
        <w:rPr>
          <w:rFonts w:ascii="Arial" w:hAnsi="Arial" w:cs="Arial"/>
          <w:color w:val="212121"/>
          <w:sz w:val="24"/>
          <w:szCs w:val="24"/>
          <w:shd w:val="clear" w:color="auto" w:fill="FFFFFF"/>
        </w:rPr>
        <w:t>uidance, includes a general obligation not to discriminate on grounds of disability.</w:t>
      </w:r>
      <w:r w:rsidR="00763F0D" w:rsidRPr="00B06684">
        <w:rPr>
          <w:rFonts w:ascii="Arial" w:hAnsi="Arial" w:cs="Arial"/>
          <w:color w:val="212121"/>
          <w:sz w:val="24"/>
          <w:szCs w:val="24"/>
          <w:shd w:val="clear" w:color="auto" w:fill="FFFFFF"/>
        </w:rPr>
        <w:t xml:space="preserve"> T</w:t>
      </w:r>
      <w:r w:rsidR="00BF2FDB" w:rsidRPr="00B06684">
        <w:rPr>
          <w:rFonts w:ascii="Arial" w:hAnsi="Arial" w:cs="Arial"/>
          <w:color w:val="212121"/>
          <w:sz w:val="24"/>
          <w:szCs w:val="24"/>
          <w:shd w:val="clear" w:color="auto" w:fill="FFFFFF"/>
        </w:rPr>
        <w:t>here is also a</w:t>
      </w:r>
      <w:r w:rsidR="00CA60BD" w:rsidRPr="00B06684">
        <w:rPr>
          <w:rFonts w:ascii="Arial" w:hAnsi="Arial" w:cs="Arial"/>
          <w:color w:val="212121"/>
          <w:sz w:val="24"/>
          <w:szCs w:val="24"/>
          <w:shd w:val="clear" w:color="auto" w:fill="FFFFFF"/>
        </w:rPr>
        <w:t xml:space="preserve"> requirement</w:t>
      </w:r>
      <w:r w:rsidR="00BF2FDB" w:rsidRPr="00B06684">
        <w:rPr>
          <w:rFonts w:ascii="Arial" w:hAnsi="Arial" w:cs="Arial"/>
          <w:color w:val="212121"/>
          <w:sz w:val="24"/>
          <w:szCs w:val="24"/>
          <w:shd w:val="clear" w:color="auto" w:fill="FFFFFF"/>
        </w:rPr>
        <w:t xml:space="preserve"> to make </w:t>
      </w:r>
      <w:r w:rsidR="00782013" w:rsidRPr="00B06684">
        <w:rPr>
          <w:rFonts w:ascii="Arial" w:hAnsi="Arial" w:cs="Arial"/>
          <w:color w:val="212121"/>
          <w:sz w:val="24"/>
          <w:szCs w:val="24"/>
          <w:shd w:val="clear" w:color="auto" w:fill="FFFFFF"/>
        </w:rPr>
        <w:t>‘</w:t>
      </w:r>
      <w:r w:rsidR="00BF2FDB" w:rsidRPr="00B06684">
        <w:rPr>
          <w:rFonts w:ascii="Arial" w:hAnsi="Arial" w:cs="Arial"/>
          <w:color w:val="212121"/>
          <w:sz w:val="24"/>
          <w:szCs w:val="24"/>
          <w:shd w:val="clear" w:color="auto" w:fill="FFFFFF"/>
        </w:rPr>
        <w:t>‘reasonable adjustments’</w:t>
      </w:r>
      <w:r w:rsidR="00782013" w:rsidRPr="00B06684">
        <w:rPr>
          <w:rFonts w:ascii="Arial" w:hAnsi="Arial" w:cs="Arial"/>
          <w:color w:val="212121"/>
          <w:sz w:val="24"/>
          <w:szCs w:val="24"/>
          <w:shd w:val="clear" w:color="auto" w:fill="FFFFFF"/>
        </w:rPr>
        <w:t>’</w:t>
      </w:r>
      <w:r w:rsidR="00BF2FDB" w:rsidRPr="00B06684">
        <w:rPr>
          <w:rFonts w:ascii="Arial" w:hAnsi="Arial" w:cs="Arial"/>
          <w:color w:val="212121"/>
          <w:sz w:val="24"/>
          <w:szCs w:val="24"/>
          <w:shd w:val="clear" w:color="auto" w:fill="FFFFFF"/>
        </w:rPr>
        <w:t xml:space="preserve"> for disabled clients and employees. </w:t>
      </w:r>
      <w:r w:rsidR="005D74D7" w:rsidRPr="00B06684">
        <w:rPr>
          <w:rFonts w:ascii="Arial" w:hAnsi="Arial" w:cs="Arial"/>
          <w:color w:val="212121"/>
          <w:sz w:val="24"/>
          <w:szCs w:val="24"/>
          <w:shd w:val="clear" w:color="auto" w:fill="FFFFFF"/>
        </w:rPr>
        <w:t xml:space="preserve">The judgement </w:t>
      </w:r>
      <w:r w:rsidR="001D68D6" w:rsidRPr="00B06684">
        <w:rPr>
          <w:rFonts w:ascii="Arial" w:hAnsi="Arial" w:cs="Arial"/>
          <w:color w:val="212121"/>
          <w:sz w:val="24"/>
          <w:szCs w:val="24"/>
          <w:shd w:val="clear" w:color="auto" w:fill="FFFFFF"/>
        </w:rPr>
        <w:t xml:space="preserve">of </w:t>
      </w:r>
      <w:r w:rsidR="005D74D7" w:rsidRPr="00B06684">
        <w:rPr>
          <w:rFonts w:ascii="Arial" w:hAnsi="Arial" w:cs="Arial"/>
          <w:color w:val="212121"/>
          <w:sz w:val="24"/>
          <w:szCs w:val="24"/>
          <w:shd w:val="clear" w:color="auto" w:fill="FFFFFF"/>
        </w:rPr>
        <w:t>w</w:t>
      </w:r>
      <w:r w:rsidR="00BF2FDB" w:rsidRPr="00B06684">
        <w:rPr>
          <w:rFonts w:ascii="Arial" w:hAnsi="Arial" w:cs="Arial"/>
          <w:color w:val="212121"/>
          <w:sz w:val="24"/>
          <w:szCs w:val="24"/>
          <w:shd w:val="clear" w:color="auto" w:fill="FFFFFF"/>
        </w:rPr>
        <w:t xml:space="preserve">hat will be required of any individual firm will </w:t>
      </w:r>
      <w:r w:rsidR="001D68D6" w:rsidRPr="00B06684">
        <w:rPr>
          <w:rFonts w:ascii="Arial" w:hAnsi="Arial" w:cs="Arial"/>
          <w:color w:val="212121"/>
          <w:sz w:val="24"/>
          <w:szCs w:val="24"/>
          <w:shd w:val="clear" w:color="auto" w:fill="FFFFFF"/>
        </w:rPr>
        <w:t>depend on</w:t>
      </w:r>
      <w:r w:rsidR="00BF2FDB" w:rsidRPr="00B06684">
        <w:rPr>
          <w:rFonts w:ascii="Arial" w:hAnsi="Arial" w:cs="Arial"/>
          <w:color w:val="212121"/>
          <w:sz w:val="24"/>
          <w:szCs w:val="24"/>
          <w:shd w:val="clear" w:color="auto" w:fill="FFFFFF"/>
        </w:rPr>
        <w:t xml:space="preserve"> what is reasonable in all the circumstances, </w:t>
      </w:r>
      <w:r w:rsidR="00800755" w:rsidRPr="00B06684">
        <w:rPr>
          <w:rFonts w:ascii="Arial" w:hAnsi="Arial" w:cs="Arial"/>
          <w:color w:val="212121"/>
          <w:sz w:val="24"/>
          <w:szCs w:val="24"/>
          <w:shd w:val="clear" w:color="auto" w:fill="FFFFFF"/>
        </w:rPr>
        <w:t>considering t</w:t>
      </w:r>
      <w:r w:rsidR="00BF2FDB" w:rsidRPr="00B06684">
        <w:rPr>
          <w:rFonts w:ascii="Arial" w:hAnsi="Arial" w:cs="Arial"/>
          <w:color w:val="212121"/>
          <w:sz w:val="24"/>
          <w:szCs w:val="24"/>
          <w:shd w:val="clear" w:color="auto" w:fill="FFFFFF"/>
        </w:rPr>
        <w:t>he size and resources of the firm in question as well as other relevant factors.</w:t>
      </w:r>
      <w:r w:rsidR="00C05525" w:rsidRPr="00B06684">
        <w:rPr>
          <w:sz w:val="24"/>
          <w:szCs w:val="24"/>
        </w:rPr>
        <w:t xml:space="preserve"> </w:t>
      </w:r>
      <w:r w:rsidR="00C05525" w:rsidRPr="00B06684">
        <w:rPr>
          <w:rFonts w:ascii="Arial" w:hAnsi="Arial" w:cs="Arial"/>
          <w:color w:val="212121"/>
          <w:sz w:val="24"/>
          <w:szCs w:val="24"/>
          <w:shd w:val="clear" w:color="auto" w:fill="FFFFFF"/>
        </w:rPr>
        <w:t>The guidance stated that the requirement to make reasonable adjustments extended only to ''customers, employees, or managers'' and not to any third parties, such as opponents or counsel that the firm could instruct.</w:t>
      </w:r>
      <w:r w:rsidR="00FA7B0F" w:rsidRPr="00B06684">
        <w:rPr>
          <w:sz w:val="24"/>
          <w:szCs w:val="24"/>
        </w:rPr>
        <w:t xml:space="preserve"> </w:t>
      </w:r>
      <w:r w:rsidR="00FA7B0F" w:rsidRPr="00B06684">
        <w:rPr>
          <w:rFonts w:ascii="Arial" w:hAnsi="Arial" w:cs="Arial"/>
          <w:color w:val="212121"/>
          <w:sz w:val="24"/>
          <w:szCs w:val="24"/>
          <w:shd w:val="clear" w:color="auto" w:fill="FFFFFF"/>
        </w:rPr>
        <w:t>However, the</w:t>
      </w:r>
      <w:r w:rsidR="003D0882" w:rsidRPr="00B06684">
        <w:rPr>
          <w:rFonts w:ascii="Arial" w:hAnsi="Arial" w:cs="Arial"/>
          <w:color w:val="212121"/>
          <w:sz w:val="24"/>
          <w:szCs w:val="24"/>
          <w:shd w:val="clear" w:color="auto" w:fill="FFFFFF"/>
        </w:rPr>
        <w:t xml:space="preserve"> SRA EDI</w:t>
      </w:r>
      <w:r w:rsidR="00FA7B0F" w:rsidRPr="00B06684">
        <w:rPr>
          <w:rFonts w:ascii="Arial" w:hAnsi="Arial" w:cs="Arial"/>
          <w:color w:val="212121"/>
          <w:sz w:val="24"/>
          <w:szCs w:val="24"/>
          <w:shd w:val="clear" w:color="auto" w:fill="FFFFFF"/>
        </w:rPr>
        <w:t xml:space="preserve"> guidance also makes it clear that good practice should entail going above and beyond what is, in general, necessary</w:t>
      </w:r>
      <w:r w:rsidR="00334A6C" w:rsidRPr="00B06684">
        <w:rPr>
          <w:rFonts w:ascii="Arial" w:hAnsi="Arial" w:cs="Arial"/>
          <w:color w:val="212121"/>
          <w:sz w:val="24"/>
          <w:szCs w:val="24"/>
          <w:shd w:val="clear" w:color="auto" w:fill="FFFFFF"/>
        </w:rPr>
        <w:t xml:space="preserve"> (Moore</w:t>
      </w:r>
      <w:r w:rsidR="009C53DD" w:rsidRPr="00B06684">
        <w:rPr>
          <w:rFonts w:ascii="Arial" w:hAnsi="Arial" w:cs="Arial"/>
          <w:color w:val="212121"/>
          <w:sz w:val="24"/>
          <w:szCs w:val="24"/>
          <w:shd w:val="clear" w:color="auto" w:fill="FFFFFF"/>
        </w:rPr>
        <w:t xml:space="preserve"> and Bron</w:t>
      </w:r>
      <w:r w:rsidR="005434F5" w:rsidRPr="00B06684">
        <w:rPr>
          <w:rFonts w:ascii="Arial" w:hAnsi="Arial" w:cs="Arial"/>
          <w:color w:val="212121"/>
          <w:sz w:val="24"/>
          <w:szCs w:val="24"/>
          <w:shd w:val="clear" w:color="auto" w:fill="FFFFFF"/>
        </w:rPr>
        <w:t>w</w:t>
      </w:r>
      <w:r w:rsidR="009C53DD" w:rsidRPr="00B06684">
        <w:rPr>
          <w:rFonts w:ascii="Arial" w:hAnsi="Arial" w:cs="Arial"/>
          <w:color w:val="212121"/>
          <w:sz w:val="24"/>
          <w:szCs w:val="24"/>
          <w:shd w:val="clear" w:color="auto" w:fill="FFFFFF"/>
        </w:rPr>
        <w:t>en</w:t>
      </w:r>
      <w:r w:rsidR="005434F5" w:rsidRPr="00B06684">
        <w:rPr>
          <w:rFonts w:ascii="Arial" w:hAnsi="Arial" w:cs="Arial"/>
          <w:color w:val="212121"/>
          <w:sz w:val="24"/>
          <w:szCs w:val="24"/>
          <w:shd w:val="clear" w:color="auto" w:fill="FFFFFF"/>
        </w:rPr>
        <w:t>,</w:t>
      </w:r>
      <w:r w:rsidR="005605A9" w:rsidRPr="00B06684">
        <w:rPr>
          <w:rFonts w:ascii="Arial" w:hAnsi="Arial" w:cs="Arial"/>
          <w:color w:val="212121"/>
          <w:sz w:val="24"/>
          <w:szCs w:val="24"/>
          <w:shd w:val="clear" w:color="auto" w:fill="FFFFFF"/>
        </w:rPr>
        <w:t xml:space="preserve"> 2021, p</w:t>
      </w:r>
      <w:r w:rsidR="00BE4377" w:rsidRPr="00B06684">
        <w:rPr>
          <w:rFonts w:ascii="Arial" w:hAnsi="Arial" w:cs="Arial"/>
          <w:color w:val="212121"/>
          <w:sz w:val="24"/>
          <w:szCs w:val="24"/>
          <w:shd w:val="clear" w:color="auto" w:fill="FFFFFF"/>
        </w:rPr>
        <w:t>.</w:t>
      </w:r>
      <w:r w:rsidR="005605A9" w:rsidRPr="00B06684">
        <w:rPr>
          <w:rFonts w:ascii="Arial" w:hAnsi="Arial" w:cs="Arial"/>
          <w:color w:val="212121"/>
          <w:sz w:val="24"/>
          <w:szCs w:val="24"/>
          <w:shd w:val="clear" w:color="auto" w:fill="FFFFFF"/>
        </w:rPr>
        <w:t>552)</w:t>
      </w:r>
      <w:r w:rsidR="00FA7B0F" w:rsidRPr="00B06684">
        <w:rPr>
          <w:rFonts w:ascii="Arial" w:hAnsi="Arial" w:cs="Arial"/>
          <w:color w:val="212121"/>
          <w:sz w:val="24"/>
          <w:szCs w:val="24"/>
          <w:shd w:val="clear" w:color="auto" w:fill="FFFFFF"/>
        </w:rPr>
        <w:t>.</w:t>
      </w:r>
    </w:p>
    <w:p w14:paraId="28088C55" w14:textId="2BACA768" w:rsidR="005D74D7" w:rsidRPr="00B06684" w:rsidRDefault="00BC5619" w:rsidP="00BF2FDB">
      <w:pPr>
        <w:rPr>
          <w:rFonts w:ascii="Arial" w:hAnsi="Arial" w:cs="Arial"/>
          <w:sz w:val="24"/>
          <w:szCs w:val="24"/>
        </w:rPr>
      </w:pPr>
      <w:r w:rsidRPr="00B06684">
        <w:rPr>
          <w:rFonts w:ascii="Arial" w:hAnsi="Arial" w:cs="Arial"/>
          <w:sz w:val="24"/>
          <w:szCs w:val="24"/>
        </w:rPr>
        <w:t>The</w:t>
      </w:r>
      <w:r w:rsidR="00680CEB" w:rsidRPr="00B06684">
        <w:rPr>
          <w:rFonts w:ascii="Arial" w:hAnsi="Arial" w:cs="Arial"/>
          <w:sz w:val="24"/>
          <w:szCs w:val="24"/>
        </w:rPr>
        <w:t xml:space="preserve"> </w:t>
      </w:r>
      <w:r w:rsidR="00BA326D" w:rsidRPr="00B06684">
        <w:rPr>
          <w:rFonts w:ascii="Arial" w:hAnsi="Arial" w:cs="Arial"/>
          <w:sz w:val="24"/>
          <w:szCs w:val="24"/>
        </w:rPr>
        <w:t xml:space="preserve">last </w:t>
      </w:r>
      <w:r w:rsidR="00D4042D" w:rsidRPr="00B06684">
        <w:rPr>
          <w:rFonts w:ascii="Arial" w:hAnsi="Arial" w:cs="Arial"/>
          <w:sz w:val="24"/>
          <w:szCs w:val="24"/>
        </w:rPr>
        <w:t>a</w:t>
      </w:r>
      <w:r w:rsidRPr="00B06684">
        <w:rPr>
          <w:rFonts w:ascii="Arial" w:hAnsi="Arial" w:cs="Arial"/>
          <w:sz w:val="24"/>
          <w:szCs w:val="24"/>
        </w:rPr>
        <w:t xml:space="preserve">nnual </w:t>
      </w:r>
      <w:r w:rsidR="00D4042D" w:rsidRPr="00B06684">
        <w:rPr>
          <w:rFonts w:ascii="Arial" w:hAnsi="Arial" w:cs="Arial"/>
          <w:sz w:val="24"/>
          <w:szCs w:val="24"/>
        </w:rPr>
        <w:t>s</w:t>
      </w:r>
      <w:r w:rsidRPr="00B06684">
        <w:rPr>
          <w:rFonts w:ascii="Arial" w:hAnsi="Arial" w:cs="Arial"/>
          <w:sz w:val="24"/>
          <w:szCs w:val="24"/>
        </w:rPr>
        <w:t xml:space="preserve">tatistics </w:t>
      </w:r>
      <w:r w:rsidR="00D4042D" w:rsidRPr="00B06684">
        <w:rPr>
          <w:rFonts w:ascii="Arial" w:hAnsi="Arial" w:cs="Arial"/>
          <w:sz w:val="24"/>
          <w:szCs w:val="24"/>
        </w:rPr>
        <w:t>r</w:t>
      </w:r>
      <w:r w:rsidRPr="00B06684">
        <w:rPr>
          <w:rFonts w:ascii="Arial" w:hAnsi="Arial" w:cs="Arial"/>
          <w:sz w:val="24"/>
          <w:szCs w:val="24"/>
        </w:rPr>
        <w:t>eport</w:t>
      </w:r>
      <w:r w:rsidR="00D4042D" w:rsidRPr="00B06684">
        <w:rPr>
          <w:rFonts w:ascii="Arial" w:hAnsi="Arial" w:cs="Arial"/>
          <w:sz w:val="24"/>
          <w:szCs w:val="24"/>
        </w:rPr>
        <w:t xml:space="preserve"> </w:t>
      </w:r>
      <w:r w:rsidR="00F71FCA" w:rsidRPr="00B06684">
        <w:rPr>
          <w:rFonts w:ascii="Arial" w:hAnsi="Arial" w:cs="Arial"/>
          <w:sz w:val="24"/>
          <w:szCs w:val="24"/>
        </w:rPr>
        <w:t>of the M</w:t>
      </w:r>
      <w:r w:rsidR="00680CEB" w:rsidRPr="00B06684">
        <w:rPr>
          <w:rFonts w:ascii="Arial" w:hAnsi="Arial" w:cs="Arial"/>
          <w:sz w:val="24"/>
          <w:szCs w:val="24"/>
        </w:rPr>
        <w:t xml:space="preserve">inistry of Justice </w:t>
      </w:r>
      <w:r w:rsidRPr="00B06684">
        <w:rPr>
          <w:rFonts w:ascii="Arial" w:hAnsi="Arial" w:cs="Arial"/>
          <w:sz w:val="24"/>
          <w:szCs w:val="24"/>
        </w:rPr>
        <w:t>on the judiciary's diversity</w:t>
      </w:r>
      <w:r w:rsidR="00A13386" w:rsidRPr="00B06684">
        <w:rPr>
          <w:rFonts w:ascii="Arial" w:hAnsi="Arial" w:cs="Arial"/>
          <w:sz w:val="24"/>
          <w:szCs w:val="24"/>
        </w:rPr>
        <w:t xml:space="preserve"> </w:t>
      </w:r>
      <w:r w:rsidRPr="00B06684">
        <w:rPr>
          <w:rFonts w:ascii="Arial" w:hAnsi="Arial" w:cs="Arial"/>
          <w:sz w:val="24"/>
          <w:szCs w:val="24"/>
        </w:rPr>
        <w:t xml:space="preserve">demonstrates that although things continue to get better for women, they </w:t>
      </w:r>
      <w:r w:rsidR="0008098E" w:rsidRPr="00B06684">
        <w:rPr>
          <w:rFonts w:ascii="Arial" w:hAnsi="Arial" w:cs="Arial"/>
          <w:sz w:val="24"/>
          <w:szCs w:val="24"/>
        </w:rPr>
        <w:t>become</w:t>
      </w:r>
      <w:r w:rsidRPr="00B06684">
        <w:rPr>
          <w:rFonts w:ascii="Arial" w:hAnsi="Arial" w:cs="Arial"/>
          <w:sz w:val="24"/>
          <w:szCs w:val="24"/>
        </w:rPr>
        <w:t xml:space="preserve"> worse for solicitors and ethnic minorities.</w:t>
      </w:r>
      <w:r w:rsidR="009E4567" w:rsidRPr="00B06684">
        <w:rPr>
          <w:sz w:val="24"/>
          <w:szCs w:val="24"/>
        </w:rPr>
        <w:t xml:space="preserve"> </w:t>
      </w:r>
      <w:r w:rsidR="009E4567" w:rsidRPr="00B06684">
        <w:rPr>
          <w:rFonts w:ascii="Arial" w:hAnsi="Arial" w:cs="Arial"/>
          <w:sz w:val="24"/>
          <w:szCs w:val="24"/>
        </w:rPr>
        <w:t xml:space="preserve">Overall representation of female judges and judges from Asian and mixed ethnicity origins has improved to some extent. Over half of tribunal judges are now female, and there are also increasingly more solicitors and ethnic </w:t>
      </w:r>
      <w:r w:rsidR="000E0FF9" w:rsidRPr="00B06684">
        <w:rPr>
          <w:rFonts w:ascii="Arial" w:hAnsi="Arial" w:cs="Arial"/>
          <w:sz w:val="24"/>
          <w:szCs w:val="24"/>
        </w:rPr>
        <w:t>minority</w:t>
      </w:r>
      <w:r w:rsidR="009E4567" w:rsidRPr="00B06684">
        <w:rPr>
          <w:rFonts w:ascii="Arial" w:hAnsi="Arial" w:cs="Arial"/>
          <w:sz w:val="24"/>
          <w:szCs w:val="24"/>
        </w:rPr>
        <w:t xml:space="preserve"> lawyers in the judiciary.</w:t>
      </w:r>
      <w:r w:rsidR="00D75AA1" w:rsidRPr="00B06684">
        <w:rPr>
          <w:sz w:val="24"/>
          <w:szCs w:val="24"/>
        </w:rPr>
        <w:t xml:space="preserve"> </w:t>
      </w:r>
      <w:r w:rsidR="00B37B5D" w:rsidRPr="00B06684">
        <w:rPr>
          <w:rFonts w:ascii="Arial" w:hAnsi="Arial" w:cs="Arial"/>
          <w:sz w:val="24"/>
          <w:szCs w:val="24"/>
        </w:rPr>
        <w:t>However, t</w:t>
      </w:r>
      <w:r w:rsidR="00D75AA1" w:rsidRPr="00B06684">
        <w:rPr>
          <w:rFonts w:ascii="Arial" w:hAnsi="Arial" w:cs="Arial"/>
          <w:sz w:val="24"/>
          <w:szCs w:val="24"/>
        </w:rPr>
        <w:t xml:space="preserve">he situation in courts, and particularly in the senior courts, remains </w:t>
      </w:r>
      <w:r w:rsidR="00DB3DC3" w:rsidRPr="00B06684">
        <w:rPr>
          <w:rFonts w:ascii="Arial" w:hAnsi="Arial" w:cs="Arial"/>
          <w:sz w:val="24"/>
          <w:szCs w:val="24"/>
        </w:rPr>
        <w:t>worrying</w:t>
      </w:r>
      <w:r w:rsidR="00384B78" w:rsidRPr="00B06684">
        <w:rPr>
          <w:rFonts w:ascii="Arial" w:hAnsi="Arial" w:cs="Arial"/>
          <w:sz w:val="24"/>
          <w:szCs w:val="24"/>
        </w:rPr>
        <w:t xml:space="preserve">. Concerning </w:t>
      </w:r>
      <w:r w:rsidR="00CE3F79" w:rsidRPr="00B06684">
        <w:rPr>
          <w:rFonts w:ascii="Arial" w:hAnsi="Arial" w:cs="Arial"/>
          <w:sz w:val="24"/>
          <w:szCs w:val="24"/>
        </w:rPr>
        <w:t>facts</w:t>
      </w:r>
      <w:r w:rsidR="00384B78" w:rsidRPr="00B06684">
        <w:rPr>
          <w:rFonts w:ascii="Arial" w:hAnsi="Arial" w:cs="Arial"/>
          <w:sz w:val="24"/>
          <w:szCs w:val="24"/>
        </w:rPr>
        <w:t xml:space="preserve"> are</w:t>
      </w:r>
      <w:r w:rsidR="00274149" w:rsidRPr="00B06684">
        <w:rPr>
          <w:rFonts w:ascii="Arial" w:hAnsi="Arial" w:cs="Arial"/>
          <w:sz w:val="24"/>
          <w:szCs w:val="24"/>
        </w:rPr>
        <w:t xml:space="preserve"> about the persistent differences in outcomes between white and ethnic minority candidates, as well as between candidates who are solicitors and those who are barristers, across judicial exercises.</w:t>
      </w:r>
      <w:r w:rsidR="006A6780" w:rsidRPr="00B06684">
        <w:rPr>
          <w:sz w:val="24"/>
          <w:szCs w:val="24"/>
        </w:rPr>
        <w:t xml:space="preserve"> </w:t>
      </w:r>
      <w:r w:rsidR="006A6780" w:rsidRPr="00B06684">
        <w:rPr>
          <w:rFonts w:ascii="Arial" w:hAnsi="Arial" w:cs="Arial"/>
          <w:sz w:val="24"/>
          <w:szCs w:val="24"/>
        </w:rPr>
        <w:t>The data shows that no</w:t>
      </w:r>
      <w:r w:rsidR="005856C4" w:rsidRPr="00B06684">
        <w:rPr>
          <w:rFonts w:ascii="Arial" w:hAnsi="Arial" w:cs="Arial"/>
          <w:sz w:val="24"/>
          <w:szCs w:val="24"/>
        </w:rPr>
        <w:t>n-</w:t>
      </w:r>
      <w:r w:rsidR="006A6780" w:rsidRPr="00B06684">
        <w:rPr>
          <w:rFonts w:ascii="Arial" w:hAnsi="Arial" w:cs="Arial"/>
          <w:sz w:val="24"/>
          <w:szCs w:val="24"/>
        </w:rPr>
        <w:t>barristers and members of ethnic minorities have a much lower chance of being accepted into judicial positions</w:t>
      </w:r>
      <w:r w:rsidR="00DC0E2D" w:rsidRPr="00B06684">
        <w:rPr>
          <w:rFonts w:ascii="Arial" w:hAnsi="Arial" w:cs="Arial"/>
          <w:sz w:val="24"/>
          <w:szCs w:val="24"/>
        </w:rPr>
        <w:t xml:space="preserve"> </w:t>
      </w:r>
      <w:r w:rsidR="00B11569" w:rsidRPr="00B06684">
        <w:rPr>
          <w:rFonts w:ascii="Arial" w:hAnsi="Arial" w:cs="Arial"/>
          <w:sz w:val="24"/>
          <w:szCs w:val="24"/>
        </w:rPr>
        <w:t>(Boyce, 202</w:t>
      </w:r>
      <w:r w:rsidR="00E84ACD" w:rsidRPr="00B06684">
        <w:rPr>
          <w:rFonts w:ascii="Arial" w:hAnsi="Arial" w:cs="Arial"/>
          <w:sz w:val="24"/>
          <w:szCs w:val="24"/>
        </w:rPr>
        <w:t>2</w:t>
      </w:r>
      <w:r w:rsidR="003D665C" w:rsidRPr="00B06684">
        <w:rPr>
          <w:rFonts w:ascii="Arial" w:hAnsi="Arial" w:cs="Arial"/>
          <w:sz w:val="24"/>
          <w:szCs w:val="24"/>
        </w:rPr>
        <w:t>)</w:t>
      </w:r>
      <w:r w:rsidR="006A6780" w:rsidRPr="00B06684">
        <w:rPr>
          <w:rFonts w:ascii="Arial" w:hAnsi="Arial" w:cs="Arial"/>
          <w:sz w:val="24"/>
          <w:szCs w:val="24"/>
        </w:rPr>
        <w:t>.</w:t>
      </w:r>
    </w:p>
    <w:p w14:paraId="4F58B9B8" w14:textId="03C94D5B" w:rsidR="00D75AA1" w:rsidRDefault="003D31E5" w:rsidP="00BF2FDB">
      <w:pPr>
        <w:rPr>
          <w:rFonts w:ascii="Arial" w:hAnsi="Arial" w:cs="Arial"/>
          <w:sz w:val="24"/>
          <w:szCs w:val="24"/>
        </w:rPr>
      </w:pPr>
      <w:r w:rsidRPr="00B06684">
        <w:rPr>
          <w:rFonts w:ascii="Arial" w:hAnsi="Arial" w:cs="Arial"/>
          <w:sz w:val="24"/>
          <w:szCs w:val="24"/>
        </w:rPr>
        <w:t xml:space="preserve">In conclusion, equality and diversity in legal practice are significantly important. Everyone should believe they have a place in the judicial system. If the judiciary seems to be less accessible to some professions or groups of people, there cannot be equality of opportunity. Furthermore, each person's background and upbringing have influenced their perspective on life. </w:t>
      </w:r>
      <w:r w:rsidR="00DB3DC3" w:rsidRPr="00B06684">
        <w:rPr>
          <w:rFonts w:ascii="Arial" w:hAnsi="Arial" w:cs="Arial"/>
          <w:sz w:val="24"/>
          <w:szCs w:val="24"/>
        </w:rPr>
        <w:t>Th</w:t>
      </w:r>
      <w:r w:rsidR="00A5587A" w:rsidRPr="00B06684">
        <w:rPr>
          <w:rFonts w:ascii="Arial" w:hAnsi="Arial" w:cs="Arial"/>
          <w:sz w:val="24"/>
          <w:szCs w:val="24"/>
        </w:rPr>
        <w:t>erefore, u</w:t>
      </w:r>
      <w:r w:rsidRPr="00B06684">
        <w:rPr>
          <w:rFonts w:ascii="Arial" w:hAnsi="Arial" w:cs="Arial"/>
          <w:sz w:val="24"/>
          <w:szCs w:val="24"/>
        </w:rPr>
        <w:t xml:space="preserve">nconscious biases </w:t>
      </w:r>
      <w:r w:rsidR="00B32666" w:rsidRPr="00B06684">
        <w:rPr>
          <w:rFonts w:ascii="Arial" w:hAnsi="Arial" w:cs="Arial"/>
          <w:sz w:val="24"/>
          <w:szCs w:val="24"/>
        </w:rPr>
        <w:t xml:space="preserve">affect </w:t>
      </w:r>
      <w:r w:rsidR="00A5587A" w:rsidRPr="00B06684">
        <w:rPr>
          <w:rFonts w:ascii="Arial" w:hAnsi="Arial" w:cs="Arial"/>
          <w:sz w:val="24"/>
          <w:szCs w:val="24"/>
        </w:rPr>
        <w:t>everyone,</w:t>
      </w:r>
      <w:r w:rsidR="003C591A" w:rsidRPr="00B06684">
        <w:rPr>
          <w:rFonts w:ascii="Arial" w:hAnsi="Arial" w:cs="Arial"/>
          <w:sz w:val="24"/>
          <w:szCs w:val="24"/>
        </w:rPr>
        <w:t xml:space="preserve"> and </w:t>
      </w:r>
      <w:r w:rsidR="00900322" w:rsidRPr="00B06684">
        <w:rPr>
          <w:rFonts w:ascii="Arial" w:hAnsi="Arial" w:cs="Arial"/>
          <w:sz w:val="24"/>
          <w:szCs w:val="24"/>
        </w:rPr>
        <w:t>they</w:t>
      </w:r>
      <w:r w:rsidR="00B32666" w:rsidRPr="00B06684">
        <w:rPr>
          <w:rFonts w:ascii="Arial" w:hAnsi="Arial" w:cs="Arial"/>
          <w:sz w:val="24"/>
          <w:szCs w:val="24"/>
        </w:rPr>
        <w:t xml:space="preserve"> </w:t>
      </w:r>
      <w:r w:rsidRPr="00B06684">
        <w:rPr>
          <w:rFonts w:ascii="Arial" w:hAnsi="Arial" w:cs="Arial"/>
          <w:sz w:val="24"/>
          <w:szCs w:val="24"/>
        </w:rPr>
        <w:t xml:space="preserve">would be less likely in judicial decision-making with a more diverse judiciary. This would contribute to increasing public trust in the </w:t>
      </w:r>
      <w:r w:rsidR="00B62C72" w:rsidRPr="00B06684">
        <w:rPr>
          <w:rFonts w:ascii="Arial" w:hAnsi="Arial" w:cs="Arial"/>
          <w:sz w:val="24"/>
          <w:szCs w:val="24"/>
        </w:rPr>
        <w:t>legal</w:t>
      </w:r>
      <w:r w:rsidRPr="00B06684">
        <w:rPr>
          <w:rFonts w:ascii="Arial" w:hAnsi="Arial" w:cs="Arial"/>
          <w:sz w:val="24"/>
          <w:szCs w:val="24"/>
        </w:rPr>
        <w:t xml:space="preserve"> system as a whole and the judiciary more widely (Shuja, 2022). On the surface, the legal profession in England and Wales appears to be well-placed to support the transition to a more diverse judiciary. After twenty years of official attempts to decrease restrictive practices, the legal profession is significantly more dynamic</w:t>
      </w:r>
      <w:r w:rsidR="00125CD5" w:rsidRPr="00B06684">
        <w:rPr>
          <w:rFonts w:ascii="Arial" w:hAnsi="Arial" w:cs="Arial"/>
          <w:sz w:val="24"/>
          <w:szCs w:val="24"/>
        </w:rPr>
        <w:t xml:space="preserve"> and </w:t>
      </w:r>
      <w:r w:rsidR="00715B03" w:rsidRPr="00B06684">
        <w:rPr>
          <w:rFonts w:ascii="Arial" w:hAnsi="Arial" w:cs="Arial"/>
          <w:sz w:val="24"/>
          <w:szCs w:val="24"/>
        </w:rPr>
        <w:t>flexible</w:t>
      </w:r>
      <w:r w:rsidR="00125CD5" w:rsidRPr="00B06684">
        <w:rPr>
          <w:rFonts w:ascii="Arial" w:hAnsi="Arial" w:cs="Arial"/>
          <w:sz w:val="24"/>
          <w:szCs w:val="24"/>
        </w:rPr>
        <w:t xml:space="preserve"> </w:t>
      </w:r>
      <w:r w:rsidRPr="00B06684">
        <w:rPr>
          <w:rFonts w:ascii="Arial" w:hAnsi="Arial" w:cs="Arial"/>
          <w:sz w:val="24"/>
          <w:szCs w:val="24"/>
        </w:rPr>
        <w:t xml:space="preserve">in the direction of its equality and diversity (Barmes and </w:t>
      </w:r>
      <w:proofErr w:type="spellStart"/>
      <w:r w:rsidRPr="00B06684">
        <w:rPr>
          <w:rFonts w:ascii="Arial" w:hAnsi="Arial" w:cs="Arial"/>
          <w:sz w:val="24"/>
          <w:szCs w:val="24"/>
        </w:rPr>
        <w:t>Malleson</w:t>
      </w:r>
      <w:proofErr w:type="spellEnd"/>
      <w:r w:rsidRPr="00B06684">
        <w:rPr>
          <w:rFonts w:ascii="Arial" w:hAnsi="Arial" w:cs="Arial"/>
          <w:sz w:val="24"/>
          <w:szCs w:val="24"/>
        </w:rPr>
        <w:t>, 2011, p.250).</w:t>
      </w:r>
    </w:p>
    <w:p w14:paraId="09F24F3B" w14:textId="77777777" w:rsidR="00D30F5F" w:rsidRDefault="00D30F5F" w:rsidP="00BF2FDB">
      <w:pPr>
        <w:rPr>
          <w:rFonts w:ascii="Arial" w:hAnsi="Arial" w:cs="Arial"/>
          <w:sz w:val="24"/>
          <w:szCs w:val="24"/>
        </w:rPr>
      </w:pPr>
    </w:p>
    <w:p w14:paraId="49F4FB19" w14:textId="3EF95BBD" w:rsidR="00D30F5F" w:rsidRDefault="00D30F5F" w:rsidP="00BF2FDB">
      <w:pPr>
        <w:rPr>
          <w:rFonts w:ascii="Arial" w:hAnsi="Arial" w:cs="Arial"/>
          <w:sz w:val="24"/>
          <w:szCs w:val="24"/>
        </w:rPr>
      </w:pPr>
      <w:r>
        <w:rPr>
          <w:rFonts w:ascii="Arial" w:hAnsi="Arial" w:cs="Arial"/>
          <w:sz w:val="24"/>
          <w:szCs w:val="24"/>
        </w:rPr>
        <w:t>1623 words</w:t>
      </w:r>
    </w:p>
    <w:p w14:paraId="3B793E63" w14:textId="7970ECA2" w:rsidR="009F1BF4" w:rsidRPr="002322CC" w:rsidRDefault="009F1BF4" w:rsidP="00E72E91">
      <w:pPr>
        <w:keepNext/>
        <w:keepLines/>
        <w:shd w:val="clear" w:color="auto" w:fill="FFFFFF"/>
        <w:spacing w:after="0"/>
        <w:textAlignment w:val="baseline"/>
        <w:outlineLvl w:val="0"/>
        <w:rPr>
          <w:rFonts w:ascii="Arial" w:eastAsiaTheme="majorEastAsia" w:hAnsi="Arial" w:cs="Arial"/>
          <w:color w:val="000000" w:themeColor="text1"/>
          <w:sz w:val="24"/>
          <w:szCs w:val="24"/>
        </w:rPr>
      </w:pPr>
      <w:r w:rsidRPr="002322CC">
        <w:rPr>
          <w:rFonts w:ascii="Arial" w:eastAsiaTheme="majorEastAsia" w:hAnsi="Arial" w:cs="Arial"/>
          <w:color w:val="000000" w:themeColor="text1"/>
          <w:sz w:val="24"/>
          <w:szCs w:val="24"/>
        </w:rPr>
        <w:lastRenderedPageBreak/>
        <w:t>Reference</w:t>
      </w:r>
      <w:r w:rsidR="00C23E35">
        <w:rPr>
          <w:rFonts w:ascii="Arial" w:eastAsiaTheme="majorEastAsia" w:hAnsi="Arial" w:cs="Arial"/>
          <w:color w:val="000000" w:themeColor="text1"/>
          <w:sz w:val="24"/>
          <w:szCs w:val="24"/>
        </w:rPr>
        <w:t xml:space="preserve"> list:</w:t>
      </w:r>
    </w:p>
    <w:p w14:paraId="05B92232" w14:textId="77777777" w:rsidR="009F1BF4" w:rsidRPr="002322CC" w:rsidRDefault="009F1BF4" w:rsidP="00E72E91">
      <w:pPr>
        <w:keepNext/>
        <w:keepLines/>
        <w:shd w:val="clear" w:color="auto" w:fill="FFFFFF"/>
        <w:spacing w:after="0"/>
        <w:textAlignment w:val="baseline"/>
        <w:outlineLvl w:val="0"/>
        <w:rPr>
          <w:rFonts w:ascii="Arial" w:eastAsiaTheme="majorEastAsia" w:hAnsi="Arial" w:cs="Arial"/>
          <w:color w:val="000000" w:themeColor="text1"/>
          <w:sz w:val="24"/>
          <w:szCs w:val="24"/>
        </w:rPr>
      </w:pPr>
    </w:p>
    <w:p w14:paraId="299615FF" w14:textId="355B2C24" w:rsidR="00E72E91" w:rsidRPr="00E72E91" w:rsidRDefault="00E72E91" w:rsidP="00E72E91">
      <w:pPr>
        <w:keepNext/>
        <w:keepLines/>
        <w:shd w:val="clear" w:color="auto" w:fill="FFFFFF"/>
        <w:spacing w:after="0"/>
        <w:textAlignment w:val="baseline"/>
        <w:outlineLvl w:val="0"/>
        <w:rPr>
          <w:rFonts w:ascii="Arial" w:eastAsia="Times New Roman" w:hAnsi="Arial" w:cs="Arial"/>
          <w:color w:val="000000" w:themeColor="text1"/>
          <w:kern w:val="36"/>
          <w:sz w:val="24"/>
          <w:szCs w:val="24"/>
          <w:lang w:eastAsia="en-GB"/>
          <w14:ligatures w14:val="none"/>
        </w:rPr>
      </w:pPr>
      <w:r w:rsidRPr="00E72E91">
        <w:rPr>
          <w:rFonts w:ascii="Arial" w:eastAsiaTheme="majorEastAsia" w:hAnsi="Arial" w:cs="Arial"/>
          <w:color w:val="000000" w:themeColor="text1"/>
          <w:sz w:val="24"/>
          <w:szCs w:val="24"/>
        </w:rPr>
        <w:t xml:space="preserve">Barmes. L. and </w:t>
      </w:r>
      <w:proofErr w:type="spellStart"/>
      <w:r w:rsidRPr="00E72E91">
        <w:rPr>
          <w:rFonts w:ascii="Arial" w:eastAsiaTheme="majorEastAsia" w:hAnsi="Arial" w:cs="Arial"/>
          <w:color w:val="000000" w:themeColor="text1"/>
          <w:sz w:val="24"/>
          <w:szCs w:val="24"/>
        </w:rPr>
        <w:t>Malleson</w:t>
      </w:r>
      <w:proofErr w:type="spellEnd"/>
      <w:r w:rsidRPr="00E72E91">
        <w:rPr>
          <w:rFonts w:ascii="Arial" w:eastAsiaTheme="majorEastAsia" w:hAnsi="Arial" w:cs="Arial"/>
          <w:color w:val="000000" w:themeColor="text1"/>
          <w:sz w:val="24"/>
          <w:szCs w:val="24"/>
        </w:rPr>
        <w:t>, K. (2011) ‘The Legal Profession</w:t>
      </w:r>
      <w:r w:rsidRPr="00E72E91">
        <w:rPr>
          <w:rFonts w:ascii="Arial" w:eastAsia="Times New Roman" w:hAnsi="Arial" w:cs="Arial"/>
          <w:color w:val="000000" w:themeColor="text1"/>
          <w:kern w:val="36"/>
          <w:sz w:val="24"/>
          <w:szCs w:val="24"/>
          <w:lang w:eastAsia="en-GB"/>
          <w14:ligatures w14:val="none"/>
        </w:rPr>
        <w:t xml:space="preserve"> as Gatekeeper to the Judiciary: Design Faults in Measures to Enhance Diversity’ </w:t>
      </w:r>
      <w:r w:rsidRPr="00E72E91">
        <w:rPr>
          <w:rFonts w:ascii="Arial" w:eastAsia="Times New Roman" w:hAnsi="Arial" w:cs="Arial"/>
          <w:i/>
          <w:iCs/>
          <w:color w:val="000000" w:themeColor="text1"/>
          <w:kern w:val="36"/>
          <w:sz w:val="24"/>
          <w:szCs w:val="24"/>
          <w:lang w:eastAsia="en-GB"/>
          <w14:ligatures w14:val="none"/>
        </w:rPr>
        <w:t>The Modern Law Review</w:t>
      </w:r>
      <w:r w:rsidRPr="00E72E91">
        <w:rPr>
          <w:rFonts w:ascii="Arial" w:eastAsia="Times New Roman" w:hAnsi="Arial" w:cs="Arial"/>
          <w:color w:val="000000" w:themeColor="text1"/>
          <w:kern w:val="36"/>
          <w:sz w:val="24"/>
          <w:szCs w:val="24"/>
          <w:lang w:eastAsia="en-GB"/>
          <w14:ligatures w14:val="none"/>
        </w:rPr>
        <w:t xml:space="preserve"> 74(2), pp. 258-259. (Accessed: 09 August 2023). Available at: https://plus-lexis-com.ezproxy.uwtsd.ac.uk/uk/analytical-materials-uk/the-legal-profession-as-gatekeeper-to-the-jud?crid=9979ca18-1c20-4bdd-9be4-e4362d8b4203</w:t>
      </w:r>
    </w:p>
    <w:p w14:paraId="7DD68FFB" w14:textId="77777777" w:rsidR="00E72E91" w:rsidRPr="00E72E91" w:rsidRDefault="00E72E91" w:rsidP="00E72E91">
      <w:pPr>
        <w:rPr>
          <w:rFonts w:ascii="Arial" w:hAnsi="Arial" w:cs="Arial"/>
          <w:sz w:val="24"/>
          <w:szCs w:val="24"/>
          <w:lang w:eastAsia="en-GB"/>
        </w:rPr>
      </w:pPr>
    </w:p>
    <w:p w14:paraId="2B5E80CD" w14:textId="77777777" w:rsidR="00E72E91" w:rsidRPr="00E72E91" w:rsidRDefault="00E72E91" w:rsidP="00E72E91">
      <w:pPr>
        <w:rPr>
          <w:rFonts w:ascii="Arial" w:hAnsi="Arial" w:cs="Arial"/>
          <w:sz w:val="24"/>
          <w:szCs w:val="24"/>
          <w:lang w:eastAsia="en-GB"/>
        </w:rPr>
      </w:pPr>
      <w:r w:rsidRPr="00E72E91">
        <w:rPr>
          <w:rFonts w:ascii="Arial" w:hAnsi="Arial" w:cs="Arial"/>
          <w:sz w:val="24"/>
          <w:szCs w:val="24"/>
          <w:lang w:eastAsia="en-GB"/>
        </w:rPr>
        <w:t xml:space="preserve">Bar Standard Board (2022) </w:t>
      </w:r>
      <w:r w:rsidRPr="00E72E91">
        <w:rPr>
          <w:rFonts w:ascii="Arial" w:hAnsi="Arial" w:cs="Arial"/>
          <w:i/>
          <w:iCs/>
          <w:sz w:val="24"/>
          <w:szCs w:val="24"/>
          <w:lang w:eastAsia="en-GB"/>
        </w:rPr>
        <w:t>Equality and Diversity.</w:t>
      </w:r>
      <w:r w:rsidRPr="00E72E91">
        <w:rPr>
          <w:rFonts w:ascii="Arial" w:hAnsi="Arial" w:cs="Arial"/>
          <w:sz w:val="24"/>
          <w:szCs w:val="24"/>
          <w:lang w:eastAsia="en-GB"/>
        </w:rPr>
        <w:t xml:space="preserve"> Available at:</w:t>
      </w:r>
      <w:r w:rsidRPr="00E72E91">
        <w:rPr>
          <w:rFonts w:ascii="Arial" w:hAnsi="Arial" w:cs="Arial"/>
          <w:sz w:val="24"/>
          <w:szCs w:val="24"/>
        </w:rPr>
        <w:t xml:space="preserve"> https://www.barstandardsboard.org.uk/about-us/equality-and-diversity.html </w:t>
      </w:r>
      <w:r w:rsidRPr="00E72E91">
        <w:rPr>
          <w:rFonts w:ascii="Arial" w:hAnsi="Arial" w:cs="Arial"/>
          <w:color w:val="000000" w:themeColor="text1"/>
          <w:sz w:val="24"/>
          <w:szCs w:val="24"/>
          <w:lang w:eastAsia="en-GB"/>
        </w:rPr>
        <w:t>(Accessed: 03 August 2023).</w:t>
      </w:r>
    </w:p>
    <w:p w14:paraId="6380129C"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sz w:val="24"/>
          <w:szCs w:val="24"/>
          <w:lang w:eastAsia="en-GB"/>
        </w:rPr>
        <w:t xml:space="preserve">Boyce, S. (2022) ‘Improving diversity in the judiciary’, </w:t>
      </w:r>
      <w:r w:rsidRPr="00E72E91">
        <w:rPr>
          <w:rFonts w:ascii="Arial" w:hAnsi="Arial" w:cs="Arial"/>
          <w:i/>
          <w:iCs/>
          <w:sz w:val="24"/>
          <w:szCs w:val="24"/>
          <w:lang w:eastAsia="en-GB"/>
        </w:rPr>
        <w:t>The Law Society Gazette</w:t>
      </w:r>
      <w:r w:rsidRPr="00E72E91">
        <w:rPr>
          <w:rFonts w:ascii="Arial" w:hAnsi="Arial" w:cs="Arial"/>
          <w:sz w:val="24"/>
          <w:szCs w:val="24"/>
          <w:lang w:eastAsia="en-GB"/>
        </w:rPr>
        <w:t>, 25 July. Available at: https://www.lawgazette.co.uk/commentary-and-opinion/improving-diversity-in-the-judiciary/5113216.article</w:t>
      </w:r>
      <w:bookmarkStart w:id="0" w:name="_Hlk142805872"/>
      <w:r w:rsidRPr="00E72E91">
        <w:rPr>
          <w:rFonts w:ascii="Arial" w:hAnsi="Arial" w:cs="Arial"/>
          <w:color w:val="000000" w:themeColor="text1"/>
          <w:sz w:val="24"/>
          <w:szCs w:val="24"/>
          <w:lang w:eastAsia="en-GB"/>
        </w:rPr>
        <w:t>(Accessed: 10 August 2023).</w:t>
      </w:r>
      <w:bookmarkEnd w:id="0"/>
    </w:p>
    <w:p w14:paraId="4356D838"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sz w:val="24"/>
          <w:szCs w:val="24"/>
        </w:rPr>
        <w:t>‘</w:t>
      </w:r>
      <w:r w:rsidRPr="00E72E91">
        <w:rPr>
          <w:rFonts w:ascii="Arial" w:hAnsi="Arial" w:cs="Arial"/>
          <w:i/>
          <w:iCs/>
          <w:color w:val="000000" w:themeColor="text1"/>
          <w:sz w:val="24"/>
          <w:szCs w:val="24"/>
          <w:bdr w:val="none" w:sz="0" w:space="0" w:color="auto" w:frame="1"/>
          <w:shd w:val="clear" w:color="auto" w:fill="FFFFFF"/>
        </w:rPr>
        <w:t>Coleman v Attridge Law</w:t>
      </w:r>
      <w:r w:rsidRPr="00E72E91">
        <w:rPr>
          <w:rFonts w:ascii="Arial" w:hAnsi="Arial" w:cs="Arial"/>
          <w:i/>
          <w:iCs/>
          <w:color w:val="000000" w:themeColor="text1"/>
          <w:sz w:val="24"/>
          <w:szCs w:val="24"/>
          <w:shd w:val="clear" w:color="auto" w:fill="FFFFFF"/>
        </w:rPr>
        <w:t> and Steve Law</w:t>
      </w:r>
      <w:r w:rsidRPr="00E72E91">
        <w:rPr>
          <w:rFonts w:ascii="Arial" w:hAnsi="Arial" w:cs="Arial"/>
          <w:sz w:val="24"/>
          <w:szCs w:val="24"/>
        </w:rPr>
        <w:t>'</w:t>
      </w:r>
      <w:hyperlink r:id="rId4" w:tooltip="All England Law Reports European Cases" w:history="1">
        <w:r w:rsidRPr="00E72E91">
          <w:rPr>
            <w:rFonts w:ascii="Arial" w:hAnsi="Arial" w:cs="Arial"/>
            <w:color w:val="000000" w:themeColor="text1"/>
            <w:sz w:val="24"/>
            <w:szCs w:val="24"/>
            <w:bdr w:val="none" w:sz="0" w:space="0" w:color="auto" w:frame="1"/>
            <w:shd w:val="clear" w:color="auto" w:fill="FFFFFF"/>
          </w:rPr>
          <w:t xml:space="preserve">(2008) Court of Justice of the European Communities (Great Chamber), </w:t>
        </w:r>
        <w:r w:rsidRPr="00E72E91">
          <w:rPr>
            <w:rFonts w:ascii="Arial" w:hAnsi="Arial" w:cs="Arial"/>
            <w:color w:val="333333"/>
            <w:sz w:val="24"/>
            <w:szCs w:val="24"/>
            <w:shd w:val="clear" w:color="auto" w:fill="FFFFFF"/>
          </w:rPr>
          <w:t>case C-303/06,</w:t>
        </w:r>
      </w:hyperlink>
      <w:r w:rsidRPr="00E72E91">
        <w:rPr>
          <w:rFonts w:ascii="Arial" w:hAnsi="Arial" w:cs="Arial"/>
          <w:color w:val="000000" w:themeColor="text1"/>
          <w:sz w:val="24"/>
          <w:szCs w:val="24"/>
          <w:bdr w:val="none" w:sz="0" w:space="0" w:color="auto" w:frame="1"/>
          <w:shd w:val="clear" w:color="auto" w:fill="FFFFFF"/>
        </w:rPr>
        <w:t xml:space="preserve"> </w:t>
      </w:r>
      <w:proofErr w:type="spellStart"/>
      <w:r w:rsidRPr="00E72E91">
        <w:rPr>
          <w:rFonts w:ascii="Arial" w:hAnsi="Arial" w:cs="Arial"/>
          <w:color w:val="000000" w:themeColor="text1"/>
          <w:sz w:val="24"/>
          <w:szCs w:val="24"/>
          <w:bdr w:val="none" w:sz="0" w:space="0" w:color="auto" w:frame="1"/>
          <w:shd w:val="clear" w:color="auto" w:fill="FFFFFF"/>
        </w:rPr>
        <w:t>Bailii</w:t>
      </w:r>
      <w:proofErr w:type="spellEnd"/>
      <w:r w:rsidRPr="00E72E91">
        <w:rPr>
          <w:rFonts w:ascii="Arial" w:hAnsi="Arial" w:cs="Arial"/>
          <w:color w:val="000000" w:themeColor="text1"/>
          <w:sz w:val="24"/>
          <w:szCs w:val="24"/>
          <w:bdr w:val="none" w:sz="0" w:space="0" w:color="auto" w:frame="1"/>
          <w:shd w:val="clear" w:color="auto" w:fill="FFFFFF"/>
        </w:rPr>
        <w:t xml:space="preserve"> [Online</w:t>
      </w:r>
      <w:r w:rsidRPr="00E72E91">
        <w:rPr>
          <w:rFonts w:ascii="Arial" w:hAnsi="Arial" w:cs="Arial"/>
          <w:color w:val="000000" w:themeColor="text1"/>
          <w:sz w:val="24"/>
          <w:szCs w:val="24"/>
        </w:rPr>
        <w:t>] Available at: https://www.bailii.org/eu/cases/EUECJ/2008/C30306.html. (Accessed: 09 August 2023).</w:t>
      </w:r>
    </w:p>
    <w:p w14:paraId="75B1A53F"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sz w:val="24"/>
          <w:szCs w:val="24"/>
          <w:lang w:eastAsia="en-GB"/>
        </w:rPr>
        <w:t xml:space="preserve">Shuja, L. (2022) ‘We are in the true foothills of true judicial diversity’, </w:t>
      </w:r>
      <w:r w:rsidRPr="00E72E91">
        <w:rPr>
          <w:rFonts w:ascii="Arial" w:hAnsi="Arial" w:cs="Arial"/>
          <w:i/>
          <w:iCs/>
          <w:sz w:val="24"/>
          <w:szCs w:val="24"/>
          <w:lang w:eastAsia="en-GB"/>
        </w:rPr>
        <w:t>The Law Society Gazette</w:t>
      </w:r>
      <w:r w:rsidRPr="00E72E91">
        <w:rPr>
          <w:rFonts w:ascii="Arial" w:hAnsi="Arial" w:cs="Arial"/>
          <w:sz w:val="24"/>
          <w:szCs w:val="24"/>
          <w:lang w:eastAsia="en-GB"/>
        </w:rPr>
        <w:t xml:space="preserve">, 25 November. Available at: https://www.lawgazette.co.uk/commentary-and-opinion/we-are-in-the-foothills-of-true-judicial-diversity-/5114416.article </w:t>
      </w:r>
      <w:r w:rsidRPr="00E72E91">
        <w:rPr>
          <w:rFonts w:ascii="Arial" w:hAnsi="Arial" w:cs="Arial"/>
          <w:color w:val="000000" w:themeColor="text1"/>
          <w:sz w:val="24"/>
          <w:szCs w:val="24"/>
          <w:lang w:eastAsia="en-GB"/>
        </w:rPr>
        <w:t>(Accessed: 10 August 2023).</w:t>
      </w:r>
    </w:p>
    <w:p w14:paraId="3B1D57F9" w14:textId="77777777" w:rsidR="00E72E91" w:rsidRPr="00E72E91" w:rsidRDefault="00E72E91" w:rsidP="00E72E91">
      <w:pPr>
        <w:rPr>
          <w:rFonts w:ascii="Arial" w:hAnsi="Arial" w:cs="Arial"/>
          <w:sz w:val="24"/>
          <w:szCs w:val="24"/>
          <w:lang w:eastAsia="en-GB"/>
        </w:rPr>
      </w:pPr>
      <w:r w:rsidRPr="00E72E91">
        <w:rPr>
          <w:rFonts w:ascii="Arial" w:hAnsi="Arial" w:cs="Arial"/>
          <w:sz w:val="24"/>
          <w:szCs w:val="24"/>
          <w:lang w:eastAsia="en-GB"/>
        </w:rPr>
        <w:t xml:space="preserve">CILEx Regulations (no date) </w:t>
      </w:r>
      <w:r w:rsidRPr="00E72E91">
        <w:rPr>
          <w:rFonts w:ascii="Arial" w:hAnsi="Arial" w:cs="Arial"/>
          <w:i/>
          <w:iCs/>
          <w:sz w:val="24"/>
          <w:szCs w:val="24"/>
          <w:lang w:eastAsia="en-GB"/>
        </w:rPr>
        <w:t xml:space="preserve">Diversity and Inclusion. </w:t>
      </w:r>
      <w:r w:rsidRPr="00E72E91">
        <w:rPr>
          <w:rFonts w:ascii="Arial" w:hAnsi="Arial" w:cs="Arial"/>
          <w:sz w:val="24"/>
          <w:szCs w:val="24"/>
          <w:lang w:eastAsia="en-GB"/>
        </w:rPr>
        <w:t>Available at: https://cilexregulation.org.uk/equality-and-diversity/ (Accessed: 04 August 2023).</w:t>
      </w:r>
    </w:p>
    <w:p w14:paraId="6FC4CF7C"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i/>
          <w:iCs/>
          <w:sz w:val="24"/>
          <w:szCs w:val="24"/>
          <w:lang w:eastAsia="en-GB"/>
        </w:rPr>
        <w:t>Equality Act 2010</w:t>
      </w:r>
      <w:r w:rsidRPr="00E72E91">
        <w:rPr>
          <w:rFonts w:ascii="Arial" w:hAnsi="Arial" w:cs="Arial"/>
          <w:sz w:val="24"/>
          <w:szCs w:val="24"/>
          <w:lang w:eastAsia="en-GB"/>
        </w:rPr>
        <w:t>, c.15. Available at: https://www.legislation.gov.uk/ukpga/2010/15/part/2/chapter/1</w:t>
      </w:r>
      <w:r w:rsidRPr="00E72E91">
        <w:rPr>
          <w:rFonts w:ascii="Arial" w:hAnsi="Arial" w:cs="Arial"/>
          <w:color w:val="000000" w:themeColor="text1"/>
          <w:sz w:val="24"/>
          <w:szCs w:val="24"/>
          <w:lang w:eastAsia="en-GB"/>
        </w:rPr>
        <w:t>(Accessed: 01 August 2023).</w:t>
      </w:r>
    </w:p>
    <w:p w14:paraId="6C58B4B1"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i/>
          <w:iCs/>
          <w:sz w:val="24"/>
          <w:szCs w:val="24"/>
          <w:lang w:eastAsia="en-GB"/>
        </w:rPr>
        <w:t xml:space="preserve">Legal Service Act 2007, </w:t>
      </w:r>
      <w:r w:rsidRPr="00E72E91">
        <w:rPr>
          <w:rFonts w:ascii="Arial" w:hAnsi="Arial" w:cs="Arial"/>
          <w:sz w:val="24"/>
          <w:szCs w:val="24"/>
          <w:lang w:eastAsia="en-GB"/>
        </w:rPr>
        <w:t xml:space="preserve">c. 29. Available at: https://www.legislation.gov.uk/ukpga/2007/29/section/1 </w:t>
      </w:r>
      <w:bookmarkStart w:id="1" w:name="_Hlk142684746"/>
      <w:r w:rsidRPr="00E72E91">
        <w:rPr>
          <w:rFonts w:ascii="Arial" w:hAnsi="Arial" w:cs="Arial"/>
          <w:color w:val="000000" w:themeColor="text1"/>
          <w:sz w:val="24"/>
          <w:szCs w:val="24"/>
          <w:lang w:eastAsia="en-GB"/>
        </w:rPr>
        <w:t>(Accessed: 01 August 2023).</w:t>
      </w:r>
    </w:p>
    <w:p w14:paraId="2218D2D4" w14:textId="77777777" w:rsidR="00E72E91" w:rsidRPr="00E72E91" w:rsidRDefault="00E72E91" w:rsidP="00E72E91">
      <w:pPr>
        <w:rPr>
          <w:rFonts w:ascii="Arial" w:hAnsi="Arial" w:cs="Arial"/>
          <w:color w:val="000000" w:themeColor="text1"/>
          <w:sz w:val="24"/>
          <w:szCs w:val="24"/>
          <w:lang w:eastAsia="en-GB"/>
        </w:rPr>
      </w:pPr>
      <w:bookmarkStart w:id="2" w:name="_Hlk142683710"/>
      <w:bookmarkEnd w:id="1"/>
      <w:r w:rsidRPr="00E72E91">
        <w:rPr>
          <w:rFonts w:ascii="Arial" w:hAnsi="Arial" w:cs="Arial"/>
          <w:sz w:val="24"/>
          <w:szCs w:val="24"/>
          <w:lang w:eastAsia="en-GB"/>
        </w:rPr>
        <w:t xml:space="preserve">Legal Service Board (no date) </w:t>
      </w:r>
      <w:r w:rsidRPr="00E72E91">
        <w:rPr>
          <w:rFonts w:ascii="Arial" w:hAnsi="Arial" w:cs="Arial"/>
          <w:i/>
          <w:iCs/>
          <w:sz w:val="24"/>
          <w:szCs w:val="24"/>
          <w:lang w:eastAsia="en-GB"/>
        </w:rPr>
        <w:t>Diversity and Inclusion</w:t>
      </w:r>
      <w:r w:rsidRPr="00E72E91">
        <w:rPr>
          <w:rFonts w:ascii="Arial" w:hAnsi="Arial" w:cs="Arial"/>
          <w:sz w:val="24"/>
          <w:szCs w:val="24"/>
          <w:lang w:eastAsia="en-GB"/>
        </w:rPr>
        <w:t xml:space="preserve">. Available at: https://legalservicesboard.org.uk/about-us/diversity-and-inclusion </w:t>
      </w:r>
      <w:r w:rsidRPr="00E72E91">
        <w:rPr>
          <w:rFonts w:ascii="Arial" w:hAnsi="Arial" w:cs="Arial"/>
          <w:color w:val="000000" w:themeColor="text1"/>
          <w:sz w:val="24"/>
          <w:szCs w:val="24"/>
          <w:lang w:eastAsia="en-GB"/>
        </w:rPr>
        <w:t>(Accessed: 05 August 2023).</w:t>
      </w:r>
      <w:bookmarkEnd w:id="2"/>
    </w:p>
    <w:p w14:paraId="2D5CD17A"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color w:val="000000" w:themeColor="text1"/>
          <w:sz w:val="24"/>
          <w:szCs w:val="24"/>
          <w:lang w:eastAsia="en-GB"/>
        </w:rPr>
        <w:t xml:space="preserve">Legal Service Board (2017) </w:t>
      </w:r>
      <w:r w:rsidRPr="00E72E91">
        <w:rPr>
          <w:rFonts w:ascii="Arial" w:hAnsi="Arial" w:cs="Arial"/>
          <w:i/>
          <w:iCs/>
          <w:sz w:val="24"/>
          <w:szCs w:val="24"/>
        </w:rPr>
        <w:t xml:space="preserve">Guidance for legal services regulators on encouraging a diverse workforce (February 2017). Available at: </w:t>
      </w:r>
      <w:r w:rsidRPr="00E72E91">
        <w:rPr>
          <w:rFonts w:ascii="Arial" w:hAnsi="Arial" w:cs="Arial"/>
          <w:color w:val="000000" w:themeColor="text1"/>
          <w:sz w:val="24"/>
          <w:szCs w:val="24"/>
          <w:lang w:eastAsia="en-GB"/>
        </w:rPr>
        <w:t>https://www.legalservicesboard.org.uk/what_we_do/regulation/pdf/2017/S162_Guidance_For_Regulators_On_Encouraging_A_Diverse_Profession.pdf (Accessed: 04 August 2023).</w:t>
      </w:r>
    </w:p>
    <w:p w14:paraId="5CDD1394" w14:textId="77777777" w:rsidR="00E72E91" w:rsidRPr="00E72E91" w:rsidRDefault="00E72E91" w:rsidP="00E72E91">
      <w:pPr>
        <w:rPr>
          <w:rFonts w:ascii="Arial" w:hAnsi="Arial" w:cs="Arial"/>
          <w:sz w:val="24"/>
          <w:szCs w:val="24"/>
          <w:lang w:eastAsia="en-GB"/>
        </w:rPr>
      </w:pPr>
      <w:r w:rsidRPr="00E72E91">
        <w:rPr>
          <w:rFonts w:ascii="Arial" w:hAnsi="Arial" w:cs="Arial"/>
          <w:sz w:val="24"/>
          <w:szCs w:val="24"/>
          <w:lang w:eastAsia="en-GB"/>
        </w:rPr>
        <w:t>Moore, M. and Bronwen, S. ‘</w:t>
      </w:r>
      <w:r w:rsidRPr="00E72E91">
        <w:rPr>
          <w:rFonts w:ascii="Arial" w:eastAsia="Times New Roman" w:hAnsi="Arial" w:cs="Arial"/>
          <w:kern w:val="0"/>
          <w:sz w:val="24"/>
          <w:szCs w:val="24"/>
          <w:lang w:eastAsia="en-GB"/>
          <w14:ligatures w14:val="none"/>
        </w:rPr>
        <w:t>75 Equality, diversity and inclusion in the legal profession’</w:t>
      </w:r>
      <w:r w:rsidRPr="00E72E91">
        <w:rPr>
          <w:rFonts w:ascii="Arial" w:hAnsi="Arial" w:cs="Arial"/>
          <w:sz w:val="24"/>
          <w:szCs w:val="24"/>
          <w:lang w:eastAsia="en-GB"/>
        </w:rPr>
        <w:t xml:space="preserve"> </w:t>
      </w:r>
      <w:r w:rsidRPr="00E72E91">
        <w:rPr>
          <w:rFonts w:ascii="Arial" w:hAnsi="Arial" w:cs="Arial"/>
          <w:i/>
          <w:iCs/>
          <w:sz w:val="24"/>
          <w:szCs w:val="24"/>
          <w:lang w:eastAsia="en-GB"/>
        </w:rPr>
        <w:t>Encyclopaedia of Forms and Precedents</w:t>
      </w:r>
      <w:r w:rsidRPr="00E72E91">
        <w:rPr>
          <w:rFonts w:ascii="Arial" w:hAnsi="Arial" w:cs="Arial"/>
          <w:sz w:val="24"/>
          <w:szCs w:val="24"/>
          <w:lang w:eastAsia="en-GB"/>
        </w:rPr>
        <w:t xml:space="preserve"> 39(1) (Accessed: 05 August 2023). Available at: https://plus-lexis-com.ezproxy.uwtsd.ac.uk/uk/document/?pdmfid=1001073&amp;crid=0647fe7b-f3a3-</w:t>
      </w:r>
      <w:r w:rsidRPr="00E72E91">
        <w:rPr>
          <w:rFonts w:ascii="Arial" w:hAnsi="Arial" w:cs="Arial"/>
          <w:sz w:val="24"/>
          <w:szCs w:val="24"/>
          <w:lang w:eastAsia="en-GB"/>
        </w:rPr>
        <w:lastRenderedPageBreak/>
        <w:t>4bb6-9b12-44832ab74c92&amp;pddocfullpath=%2Fshared%2Fdocument%2Fforms-uk%2Furn%3AcontentItem%3A5XS9-5FX3-CGXG-017R-00000-00&amp;pdcontentcomponentid=231094&amp;pddocumentnumber=2&amp;prid=fca18d92-efbc-4fcc-a8f8-d8c53c325202&amp;ecomp=ft5k&amp;earg=sr1</w:t>
      </w:r>
    </w:p>
    <w:p w14:paraId="284501F0"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color w:val="000000" w:themeColor="text1"/>
          <w:sz w:val="24"/>
          <w:szCs w:val="24"/>
        </w:rPr>
        <w:t xml:space="preserve">SRA (2019) </w:t>
      </w:r>
      <w:r w:rsidRPr="00E72E91">
        <w:rPr>
          <w:rFonts w:ascii="Arial" w:hAnsi="Arial" w:cs="Arial"/>
          <w:i/>
          <w:iCs/>
          <w:color w:val="000000" w:themeColor="text1"/>
          <w:sz w:val="24"/>
          <w:szCs w:val="24"/>
        </w:rPr>
        <w:t>Guidance</w:t>
      </w:r>
      <w:r w:rsidRPr="00E72E91">
        <w:rPr>
          <w:rFonts w:ascii="Arial" w:hAnsi="Arial" w:cs="Arial"/>
          <w:sz w:val="24"/>
          <w:szCs w:val="24"/>
        </w:rPr>
        <w:t xml:space="preserve">. </w:t>
      </w:r>
      <w:r w:rsidRPr="00E72E91">
        <w:rPr>
          <w:rFonts w:ascii="Arial" w:eastAsia="Times New Roman" w:hAnsi="Arial" w:cs="Arial"/>
          <w:i/>
          <w:iCs/>
          <w:color w:val="191919"/>
          <w:spacing w:val="-7"/>
          <w:kern w:val="0"/>
          <w:sz w:val="24"/>
          <w:szCs w:val="24"/>
          <w:lang w:eastAsia="en-GB"/>
          <w14:ligatures w14:val="none"/>
        </w:rPr>
        <w:t xml:space="preserve">The SRA's approach to equality, diversity and inclusion. </w:t>
      </w:r>
      <w:r w:rsidRPr="00E72E91">
        <w:rPr>
          <w:rFonts w:ascii="Arial" w:hAnsi="Arial" w:cs="Arial"/>
          <w:color w:val="000000" w:themeColor="text1"/>
          <w:sz w:val="24"/>
          <w:szCs w:val="24"/>
        </w:rPr>
        <w:t>Available at:</w:t>
      </w:r>
      <w:r w:rsidRPr="00E72E91">
        <w:rPr>
          <w:rFonts w:ascii="Arial" w:hAnsi="Arial" w:cs="Arial"/>
          <w:i/>
          <w:iCs/>
          <w:color w:val="000000" w:themeColor="text1"/>
          <w:sz w:val="24"/>
          <w:szCs w:val="24"/>
        </w:rPr>
        <w:t xml:space="preserve"> </w:t>
      </w:r>
      <w:r w:rsidRPr="00E72E91">
        <w:rPr>
          <w:rFonts w:ascii="Arial" w:hAnsi="Arial" w:cs="Arial"/>
          <w:color w:val="000000" w:themeColor="text1"/>
          <w:sz w:val="24"/>
          <w:szCs w:val="24"/>
        </w:rPr>
        <w:t xml:space="preserve">https://www.sra.org.uk/solicitors/guidance/sra-approach-equality-diversity-inclusion/ </w:t>
      </w:r>
      <w:bookmarkStart w:id="3" w:name="_Hlk142683642"/>
      <w:bookmarkStart w:id="4" w:name="_Hlk142684119"/>
      <w:r w:rsidRPr="00E72E91">
        <w:rPr>
          <w:rFonts w:ascii="Arial" w:hAnsi="Arial" w:cs="Arial"/>
          <w:color w:val="000000" w:themeColor="text1"/>
          <w:sz w:val="24"/>
          <w:szCs w:val="24"/>
          <w:lang w:eastAsia="en-GB"/>
        </w:rPr>
        <w:t>(Accessed: 03 August 2023).</w:t>
      </w:r>
      <w:bookmarkEnd w:id="3"/>
    </w:p>
    <w:p w14:paraId="7A68209C" w14:textId="77777777" w:rsidR="00E72E91" w:rsidRPr="00E72E91" w:rsidRDefault="00E72E91" w:rsidP="00E72E91">
      <w:pPr>
        <w:rPr>
          <w:rFonts w:ascii="Arial" w:hAnsi="Arial" w:cs="Arial"/>
          <w:color w:val="000000" w:themeColor="text1"/>
          <w:sz w:val="24"/>
          <w:szCs w:val="24"/>
          <w:lang w:eastAsia="en-GB"/>
        </w:rPr>
      </w:pPr>
      <w:r w:rsidRPr="00E72E91">
        <w:rPr>
          <w:rFonts w:ascii="Arial" w:hAnsi="Arial" w:cs="Arial"/>
          <w:color w:val="000000" w:themeColor="text1"/>
          <w:sz w:val="24"/>
          <w:szCs w:val="24"/>
        </w:rPr>
        <w:t xml:space="preserve">SRA (2023) </w:t>
      </w:r>
      <w:r w:rsidRPr="00E72E91">
        <w:rPr>
          <w:rFonts w:ascii="Arial" w:hAnsi="Arial" w:cs="Arial"/>
          <w:i/>
          <w:iCs/>
          <w:color w:val="000000" w:themeColor="text1"/>
          <w:sz w:val="24"/>
          <w:szCs w:val="24"/>
        </w:rPr>
        <w:t>Guidance</w:t>
      </w:r>
      <w:r w:rsidRPr="00E72E91">
        <w:rPr>
          <w:rFonts w:ascii="Arial" w:hAnsi="Arial" w:cs="Arial"/>
          <w:sz w:val="24"/>
          <w:szCs w:val="24"/>
        </w:rPr>
        <w:t xml:space="preserve">. </w:t>
      </w:r>
      <w:r w:rsidRPr="00E72E91">
        <w:rPr>
          <w:rFonts w:ascii="Arial" w:eastAsia="Times New Roman" w:hAnsi="Arial" w:cs="Arial"/>
          <w:i/>
          <w:iCs/>
          <w:color w:val="191919"/>
          <w:spacing w:val="-7"/>
          <w:kern w:val="0"/>
          <w:sz w:val="24"/>
          <w:szCs w:val="24"/>
          <w:lang w:eastAsia="en-GB"/>
          <w14:ligatures w14:val="none"/>
        </w:rPr>
        <w:t xml:space="preserve">Workplace environment: risks of failing to protect and support colleagues. </w:t>
      </w:r>
      <w:r w:rsidRPr="00E72E91">
        <w:rPr>
          <w:rFonts w:ascii="Arial" w:hAnsi="Arial" w:cs="Arial"/>
          <w:color w:val="000000" w:themeColor="text1"/>
          <w:sz w:val="24"/>
          <w:szCs w:val="24"/>
        </w:rPr>
        <w:t>Available at:</w:t>
      </w:r>
      <w:r w:rsidRPr="00E72E91">
        <w:rPr>
          <w:rFonts w:ascii="Arial" w:hAnsi="Arial" w:cs="Arial"/>
          <w:i/>
          <w:iCs/>
          <w:color w:val="000000" w:themeColor="text1"/>
          <w:sz w:val="24"/>
          <w:szCs w:val="24"/>
        </w:rPr>
        <w:t xml:space="preserve"> </w:t>
      </w:r>
      <w:r w:rsidRPr="00E72E91">
        <w:rPr>
          <w:rFonts w:ascii="Arial" w:hAnsi="Arial" w:cs="Arial"/>
          <w:color w:val="000000" w:themeColor="text1"/>
          <w:sz w:val="24"/>
          <w:szCs w:val="24"/>
        </w:rPr>
        <w:t xml:space="preserve">https://www.sra.org.uk/solicitors/guidance/workplace-environment/ </w:t>
      </w:r>
      <w:r w:rsidRPr="00E72E91">
        <w:rPr>
          <w:rFonts w:ascii="Arial" w:hAnsi="Arial" w:cs="Arial"/>
          <w:color w:val="000000" w:themeColor="text1"/>
          <w:sz w:val="24"/>
          <w:szCs w:val="24"/>
          <w:lang w:eastAsia="en-GB"/>
        </w:rPr>
        <w:t>(Accessed: 05 August 2023).</w:t>
      </w:r>
    </w:p>
    <w:p w14:paraId="07B80B5E" w14:textId="77777777" w:rsidR="00E72E91" w:rsidRPr="00E72E91" w:rsidRDefault="00E72E91" w:rsidP="00E72E91">
      <w:pPr>
        <w:rPr>
          <w:rFonts w:ascii="Arial" w:hAnsi="Arial" w:cs="Arial"/>
          <w:sz w:val="24"/>
          <w:szCs w:val="24"/>
        </w:rPr>
      </w:pPr>
      <w:r w:rsidRPr="00E72E91">
        <w:rPr>
          <w:rFonts w:ascii="Arial" w:eastAsia="Times New Roman" w:hAnsi="Arial" w:cs="Arial"/>
          <w:color w:val="242424"/>
          <w:kern w:val="0"/>
          <w:sz w:val="24"/>
          <w:szCs w:val="24"/>
          <w:lang w:eastAsia="en-GB"/>
          <w14:ligatures w14:val="none"/>
        </w:rPr>
        <w:t xml:space="preserve">Solicitors Regulation Authority (2023) </w:t>
      </w:r>
      <w:r w:rsidRPr="00E72E91">
        <w:rPr>
          <w:rFonts w:ascii="Arial" w:hAnsi="Arial" w:cs="Arial"/>
          <w:i/>
          <w:iCs/>
          <w:sz w:val="24"/>
          <w:szCs w:val="24"/>
        </w:rPr>
        <w:t>SRA Codes of Conduct for firms.</w:t>
      </w:r>
      <w:r w:rsidRPr="00E72E91">
        <w:rPr>
          <w:rFonts w:ascii="Arial" w:eastAsia="Times New Roman" w:hAnsi="Arial" w:cs="Arial"/>
          <w:i/>
          <w:iCs/>
          <w:color w:val="212529"/>
          <w:spacing w:val="-7"/>
          <w:kern w:val="36"/>
          <w:sz w:val="24"/>
          <w:szCs w:val="24"/>
          <w:lang w:eastAsia="en-GB"/>
          <w14:ligatures w14:val="none"/>
        </w:rPr>
        <w:t xml:space="preserve"> </w:t>
      </w:r>
      <w:r w:rsidRPr="00E72E91">
        <w:rPr>
          <w:rFonts w:ascii="Arial" w:hAnsi="Arial" w:cs="Arial"/>
          <w:color w:val="000000" w:themeColor="text1"/>
          <w:sz w:val="24"/>
          <w:szCs w:val="24"/>
        </w:rPr>
        <w:t>Available at</w:t>
      </w:r>
      <w:r w:rsidRPr="00E72E91">
        <w:rPr>
          <w:rFonts w:ascii="Arial" w:hAnsi="Arial" w:cs="Arial"/>
          <w:sz w:val="24"/>
          <w:szCs w:val="24"/>
        </w:rPr>
        <w:t>: https://www.sra.org.uk/solicitors/standards-regulations/code-conduct-firms/</w:t>
      </w:r>
      <w:r w:rsidRPr="00E72E91">
        <w:rPr>
          <w:rFonts w:ascii="Arial" w:eastAsia="Times New Roman" w:hAnsi="Arial" w:cs="Arial"/>
          <w:color w:val="242424"/>
          <w:kern w:val="0"/>
          <w:sz w:val="24"/>
          <w:szCs w:val="24"/>
          <w:lang w:eastAsia="en-GB"/>
          <w14:ligatures w14:val="none"/>
        </w:rPr>
        <w:t>(Accessed: 02 August 2023).</w:t>
      </w:r>
    </w:p>
    <w:p w14:paraId="3A98D104" w14:textId="77777777" w:rsidR="00E72E91" w:rsidRPr="00E72E91" w:rsidRDefault="00E72E91" w:rsidP="00E72E91">
      <w:pPr>
        <w:rPr>
          <w:rFonts w:ascii="Arial" w:eastAsia="Times New Roman" w:hAnsi="Arial" w:cs="Arial"/>
          <w:color w:val="242424"/>
          <w:kern w:val="0"/>
          <w:sz w:val="24"/>
          <w:szCs w:val="24"/>
          <w:lang w:eastAsia="en-GB"/>
          <w14:ligatures w14:val="none"/>
        </w:rPr>
      </w:pPr>
      <w:r w:rsidRPr="00E72E91">
        <w:rPr>
          <w:rFonts w:ascii="Arial" w:eastAsia="Times New Roman" w:hAnsi="Arial" w:cs="Arial"/>
          <w:color w:val="242424"/>
          <w:kern w:val="0"/>
          <w:sz w:val="24"/>
          <w:szCs w:val="24"/>
          <w:lang w:eastAsia="en-GB"/>
          <w14:ligatures w14:val="none"/>
        </w:rPr>
        <w:t xml:space="preserve">Solicitors Regulation Authority (2023) </w:t>
      </w:r>
      <w:r w:rsidRPr="00E72E91">
        <w:rPr>
          <w:rFonts w:ascii="Arial" w:hAnsi="Arial" w:cs="Arial"/>
          <w:i/>
          <w:iCs/>
          <w:sz w:val="24"/>
          <w:szCs w:val="24"/>
        </w:rPr>
        <w:t>SRA Codes of Conduct for solicitors, RELs and RFLs.</w:t>
      </w:r>
      <w:r w:rsidRPr="00E72E91">
        <w:rPr>
          <w:rFonts w:ascii="Arial" w:eastAsia="Times New Roman" w:hAnsi="Arial" w:cs="Arial"/>
          <w:i/>
          <w:iCs/>
          <w:color w:val="212529"/>
          <w:spacing w:val="-7"/>
          <w:kern w:val="36"/>
          <w:sz w:val="24"/>
          <w:szCs w:val="24"/>
          <w:lang w:eastAsia="en-GB"/>
          <w14:ligatures w14:val="none"/>
        </w:rPr>
        <w:t xml:space="preserve"> </w:t>
      </w:r>
      <w:r w:rsidRPr="00E72E91">
        <w:rPr>
          <w:rFonts w:ascii="Arial" w:hAnsi="Arial" w:cs="Arial"/>
          <w:color w:val="000000" w:themeColor="text1"/>
          <w:sz w:val="24"/>
          <w:szCs w:val="24"/>
        </w:rPr>
        <w:t>Available at</w:t>
      </w:r>
      <w:r w:rsidRPr="00E72E91">
        <w:rPr>
          <w:rFonts w:ascii="Arial" w:hAnsi="Arial" w:cs="Arial"/>
          <w:sz w:val="24"/>
          <w:szCs w:val="24"/>
        </w:rPr>
        <w:t>: https://www.sra.org.uk/solicitors/standards-regulations/code-conduct-solicitors/</w:t>
      </w:r>
      <w:r w:rsidRPr="00E72E91">
        <w:rPr>
          <w:rFonts w:ascii="Arial" w:eastAsia="Times New Roman" w:hAnsi="Arial" w:cs="Arial"/>
          <w:color w:val="242424"/>
          <w:kern w:val="0"/>
          <w:sz w:val="24"/>
          <w:szCs w:val="24"/>
          <w:lang w:eastAsia="en-GB"/>
          <w14:ligatures w14:val="none"/>
        </w:rPr>
        <w:t>(Accessed: 02 August 2023).</w:t>
      </w:r>
    </w:p>
    <w:p w14:paraId="13976551" w14:textId="77777777" w:rsidR="00E72E91" w:rsidRPr="00E72E91" w:rsidRDefault="00E72E91" w:rsidP="00E72E91">
      <w:pPr>
        <w:rPr>
          <w:rFonts w:ascii="Arial" w:hAnsi="Arial" w:cs="Arial"/>
          <w:color w:val="000000" w:themeColor="text1"/>
          <w:sz w:val="24"/>
          <w:szCs w:val="24"/>
          <w:lang w:eastAsia="en-GB"/>
        </w:rPr>
      </w:pPr>
    </w:p>
    <w:bookmarkEnd w:id="4"/>
    <w:p w14:paraId="32168641" w14:textId="77777777" w:rsidR="00E72E91" w:rsidRPr="00E72E91" w:rsidRDefault="00E72E91" w:rsidP="00E72E91">
      <w:pPr>
        <w:rPr>
          <w:rFonts w:ascii="Arial" w:hAnsi="Arial" w:cs="Arial"/>
          <w:color w:val="000000" w:themeColor="text1"/>
          <w:sz w:val="24"/>
          <w:szCs w:val="24"/>
          <w:lang w:eastAsia="en-GB"/>
        </w:rPr>
      </w:pPr>
    </w:p>
    <w:p w14:paraId="04D3AC55" w14:textId="77777777" w:rsidR="00D30F5F" w:rsidRPr="002322CC" w:rsidRDefault="00D30F5F" w:rsidP="00BF2FDB">
      <w:pPr>
        <w:rPr>
          <w:rFonts w:ascii="Arial" w:hAnsi="Arial" w:cs="Arial"/>
          <w:sz w:val="24"/>
          <w:szCs w:val="24"/>
        </w:rPr>
      </w:pPr>
    </w:p>
    <w:sectPr w:rsidR="00D30F5F" w:rsidRPr="00232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9DE"/>
    <w:rsid w:val="000072E6"/>
    <w:rsid w:val="00011247"/>
    <w:rsid w:val="000115AF"/>
    <w:rsid w:val="00013518"/>
    <w:rsid w:val="00020727"/>
    <w:rsid w:val="0003575F"/>
    <w:rsid w:val="00041808"/>
    <w:rsid w:val="0004489F"/>
    <w:rsid w:val="00045497"/>
    <w:rsid w:val="0006081D"/>
    <w:rsid w:val="0006233E"/>
    <w:rsid w:val="0007099B"/>
    <w:rsid w:val="00070B21"/>
    <w:rsid w:val="00070D70"/>
    <w:rsid w:val="00070F5E"/>
    <w:rsid w:val="000721F2"/>
    <w:rsid w:val="0008098E"/>
    <w:rsid w:val="00083550"/>
    <w:rsid w:val="00085300"/>
    <w:rsid w:val="0008563B"/>
    <w:rsid w:val="00090CB8"/>
    <w:rsid w:val="00097127"/>
    <w:rsid w:val="000A4849"/>
    <w:rsid w:val="000B1768"/>
    <w:rsid w:val="000B3FC2"/>
    <w:rsid w:val="000B4CF5"/>
    <w:rsid w:val="000B7089"/>
    <w:rsid w:val="000C3086"/>
    <w:rsid w:val="000D39E6"/>
    <w:rsid w:val="000E0C3A"/>
    <w:rsid w:val="000E0FF9"/>
    <w:rsid w:val="000E3B81"/>
    <w:rsid w:val="00103AAF"/>
    <w:rsid w:val="001113C2"/>
    <w:rsid w:val="00111B72"/>
    <w:rsid w:val="00117946"/>
    <w:rsid w:val="001204F2"/>
    <w:rsid w:val="00125CD5"/>
    <w:rsid w:val="00126DFB"/>
    <w:rsid w:val="001346B9"/>
    <w:rsid w:val="001359DE"/>
    <w:rsid w:val="001457FC"/>
    <w:rsid w:val="001473D5"/>
    <w:rsid w:val="00147E61"/>
    <w:rsid w:val="001500C4"/>
    <w:rsid w:val="0015205E"/>
    <w:rsid w:val="00163727"/>
    <w:rsid w:val="00163786"/>
    <w:rsid w:val="00184437"/>
    <w:rsid w:val="0019036B"/>
    <w:rsid w:val="00190BFE"/>
    <w:rsid w:val="00195C9D"/>
    <w:rsid w:val="001A0229"/>
    <w:rsid w:val="001A47B3"/>
    <w:rsid w:val="001D5094"/>
    <w:rsid w:val="001D68D6"/>
    <w:rsid w:val="001E5748"/>
    <w:rsid w:val="001F01A6"/>
    <w:rsid w:val="001F4167"/>
    <w:rsid w:val="001F6181"/>
    <w:rsid w:val="002018AC"/>
    <w:rsid w:val="00220416"/>
    <w:rsid w:val="002267A3"/>
    <w:rsid w:val="002322CC"/>
    <w:rsid w:val="0023753B"/>
    <w:rsid w:val="00240878"/>
    <w:rsid w:val="00246075"/>
    <w:rsid w:val="002579B4"/>
    <w:rsid w:val="00265033"/>
    <w:rsid w:val="00274149"/>
    <w:rsid w:val="00282B7B"/>
    <w:rsid w:val="00287A14"/>
    <w:rsid w:val="002A12FD"/>
    <w:rsid w:val="002A5074"/>
    <w:rsid w:val="002A61A5"/>
    <w:rsid w:val="002B1F04"/>
    <w:rsid w:val="002B627D"/>
    <w:rsid w:val="002C5296"/>
    <w:rsid w:val="002E3CF6"/>
    <w:rsid w:val="002E7160"/>
    <w:rsid w:val="00306BDC"/>
    <w:rsid w:val="003116DE"/>
    <w:rsid w:val="003177B4"/>
    <w:rsid w:val="003315EA"/>
    <w:rsid w:val="00334A6C"/>
    <w:rsid w:val="00336E8A"/>
    <w:rsid w:val="00342237"/>
    <w:rsid w:val="00353ECF"/>
    <w:rsid w:val="00363138"/>
    <w:rsid w:val="00371512"/>
    <w:rsid w:val="0037239D"/>
    <w:rsid w:val="003724B7"/>
    <w:rsid w:val="00382192"/>
    <w:rsid w:val="00384B78"/>
    <w:rsid w:val="00392702"/>
    <w:rsid w:val="003A5B97"/>
    <w:rsid w:val="003B2C76"/>
    <w:rsid w:val="003B3AE6"/>
    <w:rsid w:val="003B7291"/>
    <w:rsid w:val="003C2E8A"/>
    <w:rsid w:val="003C4419"/>
    <w:rsid w:val="003C591A"/>
    <w:rsid w:val="003D0882"/>
    <w:rsid w:val="003D31E5"/>
    <w:rsid w:val="003D665C"/>
    <w:rsid w:val="003D7EE0"/>
    <w:rsid w:val="003E27B0"/>
    <w:rsid w:val="003E4D92"/>
    <w:rsid w:val="003E7825"/>
    <w:rsid w:val="003F4062"/>
    <w:rsid w:val="003F5260"/>
    <w:rsid w:val="003F6274"/>
    <w:rsid w:val="003F7A7B"/>
    <w:rsid w:val="00402B6A"/>
    <w:rsid w:val="0040346A"/>
    <w:rsid w:val="00403DCC"/>
    <w:rsid w:val="00407688"/>
    <w:rsid w:val="00413A7B"/>
    <w:rsid w:val="0042257E"/>
    <w:rsid w:val="00427B5C"/>
    <w:rsid w:val="0043485F"/>
    <w:rsid w:val="004406C0"/>
    <w:rsid w:val="00443B1A"/>
    <w:rsid w:val="00455069"/>
    <w:rsid w:val="00457894"/>
    <w:rsid w:val="004621AD"/>
    <w:rsid w:val="00467672"/>
    <w:rsid w:val="00470445"/>
    <w:rsid w:val="004738E7"/>
    <w:rsid w:val="00480611"/>
    <w:rsid w:val="00482469"/>
    <w:rsid w:val="00483B97"/>
    <w:rsid w:val="00487ECA"/>
    <w:rsid w:val="00490073"/>
    <w:rsid w:val="00490A68"/>
    <w:rsid w:val="004928FF"/>
    <w:rsid w:val="00495A23"/>
    <w:rsid w:val="004A1643"/>
    <w:rsid w:val="004A21E3"/>
    <w:rsid w:val="004B162D"/>
    <w:rsid w:val="004C6BFA"/>
    <w:rsid w:val="004D1961"/>
    <w:rsid w:val="004E403B"/>
    <w:rsid w:val="004F08F1"/>
    <w:rsid w:val="004F2950"/>
    <w:rsid w:val="00501F0C"/>
    <w:rsid w:val="00502A91"/>
    <w:rsid w:val="005114EB"/>
    <w:rsid w:val="00511565"/>
    <w:rsid w:val="00513CBC"/>
    <w:rsid w:val="00514259"/>
    <w:rsid w:val="00521B97"/>
    <w:rsid w:val="00542FF7"/>
    <w:rsid w:val="005434F5"/>
    <w:rsid w:val="00550443"/>
    <w:rsid w:val="00551660"/>
    <w:rsid w:val="00552830"/>
    <w:rsid w:val="005573FE"/>
    <w:rsid w:val="00557A10"/>
    <w:rsid w:val="005605A9"/>
    <w:rsid w:val="00560DD5"/>
    <w:rsid w:val="00561C07"/>
    <w:rsid w:val="00563124"/>
    <w:rsid w:val="00566E3A"/>
    <w:rsid w:val="005738B6"/>
    <w:rsid w:val="00574A65"/>
    <w:rsid w:val="00582471"/>
    <w:rsid w:val="00582632"/>
    <w:rsid w:val="00582E27"/>
    <w:rsid w:val="00584593"/>
    <w:rsid w:val="005856C4"/>
    <w:rsid w:val="00590FCD"/>
    <w:rsid w:val="005C748C"/>
    <w:rsid w:val="005D1B8B"/>
    <w:rsid w:val="005D74D7"/>
    <w:rsid w:val="005F40BF"/>
    <w:rsid w:val="005F77F7"/>
    <w:rsid w:val="006008DE"/>
    <w:rsid w:val="00603611"/>
    <w:rsid w:val="00610D8F"/>
    <w:rsid w:val="00614947"/>
    <w:rsid w:val="006149EA"/>
    <w:rsid w:val="00624EFD"/>
    <w:rsid w:val="0063033D"/>
    <w:rsid w:val="00640782"/>
    <w:rsid w:val="0065010B"/>
    <w:rsid w:val="00656C2E"/>
    <w:rsid w:val="00667785"/>
    <w:rsid w:val="006704F4"/>
    <w:rsid w:val="00671BE1"/>
    <w:rsid w:val="00676761"/>
    <w:rsid w:val="00680414"/>
    <w:rsid w:val="00680CEB"/>
    <w:rsid w:val="0068292F"/>
    <w:rsid w:val="00685B70"/>
    <w:rsid w:val="00686048"/>
    <w:rsid w:val="00691BCE"/>
    <w:rsid w:val="00695EE7"/>
    <w:rsid w:val="006A6780"/>
    <w:rsid w:val="006B6911"/>
    <w:rsid w:val="006C060D"/>
    <w:rsid w:val="006C41B4"/>
    <w:rsid w:val="006D7062"/>
    <w:rsid w:val="006D767B"/>
    <w:rsid w:val="006E4AA9"/>
    <w:rsid w:val="007036D4"/>
    <w:rsid w:val="00715B03"/>
    <w:rsid w:val="007263A4"/>
    <w:rsid w:val="0073293D"/>
    <w:rsid w:val="00736234"/>
    <w:rsid w:val="007433EA"/>
    <w:rsid w:val="007508C8"/>
    <w:rsid w:val="00750C4F"/>
    <w:rsid w:val="0075345F"/>
    <w:rsid w:val="00762284"/>
    <w:rsid w:val="00763DC1"/>
    <w:rsid w:val="00763F0D"/>
    <w:rsid w:val="00764BA2"/>
    <w:rsid w:val="00773F8E"/>
    <w:rsid w:val="00782013"/>
    <w:rsid w:val="0078588E"/>
    <w:rsid w:val="00786248"/>
    <w:rsid w:val="007863C6"/>
    <w:rsid w:val="007906B0"/>
    <w:rsid w:val="00791774"/>
    <w:rsid w:val="00792CAE"/>
    <w:rsid w:val="00795E77"/>
    <w:rsid w:val="007A27F2"/>
    <w:rsid w:val="007A2B90"/>
    <w:rsid w:val="007B010E"/>
    <w:rsid w:val="007B16E3"/>
    <w:rsid w:val="007B6B1C"/>
    <w:rsid w:val="007D0292"/>
    <w:rsid w:val="007E38B6"/>
    <w:rsid w:val="007E51DA"/>
    <w:rsid w:val="007E6D40"/>
    <w:rsid w:val="007F13B8"/>
    <w:rsid w:val="007F4886"/>
    <w:rsid w:val="00800755"/>
    <w:rsid w:val="0080584D"/>
    <w:rsid w:val="00812999"/>
    <w:rsid w:val="00816369"/>
    <w:rsid w:val="00816A75"/>
    <w:rsid w:val="008218AE"/>
    <w:rsid w:val="00824890"/>
    <w:rsid w:val="00825985"/>
    <w:rsid w:val="00834280"/>
    <w:rsid w:val="008354B4"/>
    <w:rsid w:val="00847092"/>
    <w:rsid w:val="0085343E"/>
    <w:rsid w:val="00871531"/>
    <w:rsid w:val="0089215C"/>
    <w:rsid w:val="0089330C"/>
    <w:rsid w:val="00895EE7"/>
    <w:rsid w:val="008B273E"/>
    <w:rsid w:val="008B28FD"/>
    <w:rsid w:val="008C4B7F"/>
    <w:rsid w:val="008C69BD"/>
    <w:rsid w:val="008D08E3"/>
    <w:rsid w:val="008D1ED9"/>
    <w:rsid w:val="008D28E1"/>
    <w:rsid w:val="008D5111"/>
    <w:rsid w:val="008E073D"/>
    <w:rsid w:val="008F0623"/>
    <w:rsid w:val="00900322"/>
    <w:rsid w:val="00934CC7"/>
    <w:rsid w:val="009429C4"/>
    <w:rsid w:val="00945706"/>
    <w:rsid w:val="00964E33"/>
    <w:rsid w:val="00967825"/>
    <w:rsid w:val="00972747"/>
    <w:rsid w:val="009773BA"/>
    <w:rsid w:val="00977CC7"/>
    <w:rsid w:val="00980AA0"/>
    <w:rsid w:val="00985B6B"/>
    <w:rsid w:val="00986948"/>
    <w:rsid w:val="00991E30"/>
    <w:rsid w:val="009B127D"/>
    <w:rsid w:val="009B6C65"/>
    <w:rsid w:val="009C03B7"/>
    <w:rsid w:val="009C4E87"/>
    <w:rsid w:val="009C53DD"/>
    <w:rsid w:val="009D360E"/>
    <w:rsid w:val="009E26E3"/>
    <w:rsid w:val="009E4567"/>
    <w:rsid w:val="009E5E8A"/>
    <w:rsid w:val="009F1BF4"/>
    <w:rsid w:val="009F4507"/>
    <w:rsid w:val="00A02340"/>
    <w:rsid w:val="00A04326"/>
    <w:rsid w:val="00A13386"/>
    <w:rsid w:val="00A153B8"/>
    <w:rsid w:val="00A1660B"/>
    <w:rsid w:val="00A25070"/>
    <w:rsid w:val="00A26EEA"/>
    <w:rsid w:val="00A51CA1"/>
    <w:rsid w:val="00A5587A"/>
    <w:rsid w:val="00A56D8B"/>
    <w:rsid w:val="00A730FB"/>
    <w:rsid w:val="00A733A3"/>
    <w:rsid w:val="00A819AD"/>
    <w:rsid w:val="00A82317"/>
    <w:rsid w:val="00AB36B5"/>
    <w:rsid w:val="00AC04BA"/>
    <w:rsid w:val="00AC69BD"/>
    <w:rsid w:val="00AC6AF8"/>
    <w:rsid w:val="00AC6F79"/>
    <w:rsid w:val="00AD384F"/>
    <w:rsid w:val="00AD4F79"/>
    <w:rsid w:val="00B051C8"/>
    <w:rsid w:val="00B06684"/>
    <w:rsid w:val="00B06B7E"/>
    <w:rsid w:val="00B11569"/>
    <w:rsid w:val="00B21406"/>
    <w:rsid w:val="00B23466"/>
    <w:rsid w:val="00B2571D"/>
    <w:rsid w:val="00B27E0B"/>
    <w:rsid w:val="00B32666"/>
    <w:rsid w:val="00B358A7"/>
    <w:rsid w:val="00B37787"/>
    <w:rsid w:val="00B37B5D"/>
    <w:rsid w:val="00B37DBF"/>
    <w:rsid w:val="00B4010B"/>
    <w:rsid w:val="00B4174F"/>
    <w:rsid w:val="00B453B0"/>
    <w:rsid w:val="00B4791F"/>
    <w:rsid w:val="00B47B11"/>
    <w:rsid w:val="00B62C72"/>
    <w:rsid w:val="00B64593"/>
    <w:rsid w:val="00B70EC0"/>
    <w:rsid w:val="00B7676E"/>
    <w:rsid w:val="00B9236C"/>
    <w:rsid w:val="00B96E95"/>
    <w:rsid w:val="00B97EB7"/>
    <w:rsid w:val="00BA326D"/>
    <w:rsid w:val="00BB1099"/>
    <w:rsid w:val="00BB48B4"/>
    <w:rsid w:val="00BB64BB"/>
    <w:rsid w:val="00BC09DF"/>
    <w:rsid w:val="00BC5619"/>
    <w:rsid w:val="00BD02BB"/>
    <w:rsid w:val="00BD3D8D"/>
    <w:rsid w:val="00BE4377"/>
    <w:rsid w:val="00BE7253"/>
    <w:rsid w:val="00BF192B"/>
    <w:rsid w:val="00BF2FDB"/>
    <w:rsid w:val="00BF5DDE"/>
    <w:rsid w:val="00C00AAA"/>
    <w:rsid w:val="00C04774"/>
    <w:rsid w:val="00C05525"/>
    <w:rsid w:val="00C07CEE"/>
    <w:rsid w:val="00C23E35"/>
    <w:rsid w:val="00C33444"/>
    <w:rsid w:val="00C3363C"/>
    <w:rsid w:val="00C4102C"/>
    <w:rsid w:val="00C50785"/>
    <w:rsid w:val="00C5158A"/>
    <w:rsid w:val="00C51C71"/>
    <w:rsid w:val="00C54022"/>
    <w:rsid w:val="00C54BB0"/>
    <w:rsid w:val="00C632BE"/>
    <w:rsid w:val="00C834D2"/>
    <w:rsid w:val="00C9162C"/>
    <w:rsid w:val="00C92447"/>
    <w:rsid w:val="00C97F64"/>
    <w:rsid w:val="00CA25B7"/>
    <w:rsid w:val="00CA4FCF"/>
    <w:rsid w:val="00CA60BD"/>
    <w:rsid w:val="00CC6036"/>
    <w:rsid w:val="00CD3672"/>
    <w:rsid w:val="00CE2DCD"/>
    <w:rsid w:val="00CE3D66"/>
    <w:rsid w:val="00CE3F79"/>
    <w:rsid w:val="00CE7B14"/>
    <w:rsid w:val="00D027F7"/>
    <w:rsid w:val="00D14574"/>
    <w:rsid w:val="00D22A67"/>
    <w:rsid w:val="00D23473"/>
    <w:rsid w:val="00D30F5F"/>
    <w:rsid w:val="00D318CA"/>
    <w:rsid w:val="00D35D09"/>
    <w:rsid w:val="00D4042D"/>
    <w:rsid w:val="00D43605"/>
    <w:rsid w:val="00D444CF"/>
    <w:rsid w:val="00D45DB2"/>
    <w:rsid w:val="00D460AF"/>
    <w:rsid w:val="00D46686"/>
    <w:rsid w:val="00D54BE9"/>
    <w:rsid w:val="00D54E04"/>
    <w:rsid w:val="00D63AFD"/>
    <w:rsid w:val="00D64370"/>
    <w:rsid w:val="00D66238"/>
    <w:rsid w:val="00D67480"/>
    <w:rsid w:val="00D70583"/>
    <w:rsid w:val="00D72252"/>
    <w:rsid w:val="00D73D47"/>
    <w:rsid w:val="00D75AA1"/>
    <w:rsid w:val="00D87B96"/>
    <w:rsid w:val="00D93468"/>
    <w:rsid w:val="00D94015"/>
    <w:rsid w:val="00D9713C"/>
    <w:rsid w:val="00DA5F25"/>
    <w:rsid w:val="00DB3DC3"/>
    <w:rsid w:val="00DB4694"/>
    <w:rsid w:val="00DB5F03"/>
    <w:rsid w:val="00DC0E2D"/>
    <w:rsid w:val="00DD1B3C"/>
    <w:rsid w:val="00DD1BC3"/>
    <w:rsid w:val="00DE3C47"/>
    <w:rsid w:val="00DE3F14"/>
    <w:rsid w:val="00DF1229"/>
    <w:rsid w:val="00DF1985"/>
    <w:rsid w:val="00DF4F58"/>
    <w:rsid w:val="00E142EE"/>
    <w:rsid w:val="00E2293B"/>
    <w:rsid w:val="00E31341"/>
    <w:rsid w:val="00E45100"/>
    <w:rsid w:val="00E47AAA"/>
    <w:rsid w:val="00E47E90"/>
    <w:rsid w:val="00E54A6C"/>
    <w:rsid w:val="00E568BD"/>
    <w:rsid w:val="00E71E55"/>
    <w:rsid w:val="00E72E91"/>
    <w:rsid w:val="00E84338"/>
    <w:rsid w:val="00E84ACD"/>
    <w:rsid w:val="00EB2F82"/>
    <w:rsid w:val="00EC10B8"/>
    <w:rsid w:val="00EC1184"/>
    <w:rsid w:val="00EE4350"/>
    <w:rsid w:val="00EF6E0E"/>
    <w:rsid w:val="00F00349"/>
    <w:rsid w:val="00F009D2"/>
    <w:rsid w:val="00F0118F"/>
    <w:rsid w:val="00F13BF2"/>
    <w:rsid w:val="00F25F45"/>
    <w:rsid w:val="00F3480A"/>
    <w:rsid w:val="00F42F84"/>
    <w:rsid w:val="00F43009"/>
    <w:rsid w:val="00F4469A"/>
    <w:rsid w:val="00F5718C"/>
    <w:rsid w:val="00F70AF7"/>
    <w:rsid w:val="00F71FCA"/>
    <w:rsid w:val="00F85976"/>
    <w:rsid w:val="00F9012F"/>
    <w:rsid w:val="00F910E4"/>
    <w:rsid w:val="00F93C49"/>
    <w:rsid w:val="00F9495A"/>
    <w:rsid w:val="00F94F88"/>
    <w:rsid w:val="00FA0492"/>
    <w:rsid w:val="00FA7B0F"/>
    <w:rsid w:val="00FB08B2"/>
    <w:rsid w:val="00FB289F"/>
    <w:rsid w:val="00FB5AD6"/>
    <w:rsid w:val="00FC0709"/>
    <w:rsid w:val="00FC7C64"/>
    <w:rsid w:val="00FD5390"/>
    <w:rsid w:val="00FE405F"/>
    <w:rsid w:val="00FE4071"/>
    <w:rsid w:val="00FF23F2"/>
    <w:rsid w:val="00FF6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EFCC7"/>
  <w15:chartTrackingRefBased/>
  <w15:docId w15:val="{3BD3958D-5441-4FE2-ADDF-395FAD4DB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93C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93C49"/>
    <w:rPr>
      <w:rFonts w:asciiTheme="majorHAnsi" w:eastAsiaTheme="majorEastAsia" w:hAnsiTheme="majorHAnsi" w:cstheme="majorBidi"/>
      <w:color w:val="2F5496" w:themeColor="accent1" w:themeShade="BF"/>
      <w:sz w:val="26"/>
      <w:szCs w:val="26"/>
    </w:rPr>
  </w:style>
  <w:style w:type="character" w:customStyle="1" w:styleId="ssit">
    <w:name w:val="ss_it"/>
    <w:basedOn w:val="DefaultParagraphFont"/>
    <w:rsid w:val="00EB2F82"/>
  </w:style>
  <w:style w:type="character" w:styleId="Hyperlink">
    <w:name w:val="Hyperlink"/>
    <w:basedOn w:val="DefaultParagraphFont"/>
    <w:uiPriority w:val="99"/>
    <w:semiHidden/>
    <w:unhideWhenUsed/>
    <w:rsid w:val="00EB2F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32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lus-lexis-com.ezproxy.uwtsd.ac.uk/uk/document/documentlink/?pdmfid=1001073&amp;crid=740ec150-026d-4bb7-b799-f5bfc49fe458&amp;pddocfullpath=%2Fshared%2Fdocument%2Fcases-uk%2Furn%3AcontentItem%3A7TVD-YJT0-Y96Y-F45K-00000-00&amp;pdcontentcomponentid=274664&amp;pdproductcontenttypeid=urn%3Apct%3A285&amp;pdiskwicview=false&amp;pdpinpoint=&amp;prid=0647fe7b-f3a3-4bb6-9b12-44832ab74c92&amp;ecomp=gg4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3498</TotalTime>
  <Pages>5</Pages>
  <Words>2170</Words>
  <Characters>12369</Characters>
  <Application>Microsoft Office Word</Application>
  <DocSecurity>0</DocSecurity>
  <Lines>103</Lines>
  <Paragraphs>29</Paragraphs>
  <ScaleCrop>false</ScaleCrop>
  <Company>HP</Company>
  <LinksUpToDate>false</LinksUpToDate>
  <CharactersWithSpaces>14510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Dragostinova</dc:creator>
  <cp:keywords/>
  <dc:description/>
  <cp:lastModifiedBy>Ralitsa Dragostinova</cp:lastModifiedBy>
  <cp:revision>461</cp:revision>
  <dcterms:created xsi:type="dcterms:W3CDTF">2023-08-09T06:10:00Z</dcterms:created>
  <dcterms:modified xsi:type="dcterms:W3CDTF">2023-08-13T15:44:00Z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9d4a804969b78b724056e13a3069066b5e640bafbdd228768a335a4072acc53c</vt:lpwstr>
  </property>
</Properties>
</file>