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4FAAC" w14:textId="645592CF" w:rsidR="00D80129" w:rsidRDefault="00016AF8">
      <w:r w:rsidRPr="00016AF8">
        <w:t>BA International Hotel Management</w:t>
      </w:r>
    </w:p>
    <w:p w14:paraId="2FE8EAA9" w14:textId="3AC1FDF5" w:rsidR="00016AF8" w:rsidRDefault="00016AF8">
      <w:r w:rsidRPr="00016AF8">
        <w:t>Financial Management for the Hotel Industry</w:t>
      </w:r>
    </w:p>
    <w:p w14:paraId="444D8CCE" w14:textId="60DB078B" w:rsidR="00016AF8" w:rsidRDefault="00016AF8">
      <w:r w:rsidRPr="00016AF8">
        <w:t>Module code:</w:t>
      </w:r>
      <w:r>
        <w:t xml:space="preserve"> </w:t>
      </w:r>
      <w:r w:rsidRPr="00016AF8">
        <w:t>BMIH5007</w:t>
      </w:r>
    </w:p>
    <w:p w14:paraId="30533876" w14:textId="279C2D19" w:rsidR="00677F07" w:rsidRDefault="00677F07">
      <w:r>
        <w:t>Lecturer : Tristan Hawkins</w:t>
      </w:r>
    </w:p>
    <w:p w14:paraId="58DB2EFB" w14:textId="77777777" w:rsidR="00016AF8" w:rsidRDefault="00016AF8"/>
    <w:p w14:paraId="65390163" w14:textId="47F7F6A3" w:rsidR="00016AF8" w:rsidRDefault="00016AF8" w:rsidP="00016AF8">
      <w:pPr>
        <w:jc w:val="center"/>
        <w:rPr>
          <w:sz w:val="44"/>
          <w:szCs w:val="44"/>
        </w:rPr>
      </w:pPr>
      <w:r w:rsidRPr="00016AF8">
        <w:rPr>
          <w:sz w:val="44"/>
          <w:szCs w:val="44"/>
        </w:rPr>
        <w:t>Report Case Study: The Seacrest Lodge</w:t>
      </w:r>
    </w:p>
    <w:p w14:paraId="746FEC2E" w14:textId="77777777" w:rsidR="00016AF8" w:rsidRDefault="00016AF8" w:rsidP="00016AF8">
      <w:pPr>
        <w:jc w:val="left"/>
        <w:rPr>
          <w:sz w:val="44"/>
          <w:szCs w:val="44"/>
        </w:rPr>
      </w:pPr>
    </w:p>
    <w:p w14:paraId="06B43EE1" w14:textId="77777777" w:rsidR="00016AF8" w:rsidRDefault="00016AF8" w:rsidP="00016AF8">
      <w:pPr>
        <w:jc w:val="left"/>
        <w:rPr>
          <w:sz w:val="44"/>
          <w:szCs w:val="44"/>
        </w:rPr>
      </w:pPr>
    </w:p>
    <w:p w14:paraId="3715EB17" w14:textId="77777777" w:rsidR="00016AF8" w:rsidRDefault="00016AF8" w:rsidP="00016AF8">
      <w:pPr>
        <w:jc w:val="left"/>
      </w:pPr>
    </w:p>
    <w:p w14:paraId="1F109966" w14:textId="65DF6F7E" w:rsidR="00016AF8" w:rsidRDefault="00016AF8" w:rsidP="00016AF8">
      <w:pPr>
        <w:jc w:val="left"/>
      </w:pPr>
      <w:r>
        <w:t xml:space="preserve">Student Name: </w:t>
      </w:r>
      <w:r w:rsidRPr="00016AF8">
        <w:t>Roxana Maria Burlacu</w:t>
      </w:r>
    </w:p>
    <w:p w14:paraId="6E24AAD3" w14:textId="34A0E1CF" w:rsidR="00016AF8" w:rsidRDefault="00016AF8" w:rsidP="00016AF8">
      <w:pPr>
        <w:jc w:val="left"/>
      </w:pPr>
      <w:r>
        <w:t xml:space="preserve">Student ID: </w:t>
      </w:r>
      <w:r w:rsidRPr="00016AF8">
        <w:t>2014302</w:t>
      </w:r>
    </w:p>
    <w:p w14:paraId="72C87159" w14:textId="77777777" w:rsidR="00016AF8" w:rsidRDefault="00016AF8" w:rsidP="00016AF8">
      <w:pPr>
        <w:jc w:val="left"/>
      </w:pPr>
    </w:p>
    <w:p w14:paraId="44308884" w14:textId="2201F7F1" w:rsidR="00016AF8" w:rsidRDefault="00016AF8" w:rsidP="00016AF8">
      <w:pPr>
        <w:jc w:val="left"/>
      </w:pPr>
      <w:r>
        <w:t xml:space="preserve">Word count: </w:t>
      </w:r>
      <w:r w:rsidR="00AB102B">
        <w:t>1,</w:t>
      </w:r>
      <w:r w:rsidR="00120E3E">
        <w:t>871</w:t>
      </w:r>
    </w:p>
    <w:p w14:paraId="7470CB49" w14:textId="77777777" w:rsidR="00016AF8" w:rsidRDefault="00016AF8" w:rsidP="00016AF8">
      <w:pPr>
        <w:jc w:val="left"/>
      </w:pPr>
    </w:p>
    <w:p w14:paraId="2A3B2526" w14:textId="77777777" w:rsidR="002D5B80" w:rsidRDefault="002D5B80" w:rsidP="00016AF8">
      <w:pPr>
        <w:jc w:val="left"/>
      </w:pPr>
    </w:p>
    <w:p w14:paraId="1F47F77C" w14:textId="77777777" w:rsidR="002D5B80" w:rsidRDefault="002D5B80" w:rsidP="00016AF8">
      <w:pPr>
        <w:jc w:val="left"/>
      </w:pPr>
    </w:p>
    <w:p w14:paraId="191A6307" w14:textId="77777777" w:rsidR="002D5B80" w:rsidRDefault="002D5B80" w:rsidP="00016AF8">
      <w:pPr>
        <w:jc w:val="left"/>
      </w:pPr>
    </w:p>
    <w:p w14:paraId="0A7748AB" w14:textId="77777777" w:rsidR="002D5B80" w:rsidRDefault="002D5B80" w:rsidP="00016AF8">
      <w:pPr>
        <w:jc w:val="left"/>
      </w:pPr>
    </w:p>
    <w:p w14:paraId="29877EDE" w14:textId="77777777" w:rsidR="002D5B80" w:rsidRDefault="002D5B80" w:rsidP="00016AF8">
      <w:pPr>
        <w:jc w:val="left"/>
      </w:pPr>
    </w:p>
    <w:p w14:paraId="742A75B7" w14:textId="77777777" w:rsidR="002D5B80" w:rsidRDefault="002D5B80" w:rsidP="00016AF8">
      <w:pPr>
        <w:jc w:val="left"/>
      </w:pPr>
    </w:p>
    <w:p w14:paraId="4FE8D7AA" w14:textId="77777777" w:rsidR="002D5B80" w:rsidRDefault="002D5B80" w:rsidP="00016AF8">
      <w:pPr>
        <w:jc w:val="left"/>
      </w:pPr>
    </w:p>
    <w:p w14:paraId="37FBBD97" w14:textId="77777777" w:rsidR="002D5B80" w:rsidRDefault="002D5B80" w:rsidP="00016AF8">
      <w:pPr>
        <w:jc w:val="left"/>
      </w:pPr>
    </w:p>
    <w:p w14:paraId="097D41B3" w14:textId="77777777" w:rsidR="002D5B80" w:rsidRDefault="002D5B80" w:rsidP="00016AF8">
      <w:pPr>
        <w:jc w:val="left"/>
      </w:pPr>
    </w:p>
    <w:p w14:paraId="40C08887" w14:textId="77777777" w:rsidR="002D5B80" w:rsidRDefault="002D5B80" w:rsidP="00016AF8">
      <w:pPr>
        <w:jc w:val="left"/>
      </w:pPr>
    </w:p>
    <w:p w14:paraId="536D13E2" w14:textId="77777777" w:rsidR="002D5B80" w:rsidRDefault="002D5B80" w:rsidP="00016AF8">
      <w:pPr>
        <w:jc w:val="left"/>
      </w:pPr>
    </w:p>
    <w:p w14:paraId="217F5863" w14:textId="77777777" w:rsidR="002D5B80" w:rsidRDefault="002D5B80" w:rsidP="00016AF8">
      <w:pPr>
        <w:jc w:val="left"/>
      </w:pPr>
    </w:p>
    <w:p w14:paraId="03997B87" w14:textId="77777777" w:rsidR="002D5B80" w:rsidRDefault="002D5B80" w:rsidP="00016AF8">
      <w:pPr>
        <w:jc w:val="left"/>
      </w:pPr>
    </w:p>
    <w:p w14:paraId="42AA5E41" w14:textId="77777777" w:rsidR="002D5B80" w:rsidRDefault="002D5B80" w:rsidP="00016AF8">
      <w:pPr>
        <w:jc w:val="left"/>
      </w:pPr>
    </w:p>
    <w:p w14:paraId="0E513808" w14:textId="77777777" w:rsidR="002D5B80" w:rsidRDefault="002D5B80" w:rsidP="00016AF8">
      <w:pPr>
        <w:jc w:val="left"/>
      </w:pPr>
    </w:p>
    <w:p w14:paraId="7B7D265D" w14:textId="77777777" w:rsidR="002D5B80" w:rsidRDefault="002D5B80" w:rsidP="00016AF8">
      <w:pPr>
        <w:jc w:val="left"/>
      </w:pPr>
    </w:p>
    <w:p w14:paraId="292234EF" w14:textId="77777777" w:rsidR="002D5B80" w:rsidRDefault="002D5B80" w:rsidP="00016AF8">
      <w:pPr>
        <w:jc w:val="left"/>
      </w:pPr>
    </w:p>
    <w:p w14:paraId="0D408214" w14:textId="20EB7139" w:rsidR="002D5B80" w:rsidRDefault="00AF1EB9" w:rsidP="00AF1EB9">
      <w:pPr>
        <w:pStyle w:val="Heading1"/>
      </w:pPr>
      <w:bookmarkStart w:id="0" w:name="_Toc159940493"/>
      <w:r>
        <w:t>Executive summary</w:t>
      </w:r>
      <w:bookmarkEnd w:id="0"/>
    </w:p>
    <w:p w14:paraId="10EAB23A" w14:textId="77777777" w:rsidR="00AF1EB9" w:rsidRDefault="00AF1EB9" w:rsidP="00016AF8">
      <w:pPr>
        <w:jc w:val="left"/>
      </w:pPr>
    </w:p>
    <w:p w14:paraId="5FEE65D5" w14:textId="77777777" w:rsidR="00AF1EB9" w:rsidRPr="00031BD6" w:rsidRDefault="00AF1EB9" w:rsidP="00AF1EB9">
      <w:r w:rsidRPr="00031BD6">
        <w:t>The aim of the case study is to support the decision-making of the owner of The Seacrest Lodge to find a turnaround strategy for improving revenues, occupancy rates, and customer satisfaction, which have been declining in recent years. The Seacrest Lodge with restaurant, bar, and event facilities is situated on a picturesque coastline, and it was once a thriving destination for tourists who needed relaxation and luxury. The market conditions have changed and are currently highly competitive, considering that several newer, more modern resorts have emerged in the vicinity of the Seacrest Lodge, while the company’s service quality has decreased and their amenities have become outdated for changing customer preferences.</w:t>
      </w:r>
    </w:p>
    <w:p w14:paraId="57C59071" w14:textId="77777777" w:rsidR="00AF1EB9" w:rsidRDefault="00AF1EB9" w:rsidP="00AF1EB9">
      <w:r w:rsidRPr="00031BD6">
        <w:t>The objectives of the case study include an assessment of Seacrest Lodge's financial performance over the past three years, finding the key motives behind the decrease in profitability, considering current macro-environmental events that impacted the economy, and proposing a comprehensive turnaround strategy to improve the company’s profitability and brand reputation. The financial performance is assessed based on the provided income statements, balance sheets, and additional financial information such as the average room rate (ARR) and occupancy rate.</w:t>
      </w:r>
    </w:p>
    <w:p w14:paraId="6E00CD90" w14:textId="77777777" w:rsidR="00AF1EB9" w:rsidRPr="00F7222D" w:rsidRDefault="00AF1EB9" w:rsidP="00AF1EB9">
      <w:r>
        <w:t>The company must address market risks by enhancing the customer experience through increased quality of services and digital transformation of the business, meaning that they need to embed digitalization into operations and strategy. The quality of services includes the quality of amenities, food and drink services, and the services offered to customers by the employees. The increase in the quality of hospitality services will address at the same time market risks, operational risks, and financial risks, but it involves significant capital investment.</w:t>
      </w:r>
    </w:p>
    <w:p w14:paraId="63E1F1A9" w14:textId="77777777" w:rsidR="00AF1EB9" w:rsidRDefault="00AF1EB9" w:rsidP="00AF1EB9"/>
    <w:p w14:paraId="7D93BE51" w14:textId="77777777" w:rsidR="00AF1EB9" w:rsidRDefault="00AF1EB9" w:rsidP="00016AF8">
      <w:pPr>
        <w:jc w:val="left"/>
      </w:pPr>
    </w:p>
    <w:p w14:paraId="1C3A9D30" w14:textId="77777777" w:rsidR="00AF1EB9" w:rsidRDefault="00AF1EB9" w:rsidP="00016AF8">
      <w:pPr>
        <w:jc w:val="left"/>
      </w:pPr>
    </w:p>
    <w:p w14:paraId="78D3D44E" w14:textId="77777777" w:rsidR="00AF1EB9" w:rsidRDefault="00AF1EB9" w:rsidP="00016AF8">
      <w:pPr>
        <w:jc w:val="left"/>
      </w:pPr>
    </w:p>
    <w:p w14:paraId="0A488CE2" w14:textId="77777777" w:rsidR="00AF1EB9" w:rsidRDefault="00AF1EB9" w:rsidP="00016AF8">
      <w:pPr>
        <w:jc w:val="left"/>
      </w:pPr>
    </w:p>
    <w:p w14:paraId="798CA7F4" w14:textId="77777777" w:rsidR="00AF1EB9" w:rsidRDefault="00AF1EB9" w:rsidP="00016AF8">
      <w:pPr>
        <w:jc w:val="left"/>
      </w:pPr>
    </w:p>
    <w:p w14:paraId="3696673C" w14:textId="77777777" w:rsidR="00AF1EB9" w:rsidRDefault="00AF1EB9" w:rsidP="00016AF8">
      <w:pPr>
        <w:jc w:val="left"/>
      </w:pPr>
    </w:p>
    <w:p w14:paraId="6E262423" w14:textId="77777777" w:rsidR="00AF1EB9" w:rsidRDefault="00AF1EB9" w:rsidP="00016AF8">
      <w:pPr>
        <w:jc w:val="left"/>
      </w:pPr>
    </w:p>
    <w:p w14:paraId="22B69F4C" w14:textId="77777777" w:rsidR="00AF1EB9" w:rsidRDefault="00AF1EB9" w:rsidP="00016AF8">
      <w:pPr>
        <w:jc w:val="left"/>
      </w:pPr>
    </w:p>
    <w:p w14:paraId="3BE670D4" w14:textId="77777777" w:rsidR="00AF1EB9" w:rsidRDefault="00AF1EB9" w:rsidP="00016AF8">
      <w:pPr>
        <w:jc w:val="left"/>
      </w:pPr>
    </w:p>
    <w:sdt>
      <w:sdtPr>
        <w:rPr>
          <w:rFonts w:eastAsiaTheme="minorHAnsi" w:cstheme="minorBidi"/>
          <w:color w:val="auto"/>
          <w:sz w:val="24"/>
          <w:szCs w:val="24"/>
        </w:rPr>
        <w:id w:val="-1045283778"/>
        <w:docPartObj>
          <w:docPartGallery w:val="Table of Contents"/>
          <w:docPartUnique/>
        </w:docPartObj>
      </w:sdtPr>
      <w:sdtEndPr>
        <w:rPr>
          <w:b/>
          <w:bCs/>
          <w:noProof/>
        </w:rPr>
      </w:sdtEndPr>
      <w:sdtContent>
        <w:p w14:paraId="64CA2B75" w14:textId="4DB2D673" w:rsidR="002D5B80" w:rsidRDefault="002D5B80">
          <w:pPr>
            <w:pStyle w:val="TOCHeading"/>
          </w:pPr>
          <w:r>
            <w:t>Table of Contents</w:t>
          </w:r>
        </w:p>
        <w:p w14:paraId="2BD88879" w14:textId="34072428" w:rsidR="00AF1EB9" w:rsidRDefault="002D5B80">
          <w:pPr>
            <w:pStyle w:val="TOC1"/>
            <w:tabs>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159940493" w:history="1">
            <w:r w:rsidR="00AF1EB9" w:rsidRPr="00C909F5">
              <w:rPr>
                <w:rStyle w:val="Hyperlink"/>
                <w:noProof/>
              </w:rPr>
              <w:t>Executive summary</w:t>
            </w:r>
            <w:r w:rsidR="00AF1EB9">
              <w:rPr>
                <w:noProof/>
                <w:webHidden/>
              </w:rPr>
              <w:tab/>
            </w:r>
            <w:r w:rsidR="00AF1EB9">
              <w:rPr>
                <w:noProof/>
                <w:webHidden/>
              </w:rPr>
              <w:fldChar w:fldCharType="begin"/>
            </w:r>
            <w:r w:rsidR="00AF1EB9">
              <w:rPr>
                <w:noProof/>
                <w:webHidden/>
              </w:rPr>
              <w:instrText xml:space="preserve"> PAGEREF _Toc159940493 \h </w:instrText>
            </w:r>
            <w:r w:rsidR="00AF1EB9">
              <w:rPr>
                <w:noProof/>
                <w:webHidden/>
              </w:rPr>
            </w:r>
            <w:r w:rsidR="00AF1EB9">
              <w:rPr>
                <w:noProof/>
                <w:webHidden/>
              </w:rPr>
              <w:fldChar w:fldCharType="separate"/>
            </w:r>
            <w:r w:rsidR="00AF1EB9">
              <w:rPr>
                <w:noProof/>
                <w:webHidden/>
              </w:rPr>
              <w:t>2</w:t>
            </w:r>
            <w:r w:rsidR="00AF1EB9">
              <w:rPr>
                <w:noProof/>
                <w:webHidden/>
              </w:rPr>
              <w:fldChar w:fldCharType="end"/>
            </w:r>
          </w:hyperlink>
        </w:p>
        <w:p w14:paraId="2CF851AA" w14:textId="172F6905" w:rsidR="00AF1EB9" w:rsidRDefault="00000000">
          <w:pPr>
            <w:pStyle w:val="TOC1"/>
            <w:tabs>
              <w:tab w:val="right" w:leader="dot" w:pos="9016"/>
            </w:tabs>
            <w:rPr>
              <w:rFonts w:asciiTheme="minorHAnsi" w:eastAsiaTheme="minorEastAsia" w:hAnsiTheme="minorHAnsi"/>
              <w:noProof/>
              <w:sz w:val="22"/>
              <w:szCs w:val="22"/>
              <w:lang w:eastAsia="en-GB"/>
            </w:rPr>
          </w:pPr>
          <w:hyperlink w:anchor="_Toc159940494" w:history="1">
            <w:r w:rsidR="00AF1EB9" w:rsidRPr="00C909F5">
              <w:rPr>
                <w:rStyle w:val="Hyperlink"/>
                <w:noProof/>
              </w:rPr>
              <w:t>Introduction</w:t>
            </w:r>
            <w:r w:rsidR="00AF1EB9">
              <w:rPr>
                <w:noProof/>
                <w:webHidden/>
              </w:rPr>
              <w:tab/>
            </w:r>
            <w:r w:rsidR="00AF1EB9">
              <w:rPr>
                <w:noProof/>
                <w:webHidden/>
              </w:rPr>
              <w:fldChar w:fldCharType="begin"/>
            </w:r>
            <w:r w:rsidR="00AF1EB9">
              <w:rPr>
                <w:noProof/>
                <w:webHidden/>
              </w:rPr>
              <w:instrText xml:space="preserve"> PAGEREF _Toc159940494 \h </w:instrText>
            </w:r>
            <w:r w:rsidR="00AF1EB9">
              <w:rPr>
                <w:noProof/>
                <w:webHidden/>
              </w:rPr>
            </w:r>
            <w:r w:rsidR="00AF1EB9">
              <w:rPr>
                <w:noProof/>
                <w:webHidden/>
              </w:rPr>
              <w:fldChar w:fldCharType="separate"/>
            </w:r>
            <w:r w:rsidR="00AF1EB9">
              <w:rPr>
                <w:noProof/>
                <w:webHidden/>
              </w:rPr>
              <w:t>3</w:t>
            </w:r>
            <w:r w:rsidR="00AF1EB9">
              <w:rPr>
                <w:noProof/>
                <w:webHidden/>
              </w:rPr>
              <w:fldChar w:fldCharType="end"/>
            </w:r>
          </w:hyperlink>
        </w:p>
        <w:p w14:paraId="4D61BA14" w14:textId="0203251A" w:rsidR="00AF1EB9" w:rsidRDefault="00000000">
          <w:pPr>
            <w:pStyle w:val="TOC1"/>
            <w:tabs>
              <w:tab w:val="right" w:leader="dot" w:pos="9016"/>
            </w:tabs>
            <w:rPr>
              <w:rFonts w:asciiTheme="minorHAnsi" w:eastAsiaTheme="minorEastAsia" w:hAnsiTheme="minorHAnsi"/>
              <w:noProof/>
              <w:sz w:val="22"/>
              <w:szCs w:val="22"/>
              <w:lang w:eastAsia="en-GB"/>
            </w:rPr>
          </w:pPr>
          <w:hyperlink w:anchor="_Toc159940495" w:history="1">
            <w:r w:rsidR="00AF1EB9" w:rsidRPr="00C909F5">
              <w:rPr>
                <w:rStyle w:val="Hyperlink"/>
                <w:noProof/>
              </w:rPr>
              <w:t>Financial performance analysis</w:t>
            </w:r>
            <w:r w:rsidR="00AF1EB9">
              <w:rPr>
                <w:noProof/>
                <w:webHidden/>
              </w:rPr>
              <w:tab/>
            </w:r>
            <w:r w:rsidR="00AF1EB9">
              <w:rPr>
                <w:noProof/>
                <w:webHidden/>
              </w:rPr>
              <w:fldChar w:fldCharType="begin"/>
            </w:r>
            <w:r w:rsidR="00AF1EB9">
              <w:rPr>
                <w:noProof/>
                <w:webHidden/>
              </w:rPr>
              <w:instrText xml:space="preserve"> PAGEREF _Toc159940495 \h </w:instrText>
            </w:r>
            <w:r w:rsidR="00AF1EB9">
              <w:rPr>
                <w:noProof/>
                <w:webHidden/>
              </w:rPr>
            </w:r>
            <w:r w:rsidR="00AF1EB9">
              <w:rPr>
                <w:noProof/>
                <w:webHidden/>
              </w:rPr>
              <w:fldChar w:fldCharType="separate"/>
            </w:r>
            <w:r w:rsidR="00AF1EB9">
              <w:rPr>
                <w:noProof/>
                <w:webHidden/>
              </w:rPr>
              <w:t>4</w:t>
            </w:r>
            <w:r w:rsidR="00AF1EB9">
              <w:rPr>
                <w:noProof/>
                <w:webHidden/>
              </w:rPr>
              <w:fldChar w:fldCharType="end"/>
            </w:r>
          </w:hyperlink>
        </w:p>
        <w:p w14:paraId="392C6A82" w14:textId="7103108D" w:rsidR="00AF1EB9" w:rsidRDefault="00000000">
          <w:pPr>
            <w:pStyle w:val="TOC1"/>
            <w:tabs>
              <w:tab w:val="right" w:leader="dot" w:pos="9016"/>
            </w:tabs>
            <w:rPr>
              <w:rFonts w:asciiTheme="minorHAnsi" w:eastAsiaTheme="minorEastAsia" w:hAnsiTheme="minorHAnsi"/>
              <w:noProof/>
              <w:sz w:val="22"/>
              <w:szCs w:val="22"/>
              <w:lang w:eastAsia="en-GB"/>
            </w:rPr>
          </w:pPr>
          <w:hyperlink w:anchor="_Toc159940496" w:history="1">
            <w:r w:rsidR="00AF1EB9" w:rsidRPr="00C909F5">
              <w:rPr>
                <w:rStyle w:val="Hyperlink"/>
                <w:noProof/>
              </w:rPr>
              <w:t>Key reasons behind the decline in profitability</w:t>
            </w:r>
            <w:r w:rsidR="00AF1EB9">
              <w:rPr>
                <w:noProof/>
                <w:webHidden/>
              </w:rPr>
              <w:tab/>
            </w:r>
            <w:r w:rsidR="00AF1EB9">
              <w:rPr>
                <w:noProof/>
                <w:webHidden/>
              </w:rPr>
              <w:fldChar w:fldCharType="begin"/>
            </w:r>
            <w:r w:rsidR="00AF1EB9">
              <w:rPr>
                <w:noProof/>
                <w:webHidden/>
              </w:rPr>
              <w:instrText xml:space="preserve"> PAGEREF _Toc159940496 \h </w:instrText>
            </w:r>
            <w:r w:rsidR="00AF1EB9">
              <w:rPr>
                <w:noProof/>
                <w:webHidden/>
              </w:rPr>
            </w:r>
            <w:r w:rsidR="00AF1EB9">
              <w:rPr>
                <w:noProof/>
                <w:webHidden/>
              </w:rPr>
              <w:fldChar w:fldCharType="separate"/>
            </w:r>
            <w:r w:rsidR="00AF1EB9">
              <w:rPr>
                <w:noProof/>
                <w:webHidden/>
              </w:rPr>
              <w:t>6</w:t>
            </w:r>
            <w:r w:rsidR="00AF1EB9">
              <w:rPr>
                <w:noProof/>
                <w:webHidden/>
              </w:rPr>
              <w:fldChar w:fldCharType="end"/>
            </w:r>
          </w:hyperlink>
        </w:p>
        <w:p w14:paraId="77FEBD83" w14:textId="497B8260" w:rsidR="00AF1EB9" w:rsidRDefault="00000000">
          <w:pPr>
            <w:pStyle w:val="TOC1"/>
            <w:tabs>
              <w:tab w:val="right" w:leader="dot" w:pos="9016"/>
            </w:tabs>
            <w:rPr>
              <w:rFonts w:asciiTheme="minorHAnsi" w:eastAsiaTheme="minorEastAsia" w:hAnsiTheme="minorHAnsi"/>
              <w:noProof/>
              <w:sz w:val="22"/>
              <w:szCs w:val="22"/>
              <w:lang w:eastAsia="en-GB"/>
            </w:rPr>
          </w:pPr>
          <w:hyperlink w:anchor="_Toc159940497" w:history="1">
            <w:r w:rsidR="00AF1EB9" w:rsidRPr="00C909F5">
              <w:rPr>
                <w:rStyle w:val="Hyperlink"/>
                <w:noProof/>
              </w:rPr>
              <w:t>Turnaround strategy proposal</w:t>
            </w:r>
            <w:r w:rsidR="00AF1EB9">
              <w:rPr>
                <w:noProof/>
                <w:webHidden/>
              </w:rPr>
              <w:tab/>
            </w:r>
            <w:r w:rsidR="00AF1EB9">
              <w:rPr>
                <w:noProof/>
                <w:webHidden/>
              </w:rPr>
              <w:fldChar w:fldCharType="begin"/>
            </w:r>
            <w:r w:rsidR="00AF1EB9">
              <w:rPr>
                <w:noProof/>
                <w:webHidden/>
              </w:rPr>
              <w:instrText xml:space="preserve"> PAGEREF _Toc159940497 \h </w:instrText>
            </w:r>
            <w:r w:rsidR="00AF1EB9">
              <w:rPr>
                <w:noProof/>
                <w:webHidden/>
              </w:rPr>
            </w:r>
            <w:r w:rsidR="00AF1EB9">
              <w:rPr>
                <w:noProof/>
                <w:webHidden/>
              </w:rPr>
              <w:fldChar w:fldCharType="separate"/>
            </w:r>
            <w:r w:rsidR="00AF1EB9">
              <w:rPr>
                <w:noProof/>
                <w:webHidden/>
              </w:rPr>
              <w:t>8</w:t>
            </w:r>
            <w:r w:rsidR="00AF1EB9">
              <w:rPr>
                <w:noProof/>
                <w:webHidden/>
              </w:rPr>
              <w:fldChar w:fldCharType="end"/>
            </w:r>
          </w:hyperlink>
        </w:p>
        <w:p w14:paraId="02B944F4" w14:textId="400E3AA0" w:rsidR="00AF1EB9" w:rsidRDefault="00000000">
          <w:pPr>
            <w:pStyle w:val="TOC1"/>
            <w:tabs>
              <w:tab w:val="right" w:leader="dot" w:pos="9016"/>
            </w:tabs>
            <w:rPr>
              <w:rFonts w:asciiTheme="minorHAnsi" w:eastAsiaTheme="minorEastAsia" w:hAnsiTheme="minorHAnsi"/>
              <w:noProof/>
              <w:sz w:val="22"/>
              <w:szCs w:val="22"/>
              <w:lang w:eastAsia="en-GB"/>
            </w:rPr>
          </w:pPr>
          <w:hyperlink w:anchor="_Toc159940498" w:history="1">
            <w:r w:rsidR="00AF1EB9" w:rsidRPr="00C909F5">
              <w:rPr>
                <w:rStyle w:val="Hyperlink"/>
                <w:noProof/>
              </w:rPr>
              <w:t>Conclusion</w:t>
            </w:r>
            <w:r w:rsidR="00AF1EB9">
              <w:rPr>
                <w:noProof/>
                <w:webHidden/>
              </w:rPr>
              <w:tab/>
            </w:r>
            <w:r w:rsidR="00AF1EB9">
              <w:rPr>
                <w:noProof/>
                <w:webHidden/>
              </w:rPr>
              <w:fldChar w:fldCharType="begin"/>
            </w:r>
            <w:r w:rsidR="00AF1EB9">
              <w:rPr>
                <w:noProof/>
                <w:webHidden/>
              </w:rPr>
              <w:instrText xml:space="preserve"> PAGEREF _Toc159940498 \h </w:instrText>
            </w:r>
            <w:r w:rsidR="00AF1EB9">
              <w:rPr>
                <w:noProof/>
                <w:webHidden/>
              </w:rPr>
            </w:r>
            <w:r w:rsidR="00AF1EB9">
              <w:rPr>
                <w:noProof/>
                <w:webHidden/>
              </w:rPr>
              <w:fldChar w:fldCharType="separate"/>
            </w:r>
            <w:r w:rsidR="00AF1EB9">
              <w:rPr>
                <w:noProof/>
                <w:webHidden/>
              </w:rPr>
              <w:t>9</w:t>
            </w:r>
            <w:r w:rsidR="00AF1EB9">
              <w:rPr>
                <w:noProof/>
                <w:webHidden/>
              </w:rPr>
              <w:fldChar w:fldCharType="end"/>
            </w:r>
          </w:hyperlink>
        </w:p>
        <w:p w14:paraId="1896E995" w14:textId="0A2D6325" w:rsidR="00AF1EB9" w:rsidRDefault="00000000">
          <w:pPr>
            <w:pStyle w:val="TOC1"/>
            <w:tabs>
              <w:tab w:val="right" w:leader="dot" w:pos="9016"/>
            </w:tabs>
            <w:rPr>
              <w:rFonts w:asciiTheme="minorHAnsi" w:eastAsiaTheme="minorEastAsia" w:hAnsiTheme="minorHAnsi"/>
              <w:noProof/>
              <w:sz w:val="22"/>
              <w:szCs w:val="22"/>
              <w:lang w:eastAsia="en-GB"/>
            </w:rPr>
          </w:pPr>
          <w:hyperlink w:anchor="_Toc159940499" w:history="1">
            <w:r w:rsidR="00AF1EB9" w:rsidRPr="00C909F5">
              <w:rPr>
                <w:rStyle w:val="Hyperlink"/>
                <w:noProof/>
              </w:rPr>
              <w:t>References</w:t>
            </w:r>
            <w:r w:rsidR="00AF1EB9">
              <w:rPr>
                <w:noProof/>
                <w:webHidden/>
              </w:rPr>
              <w:tab/>
            </w:r>
            <w:r w:rsidR="00AF1EB9">
              <w:rPr>
                <w:noProof/>
                <w:webHidden/>
              </w:rPr>
              <w:fldChar w:fldCharType="begin"/>
            </w:r>
            <w:r w:rsidR="00AF1EB9">
              <w:rPr>
                <w:noProof/>
                <w:webHidden/>
              </w:rPr>
              <w:instrText xml:space="preserve"> PAGEREF _Toc159940499 \h </w:instrText>
            </w:r>
            <w:r w:rsidR="00AF1EB9">
              <w:rPr>
                <w:noProof/>
                <w:webHidden/>
              </w:rPr>
            </w:r>
            <w:r w:rsidR="00AF1EB9">
              <w:rPr>
                <w:noProof/>
                <w:webHidden/>
              </w:rPr>
              <w:fldChar w:fldCharType="separate"/>
            </w:r>
            <w:r w:rsidR="00AF1EB9">
              <w:rPr>
                <w:noProof/>
                <w:webHidden/>
              </w:rPr>
              <w:t>9</w:t>
            </w:r>
            <w:r w:rsidR="00AF1EB9">
              <w:rPr>
                <w:noProof/>
                <w:webHidden/>
              </w:rPr>
              <w:fldChar w:fldCharType="end"/>
            </w:r>
          </w:hyperlink>
        </w:p>
        <w:p w14:paraId="3AF20397" w14:textId="708BC1A9" w:rsidR="002D5B80" w:rsidRDefault="002D5B80">
          <w:r>
            <w:rPr>
              <w:b/>
              <w:bCs/>
              <w:noProof/>
            </w:rPr>
            <w:fldChar w:fldCharType="end"/>
          </w:r>
        </w:p>
      </w:sdtContent>
    </w:sdt>
    <w:p w14:paraId="4CEE43E8" w14:textId="77777777" w:rsidR="002D5B80" w:rsidRDefault="002D5B80" w:rsidP="00016AF8">
      <w:pPr>
        <w:jc w:val="left"/>
      </w:pPr>
    </w:p>
    <w:p w14:paraId="0AEEC321" w14:textId="77777777" w:rsidR="002D5B80" w:rsidRDefault="002D5B80" w:rsidP="00016AF8">
      <w:pPr>
        <w:jc w:val="left"/>
      </w:pPr>
    </w:p>
    <w:p w14:paraId="657CA988" w14:textId="77777777" w:rsidR="002D5B80" w:rsidRDefault="002D5B80" w:rsidP="00016AF8">
      <w:pPr>
        <w:jc w:val="left"/>
      </w:pPr>
    </w:p>
    <w:p w14:paraId="3816CE71" w14:textId="77777777" w:rsidR="002D5B80" w:rsidRDefault="002D5B80" w:rsidP="00016AF8">
      <w:pPr>
        <w:jc w:val="left"/>
      </w:pPr>
    </w:p>
    <w:p w14:paraId="70F3B66A" w14:textId="77777777" w:rsidR="002D5B80" w:rsidRDefault="002D5B80" w:rsidP="00016AF8">
      <w:pPr>
        <w:jc w:val="left"/>
      </w:pPr>
    </w:p>
    <w:p w14:paraId="223836E8" w14:textId="77777777" w:rsidR="002D5B80" w:rsidRDefault="002D5B80" w:rsidP="00016AF8">
      <w:pPr>
        <w:jc w:val="left"/>
      </w:pPr>
    </w:p>
    <w:p w14:paraId="2ECAA862" w14:textId="77777777" w:rsidR="002D5B80" w:rsidRDefault="002D5B80" w:rsidP="00016AF8">
      <w:pPr>
        <w:jc w:val="left"/>
      </w:pPr>
    </w:p>
    <w:p w14:paraId="3BBA6352" w14:textId="77777777" w:rsidR="002D5B80" w:rsidRDefault="002D5B80" w:rsidP="00016AF8">
      <w:pPr>
        <w:jc w:val="left"/>
      </w:pPr>
    </w:p>
    <w:p w14:paraId="0B7D08F3" w14:textId="77777777" w:rsidR="002D5B80" w:rsidRDefault="002D5B80" w:rsidP="00016AF8">
      <w:pPr>
        <w:jc w:val="left"/>
      </w:pPr>
    </w:p>
    <w:p w14:paraId="122ED11E" w14:textId="77777777" w:rsidR="002D5B80" w:rsidRDefault="002D5B80" w:rsidP="00016AF8">
      <w:pPr>
        <w:jc w:val="left"/>
      </w:pPr>
    </w:p>
    <w:p w14:paraId="43627CB8" w14:textId="77777777" w:rsidR="002D5B80" w:rsidRDefault="002D5B80" w:rsidP="00016AF8">
      <w:pPr>
        <w:jc w:val="left"/>
      </w:pPr>
    </w:p>
    <w:p w14:paraId="1C61505E" w14:textId="77777777" w:rsidR="002D5B80" w:rsidRDefault="002D5B80" w:rsidP="00016AF8">
      <w:pPr>
        <w:jc w:val="left"/>
      </w:pPr>
    </w:p>
    <w:p w14:paraId="3FEE0C9F" w14:textId="77777777" w:rsidR="002D5B80" w:rsidRDefault="002D5B80" w:rsidP="00016AF8">
      <w:pPr>
        <w:jc w:val="left"/>
      </w:pPr>
    </w:p>
    <w:p w14:paraId="4F3B5B5B" w14:textId="77777777" w:rsidR="002D5B80" w:rsidRDefault="002D5B80" w:rsidP="00016AF8">
      <w:pPr>
        <w:jc w:val="left"/>
      </w:pPr>
    </w:p>
    <w:p w14:paraId="50CBB389" w14:textId="77777777" w:rsidR="002D5B80" w:rsidRDefault="002D5B80" w:rsidP="00016AF8">
      <w:pPr>
        <w:jc w:val="left"/>
      </w:pPr>
    </w:p>
    <w:p w14:paraId="499BC789" w14:textId="77777777" w:rsidR="002D5B80" w:rsidRDefault="002D5B80" w:rsidP="00016AF8">
      <w:pPr>
        <w:jc w:val="left"/>
      </w:pPr>
    </w:p>
    <w:p w14:paraId="309431F7" w14:textId="77777777" w:rsidR="002D5B80" w:rsidRDefault="002D5B80" w:rsidP="00016AF8">
      <w:pPr>
        <w:jc w:val="left"/>
      </w:pPr>
    </w:p>
    <w:p w14:paraId="7E9574B5" w14:textId="77777777" w:rsidR="002D5B80" w:rsidRDefault="002D5B80" w:rsidP="00016AF8">
      <w:pPr>
        <w:jc w:val="left"/>
      </w:pPr>
    </w:p>
    <w:p w14:paraId="0409CAE2" w14:textId="77777777" w:rsidR="00AF1EB9" w:rsidRDefault="00AF1EB9" w:rsidP="00016AF8">
      <w:pPr>
        <w:jc w:val="left"/>
      </w:pPr>
    </w:p>
    <w:p w14:paraId="4A494068" w14:textId="77777777" w:rsidR="00AF1EB9" w:rsidRDefault="00AF1EB9" w:rsidP="00016AF8">
      <w:pPr>
        <w:jc w:val="left"/>
      </w:pPr>
    </w:p>
    <w:p w14:paraId="3349A087" w14:textId="77777777" w:rsidR="002D5B80" w:rsidRDefault="002D5B80" w:rsidP="00016AF8">
      <w:pPr>
        <w:jc w:val="left"/>
      </w:pPr>
    </w:p>
    <w:p w14:paraId="754E2858" w14:textId="7B06AEEC" w:rsidR="002D5B80" w:rsidRDefault="002D5B80" w:rsidP="00C7603C">
      <w:pPr>
        <w:pStyle w:val="Heading1"/>
      </w:pPr>
      <w:bookmarkStart w:id="1" w:name="_Toc159940494"/>
      <w:r>
        <w:t>Introduction</w:t>
      </w:r>
      <w:bookmarkEnd w:id="1"/>
    </w:p>
    <w:p w14:paraId="076AF104" w14:textId="77777777" w:rsidR="00AB102B" w:rsidRPr="00AB102B" w:rsidRDefault="00AB102B" w:rsidP="00AB102B"/>
    <w:p w14:paraId="2FDCAB70" w14:textId="145D4F70" w:rsidR="00031BD6" w:rsidRPr="00031BD6" w:rsidRDefault="00031BD6" w:rsidP="00031BD6">
      <w:r w:rsidRPr="00031BD6">
        <w:t xml:space="preserve">The case study </w:t>
      </w:r>
      <w:r w:rsidR="005101D1">
        <w:t>a</w:t>
      </w:r>
      <w:r w:rsidRPr="00031BD6">
        <w:t>i</w:t>
      </w:r>
      <w:r w:rsidR="005101D1">
        <w:t>m</w:t>
      </w:r>
      <w:r w:rsidRPr="00031BD6">
        <w:t>s to support the decision-making of the owner of The Seacrest Lodge to find a turnaround strategy for improving revenues, occupancy rates, and customer satisfaction, which have been declining in recent years. The Seacrest Lodge with restaurant, bar, and event facilities is situated on a picturesque coastline, and it was once a thriving destination for tourists who needed relaxation and luxury. The market conditions have changed and are currently highly competitive, considering that several newer, more modern resorts have emerged in the vicinity of the Seacrest Lodge, while the company’s service quality has decreased and their amenities have become outdated for changing customer preferences.</w:t>
      </w:r>
    </w:p>
    <w:p w14:paraId="157DC323" w14:textId="77777777" w:rsidR="00031BD6" w:rsidRDefault="00031BD6" w:rsidP="00031BD6">
      <w:r w:rsidRPr="00031BD6">
        <w:t>The objectives of the case study include an assessment of Seacrest Lodge's financial performance over the past three years, finding the key motives behind the decrease in profitability, considering current macro-environmental events that impacted the economy, and proposing a comprehensive turnaround strategy to improve the company’s profitability and brand reputation. The financial performance is assessed based on the provided income statements, balance sheets, and additional financial information such as the average room rate (ARR) and occupancy rate.</w:t>
      </w:r>
    </w:p>
    <w:p w14:paraId="692405F5" w14:textId="77777777" w:rsidR="00031BD6" w:rsidRDefault="00031BD6" w:rsidP="00031BD6"/>
    <w:p w14:paraId="62986D0D" w14:textId="0D231232" w:rsidR="00F7222D" w:rsidRDefault="00F7222D" w:rsidP="00031BD6">
      <w:pPr>
        <w:pStyle w:val="Heading1"/>
      </w:pPr>
      <w:bookmarkStart w:id="2" w:name="_Toc159940495"/>
      <w:r>
        <w:t>Financial performance analysis</w:t>
      </w:r>
      <w:bookmarkEnd w:id="2"/>
    </w:p>
    <w:p w14:paraId="3989F5FE" w14:textId="77777777" w:rsidR="00031BD6" w:rsidRPr="00031BD6" w:rsidRDefault="00031BD6" w:rsidP="00031BD6"/>
    <w:p w14:paraId="294E7682" w14:textId="77777777" w:rsidR="00031BD6" w:rsidRDefault="00031BD6" w:rsidP="00031BD6">
      <w:r>
        <w:t>Financial risk management refers to the systematic approach to identifying potential financial risks, assessing their severity, and deciding how to mitigate them (Corporate Finance Institute, 2023). Additionally, the implementation of the chosen mitigation strategy must be monitored and adjusted if necessary (Hiles, 2012). To identify the financial risks, the first step is to assess the current financial situation to find the reasons behind the decrease in profitability; furthermore, the strategy to manage the risks can be defined, including risk avoidance, risk reduction, risk transfer, and risk retention.</w:t>
      </w:r>
    </w:p>
    <w:p w14:paraId="42252D85" w14:textId="77777777" w:rsidR="00031BD6" w:rsidRDefault="00031BD6" w:rsidP="00031BD6">
      <w:r>
        <w:t>According to the Corporate Finance Institute (2023), companies are facing market risks, credit risks, liquidity risks, and operational risks. Wut et al. (2021) argue that due to the losses caused by</w:t>
      </w:r>
    </w:p>
    <w:p w14:paraId="27502E6B" w14:textId="77777777" w:rsidR="00031BD6" w:rsidRDefault="00031BD6" w:rsidP="00031BD6">
      <w:r>
        <w:t>With the COVID-19 pandemic in 2020, hospitality companies are facing an increased need for effective crisis management, incorporating disaster management and risk management.</w:t>
      </w:r>
    </w:p>
    <w:p w14:paraId="2C7D5F9B" w14:textId="77777777" w:rsidR="00031BD6" w:rsidRDefault="00031BD6" w:rsidP="00031BD6">
      <w:r>
        <w:t>The financial issues are identified using financial analysis ratios that evaluate profitability and liquidity, such as gross profit ratio, current ratio, and debt-to-equity ratio.</w:t>
      </w:r>
    </w:p>
    <w:p w14:paraId="57877498" w14:textId="1ED3905F" w:rsidR="001111EC" w:rsidRDefault="001111EC" w:rsidP="00031BD6">
      <w:r w:rsidRPr="00515CF9">
        <w:t>The gross profit ratio</w:t>
      </w:r>
      <w:r>
        <w:t xml:space="preserve"> relates to</w:t>
      </w:r>
      <w:r w:rsidRPr="00515CF9">
        <w:t xml:space="preserve"> profitability</w:t>
      </w:r>
      <w:r w:rsidR="00031BD6">
        <w:t>,</w:t>
      </w:r>
      <w:r w:rsidRPr="00515CF9">
        <w:t xml:space="preserve"> </w:t>
      </w:r>
      <w:r>
        <w:t>and it</w:t>
      </w:r>
      <w:r w:rsidRPr="00515CF9">
        <w:t xml:space="preserve"> determines the </w:t>
      </w:r>
      <w:r>
        <w:t xml:space="preserve">percentage of </w:t>
      </w:r>
      <w:r w:rsidRPr="00515CF9">
        <w:t>gross profit</w:t>
      </w:r>
      <w:r>
        <w:t xml:space="preserve"> </w:t>
      </w:r>
      <w:r w:rsidRPr="00515CF9">
        <w:t xml:space="preserve">relative to </w:t>
      </w:r>
      <w:r>
        <w:t>total revenues</w:t>
      </w:r>
      <w:r w:rsidRPr="00515CF9">
        <w:t>.</w:t>
      </w:r>
      <w:r>
        <w:t xml:space="preserve"> Please see the following table for calculating the </w:t>
      </w:r>
      <w:r w:rsidRPr="00515CF9">
        <w:t>gross profit ratio</w:t>
      </w:r>
      <w:r>
        <w:t xml:space="preserve"> in the last three years.</w:t>
      </w:r>
    </w:p>
    <w:tbl>
      <w:tblPr>
        <w:tblStyle w:val="TableGrid"/>
        <w:tblW w:w="9356" w:type="dxa"/>
        <w:tblInd w:w="-147" w:type="dxa"/>
        <w:tblLook w:val="04A0" w:firstRow="1" w:lastRow="0" w:firstColumn="1" w:lastColumn="0" w:noHBand="0" w:noVBand="1"/>
      </w:tblPr>
      <w:tblGrid>
        <w:gridCol w:w="2488"/>
        <w:gridCol w:w="2272"/>
        <w:gridCol w:w="2273"/>
        <w:gridCol w:w="2323"/>
      </w:tblGrid>
      <w:tr w:rsidR="001111EC" w14:paraId="6A238930" w14:textId="77777777" w:rsidTr="000D5259">
        <w:tc>
          <w:tcPr>
            <w:tcW w:w="2488" w:type="dxa"/>
          </w:tcPr>
          <w:p w14:paraId="634825C0" w14:textId="77777777" w:rsidR="001111EC" w:rsidRDefault="001111EC" w:rsidP="00FC7E1A">
            <w:r>
              <w:rPr>
                <w:b/>
                <w:bCs/>
                <w:sz w:val="23"/>
                <w:szCs w:val="23"/>
              </w:rPr>
              <w:t xml:space="preserve">Item </w:t>
            </w:r>
          </w:p>
        </w:tc>
        <w:tc>
          <w:tcPr>
            <w:tcW w:w="2272" w:type="dxa"/>
          </w:tcPr>
          <w:p w14:paraId="61DD233F" w14:textId="77777777" w:rsidR="001111EC" w:rsidRDefault="001111EC" w:rsidP="00FC7E1A">
            <w:r>
              <w:rPr>
                <w:b/>
                <w:bCs/>
                <w:sz w:val="23"/>
                <w:szCs w:val="23"/>
              </w:rPr>
              <w:t xml:space="preserve">2021 </w:t>
            </w:r>
          </w:p>
        </w:tc>
        <w:tc>
          <w:tcPr>
            <w:tcW w:w="2273" w:type="dxa"/>
          </w:tcPr>
          <w:p w14:paraId="7B9E0252" w14:textId="77777777" w:rsidR="001111EC" w:rsidRDefault="001111EC" w:rsidP="00FC7E1A">
            <w:r>
              <w:rPr>
                <w:b/>
                <w:bCs/>
                <w:sz w:val="23"/>
                <w:szCs w:val="23"/>
              </w:rPr>
              <w:t xml:space="preserve">2022 </w:t>
            </w:r>
          </w:p>
        </w:tc>
        <w:tc>
          <w:tcPr>
            <w:tcW w:w="2323" w:type="dxa"/>
          </w:tcPr>
          <w:p w14:paraId="77CC0D34" w14:textId="77777777" w:rsidR="001111EC" w:rsidRDefault="001111EC" w:rsidP="00FC7E1A">
            <w:pPr>
              <w:rPr>
                <w:b/>
                <w:bCs/>
                <w:sz w:val="23"/>
                <w:szCs w:val="23"/>
              </w:rPr>
            </w:pPr>
            <w:r>
              <w:rPr>
                <w:b/>
                <w:bCs/>
                <w:sz w:val="23"/>
                <w:szCs w:val="23"/>
              </w:rPr>
              <w:t>2023</w:t>
            </w:r>
          </w:p>
        </w:tc>
      </w:tr>
      <w:tr w:rsidR="000D5259" w14:paraId="33E6502A" w14:textId="77777777" w:rsidTr="000D5259">
        <w:tc>
          <w:tcPr>
            <w:tcW w:w="2488" w:type="dxa"/>
          </w:tcPr>
          <w:p w14:paraId="7052D5AB" w14:textId="554EF4E9" w:rsidR="000D5259" w:rsidRDefault="000D5259" w:rsidP="000D5259">
            <w:r w:rsidRPr="00515CF9">
              <w:t>gross profit ratio</w:t>
            </w:r>
          </w:p>
        </w:tc>
        <w:tc>
          <w:tcPr>
            <w:tcW w:w="2272" w:type="dxa"/>
          </w:tcPr>
          <w:p w14:paraId="34DBFC28" w14:textId="1A041C29" w:rsidR="000D5259" w:rsidRDefault="000D5259" w:rsidP="000D5259">
            <w:r>
              <w:t>25%</w:t>
            </w:r>
          </w:p>
        </w:tc>
        <w:tc>
          <w:tcPr>
            <w:tcW w:w="2273" w:type="dxa"/>
          </w:tcPr>
          <w:p w14:paraId="766547E5" w14:textId="2AB9026C" w:rsidR="000D5259" w:rsidRDefault="000D5259" w:rsidP="000D5259">
            <w:r>
              <w:t>13.63%</w:t>
            </w:r>
          </w:p>
        </w:tc>
        <w:tc>
          <w:tcPr>
            <w:tcW w:w="2323" w:type="dxa"/>
          </w:tcPr>
          <w:p w14:paraId="26841354" w14:textId="169EC58D" w:rsidR="000D5259" w:rsidRDefault="00B525DF" w:rsidP="000D5259">
            <w:r>
              <w:t>-</w:t>
            </w:r>
            <w:r w:rsidR="000D5259">
              <w:t>15.79%</w:t>
            </w:r>
          </w:p>
        </w:tc>
      </w:tr>
    </w:tbl>
    <w:p w14:paraId="02FC2AC5" w14:textId="77777777" w:rsidR="001111EC" w:rsidRDefault="001111EC" w:rsidP="001111EC"/>
    <w:p w14:paraId="30A7083B" w14:textId="6565CBA2" w:rsidR="00031BD6" w:rsidRDefault="00031BD6" w:rsidP="00031BD6">
      <w:r>
        <w:t xml:space="preserve">Gross profit ratio shows a decreasing profitability from 25% in 2021 to 13.63% in 2022 and </w:t>
      </w:r>
      <w:r w:rsidR="00B525DF">
        <w:t>-</w:t>
      </w:r>
      <w:r>
        <w:t>15.79%</w:t>
      </w:r>
      <w:r w:rsidR="00B525DF">
        <w:t xml:space="preserve"> in the last reporting period</w:t>
      </w:r>
      <w:r>
        <w:t>. Th</w:t>
      </w:r>
      <w:r w:rsidR="00B525DF">
        <w:t>us, the</w:t>
      </w:r>
      <w:r>
        <w:t xml:space="preserve"> gross profit has continued to drop significantly in the last 3 years, </w:t>
      </w:r>
      <w:r w:rsidR="00B525DF">
        <w:t>because the</w:t>
      </w:r>
      <w:r>
        <w:t xml:space="preserve"> net sales have also significantly decreased.</w:t>
      </w:r>
    </w:p>
    <w:p w14:paraId="12F38CC4" w14:textId="77777777" w:rsidR="00031BD6" w:rsidRDefault="00031BD6" w:rsidP="00031BD6"/>
    <w:p w14:paraId="496B4C7E" w14:textId="0D4201F0" w:rsidR="00D16C67" w:rsidRDefault="00031BD6" w:rsidP="00031BD6">
      <w:r>
        <w:t xml:space="preserve">The current ratio is a liquidity ratio evaluating a firm’s capability to pay its debts by dividing the current assets by the current liabilities (Saleem and Rehman, 2011). </w:t>
      </w:r>
    </w:p>
    <w:p w14:paraId="517B5F99" w14:textId="77777777" w:rsidR="00031BD6" w:rsidRDefault="00031BD6" w:rsidP="00031BD6"/>
    <w:tbl>
      <w:tblPr>
        <w:tblStyle w:val="TableGrid"/>
        <w:tblW w:w="0" w:type="auto"/>
        <w:tblLook w:val="04A0" w:firstRow="1" w:lastRow="0" w:firstColumn="1" w:lastColumn="0" w:noHBand="0" w:noVBand="1"/>
      </w:tblPr>
      <w:tblGrid>
        <w:gridCol w:w="2341"/>
        <w:gridCol w:w="2272"/>
        <w:gridCol w:w="2273"/>
        <w:gridCol w:w="2130"/>
      </w:tblGrid>
      <w:tr w:rsidR="00101088" w14:paraId="2BD64967" w14:textId="1B3BDFC2" w:rsidTr="00101088">
        <w:tc>
          <w:tcPr>
            <w:tcW w:w="2341" w:type="dxa"/>
          </w:tcPr>
          <w:p w14:paraId="2E2BDC5C" w14:textId="02D82E0E" w:rsidR="00101088" w:rsidRDefault="00101088" w:rsidP="00101088">
            <w:r>
              <w:rPr>
                <w:b/>
                <w:bCs/>
                <w:sz w:val="23"/>
                <w:szCs w:val="23"/>
              </w:rPr>
              <w:t xml:space="preserve">Item </w:t>
            </w:r>
          </w:p>
        </w:tc>
        <w:tc>
          <w:tcPr>
            <w:tcW w:w="2272" w:type="dxa"/>
          </w:tcPr>
          <w:p w14:paraId="63B19165" w14:textId="3A6B7813" w:rsidR="00101088" w:rsidRDefault="00101088" w:rsidP="00101088">
            <w:r>
              <w:rPr>
                <w:b/>
                <w:bCs/>
                <w:sz w:val="23"/>
                <w:szCs w:val="23"/>
              </w:rPr>
              <w:t xml:space="preserve">2021 </w:t>
            </w:r>
          </w:p>
        </w:tc>
        <w:tc>
          <w:tcPr>
            <w:tcW w:w="2273" w:type="dxa"/>
          </w:tcPr>
          <w:p w14:paraId="2E23BB54" w14:textId="47EA3218" w:rsidR="00101088" w:rsidRDefault="00101088" w:rsidP="00101088">
            <w:r>
              <w:rPr>
                <w:b/>
                <w:bCs/>
                <w:sz w:val="23"/>
                <w:szCs w:val="23"/>
              </w:rPr>
              <w:t xml:space="preserve">2022 </w:t>
            </w:r>
          </w:p>
        </w:tc>
        <w:tc>
          <w:tcPr>
            <w:tcW w:w="2130" w:type="dxa"/>
          </w:tcPr>
          <w:p w14:paraId="6303E5DF" w14:textId="5685A3B1" w:rsidR="00101088" w:rsidRDefault="00101088" w:rsidP="00101088">
            <w:pPr>
              <w:rPr>
                <w:b/>
                <w:bCs/>
                <w:sz w:val="23"/>
                <w:szCs w:val="23"/>
              </w:rPr>
            </w:pPr>
            <w:r>
              <w:rPr>
                <w:b/>
                <w:bCs/>
                <w:sz w:val="23"/>
                <w:szCs w:val="23"/>
              </w:rPr>
              <w:t>2023</w:t>
            </w:r>
          </w:p>
        </w:tc>
      </w:tr>
      <w:tr w:rsidR="00101088" w14:paraId="357F45E0" w14:textId="27969865" w:rsidTr="00101088">
        <w:tc>
          <w:tcPr>
            <w:tcW w:w="2341" w:type="dxa"/>
          </w:tcPr>
          <w:p w14:paraId="56CABD9F" w14:textId="32D25944" w:rsidR="00101088" w:rsidRDefault="00101088" w:rsidP="002F6DCB">
            <w:r w:rsidRPr="00111CFE">
              <w:t>current ratio</w:t>
            </w:r>
          </w:p>
        </w:tc>
        <w:tc>
          <w:tcPr>
            <w:tcW w:w="2272" w:type="dxa"/>
          </w:tcPr>
          <w:p w14:paraId="3AD9685C" w14:textId="7093680B" w:rsidR="00101088" w:rsidRDefault="00CB3C84" w:rsidP="002F6DCB">
            <w:r>
              <w:t>5:1</w:t>
            </w:r>
          </w:p>
        </w:tc>
        <w:tc>
          <w:tcPr>
            <w:tcW w:w="2273" w:type="dxa"/>
          </w:tcPr>
          <w:p w14:paraId="418564F8" w14:textId="620B619C" w:rsidR="00101088" w:rsidRDefault="00CB3C84" w:rsidP="002F6DCB">
            <w:r>
              <w:t>3:1</w:t>
            </w:r>
          </w:p>
        </w:tc>
        <w:tc>
          <w:tcPr>
            <w:tcW w:w="2130" w:type="dxa"/>
          </w:tcPr>
          <w:p w14:paraId="5761223F" w14:textId="69AC8200" w:rsidR="00101088" w:rsidRDefault="00CB3C84" w:rsidP="002F6DCB">
            <w:r>
              <w:t>1:1</w:t>
            </w:r>
          </w:p>
        </w:tc>
      </w:tr>
    </w:tbl>
    <w:p w14:paraId="48AA1259" w14:textId="77777777" w:rsidR="00101088" w:rsidRPr="00111CFE" w:rsidRDefault="00101088" w:rsidP="002F6DCB"/>
    <w:p w14:paraId="00FD06E0" w14:textId="732EB94F" w:rsidR="00031BD6" w:rsidRDefault="00031BD6" w:rsidP="00031BD6">
      <w:r>
        <w:t xml:space="preserve">It can be observed that the capability of the firm to pay its current liabilities has significantly decreased, from 5:1 in 2021 to 3:1 in 2022 and 1:1 </w:t>
      </w:r>
      <w:r w:rsidR="00B525DF">
        <w:t>last year</w:t>
      </w:r>
      <w:r>
        <w:t xml:space="preserve">, </w:t>
      </w:r>
      <w:r w:rsidR="00B525DF">
        <w:t>because</w:t>
      </w:r>
      <w:r>
        <w:t xml:space="preserve"> the current assets have constantly decreased while the short-term debt has constantly increased.</w:t>
      </w:r>
    </w:p>
    <w:p w14:paraId="05FD75B4" w14:textId="77777777" w:rsidR="00031BD6" w:rsidRDefault="00031BD6" w:rsidP="00031BD6"/>
    <w:p w14:paraId="3A5E581A" w14:textId="62880289" w:rsidR="00031BD6" w:rsidRDefault="00031BD6" w:rsidP="00031BD6">
      <w:r>
        <w:t xml:space="preserve">The debt-to-equity ratio represents a leverage ratio that analyses the significance of total debt and financial liabilities against total shareholders’ equity and shows how a business’s capital structure is tilted either towards debt or equity financing (Corporate Finance Institute, 2024). </w:t>
      </w:r>
    </w:p>
    <w:p w14:paraId="40A8C840" w14:textId="77777777" w:rsidR="00031BD6" w:rsidRDefault="00031BD6" w:rsidP="00031BD6"/>
    <w:tbl>
      <w:tblPr>
        <w:tblStyle w:val="TableGrid"/>
        <w:tblW w:w="0" w:type="auto"/>
        <w:tblLook w:val="04A0" w:firstRow="1" w:lastRow="0" w:firstColumn="1" w:lastColumn="0" w:noHBand="0" w:noVBand="1"/>
      </w:tblPr>
      <w:tblGrid>
        <w:gridCol w:w="2341"/>
        <w:gridCol w:w="2272"/>
        <w:gridCol w:w="2273"/>
        <w:gridCol w:w="2130"/>
      </w:tblGrid>
      <w:tr w:rsidR="00646281" w14:paraId="05A5B189" w14:textId="77777777" w:rsidTr="00FC7E1A">
        <w:tc>
          <w:tcPr>
            <w:tcW w:w="2341" w:type="dxa"/>
          </w:tcPr>
          <w:p w14:paraId="28CFD732" w14:textId="77777777" w:rsidR="00646281" w:rsidRDefault="00646281" w:rsidP="00FC7E1A">
            <w:r>
              <w:rPr>
                <w:b/>
                <w:bCs/>
                <w:sz w:val="23"/>
                <w:szCs w:val="23"/>
              </w:rPr>
              <w:t xml:space="preserve">Item </w:t>
            </w:r>
          </w:p>
        </w:tc>
        <w:tc>
          <w:tcPr>
            <w:tcW w:w="2272" w:type="dxa"/>
          </w:tcPr>
          <w:p w14:paraId="487F5AF3" w14:textId="77777777" w:rsidR="00646281" w:rsidRDefault="00646281" w:rsidP="00FC7E1A">
            <w:r>
              <w:rPr>
                <w:b/>
                <w:bCs/>
                <w:sz w:val="23"/>
                <w:szCs w:val="23"/>
              </w:rPr>
              <w:t xml:space="preserve">2021 </w:t>
            </w:r>
          </w:p>
        </w:tc>
        <w:tc>
          <w:tcPr>
            <w:tcW w:w="2273" w:type="dxa"/>
          </w:tcPr>
          <w:p w14:paraId="58D1088C" w14:textId="77777777" w:rsidR="00646281" w:rsidRDefault="00646281" w:rsidP="00FC7E1A">
            <w:r>
              <w:rPr>
                <w:b/>
                <w:bCs/>
                <w:sz w:val="23"/>
                <w:szCs w:val="23"/>
              </w:rPr>
              <w:t xml:space="preserve">2022 </w:t>
            </w:r>
          </w:p>
        </w:tc>
        <w:tc>
          <w:tcPr>
            <w:tcW w:w="2130" w:type="dxa"/>
          </w:tcPr>
          <w:p w14:paraId="6641CEC1" w14:textId="77777777" w:rsidR="00646281" w:rsidRDefault="00646281" w:rsidP="00FC7E1A">
            <w:pPr>
              <w:rPr>
                <w:b/>
                <w:bCs/>
                <w:sz w:val="23"/>
                <w:szCs w:val="23"/>
              </w:rPr>
            </w:pPr>
            <w:r>
              <w:rPr>
                <w:b/>
                <w:bCs/>
                <w:sz w:val="23"/>
                <w:szCs w:val="23"/>
              </w:rPr>
              <w:t>2023</w:t>
            </w:r>
          </w:p>
        </w:tc>
      </w:tr>
      <w:tr w:rsidR="00646281" w14:paraId="1D17CAF4" w14:textId="77777777" w:rsidTr="00FC7E1A">
        <w:tc>
          <w:tcPr>
            <w:tcW w:w="2341" w:type="dxa"/>
          </w:tcPr>
          <w:p w14:paraId="40988C11" w14:textId="7F3FDF8D" w:rsidR="00646281" w:rsidRPr="00646281" w:rsidRDefault="00646281" w:rsidP="00FC7E1A">
            <w:r w:rsidRPr="00646281">
              <w:t>debt-to-equity ratio</w:t>
            </w:r>
          </w:p>
        </w:tc>
        <w:tc>
          <w:tcPr>
            <w:tcW w:w="2272" w:type="dxa"/>
          </w:tcPr>
          <w:p w14:paraId="374243F7" w14:textId="17C5E207" w:rsidR="00646281" w:rsidRPr="00646281" w:rsidRDefault="00646281" w:rsidP="00FC7E1A">
            <w:r>
              <w:t>2.46</w:t>
            </w:r>
            <w:r w:rsidRPr="00646281">
              <w:t>:1</w:t>
            </w:r>
          </w:p>
        </w:tc>
        <w:tc>
          <w:tcPr>
            <w:tcW w:w="2273" w:type="dxa"/>
          </w:tcPr>
          <w:p w14:paraId="043621C4" w14:textId="59D322D7" w:rsidR="00646281" w:rsidRDefault="00646281" w:rsidP="00FC7E1A">
            <w:r>
              <w:t xml:space="preserve"> 2.65:1</w:t>
            </w:r>
          </w:p>
        </w:tc>
        <w:tc>
          <w:tcPr>
            <w:tcW w:w="2130" w:type="dxa"/>
          </w:tcPr>
          <w:p w14:paraId="2BBA172C" w14:textId="728DF6B5" w:rsidR="00646281" w:rsidRDefault="00455225" w:rsidP="00FC7E1A">
            <w:r>
              <w:t>5.16</w:t>
            </w:r>
            <w:r w:rsidR="00646281">
              <w:t>:1</w:t>
            </w:r>
          </w:p>
        </w:tc>
      </w:tr>
    </w:tbl>
    <w:p w14:paraId="7BE316E6" w14:textId="77777777" w:rsidR="00436C3F" w:rsidRDefault="00436C3F" w:rsidP="00D23D97"/>
    <w:p w14:paraId="7DF0BCDD" w14:textId="77777777" w:rsidR="00031BD6" w:rsidRDefault="00031BD6" w:rsidP="00031BD6">
      <w:r>
        <w:t>The results of the debt-to-equity ratio in the last three years show an increasing weight of total debt and financial liabilities against total shareholders’ equity (Corporate Finance Institute, 2024), from 2.46 in 2021 to 2.65 in 2022 and 5.16 in 2023; hence, the company's capital structure is tilted towards debt.</w:t>
      </w:r>
    </w:p>
    <w:p w14:paraId="178A580F" w14:textId="77777777" w:rsidR="00031BD6" w:rsidRDefault="00031BD6" w:rsidP="00031BD6"/>
    <w:p w14:paraId="5C077B8D" w14:textId="77777777" w:rsidR="00873563" w:rsidRDefault="00031BD6" w:rsidP="00031BD6">
      <w:r>
        <w:t>The additional financial information provided shows that the average room rate (ARR) has also declined, from £260 in 2021 to £240 in 2022 and £210 in 2023</w:t>
      </w:r>
      <w:r w:rsidR="005D0604">
        <w:t>, showing a decrease in demand and attractivity of the brand.</w:t>
      </w:r>
    </w:p>
    <w:p w14:paraId="60B3B104" w14:textId="13A4B0DC" w:rsidR="00873563" w:rsidRDefault="00031BD6" w:rsidP="00873563">
      <w:r>
        <w:t>Moreover, the occupancy rate has also decreased every one of the three years analysed, from 65% in 2021 to 60% in 2022 and 50% in 2023</w:t>
      </w:r>
      <w:r w:rsidR="00873563">
        <w:t>, also showing a decrease in demand and attractivity of the brand.</w:t>
      </w:r>
    </w:p>
    <w:p w14:paraId="4A732747" w14:textId="3021B267" w:rsidR="00D550BE" w:rsidRDefault="00031BD6" w:rsidP="00031BD6">
      <w:r>
        <w:t>This additional financial information also confirms the decrease in profitability, which must be further investigated by considering the different risks that the company has faced and has not effectively mitigated.</w:t>
      </w:r>
    </w:p>
    <w:p w14:paraId="04787654" w14:textId="77777777" w:rsidR="00031BD6" w:rsidRDefault="00031BD6" w:rsidP="00031BD6"/>
    <w:p w14:paraId="2015F14B" w14:textId="09EC0F51" w:rsidR="00D1522D" w:rsidRDefault="00F7222D" w:rsidP="00F7222D">
      <w:pPr>
        <w:pStyle w:val="Heading1"/>
      </w:pPr>
      <w:bookmarkStart w:id="3" w:name="_Toc159940496"/>
      <w:r>
        <w:t>K</w:t>
      </w:r>
      <w:r w:rsidRPr="00F7222D">
        <w:t>ey reasons behind the decline in profitability</w:t>
      </w:r>
      <w:bookmarkEnd w:id="3"/>
    </w:p>
    <w:p w14:paraId="247F0D91" w14:textId="77777777" w:rsidR="008B0305" w:rsidRPr="008B0305" w:rsidRDefault="008B0305" w:rsidP="008B0305"/>
    <w:p w14:paraId="1DA2F7A2" w14:textId="77777777" w:rsidR="008B0305" w:rsidRDefault="008B0305" w:rsidP="008B0305">
      <w:r>
        <w:t>Hotels are facing four major types of risks, such as:</w:t>
      </w:r>
    </w:p>
    <w:p w14:paraId="1002C0B8" w14:textId="77777777" w:rsidR="008B0305" w:rsidRDefault="008B0305" w:rsidP="008B0305">
      <w:pPr>
        <w:pStyle w:val="ListParagraph"/>
        <w:numPr>
          <w:ilvl w:val="0"/>
          <w:numId w:val="6"/>
        </w:numPr>
      </w:pPr>
      <w:r>
        <w:t>market risks due to changes in the market environment that impact revenues and profitability.</w:t>
      </w:r>
    </w:p>
    <w:p w14:paraId="54A81587" w14:textId="77777777" w:rsidR="008B0305" w:rsidRDefault="008B0305" w:rsidP="008B0305">
      <w:pPr>
        <w:pStyle w:val="ListParagraph"/>
        <w:numPr>
          <w:ilvl w:val="0"/>
          <w:numId w:val="6"/>
        </w:numPr>
      </w:pPr>
      <w:r>
        <w:t>operational risks due to ineffective internal processes, organisations, systems, or human resources</w:t>
      </w:r>
    </w:p>
    <w:p w14:paraId="4F4ECF35" w14:textId="77777777" w:rsidR="008B0305" w:rsidRDefault="008B0305" w:rsidP="008B0305">
      <w:pPr>
        <w:pStyle w:val="ListParagraph"/>
        <w:numPr>
          <w:ilvl w:val="0"/>
          <w:numId w:val="6"/>
        </w:numPr>
      </w:pPr>
      <w:r>
        <w:t>financial risks arising from financial structure and debts</w:t>
      </w:r>
    </w:p>
    <w:p w14:paraId="1D700510" w14:textId="77777777" w:rsidR="008B0305" w:rsidRDefault="008B0305" w:rsidP="008B0305">
      <w:pPr>
        <w:pStyle w:val="ListParagraph"/>
        <w:numPr>
          <w:ilvl w:val="0"/>
          <w:numId w:val="6"/>
        </w:numPr>
      </w:pPr>
      <w:r>
        <w:t>regulatory and compliance risks arising from obligations to comply with law, regulation, and sector standards.</w:t>
      </w:r>
    </w:p>
    <w:p w14:paraId="3F6645A6" w14:textId="77777777" w:rsidR="008B0305" w:rsidRDefault="008B0305" w:rsidP="008B0305"/>
    <w:p w14:paraId="78606054" w14:textId="7ADC09C5" w:rsidR="00D101E9" w:rsidRPr="00AF1EB9" w:rsidRDefault="00D101E9" w:rsidP="00AF1EB9">
      <w:pPr>
        <w:rPr>
          <w:b/>
          <w:bCs/>
        </w:rPr>
      </w:pPr>
      <w:r w:rsidRPr="00AF1EB9">
        <w:rPr>
          <w:b/>
          <w:bCs/>
        </w:rPr>
        <w:t>Market risks</w:t>
      </w:r>
    </w:p>
    <w:p w14:paraId="20B40FEA" w14:textId="77777777" w:rsidR="008B0305" w:rsidRPr="008B0305" w:rsidRDefault="008B0305" w:rsidP="008B0305"/>
    <w:p w14:paraId="427FC1BA" w14:textId="00CA1AFC" w:rsidR="008B0305" w:rsidRPr="008B0305" w:rsidRDefault="008B0305" w:rsidP="008B0305">
      <w:r w:rsidRPr="008B0305">
        <w:t xml:space="preserve">It is clear that the main risk faced by The Seacrest Lodge is market risk. The market conditions have changed and are currently highly competitive, considering that several newer, more modern resorts have emerged in the vicinity of the Seacrest Lodge. </w:t>
      </w:r>
      <w:r w:rsidR="00F37049">
        <w:t>M</w:t>
      </w:r>
      <w:r w:rsidRPr="008B0305">
        <w:t xml:space="preserve">ore modern resorts have emerged in the vicinity and </w:t>
      </w:r>
      <w:r w:rsidR="00F37049">
        <w:t xml:space="preserve">they </w:t>
      </w:r>
      <w:r w:rsidRPr="008B0305">
        <w:t>effectively meet current customer preferences. To increase its portfolio attractivity, the hotel must invest in a differentiation strategy to compete with the new rivals in the area. This can be based on increasing the quality of services, undertaking a digital transformation of the business model, and modernising the amenities (</w:t>
      </w:r>
      <w:proofErr w:type="spellStart"/>
      <w:r w:rsidRPr="008B0305">
        <w:t>Buhalis</w:t>
      </w:r>
      <w:proofErr w:type="spellEnd"/>
      <w:r w:rsidRPr="008B0305">
        <w:t xml:space="preserve">, 2000; </w:t>
      </w:r>
      <w:proofErr w:type="spellStart"/>
      <w:r w:rsidRPr="008B0305">
        <w:t>Buhalis</w:t>
      </w:r>
      <w:proofErr w:type="spellEnd"/>
      <w:r w:rsidRPr="008B0305">
        <w:t>, 2003; Johnson et al., 2020).</w:t>
      </w:r>
    </w:p>
    <w:p w14:paraId="006DC047" w14:textId="27B573AB" w:rsidR="008B0305" w:rsidRDefault="008B0305" w:rsidP="008B0305">
      <w:r w:rsidRPr="008B0305">
        <w:t>Additionally, the Seacrest Lodge's customer reviews indicate declining service quality and outdated amenities. Today’s tourists base their selection of accommodation services on other customers’ reviews, which are posted online (Sparks</w:t>
      </w:r>
      <w:r w:rsidR="00436282">
        <w:t xml:space="preserve">, </w:t>
      </w:r>
      <w:r w:rsidR="00436282" w:rsidRPr="0020396C">
        <w:t>Perkins, and Buckley,</w:t>
      </w:r>
      <w:r w:rsidRPr="008B0305">
        <w:t xml:space="preserve"> 2013); hence, they have increasingly preferred to book their vacation at several newer, more modern resorts that have emerged in the vicinity, decreasing the Seacrest Lodge's occupancy rates and the average room rate. </w:t>
      </w:r>
      <w:r w:rsidR="00436282" w:rsidRPr="008B0305">
        <w:t>Sparks</w:t>
      </w:r>
      <w:r w:rsidR="00436282">
        <w:t xml:space="preserve">, </w:t>
      </w:r>
      <w:r w:rsidR="00436282" w:rsidRPr="0020396C">
        <w:t>Perkins, and Buckley</w:t>
      </w:r>
      <w:r w:rsidRPr="008B0305">
        <w:t xml:space="preserve"> (2013) explain that online review sites supply progressively influential sources of information in tourism offerings. The development of social media represents both a challenge and an opportunity for hospitality service providers, considering the popularity of platforms such as Facebook, YouTube, Twitter, third-party review sites, and blogs </w:t>
      </w:r>
      <w:r w:rsidR="00436282" w:rsidRPr="008B0305">
        <w:t>(Sparks</w:t>
      </w:r>
      <w:r w:rsidR="00436282">
        <w:t xml:space="preserve">, </w:t>
      </w:r>
      <w:r w:rsidR="00436282" w:rsidRPr="0020396C">
        <w:t>Perkins, and Buckley,</w:t>
      </w:r>
      <w:r w:rsidR="00436282" w:rsidRPr="008B0305">
        <w:t xml:space="preserve"> 2013</w:t>
      </w:r>
      <w:r w:rsidRPr="008B0305">
        <w:t>). Thus, tourists share their experiences on social media and emphasise different attributes of a specific destination or offering via electronic word of mouth. (Tham</w:t>
      </w:r>
      <w:r w:rsidR="00021162">
        <w:t xml:space="preserve">, </w:t>
      </w:r>
      <w:r w:rsidR="00021162" w:rsidRPr="0096265B">
        <w:t>Croy,</w:t>
      </w:r>
      <w:r w:rsidR="00021162">
        <w:t xml:space="preserve"> </w:t>
      </w:r>
      <w:r w:rsidR="00021162" w:rsidRPr="0096265B">
        <w:t>and Mair</w:t>
      </w:r>
      <w:r w:rsidRPr="008B0305">
        <w:t>, 2013). The logical consequence is that the company must address market risks by enhancing the customer experience through increased quality of services and digital transformation of the business, meaning that they need to embed digitalization into operations and strategy. The quality of services includes the quality of amenities, food and drink services, and the services offered to customers by the employees. The increase in the quality of hospitality services will address at the same time market risks, operational risks, and financial risks, but it involves significant capital investment.</w:t>
      </w:r>
    </w:p>
    <w:p w14:paraId="3AD32F33" w14:textId="77777777" w:rsidR="008B0305" w:rsidRDefault="008B0305" w:rsidP="008B0305"/>
    <w:p w14:paraId="434D7A7A" w14:textId="28D14C6D" w:rsidR="00366D62" w:rsidRPr="00AF1EB9" w:rsidRDefault="00D101E9" w:rsidP="00AF1EB9">
      <w:pPr>
        <w:rPr>
          <w:b/>
          <w:bCs/>
        </w:rPr>
      </w:pPr>
      <w:r w:rsidRPr="00AF1EB9">
        <w:rPr>
          <w:b/>
          <w:bCs/>
        </w:rPr>
        <w:t>Operational risks</w:t>
      </w:r>
    </w:p>
    <w:p w14:paraId="282524EA" w14:textId="77777777" w:rsidR="008B0305" w:rsidRPr="008B0305" w:rsidRDefault="008B0305" w:rsidP="008B0305"/>
    <w:p w14:paraId="335DA352" w14:textId="77777777" w:rsidR="00F37049" w:rsidRDefault="008B0305" w:rsidP="001B7B95">
      <w:r w:rsidRPr="008B0305">
        <w:t xml:space="preserve">Operational risks refer to risks related to operations in the hospitality sector, such as assets, employees, capacity to accommodate customers, productivity, service, income (or revenue control), and quality (Jones, 1999). Operations must be approached systematically and strategically, based on seven concerns: location, integration, affiliation, configuration, organisation, implementation, and adaptation (Jones, 1999). </w:t>
      </w:r>
    </w:p>
    <w:p w14:paraId="63C40B60" w14:textId="6479E546" w:rsidR="008B0305" w:rsidRDefault="008B0305" w:rsidP="001B7B95">
      <w:r w:rsidRPr="008B0305">
        <w:t>Thus, to address these risks, the Seacrest Lodge must identify the operational issues by analysing its assets, human resources, accommodation capacity, productivity levels, services, revenues, and quality of offerings. The feedback from customers shows that the main problems are related to outdated amenities and decreasing quality of offerings, which were the main causes of decreasing productivity and performance, along with increasing competition and the impact of macro-environmental forces. Hence, the Seacrest Lodge must focus on investing in modernising the amenities and increasing the quality of offerings by considering all their elements, including the interaction between employees and customers. Areas to consider include the quality of food and drinks, meaning to focus on suppliers and internal organisations regarding their delivery to customers, and employees’ skills, knowledge, expertise, and motivation. For this last aspect, the firm must focus on talent attraction, recruitment, and retention to enhance the productivity and financial performance of the organisation (Pandita and Ray, 2018).</w:t>
      </w:r>
    </w:p>
    <w:p w14:paraId="4557D18D" w14:textId="77777777" w:rsidR="008B0305" w:rsidRPr="001B7B95" w:rsidRDefault="008B0305" w:rsidP="001B7B95"/>
    <w:p w14:paraId="4B95E492" w14:textId="58A21616" w:rsidR="00D101E9" w:rsidRPr="00AF1EB9" w:rsidRDefault="00D101E9" w:rsidP="00AF1EB9">
      <w:pPr>
        <w:rPr>
          <w:b/>
          <w:bCs/>
        </w:rPr>
      </w:pPr>
      <w:r w:rsidRPr="00AF1EB9">
        <w:rPr>
          <w:b/>
          <w:bCs/>
        </w:rPr>
        <w:t>Financial risks</w:t>
      </w:r>
    </w:p>
    <w:p w14:paraId="39E368B9" w14:textId="77777777" w:rsidR="008B0305" w:rsidRPr="008B0305" w:rsidRDefault="008B0305" w:rsidP="008B0305"/>
    <w:p w14:paraId="25ADB4CC" w14:textId="018BA88A" w:rsidR="005570CE" w:rsidRDefault="005570CE" w:rsidP="005570CE">
      <w:r>
        <w:t>The first section has explored the financial risk</w:t>
      </w:r>
      <w:r w:rsidR="00C5005F">
        <w:t>s</w:t>
      </w:r>
      <w:r>
        <w:t xml:space="preserve"> and identif</w:t>
      </w:r>
      <w:r w:rsidR="00C5005F">
        <w:t>ied them</w:t>
      </w:r>
      <w:r>
        <w:t xml:space="preserve">, assessing their severity, and </w:t>
      </w:r>
      <w:r w:rsidR="00C5005F">
        <w:t xml:space="preserve">now the organisation must </w:t>
      </w:r>
      <w:r>
        <w:t>decid</w:t>
      </w:r>
      <w:r w:rsidR="00C5005F">
        <w:t>e</w:t>
      </w:r>
      <w:r>
        <w:t xml:space="preserve"> how to mitigate them (Corporate Finance Institute, 2023). </w:t>
      </w:r>
      <w:r w:rsidR="00C5005F">
        <w:t>Furthermore</w:t>
      </w:r>
      <w:r>
        <w:t xml:space="preserve">, the implementation of the chosen mitigation strategy must be monitored and adjusted if necessary (Hiles, 2012). </w:t>
      </w:r>
      <w:r w:rsidR="00C5005F">
        <w:t>T</w:t>
      </w:r>
      <w:r>
        <w:t>he current financial situation</w:t>
      </w:r>
      <w:r w:rsidR="00C5005F">
        <w:t xml:space="preserve"> was assessed</w:t>
      </w:r>
      <w:r>
        <w:t xml:space="preserve">, </w:t>
      </w:r>
      <w:r w:rsidR="00C5005F">
        <w:t>and also</w:t>
      </w:r>
      <w:r>
        <w:t xml:space="preserve"> the reasons behind the decrease in profitability</w:t>
      </w:r>
      <w:r w:rsidR="00C5005F">
        <w:t>.</w:t>
      </w:r>
      <w:r w:rsidR="003C23C4">
        <w:t xml:space="preserve"> It is clear that the </w:t>
      </w:r>
      <w:r w:rsidR="003C23C4" w:rsidRPr="00562F02">
        <w:t xml:space="preserve">COVID-19 </w:t>
      </w:r>
      <w:r w:rsidR="003C23C4">
        <w:t>pandemic</w:t>
      </w:r>
      <w:r w:rsidR="003C23C4" w:rsidRPr="00562F02">
        <w:t xml:space="preserve"> </w:t>
      </w:r>
      <w:r w:rsidR="003C23C4">
        <w:t>has caused heavy losses (</w:t>
      </w:r>
      <w:r w:rsidRPr="006A7447">
        <w:t>Wut</w:t>
      </w:r>
      <w:r w:rsidR="000B69F5">
        <w:t>,</w:t>
      </w:r>
      <w:r>
        <w:t xml:space="preserve"> </w:t>
      </w:r>
      <w:r w:rsidR="000B69F5" w:rsidRPr="006A7447">
        <w:t xml:space="preserve">Xu, </w:t>
      </w:r>
      <w:r w:rsidR="000B69F5">
        <w:t>and</w:t>
      </w:r>
      <w:r w:rsidR="000B69F5" w:rsidRPr="006A7447">
        <w:t xml:space="preserve"> Wong</w:t>
      </w:r>
      <w:r w:rsidR="003C23C4">
        <w:t xml:space="preserve">, </w:t>
      </w:r>
      <w:r w:rsidRPr="006A7447">
        <w:t>2021)</w:t>
      </w:r>
      <w:r>
        <w:t xml:space="preserve"> </w:t>
      </w:r>
      <w:r w:rsidR="003F7347">
        <w:t xml:space="preserve">and </w:t>
      </w:r>
      <w:r>
        <w:t>the hospitality companies are facing an increased need for effective c</w:t>
      </w:r>
      <w:r w:rsidRPr="00562F02">
        <w:t>risis management, incorporating disaster management and risk management</w:t>
      </w:r>
      <w:r>
        <w:t xml:space="preserve">. The financial issues </w:t>
      </w:r>
      <w:r w:rsidR="003F7347">
        <w:t>we</w:t>
      </w:r>
      <w:r>
        <w:t>re identified using financial analysis ratios that evaluate</w:t>
      </w:r>
      <w:r w:rsidR="003F7347">
        <w:t>d</w:t>
      </w:r>
      <w:r>
        <w:t xml:space="preserve"> profitability and liquidity such as gross profit ratio, current ratio, and debt-to-equity ratio.</w:t>
      </w:r>
    </w:p>
    <w:p w14:paraId="3612116D" w14:textId="77777777" w:rsidR="00562F02" w:rsidRDefault="00562F02" w:rsidP="00562F02"/>
    <w:p w14:paraId="54B4774D" w14:textId="71AE4553" w:rsidR="00D1522D" w:rsidRDefault="00F7222D" w:rsidP="00F7222D">
      <w:pPr>
        <w:pStyle w:val="Heading1"/>
      </w:pPr>
      <w:bookmarkStart w:id="4" w:name="_Toc159940497"/>
      <w:r>
        <w:t>T</w:t>
      </w:r>
      <w:r w:rsidRPr="00F7222D">
        <w:t>urnaround strategy</w:t>
      </w:r>
      <w:r>
        <w:t xml:space="preserve"> proposal</w:t>
      </w:r>
      <w:bookmarkEnd w:id="4"/>
    </w:p>
    <w:p w14:paraId="51EBE922" w14:textId="77777777" w:rsidR="001B7B95" w:rsidRDefault="001B7B95" w:rsidP="001B7B95">
      <w:r>
        <w:t xml:space="preserve">According to </w:t>
      </w:r>
      <w:r w:rsidRPr="00B66E1B">
        <w:t xml:space="preserve">Warner and </w:t>
      </w:r>
      <w:proofErr w:type="spellStart"/>
      <w:r w:rsidRPr="00B66E1B">
        <w:t>Wäger</w:t>
      </w:r>
      <w:proofErr w:type="spellEnd"/>
      <w:r w:rsidRPr="00B66E1B">
        <w:t xml:space="preserve"> </w:t>
      </w:r>
      <w:r>
        <w:t>(</w:t>
      </w:r>
      <w:r w:rsidRPr="00B66E1B">
        <w:t>2019</w:t>
      </w:r>
      <w:r>
        <w:t>), digital transformation involves utilising new digital technologies like mobile, artificial intelligence, cloud computing, blockchain, and the Internet of things (IoT) to enhance customer experience, optimise operations, or develop new business models.</w:t>
      </w:r>
    </w:p>
    <w:p w14:paraId="625B8EDF" w14:textId="77777777" w:rsidR="001B7B95" w:rsidRDefault="001B7B95" w:rsidP="001B7B95">
      <w:r>
        <w:t>Diversification is a challenging concept considering that, according to Dhir and Dhir (2015), by focusing on technical proficiency, market expertise, or both, companies have expanded the limits of their company, resulting in conglomerate, vertical, concentric, or horizontal diversification (Ansoff, 1957). According to Laurila and Ropponen (2003), there is limited flexibility in horizontal diversification because the enterprises are still subject to the same cyclical fluctuations and competitive pressures because they operate in the same economic environment (Wiersema and Bowen, 2008). Increased market power and scale efficiency can be attained primarily through synergy and technological range expansion (</w:t>
      </w:r>
      <w:proofErr w:type="spellStart"/>
      <w:r>
        <w:t>Helfat</w:t>
      </w:r>
      <w:proofErr w:type="spellEnd"/>
      <w:r>
        <w:t xml:space="preserve"> and </w:t>
      </w:r>
      <w:proofErr w:type="spellStart"/>
      <w:r>
        <w:t>Eisenhardt</w:t>
      </w:r>
      <w:proofErr w:type="spellEnd"/>
      <w:r>
        <w:t>, 2004). Regulations and industry features have little bearing on the decision, but resource specificity, complete knowledge, and less resistance from organisational structure do (Shaffer and Hillman, 2000).</w:t>
      </w:r>
    </w:p>
    <w:p w14:paraId="63F78D42" w14:textId="77777777" w:rsidR="00F7222D" w:rsidRDefault="00F7222D" w:rsidP="00F7222D"/>
    <w:p w14:paraId="47802FC0" w14:textId="7B54087E" w:rsidR="00F7222D" w:rsidRDefault="00F7222D" w:rsidP="00F7222D">
      <w:pPr>
        <w:pStyle w:val="Heading1"/>
      </w:pPr>
      <w:bookmarkStart w:id="5" w:name="_Toc159940498"/>
      <w:r>
        <w:t>Conclusion</w:t>
      </w:r>
      <w:bookmarkEnd w:id="5"/>
    </w:p>
    <w:p w14:paraId="3D8F118A" w14:textId="77777777" w:rsidR="00031BD6" w:rsidRDefault="00031BD6" w:rsidP="00031BD6"/>
    <w:p w14:paraId="7703ACD5" w14:textId="77777777" w:rsidR="008B0305" w:rsidRDefault="008B0305" w:rsidP="008B0305">
      <w:r>
        <w:t>The case study has offered support to the decision-making of the owner of The Seacrest Lodge to identify a turnaround strategy for improving revenues, occupancy rates, and customer satisfaction, which have been declining in recent years. The Seacrest Lodge with restaurant, bar, and event facilities is situated on a picturesque coastline, and it was once a thriving destination for tourists who needed relaxation and luxury. The market conditions have changed and are currently highly competitive, considering that several newer, more modern resorts have emerged in the vicinity of the Seacrest Lodge, while the company’s service quality has decreased and their amenities have become outdated for changing customer preferences.</w:t>
      </w:r>
    </w:p>
    <w:p w14:paraId="630A56DF" w14:textId="77777777" w:rsidR="008B0305" w:rsidRDefault="008B0305" w:rsidP="008B0305">
      <w:r>
        <w:t>The case study included an assessment of Seacrest Lodge's financial performance over the past three years, identified the key motives behind the decrease in profitability, considered current macro-environmental events that impacted the economy, and proposed a comprehensive turnaround strategy to improve the company’s profitability and brand reputation.</w:t>
      </w:r>
    </w:p>
    <w:p w14:paraId="06C1DC93" w14:textId="1EB38DA5" w:rsidR="00F7222D" w:rsidRPr="00F7222D" w:rsidRDefault="008B0305" w:rsidP="008B0305">
      <w:r>
        <w:t>The company must address market risks by enhancing the customer experience through increased quality of services and digital transformation of the business, meaning that they need to embed digitalization into operations and strategy. The quality of services includes the quality of amenities, food and drink services, and the services offered to customers by the employees. The increase in the quality of hospitality services will address at the same time market risks, operational risks, and financial risks, but it involves significant capital investment.</w:t>
      </w:r>
    </w:p>
    <w:p w14:paraId="34313CD2" w14:textId="77777777" w:rsidR="002D5B80" w:rsidRDefault="002D5B80" w:rsidP="002D5B80"/>
    <w:p w14:paraId="459C0BFF" w14:textId="77777777" w:rsidR="009404AC" w:rsidRDefault="009404AC" w:rsidP="00016AF8">
      <w:pPr>
        <w:jc w:val="left"/>
      </w:pPr>
    </w:p>
    <w:p w14:paraId="3F5D9ACB" w14:textId="77777777" w:rsidR="00F37049" w:rsidRDefault="00F37049" w:rsidP="00016AF8">
      <w:pPr>
        <w:jc w:val="left"/>
      </w:pPr>
    </w:p>
    <w:p w14:paraId="260FF543" w14:textId="77777777" w:rsidR="00F37049" w:rsidRDefault="00F37049" w:rsidP="00016AF8">
      <w:pPr>
        <w:jc w:val="left"/>
      </w:pPr>
    </w:p>
    <w:p w14:paraId="4BE75B6E" w14:textId="77777777" w:rsidR="00F37049" w:rsidRDefault="00F37049" w:rsidP="00016AF8">
      <w:pPr>
        <w:jc w:val="left"/>
      </w:pPr>
    </w:p>
    <w:p w14:paraId="19331613" w14:textId="77777777" w:rsidR="00F37049" w:rsidRDefault="00F37049" w:rsidP="00016AF8">
      <w:pPr>
        <w:jc w:val="left"/>
      </w:pPr>
    </w:p>
    <w:p w14:paraId="28176618" w14:textId="77777777" w:rsidR="00F37049" w:rsidRDefault="00F37049" w:rsidP="00016AF8">
      <w:pPr>
        <w:jc w:val="left"/>
      </w:pPr>
    </w:p>
    <w:p w14:paraId="397E7919" w14:textId="77777777" w:rsidR="00F37049" w:rsidRDefault="00F37049" w:rsidP="00016AF8">
      <w:pPr>
        <w:jc w:val="left"/>
      </w:pPr>
    </w:p>
    <w:p w14:paraId="3246BE73" w14:textId="77777777" w:rsidR="00F37049" w:rsidRDefault="00F37049" w:rsidP="00016AF8">
      <w:pPr>
        <w:jc w:val="left"/>
      </w:pPr>
    </w:p>
    <w:p w14:paraId="67CB72C0" w14:textId="77777777" w:rsidR="008B0305" w:rsidRDefault="008B0305" w:rsidP="00016AF8">
      <w:pPr>
        <w:jc w:val="left"/>
      </w:pPr>
    </w:p>
    <w:p w14:paraId="1EE0ED53" w14:textId="565894AA" w:rsidR="009404AC" w:rsidRDefault="009404AC" w:rsidP="009404AC">
      <w:pPr>
        <w:pStyle w:val="Heading1"/>
      </w:pPr>
      <w:bookmarkStart w:id="6" w:name="_Toc159940499"/>
      <w:r>
        <w:t>References</w:t>
      </w:r>
      <w:bookmarkEnd w:id="6"/>
    </w:p>
    <w:p w14:paraId="67094D10" w14:textId="77777777" w:rsidR="008B0305" w:rsidRDefault="008B0305" w:rsidP="00327723">
      <w:r w:rsidRPr="00527DFE">
        <w:t>Ansoff, H.I.</w:t>
      </w:r>
      <w:r>
        <w:t xml:space="preserve"> (</w:t>
      </w:r>
      <w:r w:rsidRPr="00527DFE">
        <w:t>1957</w:t>
      </w:r>
      <w:r>
        <w:t>)</w:t>
      </w:r>
      <w:r w:rsidRPr="00527DFE">
        <w:t xml:space="preserve"> </w:t>
      </w:r>
      <w:r>
        <w:t>‘</w:t>
      </w:r>
      <w:r w:rsidRPr="00527DFE">
        <w:t>Strategies for diversification</w:t>
      </w:r>
      <w:r>
        <w:t>’</w:t>
      </w:r>
      <w:r w:rsidRPr="00527DFE">
        <w:t xml:space="preserve">. </w:t>
      </w:r>
      <w:r w:rsidRPr="00527DFE">
        <w:rPr>
          <w:i/>
          <w:iCs/>
        </w:rPr>
        <w:t>Harvard business review</w:t>
      </w:r>
      <w:r w:rsidRPr="00527DFE">
        <w:t>, 35(5), pp.</w:t>
      </w:r>
      <w:r>
        <w:t xml:space="preserve"> </w:t>
      </w:r>
      <w:r w:rsidRPr="00527DFE">
        <w:t>113-124.</w:t>
      </w:r>
      <w:r>
        <w:t xml:space="preserve"> Available at: </w:t>
      </w:r>
      <w:hyperlink r:id="rId8" w:history="1">
        <w:r w:rsidRPr="00ED599E">
          <w:rPr>
            <w:rStyle w:val="Hyperlink"/>
          </w:rPr>
          <w:t>https://www.researchgate.net/profile/Faris-Alshubiri/post/is_there_any_research_article_suggesting_further_study_on_market_penetration_and_market_development/attachment/59d6202279197b807797e9c0/AS:288872320782343@1445883937051/download/2.pdf</w:t>
        </w:r>
      </w:hyperlink>
      <w:r>
        <w:tab/>
      </w:r>
    </w:p>
    <w:p w14:paraId="6ADE5A11" w14:textId="31F40585" w:rsidR="008B0305" w:rsidRDefault="008B0305" w:rsidP="00327723">
      <w:proofErr w:type="spellStart"/>
      <w:r w:rsidRPr="0000521B">
        <w:t>Buhalis</w:t>
      </w:r>
      <w:proofErr w:type="spellEnd"/>
      <w:r w:rsidRPr="0000521B">
        <w:t xml:space="preserve">, D. </w:t>
      </w:r>
      <w:r>
        <w:t>(</w:t>
      </w:r>
      <w:r w:rsidRPr="0000521B">
        <w:t>2000</w:t>
      </w:r>
      <w:r>
        <w:t>)</w:t>
      </w:r>
      <w:r w:rsidRPr="0000521B">
        <w:t xml:space="preserve"> </w:t>
      </w:r>
      <w:r>
        <w:t>‘</w:t>
      </w:r>
      <w:r w:rsidRPr="0000521B">
        <w:t>Marketing the competitive destination of the future</w:t>
      </w:r>
      <w:r>
        <w:t>’</w:t>
      </w:r>
      <w:r w:rsidRPr="0000521B">
        <w:t xml:space="preserve">. </w:t>
      </w:r>
      <w:r w:rsidRPr="0000521B">
        <w:rPr>
          <w:i/>
          <w:iCs/>
        </w:rPr>
        <w:t>Tourism management</w:t>
      </w:r>
      <w:r w:rsidRPr="0000521B">
        <w:t>, 21(1), pp.</w:t>
      </w:r>
      <w:r>
        <w:t xml:space="preserve"> </w:t>
      </w:r>
      <w:r w:rsidRPr="0000521B">
        <w:t>97-116.</w:t>
      </w:r>
      <w:r>
        <w:t xml:space="preserve"> </w:t>
      </w:r>
      <w:r w:rsidR="00995725">
        <w:t xml:space="preserve">Available at: </w:t>
      </w:r>
      <w:hyperlink r:id="rId9" w:history="1">
        <w:r w:rsidRPr="00ED599E">
          <w:rPr>
            <w:rStyle w:val="Hyperlink"/>
          </w:rPr>
          <w:t>https://doi.org/10.1016/S0261-5177(99)00095-3</w:t>
        </w:r>
      </w:hyperlink>
      <w:r>
        <w:t xml:space="preserve"> </w:t>
      </w:r>
    </w:p>
    <w:p w14:paraId="6F3236A8" w14:textId="77777777" w:rsidR="008B0305" w:rsidRDefault="008B0305" w:rsidP="00327723">
      <w:proofErr w:type="spellStart"/>
      <w:r w:rsidRPr="00F2654B">
        <w:t>Buhalis</w:t>
      </w:r>
      <w:proofErr w:type="spellEnd"/>
      <w:r w:rsidRPr="00F2654B">
        <w:t xml:space="preserve">, D. </w:t>
      </w:r>
      <w:r>
        <w:t>(</w:t>
      </w:r>
      <w:r w:rsidRPr="00F2654B">
        <w:t>2003</w:t>
      </w:r>
      <w:r>
        <w:t>)</w:t>
      </w:r>
      <w:r w:rsidRPr="00F2654B">
        <w:t xml:space="preserve"> </w:t>
      </w:r>
      <w:r w:rsidRPr="00F2654B">
        <w:rPr>
          <w:i/>
          <w:iCs/>
        </w:rPr>
        <w:t>eTourism: Information technology for strategic tourism management</w:t>
      </w:r>
      <w:r w:rsidRPr="00F2654B">
        <w:t xml:space="preserve">. </w:t>
      </w:r>
      <w:r>
        <w:t xml:space="preserve">Harlow: </w:t>
      </w:r>
      <w:r w:rsidRPr="00F2654B">
        <w:t xml:space="preserve">Pearson </w:t>
      </w:r>
      <w:r>
        <w:t>E</w:t>
      </w:r>
      <w:r w:rsidRPr="00F2654B">
        <w:t>ducation</w:t>
      </w:r>
      <w:r>
        <w:t xml:space="preserve"> Limited</w:t>
      </w:r>
      <w:r w:rsidRPr="00F2654B">
        <w:t>.</w:t>
      </w:r>
    </w:p>
    <w:p w14:paraId="7467CE3A" w14:textId="77777777" w:rsidR="008B0305" w:rsidRDefault="008B0305" w:rsidP="00327723">
      <w:r>
        <w:t xml:space="preserve">Corporate Finance Institute (2023) </w:t>
      </w:r>
      <w:r w:rsidRPr="002B7DA2">
        <w:rPr>
          <w:i/>
          <w:iCs/>
        </w:rPr>
        <w:t>Financial Risk Management Process</w:t>
      </w:r>
      <w:r>
        <w:t xml:space="preserve">. Available at: </w:t>
      </w:r>
      <w:hyperlink r:id="rId10" w:anchor=":~:text=The%20financial%20risk%20process%20includes,implemented%20to%20manage%20the%20risk" w:history="1">
        <w:r w:rsidRPr="00ED599E">
          <w:rPr>
            <w:rStyle w:val="Hyperlink"/>
          </w:rPr>
          <w:t>https://corporatefinanceinstitute.com/resources/career-map/sell-side/risk-management/financial-risk-management-process/#:~:text=The%20financial%20risk%20process%20includes,implemented%20to%20manage%20the%20risk</w:t>
        </w:r>
      </w:hyperlink>
      <w:r w:rsidRPr="00327723">
        <w:t>.</w:t>
      </w:r>
      <w:r>
        <w:t xml:space="preserve"> (Accessed: 17 February 2024)</w:t>
      </w:r>
    </w:p>
    <w:p w14:paraId="4D5F895F" w14:textId="77777777" w:rsidR="008B0305" w:rsidRDefault="008B0305" w:rsidP="00327723">
      <w:r>
        <w:t>Corporate Finance Institute (2024)</w:t>
      </w:r>
      <w:r w:rsidRPr="00034011">
        <w:t xml:space="preserve"> </w:t>
      </w:r>
      <w:r w:rsidRPr="00034011">
        <w:rPr>
          <w:i/>
          <w:iCs/>
        </w:rPr>
        <w:t>What is the Debt to Equity Ratio?</w:t>
      </w:r>
      <w:r>
        <w:t xml:space="preserve">. Available at: </w:t>
      </w:r>
      <w:hyperlink r:id="rId11" w:history="1">
        <w:r w:rsidRPr="00ED599E">
          <w:rPr>
            <w:rStyle w:val="Hyperlink"/>
          </w:rPr>
          <w:t>https://corporatefinanceinstitute.com/resources/commercial-lending/debt-to-equity-ratio-formula/</w:t>
        </w:r>
      </w:hyperlink>
      <w:r>
        <w:t xml:space="preserve"> (Accessed: 17 February 2024)</w:t>
      </w:r>
    </w:p>
    <w:p w14:paraId="6525D68E" w14:textId="79848718" w:rsidR="008B0305" w:rsidRDefault="008B0305" w:rsidP="00016AF8">
      <w:pPr>
        <w:jc w:val="left"/>
      </w:pPr>
      <w:r w:rsidRPr="00527DFE">
        <w:t xml:space="preserve">Dhir, S. and Dhir, S. </w:t>
      </w:r>
      <w:r>
        <w:t>(</w:t>
      </w:r>
      <w:r w:rsidRPr="00527DFE">
        <w:t>2015</w:t>
      </w:r>
      <w:r>
        <w:t>)</w:t>
      </w:r>
      <w:r w:rsidRPr="00527DFE">
        <w:t xml:space="preserve"> </w:t>
      </w:r>
      <w:r>
        <w:t>‘</w:t>
      </w:r>
      <w:r w:rsidRPr="00527DFE">
        <w:t>Diversification: Literature review and issues</w:t>
      </w:r>
      <w:r>
        <w:t>’</w:t>
      </w:r>
      <w:r w:rsidRPr="00527DFE">
        <w:t xml:space="preserve">. </w:t>
      </w:r>
      <w:r w:rsidRPr="00527DFE">
        <w:rPr>
          <w:i/>
          <w:iCs/>
        </w:rPr>
        <w:t>Strategic Change</w:t>
      </w:r>
      <w:r w:rsidRPr="00527DFE">
        <w:t>, 24(6), pp.</w:t>
      </w:r>
      <w:r>
        <w:t xml:space="preserve"> </w:t>
      </w:r>
      <w:r w:rsidRPr="00527DFE">
        <w:t>569-588.</w:t>
      </w:r>
      <w:r>
        <w:t xml:space="preserve"> </w:t>
      </w:r>
      <w:r w:rsidR="00995725">
        <w:t xml:space="preserve">Available at: </w:t>
      </w:r>
      <w:r w:rsidRPr="00527DFE">
        <w:t>DOI: 10.1002/</w:t>
      </w:r>
      <w:proofErr w:type="spellStart"/>
      <w:r w:rsidRPr="00527DFE">
        <w:t>jsc.2042</w:t>
      </w:r>
      <w:proofErr w:type="spellEnd"/>
      <w:r>
        <w:t xml:space="preserve"> </w:t>
      </w:r>
    </w:p>
    <w:p w14:paraId="77A4E5A4" w14:textId="1F4F0559" w:rsidR="008B0305" w:rsidRDefault="008B0305" w:rsidP="00327723">
      <w:proofErr w:type="spellStart"/>
      <w:r w:rsidRPr="009D23F9">
        <w:t>Helfat</w:t>
      </w:r>
      <w:proofErr w:type="spellEnd"/>
      <w:r w:rsidRPr="009D23F9">
        <w:t xml:space="preserve">, C.E. and </w:t>
      </w:r>
      <w:proofErr w:type="spellStart"/>
      <w:r w:rsidRPr="009D23F9">
        <w:t>Eisenhardt</w:t>
      </w:r>
      <w:proofErr w:type="spellEnd"/>
      <w:r w:rsidRPr="009D23F9">
        <w:t>, K.M.</w:t>
      </w:r>
      <w:r>
        <w:t xml:space="preserve"> (</w:t>
      </w:r>
      <w:r w:rsidRPr="009D23F9">
        <w:t>2004</w:t>
      </w:r>
      <w:r>
        <w:t>)</w:t>
      </w:r>
      <w:r w:rsidRPr="009D23F9">
        <w:t xml:space="preserve"> </w:t>
      </w:r>
      <w:r>
        <w:t>‘</w:t>
      </w:r>
      <w:r w:rsidRPr="009D23F9">
        <w:t>Inter‐temporal economies of scope, organizational modularity, and the dynamics of diversification</w:t>
      </w:r>
      <w:r>
        <w:t>’</w:t>
      </w:r>
      <w:r w:rsidRPr="009D23F9">
        <w:t xml:space="preserve">. </w:t>
      </w:r>
      <w:r w:rsidRPr="009D23F9">
        <w:rPr>
          <w:i/>
          <w:iCs/>
        </w:rPr>
        <w:t>Strategic Management Journal</w:t>
      </w:r>
      <w:r w:rsidRPr="009D23F9">
        <w:t>, 25(13), pp.</w:t>
      </w:r>
      <w:r>
        <w:t xml:space="preserve"> </w:t>
      </w:r>
      <w:r w:rsidRPr="009D23F9">
        <w:t>1217-1232.</w:t>
      </w:r>
      <w:r>
        <w:t xml:space="preserve"> </w:t>
      </w:r>
      <w:r w:rsidR="004B7E8C">
        <w:t xml:space="preserve">Available at: </w:t>
      </w:r>
      <w:hyperlink r:id="rId12" w:history="1">
        <w:r w:rsidRPr="00ED599E">
          <w:rPr>
            <w:rStyle w:val="Hyperlink"/>
          </w:rPr>
          <w:t>https://doi.org/10.1002/smj.427</w:t>
        </w:r>
      </w:hyperlink>
      <w:r>
        <w:tab/>
      </w:r>
    </w:p>
    <w:p w14:paraId="0C0ABF8A" w14:textId="77777777" w:rsidR="008B0305" w:rsidRDefault="008B0305" w:rsidP="00327723">
      <w:r w:rsidRPr="00723EAA">
        <w:t>Hiles, A.</w:t>
      </w:r>
      <w:r>
        <w:t xml:space="preserve"> (</w:t>
      </w:r>
      <w:r w:rsidRPr="00723EAA">
        <w:t>2012</w:t>
      </w:r>
      <w:r>
        <w:t>)</w:t>
      </w:r>
      <w:r w:rsidRPr="00723EAA">
        <w:t xml:space="preserve"> </w:t>
      </w:r>
      <w:r w:rsidRPr="00723EAA">
        <w:rPr>
          <w:i/>
          <w:iCs/>
        </w:rPr>
        <w:t>Enterprise risk management. The definitive handbook of business continuity management</w:t>
      </w:r>
      <w:r>
        <w:t>. 3</w:t>
      </w:r>
      <w:r w:rsidRPr="00723EAA">
        <w:rPr>
          <w:vertAlign w:val="superscript"/>
        </w:rPr>
        <w:t>rd</w:t>
      </w:r>
      <w:r>
        <w:t xml:space="preserve"> </w:t>
      </w:r>
      <w:proofErr w:type="spellStart"/>
      <w:r>
        <w:t>edn</w:t>
      </w:r>
      <w:proofErr w:type="spellEnd"/>
      <w:r>
        <w:t xml:space="preserve">. Hoboken, New Jersey: </w:t>
      </w:r>
      <w:r w:rsidRPr="00723EAA">
        <w:t>John Wiley &amp; Sons, Ltd</w:t>
      </w:r>
    </w:p>
    <w:p w14:paraId="1362C775" w14:textId="77777777" w:rsidR="008B0305" w:rsidRDefault="008B0305" w:rsidP="00327723">
      <w:r w:rsidRPr="00F2654B">
        <w:t xml:space="preserve">Johnson, J., Whittington, R., </w:t>
      </w:r>
      <w:proofErr w:type="spellStart"/>
      <w:r w:rsidRPr="00F2654B">
        <w:t>Regnér</w:t>
      </w:r>
      <w:proofErr w:type="spellEnd"/>
      <w:r w:rsidRPr="00F2654B">
        <w:t xml:space="preserve">, P., Angwin, D., Johnson, G. and Scholes, K. </w:t>
      </w:r>
      <w:r>
        <w:t>(</w:t>
      </w:r>
      <w:r w:rsidRPr="00F2654B">
        <w:t>2020</w:t>
      </w:r>
      <w:r>
        <w:t>)</w:t>
      </w:r>
      <w:r w:rsidRPr="00F2654B">
        <w:t xml:space="preserve"> </w:t>
      </w:r>
      <w:r w:rsidRPr="00F2654B">
        <w:rPr>
          <w:i/>
          <w:iCs/>
        </w:rPr>
        <w:t>Exploring strategy</w:t>
      </w:r>
      <w:r w:rsidRPr="00F2654B">
        <w:t xml:space="preserve">. </w:t>
      </w:r>
      <w:r>
        <w:t>12</w:t>
      </w:r>
      <w:r w:rsidRPr="00F2654B">
        <w:rPr>
          <w:vertAlign w:val="superscript"/>
        </w:rPr>
        <w:t>th</w:t>
      </w:r>
      <w:r>
        <w:t xml:space="preserve"> </w:t>
      </w:r>
      <w:proofErr w:type="spellStart"/>
      <w:r>
        <w:t>edn</w:t>
      </w:r>
      <w:proofErr w:type="spellEnd"/>
      <w:r>
        <w:t xml:space="preserve">. Harlow: </w:t>
      </w:r>
      <w:r w:rsidRPr="00F2654B">
        <w:t>Pearson UK.</w:t>
      </w:r>
    </w:p>
    <w:p w14:paraId="4F8AA16E" w14:textId="358CE11A" w:rsidR="008B0305" w:rsidRDefault="008B0305" w:rsidP="00327723">
      <w:r w:rsidRPr="00CC515A">
        <w:t>Jones, P.</w:t>
      </w:r>
      <w:r>
        <w:t xml:space="preserve"> (</w:t>
      </w:r>
      <w:r w:rsidRPr="00CC515A">
        <w:t>1999</w:t>
      </w:r>
      <w:r>
        <w:t>)</w:t>
      </w:r>
      <w:r w:rsidRPr="00CC515A">
        <w:t xml:space="preserve"> </w:t>
      </w:r>
      <w:r>
        <w:t>‘</w:t>
      </w:r>
      <w:r w:rsidRPr="00CC515A">
        <w:t>Operational issues and trends in the hospitality industry</w:t>
      </w:r>
      <w:r>
        <w:t>’</w:t>
      </w:r>
      <w:r w:rsidRPr="00CC515A">
        <w:t xml:space="preserve">. </w:t>
      </w:r>
      <w:r w:rsidRPr="00CC515A">
        <w:rPr>
          <w:i/>
          <w:iCs/>
        </w:rPr>
        <w:t>International Journal of Hospitality Management</w:t>
      </w:r>
      <w:r w:rsidRPr="00CC515A">
        <w:t>, 18(4), pp.</w:t>
      </w:r>
      <w:r>
        <w:t xml:space="preserve"> </w:t>
      </w:r>
      <w:r w:rsidRPr="00CC515A">
        <w:t>427-442.</w:t>
      </w:r>
      <w:r>
        <w:t xml:space="preserve"> </w:t>
      </w:r>
      <w:r w:rsidR="004B7E8C">
        <w:t xml:space="preserve">Available at: </w:t>
      </w:r>
      <w:hyperlink r:id="rId13" w:history="1">
        <w:r w:rsidRPr="00BF64A7">
          <w:rPr>
            <w:rStyle w:val="Hyperlink"/>
          </w:rPr>
          <w:t>https://doi.org/10.1016/S0278-4319(99)00047-X</w:t>
        </w:r>
      </w:hyperlink>
      <w:r>
        <w:t xml:space="preserve"> </w:t>
      </w:r>
    </w:p>
    <w:p w14:paraId="145FCF35" w14:textId="3A82E45B" w:rsidR="008B0305" w:rsidRPr="00016AF8" w:rsidRDefault="008B0305" w:rsidP="00016AF8">
      <w:pPr>
        <w:jc w:val="left"/>
      </w:pPr>
      <w:r w:rsidRPr="006F4BA5">
        <w:t>Laurila</w:t>
      </w:r>
      <w:r>
        <w:t>,</w:t>
      </w:r>
      <w:r w:rsidRPr="006F4BA5">
        <w:t xml:space="preserve"> J</w:t>
      </w:r>
      <w:r>
        <w:t>.</w:t>
      </w:r>
      <w:r w:rsidRPr="006F4BA5">
        <w:t xml:space="preserve">, </w:t>
      </w:r>
      <w:r>
        <w:t xml:space="preserve">and </w:t>
      </w:r>
      <w:r w:rsidRPr="006F4BA5">
        <w:t>Ropponen</w:t>
      </w:r>
      <w:r>
        <w:t>,</w:t>
      </w:r>
      <w:r w:rsidRPr="006F4BA5">
        <w:t xml:space="preserve"> M. </w:t>
      </w:r>
      <w:r>
        <w:t>(</w:t>
      </w:r>
      <w:r w:rsidRPr="006F4BA5">
        <w:t>2003</w:t>
      </w:r>
      <w:r>
        <w:t>)</w:t>
      </w:r>
      <w:r w:rsidRPr="006F4BA5">
        <w:t xml:space="preserve"> </w:t>
      </w:r>
      <w:r>
        <w:t>‘</w:t>
      </w:r>
      <w:r w:rsidRPr="006F4BA5">
        <w:t>Institutional conditioning of foreign expansion: Some evidence from Finnish based paper industry firms 1994–2000</w:t>
      </w:r>
      <w:r>
        <w:t>’</w:t>
      </w:r>
      <w:r w:rsidRPr="006F4BA5">
        <w:t xml:space="preserve">. </w:t>
      </w:r>
      <w:r w:rsidRPr="006F4BA5">
        <w:rPr>
          <w:i/>
          <w:iCs/>
        </w:rPr>
        <w:t>Journal of Management Studies</w:t>
      </w:r>
      <w:r>
        <w:rPr>
          <w:i/>
          <w:iCs/>
        </w:rPr>
        <w:t>,</w:t>
      </w:r>
      <w:r w:rsidRPr="006F4BA5">
        <w:t xml:space="preserve"> 40</w:t>
      </w:r>
      <w:r>
        <w:t>, pp:</w:t>
      </w:r>
      <w:r w:rsidRPr="006F4BA5">
        <w:t xml:space="preserve"> 725–751.</w:t>
      </w:r>
      <w:r>
        <w:t xml:space="preserve"> </w:t>
      </w:r>
      <w:r w:rsidR="00091AFB">
        <w:t xml:space="preserve">Available at: </w:t>
      </w:r>
      <w:hyperlink r:id="rId14" w:history="1">
        <w:r w:rsidRPr="00ED599E">
          <w:rPr>
            <w:rStyle w:val="Hyperlink"/>
          </w:rPr>
          <w:t>https://doi.org/10.1111/1467-6486.00358</w:t>
        </w:r>
      </w:hyperlink>
      <w:r>
        <w:t xml:space="preserve"> </w:t>
      </w:r>
    </w:p>
    <w:p w14:paraId="3A9CDA5A" w14:textId="4A7F53AB" w:rsidR="008B0305" w:rsidRDefault="008B0305" w:rsidP="00327723">
      <w:r w:rsidRPr="00D63701">
        <w:t>Nicolau, J.L. and Sellers, R.</w:t>
      </w:r>
      <w:r>
        <w:t xml:space="preserve"> (</w:t>
      </w:r>
      <w:r w:rsidRPr="00D63701">
        <w:t>2011</w:t>
      </w:r>
      <w:r>
        <w:t>)</w:t>
      </w:r>
      <w:r w:rsidRPr="00D63701">
        <w:t xml:space="preserve"> </w:t>
      </w:r>
      <w:r>
        <w:t>‘</w:t>
      </w:r>
      <w:r w:rsidRPr="00D63701">
        <w:t>The effect of quality on hotel risk</w:t>
      </w:r>
      <w:r>
        <w:t>’</w:t>
      </w:r>
      <w:r w:rsidRPr="00D63701">
        <w:t xml:space="preserve">. </w:t>
      </w:r>
      <w:r w:rsidRPr="00D63701">
        <w:rPr>
          <w:i/>
          <w:iCs/>
        </w:rPr>
        <w:t>Tourism Economics</w:t>
      </w:r>
      <w:r w:rsidRPr="00D63701">
        <w:t>, 17(1), pp.</w:t>
      </w:r>
      <w:r>
        <w:t xml:space="preserve"> </w:t>
      </w:r>
      <w:r w:rsidRPr="00D63701">
        <w:t>39-52.</w:t>
      </w:r>
      <w:r>
        <w:t xml:space="preserve"> </w:t>
      </w:r>
      <w:r w:rsidR="00091AFB">
        <w:t xml:space="preserve">Available at: </w:t>
      </w:r>
      <w:hyperlink r:id="rId15" w:history="1">
        <w:r w:rsidRPr="00BF64A7">
          <w:rPr>
            <w:rStyle w:val="Hyperlink"/>
          </w:rPr>
          <w:t>https://doi.org/10.5367/te.2011.0021</w:t>
        </w:r>
      </w:hyperlink>
      <w:r>
        <w:t xml:space="preserve"> </w:t>
      </w:r>
    </w:p>
    <w:p w14:paraId="2E718E15" w14:textId="11B9B472" w:rsidR="008B0305" w:rsidRDefault="008B0305" w:rsidP="00327723">
      <w:r w:rsidRPr="00AB4E34">
        <w:t xml:space="preserve">Pandita, D. and Ray, S. </w:t>
      </w:r>
      <w:r>
        <w:t>(</w:t>
      </w:r>
      <w:r w:rsidRPr="00AB4E34">
        <w:t>2018</w:t>
      </w:r>
      <w:r>
        <w:t>)</w:t>
      </w:r>
      <w:r w:rsidRPr="00AB4E34">
        <w:t xml:space="preserve"> </w:t>
      </w:r>
      <w:r>
        <w:t>‘</w:t>
      </w:r>
      <w:r w:rsidRPr="00AB4E34">
        <w:t>Talent management and employee engagement–a meta-analysis of their impact on talent retention</w:t>
      </w:r>
      <w:r>
        <w:t>’</w:t>
      </w:r>
      <w:r w:rsidRPr="00AB4E34">
        <w:t xml:space="preserve">. </w:t>
      </w:r>
      <w:r w:rsidRPr="00AB4E34">
        <w:rPr>
          <w:i/>
          <w:iCs/>
        </w:rPr>
        <w:t>Industrial and Commercial Training</w:t>
      </w:r>
      <w:r w:rsidRPr="00AB4E34">
        <w:t>, 50(4), pp.</w:t>
      </w:r>
      <w:r>
        <w:t xml:space="preserve"> </w:t>
      </w:r>
      <w:r w:rsidRPr="00AB4E34">
        <w:t>185-199.</w:t>
      </w:r>
      <w:r>
        <w:t xml:space="preserve"> </w:t>
      </w:r>
      <w:r w:rsidR="00091AFB">
        <w:t xml:space="preserve">Available at: </w:t>
      </w:r>
      <w:hyperlink r:id="rId16" w:history="1">
        <w:r w:rsidRPr="00BF64A7">
          <w:rPr>
            <w:rStyle w:val="Hyperlink"/>
          </w:rPr>
          <w:t>https://doi.org/10.1108/ICT-09-2017-0073</w:t>
        </w:r>
      </w:hyperlink>
      <w:r>
        <w:t xml:space="preserve"> </w:t>
      </w:r>
    </w:p>
    <w:p w14:paraId="556477DF" w14:textId="37F2DB3C" w:rsidR="008B0305" w:rsidRDefault="008B0305" w:rsidP="00327723">
      <w:r w:rsidRPr="00D16C67">
        <w:t xml:space="preserve">Saleem, Q. and Rehman, R.U. </w:t>
      </w:r>
      <w:r>
        <w:t>(</w:t>
      </w:r>
      <w:r w:rsidRPr="00D16C67">
        <w:t>2011</w:t>
      </w:r>
      <w:r>
        <w:t>)</w:t>
      </w:r>
      <w:r w:rsidRPr="00D16C67">
        <w:t xml:space="preserve"> </w:t>
      </w:r>
      <w:r>
        <w:t>‘</w:t>
      </w:r>
      <w:r w:rsidRPr="00D16C67">
        <w:t>Impacts of liquidity ratios on profitability</w:t>
      </w:r>
      <w:r>
        <w:t>’</w:t>
      </w:r>
      <w:r w:rsidRPr="00D16C67">
        <w:t xml:space="preserve">. </w:t>
      </w:r>
      <w:r w:rsidRPr="00D16C67">
        <w:rPr>
          <w:i/>
          <w:iCs/>
        </w:rPr>
        <w:t>Interdisciplinary journal of research in business</w:t>
      </w:r>
      <w:r w:rsidRPr="00D16C67">
        <w:t>, 1(7), pp.</w:t>
      </w:r>
      <w:r>
        <w:t xml:space="preserve"> </w:t>
      </w:r>
      <w:r w:rsidRPr="00D16C67">
        <w:t>95-98.</w:t>
      </w:r>
      <w:r w:rsidR="00091AFB">
        <w:t xml:space="preserve"> Available at: </w:t>
      </w:r>
      <w:hyperlink r:id="rId17" w:history="1">
        <w:r w:rsidR="00091AFB" w:rsidRPr="0004366B">
          <w:rPr>
            <w:rStyle w:val="Hyperlink"/>
          </w:rPr>
          <w:t>https://www.academia.edu/download/42820999/idjrb7n9.pdf</w:t>
        </w:r>
      </w:hyperlink>
      <w:r w:rsidR="00091AFB">
        <w:t xml:space="preserve"> </w:t>
      </w:r>
    </w:p>
    <w:p w14:paraId="0A57815A" w14:textId="1907480E" w:rsidR="008B0305" w:rsidRDefault="008B0305" w:rsidP="00327723">
      <w:r w:rsidRPr="006A1AB9">
        <w:t xml:space="preserve">Shaffer, B. and Hillman, A.J. </w:t>
      </w:r>
      <w:r>
        <w:t>(</w:t>
      </w:r>
      <w:r w:rsidRPr="006A1AB9">
        <w:t>2000</w:t>
      </w:r>
      <w:r>
        <w:t>)</w:t>
      </w:r>
      <w:r w:rsidRPr="006A1AB9">
        <w:t xml:space="preserve"> </w:t>
      </w:r>
      <w:r>
        <w:t>‘</w:t>
      </w:r>
      <w:r w:rsidRPr="006A1AB9">
        <w:t>The development of business–government strategies by diversified firms</w:t>
      </w:r>
      <w:r>
        <w:t>’</w:t>
      </w:r>
      <w:r w:rsidRPr="006A1AB9">
        <w:t xml:space="preserve">. </w:t>
      </w:r>
      <w:r w:rsidRPr="006A1AB9">
        <w:rPr>
          <w:i/>
          <w:iCs/>
        </w:rPr>
        <w:t>Strategic management journal</w:t>
      </w:r>
      <w:r w:rsidRPr="006A1AB9">
        <w:t>, 21(2), pp.</w:t>
      </w:r>
      <w:r>
        <w:t xml:space="preserve"> </w:t>
      </w:r>
      <w:r w:rsidRPr="006A1AB9">
        <w:t>175-190.</w:t>
      </w:r>
      <w:r>
        <w:t xml:space="preserve"> </w:t>
      </w:r>
      <w:r w:rsidR="001B4CF4">
        <w:t xml:space="preserve">Available at: </w:t>
      </w:r>
      <w:hyperlink r:id="rId18" w:history="1">
        <w:r w:rsidRPr="00ED599E">
          <w:rPr>
            <w:rStyle w:val="Hyperlink"/>
          </w:rPr>
          <w:t>https://doi.org/10.1002/(SICI)1097-0266(200002)21:2%3C175::AID-SMJ86%3E3.0.CO;2-L</w:t>
        </w:r>
      </w:hyperlink>
      <w:r>
        <w:t xml:space="preserve"> </w:t>
      </w:r>
    </w:p>
    <w:p w14:paraId="5A0A1D48" w14:textId="6F1B35FC" w:rsidR="008B0305" w:rsidRDefault="008B0305" w:rsidP="00327723">
      <w:r w:rsidRPr="0020396C">
        <w:t xml:space="preserve">Sparks, B.A., Perkins, H.E. and Buckley, R. </w:t>
      </w:r>
      <w:r>
        <w:t>(</w:t>
      </w:r>
      <w:r w:rsidRPr="0020396C">
        <w:t>2013</w:t>
      </w:r>
      <w:r>
        <w:t>)</w:t>
      </w:r>
      <w:r w:rsidRPr="0020396C">
        <w:t xml:space="preserve"> </w:t>
      </w:r>
      <w:r>
        <w:t>‘</w:t>
      </w:r>
      <w:r w:rsidRPr="0020396C">
        <w:t xml:space="preserve">Online travel reviews as persuasive communication: The effects of content type, source, and certification logos on consumer </w:t>
      </w:r>
      <w:proofErr w:type="spellStart"/>
      <w:r w:rsidRPr="0020396C">
        <w:t>behavior</w:t>
      </w:r>
      <w:proofErr w:type="spellEnd"/>
      <w:r>
        <w:t>’</w:t>
      </w:r>
      <w:r w:rsidRPr="0020396C">
        <w:t xml:space="preserve">. </w:t>
      </w:r>
      <w:r w:rsidRPr="0020396C">
        <w:rPr>
          <w:i/>
          <w:iCs/>
        </w:rPr>
        <w:t>Tourism Management</w:t>
      </w:r>
      <w:r w:rsidRPr="0020396C">
        <w:t>, 39, pp.</w:t>
      </w:r>
      <w:r>
        <w:t xml:space="preserve"> </w:t>
      </w:r>
      <w:r w:rsidRPr="0020396C">
        <w:t>1-9.</w:t>
      </w:r>
      <w:r w:rsidR="003915BF" w:rsidRPr="003915BF">
        <w:t xml:space="preserve"> </w:t>
      </w:r>
      <w:r w:rsidR="003915BF">
        <w:t xml:space="preserve">Available at: </w:t>
      </w:r>
      <w:r>
        <w:t xml:space="preserve"> </w:t>
      </w:r>
      <w:hyperlink r:id="rId19" w:history="1">
        <w:r w:rsidRPr="00ED599E">
          <w:rPr>
            <w:rStyle w:val="Hyperlink"/>
          </w:rPr>
          <w:t>https://doi.org/10.1016/j.tourman.2013.03.007</w:t>
        </w:r>
      </w:hyperlink>
      <w:r>
        <w:t xml:space="preserve"> </w:t>
      </w:r>
    </w:p>
    <w:p w14:paraId="511226DA" w14:textId="23D62B14" w:rsidR="008B0305" w:rsidRPr="00327723" w:rsidRDefault="008B0305" w:rsidP="00327723">
      <w:r w:rsidRPr="0096265B">
        <w:t>Tham, A., Croy, G. and Mair, J.</w:t>
      </w:r>
      <w:r>
        <w:t xml:space="preserve"> (</w:t>
      </w:r>
      <w:r w:rsidRPr="0096265B">
        <w:t>2013</w:t>
      </w:r>
      <w:r>
        <w:t>)</w:t>
      </w:r>
      <w:r w:rsidRPr="0096265B">
        <w:t xml:space="preserve"> </w:t>
      </w:r>
      <w:r>
        <w:t>‘</w:t>
      </w:r>
      <w:r w:rsidRPr="0096265B">
        <w:t>Social media in destination choice: Distinctive electronic word-of-mouth dimensions</w:t>
      </w:r>
      <w:r>
        <w:t>’</w:t>
      </w:r>
      <w:r w:rsidRPr="0096265B">
        <w:t xml:space="preserve">. </w:t>
      </w:r>
      <w:r w:rsidRPr="0096265B">
        <w:rPr>
          <w:i/>
          <w:iCs/>
        </w:rPr>
        <w:t>Journal of Travel &amp; Tourism Marketing</w:t>
      </w:r>
      <w:r w:rsidRPr="0096265B">
        <w:t>, 30(1-2), pp.</w:t>
      </w:r>
      <w:r>
        <w:t xml:space="preserve"> </w:t>
      </w:r>
      <w:r w:rsidRPr="0096265B">
        <w:t>144-155.</w:t>
      </w:r>
      <w:r w:rsidR="003915BF" w:rsidRPr="003915BF">
        <w:t xml:space="preserve"> </w:t>
      </w:r>
      <w:r w:rsidR="003915BF">
        <w:t xml:space="preserve">Available at: </w:t>
      </w:r>
      <w:hyperlink r:id="rId20" w:history="1">
        <w:r w:rsidRPr="00ED599E">
          <w:rPr>
            <w:rStyle w:val="Hyperlink"/>
          </w:rPr>
          <w:t>https://doi.org/10.1080/10548408.2013.751272</w:t>
        </w:r>
      </w:hyperlink>
      <w:r>
        <w:t xml:space="preserve"> </w:t>
      </w:r>
    </w:p>
    <w:p w14:paraId="40694EEA" w14:textId="6A3F6AD7" w:rsidR="008B0305" w:rsidRDefault="008B0305" w:rsidP="00327723">
      <w:r w:rsidRPr="00B66E1B">
        <w:t xml:space="preserve">Warner, K.S. and </w:t>
      </w:r>
      <w:proofErr w:type="spellStart"/>
      <w:r w:rsidRPr="00B66E1B">
        <w:t>Wäger</w:t>
      </w:r>
      <w:proofErr w:type="spellEnd"/>
      <w:r w:rsidRPr="00B66E1B">
        <w:t xml:space="preserve">, M. </w:t>
      </w:r>
      <w:r>
        <w:t>(</w:t>
      </w:r>
      <w:r w:rsidRPr="00B66E1B">
        <w:t>2019</w:t>
      </w:r>
      <w:r>
        <w:t>)</w:t>
      </w:r>
      <w:r w:rsidRPr="00B66E1B">
        <w:t xml:space="preserve"> </w:t>
      </w:r>
      <w:r>
        <w:t>‘</w:t>
      </w:r>
      <w:r w:rsidRPr="00B66E1B">
        <w:t>Building dynamic capabilities for digital transformation: An ongoing process of strategic renewal</w:t>
      </w:r>
      <w:r>
        <w:t>’</w:t>
      </w:r>
      <w:r w:rsidRPr="00B66E1B">
        <w:t xml:space="preserve">. </w:t>
      </w:r>
      <w:r w:rsidRPr="00B66E1B">
        <w:rPr>
          <w:i/>
          <w:iCs/>
        </w:rPr>
        <w:t>Long range planning</w:t>
      </w:r>
      <w:r w:rsidRPr="00B66E1B">
        <w:t>, 52(3), pp.</w:t>
      </w:r>
      <w:r>
        <w:t xml:space="preserve"> </w:t>
      </w:r>
      <w:r w:rsidRPr="00B66E1B">
        <w:t>326-349.</w:t>
      </w:r>
      <w:r>
        <w:t xml:space="preserve"> </w:t>
      </w:r>
      <w:r w:rsidR="003915BF">
        <w:t xml:space="preserve">Available at: </w:t>
      </w:r>
      <w:hyperlink r:id="rId21" w:history="1">
        <w:r w:rsidRPr="00ED599E">
          <w:rPr>
            <w:rStyle w:val="Hyperlink"/>
          </w:rPr>
          <w:t>https://doi.org/10.1016/j.lrp.2018.12.001</w:t>
        </w:r>
      </w:hyperlink>
      <w:r>
        <w:t xml:space="preserve"> </w:t>
      </w:r>
    </w:p>
    <w:p w14:paraId="2305390E" w14:textId="79BD383C" w:rsidR="008B0305" w:rsidRDefault="008B0305" w:rsidP="00327723">
      <w:proofErr w:type="spellStart"/>
      <w:r w:rsidRPr="00CD1C8E">
        <w:t>Wiersema</w:t>
      </w:r>
      <w:proofErr w:type="spellEnd"/>
      <w:r w:rsidRPr="00CD1C8E">
        <w:t xml:space="preserve">, M.F. and Bowen, H.P. </w:t>
      </w:r>
      <w:r>
        <w:t>(</w:t>
      </w:r>
      <w:r w:rsidRPr="00CD1C8E">
        <w:t>2008</w:t>
      </w:r>
      <w:r>
        <w:t>)</w:t>
      </w:r>
      <w:r w:rsidRPr="00CD1C8E">
        <w:t xml:space="preserve"> </w:t>
      </w:r>
      <w:r>
        <w:t>‘</w:t>
      </w:r>
      <w:r w:rsidRPr="00CD1C8E">
        <w:t>Corporate diversification: The impact of foreign competition, industry globalization, and product diversification</w:t>
      </w:r>
      <w:r>
        <w:t>’</w:t>
      </w:r>
      <w:r w:rsidRPr="00CD1C8E">
        <w:t xml:space="preserve">. </w:t>
      </w:r>
      <w:r w:rsidRPr="00CD1C8E">
        <w:rPr>
          <w:i/>
          <w:iCs/>
        </w:rPr>
        <w:t>Strategic Management Journal</w:t>
      </w:r>
      <w:r w:rsidRPr="00CD1C8E">
        <w:t>, 29(2), pp.</w:t>
      </w:r>
      <w:r>
        <w:t xml:space="preserve"> </w:t>
      </w:r>
      <w:r w:rsidRPr="00CD1C8E">
        <w:t>115-132.</w:t>
      </w:r>
      <w:r w:rsidR="003915BF" w:rsidRPr="003915BF">
        <w:t xml:space="preserve"> </w:t>
      </w:r>
      <w:r w:rsidR="003915BF">
        <w:t xml:space="preserve">Available at: </w:t>
      </w:r>
      <w:hyperlink r:id="rId22" w:history="1">
        <w:r w:rsidRPr="00ED599E">
          <w:rPr>
            <w:rStyle w:val="Hyperlink"/>
          </w:rPr>
          <w:t>https://doi.org/10.1002/smj.653</w:t>
        </w:r>
      </w:hyperlink>
      <w:r>
        <w:t xml:space="preserve"> </w:t>
      </w:r>
    </w:p>
    <w:p w14:paraId="1A6AA3F5" w14:textId="4E99136D" w:rsidR="008B0305" w:rsidRDefault="008B0305" w:rsidP="00327723">
      <w:r w:rsidRPr="006A7447">
        <w:t xml:space="preserve">Wut, T. M., Xu, J. B., </w:t>
      </w:r>
      <w:r>
        <w:t>and</w:t>
      </w:r>
      <w:r w:rsidRPr="006A7447">
        <w:t xml:space="preserve"> Wong, S. M. (2021)</w:t>
      </w:r>
      <w:r w:rsidR="003915BF">
        <w:t xml:space="preserve"> </w:t>
      </w:r>
      <w:r>
        <w:t>’</w:t>
      </w:r>
      <w:r w:rsidRPr="006A7447">
        <w:t>Crisis management research (1985-2020) in the hospitality and tourism industry: A review and research agenda</w:t>
      </w:r>
      <w:r>
        <w:t>’</w:t>
      </w:r>
      <w:r w:rsidRPr="006A7447">
        <w:t xml:space="preserve">. </w:t>
      </w:r>
      <w:r w:rsidRPr="006A7447">
        <w:rPr>
          <w:i/>
          <w:iCs/>
        </w:rPr>
        <w:t>Tourism management</w:t>
      </w:r>
      <w:r w:rsidRPr="006A7447">
        <w:t>, 85, 104307.</w:t>
      </w:r>
      <w:r w:rsidR="003915BF" w:rsidRPr="003915BF">
        <w:t xml:space="preserve"> </w:t>
      </w:r>
      <w:r w:rsidR="003915BF">
        <w:t xml:space="preserve">Available at: </w:t>
      </w:r>
      <w:r w:rsidRPr="006A7447">
        <w:t xml:space="preserve"> </w:t>
      </w:r>
      <w:hyperlink r:id="rId23" w:history="1">
        <w:r w:rsidRPr="00ED599E">
          <w:rPr>
            <w:rStyle w:val="Hyperlink"/>
          </w:rPr>
          <w:t>https://doi.org/10.1016/j.tourman.2021.104307</w:t>
        </w:r>
      </w:hyperlink>
    </w:p>
    <w:sectPr w:rsidR="008B0305" w:rsidSect="00F778A5">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27ED9" w14:textId="77777777" w:rsidR="00F778A5" w:rsidRDefault="00F778A5" w:rsidP="002D5B80">
      <w:pPr>
        <w:spacing w:after="0" w:line="240" w:lineRule="auto"/>
      </w:pPr>
      <w:r>
        <w:separator/>
      </w:r>
    </w:p>
  </w:endnote>
  <w:endnote w:type="continuationSeparator" w:id="0">
    <w:p w14:paraId="2711AF52" w14:textId="77777777" w:rsidR="00F778A5" w:rsidRDefault="00F778A5" w:rsidP="002D5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64724"/>
      <w:docPartObj>
        <w:docPartGallery w:val="Page Numbers (Bottom of Page)"/>
        <w:docPartUnique/>
      </w:docPartObj>
    </w:sdtPr>
    <w:sdtEndPr>
      <w:rPr>
        <w:noProof/>
      </w:rPr>
    </w:sdtEndPr>
    <w:sdtContent>
      <w:p w14:paraId="4225BAF0" w14:textId="4C22654F" w:rsidR="002D5B80" w:rsidRDefault="002D5B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FF5DAF" w14:textId="77777777" w:rsidR="002D5B80" w:rsidRDefault="002D5B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5C117" w14:textId="77777777" w:rsidR="00F778A5" w:rsidRDefault="00F778A5" w:rsidP="002D5B80">
      <w:pPr>
        <w:spacing w:after="0" w:line="240" w:lineRule="auto"/>
      </w:pPr>
      <w:r>
        <w:separator/>
      </w:r>
    </w:p>
  </w:footnote>
  <w:footnote w:type="continuationSeparator" w:id="0">
    <w:p w14:paraId="6FE7DA56" w14:textId="77777777" w:rsidR="00F778A5" w:rsidRDefault="00F778A5" w:rsidP="002D5B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11EE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5162DC2"/>
    <w:multiLevelType w:val="hybridMultilevel"/>
    <w:tmpl w:val="14FC6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625587"/>
    <w:multiLevelType w:val="hybridMultilevel"/>
    <w:tmpl w:val="BE5E8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C46136"/>
    <w:multiLevelType w:val="hybridMultilevel"/>
    <w:tmpl w:val="F1140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4D5613"/>
    <w:multiLevelType w:val="hybridMultilevel"/>
    <w:tmpl w:val="764EE83A"/>
    <w:lvl w:ilvl="0" w:tplc="08090001">
      <w:start w:val="1"/>
      <w:numFmt w:val="bullet"/>
      <w:lvlText w:val=""/>
      <w:lvlJc w:val="left"/>
      <w:pPr>
        <w:ind w:left="780" w:hanging="360"/>
      </w:pPr>
      <w:rPr>
        <w:rFonts w:ascii="Symbol" w:hAnsi="Symbol" w:hint="default"/>
      </w:rPr>
    </w:lvl>
    <w:lvl w:ilvl="1" w:tplc="68D6444C">
      <w:numFmt w:val="bullet"/>
      <w:lvlText w:val="•"/>
      <w:lvlJc w:val="left"/>
      <w:pPr>
        <w:ind w:left="1500" w:hanging="360"/>
      </w:pPr>
      <w:rPr>
        <w:rFonts w:ascii="Times New Roman" w:eastAsiaTheme="minorHAnsi" w:hAnsi="Times New Roman" w:cs="Times New Roman"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760F2C47"/>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83785438">
    <w:abstractNumId w:val="1"/>
  </w:num>
  <w:num w:numId="2" w16cid:durableId="30809856">
    <w:abstractNumId w:val="3"/>
  </w:num>
  <w:num w:numId="3" w16cid:durableId="1761489343">
    <w:abstractNumId w:val="0"/>
  </w:num>
  <w:num w:numId="4" w16cid:durableId="418449999">
    <w:abstractNumId w:val="5"/>
  </w:num>
  <w:num w:numId="5" w16cid:durableId="1202089129">
    <w:abstractNumId w:val="4"/>
  </w:num>
  <w:num w:numId="6" w16cid:durableId="2014055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AF8"/>
    <w:rsid w:val="0000521B"/>
    <w:rsid w:val="0001563C"/>
    <w:rsid w:val="00016AF8"/>
    <w:rsid w:val="00021162"/>
    <w:rsid w:val="00026E6B"/>
    <w:rsid w:val="00031BD6"/>
    <w:rsid w:val="00034011"/>
    <w:rsid w:val="00091AFB"/>
    <w:rsid w:val="000B69F5"/>
    <w:rsid w:val="000D5259"/>
    <w:rsid w:val="00101088"/>
    <w:rsid w:val="00110C75"/>
    <w:rsid w:val="001111EC"/>
    <w:rsid w:val="00120E3E"/>
    <w:rsid w:val="00124B3D"/>
    <w:rsid w:val="00153495"/>
    <w:rsid w:val="001A781C"/>
    <w:rsid w:val="001B4CF4"/>
    <w:rsid w:val="001B7B95"/>
    <w:rsid w:val="001C2328"/>
    <w:rsid w:val="001C334C"/>
    <w:rsid w:val="0020396C"/>
    <w:rsid w:val="00272312"/>
    <w:rsid w:val="002B7DA2"/>
    <w:rsid w:val="002D5B80"/>
    <w:rsid w:val="002F6DCB"/>
    <w:rsid w:val="00327723"/>
    <w:rsid w:val="00366D62"/>
    <w:rsid w:val="003915BF"/>
    <w:rsid w:val="003C23C4"/>
    <w:rsid w:val="003F7347"/>
    <w:rsid w:val="00403E30"/>
    <w:rsid w:val="00405D78"/>
    <w:rsid w:val="00436282"/>
    <w:rsid w:val="00436C3F"/>
    <w:rsid w:val="00452FA2"/>
    <w:rsid w:val="00455225"/>
    <w:rsid w:val="004563F8"/>
    <w:rsid w:val="004624B3"/>
    <w:rsid w:val="00465887"/>
    <w:rsid w:val="004B7E8C"/>
    <w:rsid w:val="004E4864"/>
    <w:rsid w:val="005101D1"/>
    <w:rsid w:val="005163F1"/>
    <w:rsid w:val="00527DFE"/>
    <w:rsid w:val="005570CE"/>
    <w:rsid w:val="00562F02"/>
    <w:rsid w:val="005D0604"/>
    <w:rsid w:val="006279C7"/>
    <w:rsid w:val="00646281"/>
    <w:rsid w:val="00653331"/>
    <w:rsid w:val="0067169E"/>
    <w:rsid w:val="00677F07"/>
    <w:rsid w:val="006852C3"/>
    <w:rsid w:val="006A1AB9"/>
    <w:rsid w:val="006A7447"/>
    <w:rsid w:val="006F12B5"/>
    <w:rsid w:val="006F3843"/>
    <w:rsid w:val="006F4BA5"/>
    <w:rsid w:val="00723EAA"/>
    <w:rsid w:val="00742289"/>
    <w:rsid w:val="007A0173"/>
    <w:rsid w:val="007B25ED"/>
    <w:rsid w:val="00873563"/>
    <w:rsid w:val="008B0305"/>
    <w:rsid w:val="008D4EB2"/>
    <w:rsid w:val="008F1C24"/>
    <w:rsid w:val="009404AC"/>
    <w:rsid w:val="0096265B"/>
    <w:rsid w:val="00976A38"/>
    <w:rsid w:val="00980183"/>
    <w:rsid w:val="0098481A"/>
    <w:rsid w:val="00995725"/>
    <w:rsid w:val="009D23F9"/>
    <w:rsid w:val="00A127C3"/>
    <w:rsid w:val="00A37DB1"/>
    <w:rsid w:val="00A646A8"/>
    <w:rsid w:val="00A66777"/>
    <w:rsid w:val="00AB102B"/>
    <w:rsid w:val="00AB4E34"/>
    <w:rsid w:val="00AF1EB9"/>
    <w:rsid w:val="00B1290F"/>
    <w:rsid w:val="00B525DF"/>
    <w:rsid w:val="00B66E1B"/>
    <w:rsid w:val="00B83169"/>
    <w:rsid w:val="00BA7DE8"/>
    <w:rsid w:val="00C26978"/>
    <w:rsid w:val="00C5005F"/>
    <w:rsid w:val="00C63513"/>
    <w:rsid w:val="00C7603C"/>
    <w:rsid w:val="00CB3C84"/>
    <w:rsid w:val="00CC515A"/>
    <w:rsid w:val="00CC548B"/>
    <w:rsid w:val="00CD1C8E"/>
    <w:rsid w:val="00CE6CA3"/>
    <w:rsid w:val="00D101E9"/>
    <w:rsid w:val="00D1522D"/>
    <w:rsid w:val="00D16C67"/>
    <w:rsid w:val="00D23D97"/>
    <w:rsid w:val="00D25F64"/>
    <w:rsid w:val="00D550BE"/>
    <w:rsid w:val="00D63701"/>
    <w:rsid w:val="00D80129"/>
    <w:rsid w:val="00E770E9"/>
    <w:rsid w:val="00EA384E"/>
    <w:rsid w:val="00EA70D3"/>
    <w:rsid w:val="00EB7245"/>
    <w:rsid w:val="00F253BA"/>
    <w:rsid w:val="00F2654B"/>
    <w:rsid w:val="00F37049"/>
    <w:rsid w:val="00F7222D"/>
    <w:rsid w:val="00F778A5"/>
    <w:rsid w:val="00FE5543"/>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DA400"/>
  <w15:chartTrackingRefBased/>
  <w15:docId w15:val="{52677296-D4E1-4885-8AA2-E8B2DF5CB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AF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016AF8"/>
    <w:pPr>
      <w:keepNext/>
      <w:keepLines/>
      <w:spacing w:before="240" w:after="0"/>
      <w:jc w:val="left"/>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6AF8"/>
    <w:pPr>
      <w:keepNext/>
      <w:keepLines/>
      <w:spacing w:before="40" w:after="0"/>
      <w:jc w:val="left"/>
      <w:outlineLvl w:val="1"/>
    </w:pPr>
    <w:rPr>
      <w:rFonts w:eastAsiaTheme="majorEastAsia"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AF8"/>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16AF8"/>
    <w:rPr>
      <w:rFonts w:ascii="Times New Roman" w:eastAsiaTheme="majorEastAsia" w:hAnsi="Times New Roman"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2F5496"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44546A"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paragraph" w:styleId="Header">
    <w:name w:val="header"/>
    <w:basedOn w:val="Normal"/>
    <w:link w:val="HeaderChar"/>
    <w:uiPriority w:val="99"/>
    <w:unhideWhenUsed/>
    <w:rsid w:val="002D5B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B80"/>
    <w:rPr>
      <w:rFonts w:ascii="Times New Roman" w:hAnsi="Times New Roman"/>
    </w:rPr>
  </w:style>
  <w:style w:type="paragraph" w:styleId="Footer">
    <w:name w:val="footer"/>
    <w:basedOn w:val="Normal"/>
    <w:link w:val="FooterChar"/>
    <w:uiPriority w:val="99"/>
    <w:unhideWhenUsed/>
    <w:rsid w:val="002D5B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B80"/>
    <w:rPr>
      <w:rFonts w:ascii="Times New Roman" w:hAnsi="Times New Roman"/>
    </w:rPr>
  </w:style>
  <w:style w:type="paragraph" w:customStyle="1" w:styleId="Default">
    <w:name w:val="Default"/>
    <w:rsid w:val="009404AC"/>
    <w:pPr>
      <w:autoSpaceDE w:val="0"/>
      <w:autoSpaceDN w:val="0"/>
      <w:adjustRightInd w:val="0"/>
      <w:spacing w:after="0" w:line="240" w:lineRule="auto"/>
    </w:pPr>
    <w:rPr>
      <w:rFonts w:ascii="Arial" w:hAnsi="Arial" w:cs="Arial"/>
      <w:color w:val="000000"/>
      <w:kern w:val="0"/>
    </w:rPr>
  </w:style>
  <w:style w:type="character" w:styleId="Hyperlink">
    <w:name w:val="Hyperlink"/>
    <w:basedOn w:val="DefaultParagraphFont"/>
    <w:uiPriority w:val="99"/>
    <w:unhideWhenUsed/>
    <w:rsid w:val="00327723"/>
    <w:rPr>
      <w:color w:val="0563C1" w:themeColor="hyperlink"/>
      <w:u w:val="single"/>
    </w:rPr>
  </w:style>
  <w:style w:type="character" w:styleId="UnresolvedMention">
    <w:name w:val="Unresolved Mention"/>
    <w:basedOn w:val="DefaultParagraphFont"/>
    <w:uiPriority w:val="99"/>
    <w:semiHidden/>
    <w:unhideWhenUsed/>
    <w:rsid w:val="00327723"/>
    <w:rPr>
      <w:color w:val="605E5C"/>
      <w:shd w:val="clear" w:color="auto" w:fill="E1DFDD"/>
    </w:rPr>
  </w:style>
  <w:style w:type="table" w:styleId="TableGrid">
    <w:name w:val="Table Grid"/>
    <w:basedOn w:val="TableNormal"/>
    <w:uiPriority w:val="59"/>
    <w:rsid w:val="001010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7603C"/>
    <w:pPr>
      <w:spacing w:after="100"/>
    </w:pPr>
  </w:style>
  <w:style w:type="paragraph" w:styleId="TOC2">
    <w:name w:val="toc 2"/>
    <w:basedOn w:val="Normal"/>
    <w:next w:val="Normal"/>
    <w:autoRedefine/>
    <w:uiPriority w:val="39"/>
    <w:unhideWhenUsed/>
    <w:rsid w:val="00C7603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10169">
      <w:bodyDiv w:val="1"/>
      <w:marLeft w:val="0"/>
      <w:marRight w:val="0"/>
      <w:marTop w:val="0"/>
      <w:marBottom w:val="0"/>
      <w:divBdr>
        <w:top w:val="none" w:sz="0" w:space="0" w:color="auto"/>
        <w:left w:val="none" w:sz="0" w:space="0" w:color="auto"/>
        <w:bottom w:val="none" w:sz="0" w:space="0" w:color="auto"/>
        <w:right w:val="none" w:sz="0" w:space="0" w:color="auto"/>
      </w:divBdr>
      <w:divsChild>
        <w:div w:id="515076653">
          <w:marLeft w:val="0"/>
          <w:marRight w:val="0"/>
          <w:marTop w:val="0"/>
          <w:marBottom w:val="0"/>
          <w:divBdr>
            <w:top w:val="none" w:sz="0" w:space="0" w:color="auto"/>
            <w:left w:val="none" w:sz="0" w:space="0" w:color="auto"/>
            <w:bottom w:val="none" w:sz="0" w:space="0" w:color="auto"/>
            <w:right w:val="none" w:sz="0" w:space="0" w:color="auto"/>
          </w:divBdr>
        </w:div>
      </w:divsChild>
    </w:div>
    <w:div w:id="343895931">
      <w:bodyDiv w:val="1"/>
      <w:marLeft w:val="0"/>
      <w:marRight w:val="0"/>
      <w:marTop w:val="0"/>
      <w:marBottom w:val="0"/>
      <w:divBdr>
        <w:top w:val="none" w:sz="0" w:space="0" w:color="auto"/>
        <w:left w:val="none" w:sz="0" w:space="0" w:color="auto"/>
        <w:bottom w:val="none" w:sz="0" w:space="0" w:color="auto"/>
        <w:right w:val="none" w:sz="0" w:space="0" w:color="auto"/>
      </w:divBdr>
    </w:div>
    <w:div w:id="439108047">
      <w:bodyDiv w:val="1"/>
      <w:marLeft w:val="0"/>
      <w:marRight w:val="0"/>
      <w:marTop w:val="0"/>
      <w:marBottom w:val="0"/>
      <w:divBdr>
        <w:top w:val="none" w:sz="0" w:space="0" w:color="auto"/>
        <w:left w:val="none" w:sz="0" w:space="0" w:color="auto"/>
        <w:bottom w:val="none" w:sz="0" w:space="0" w:color="auto"/>
        <w:right w:val="none" w:sz="0" w:space="0" w:color="auto"/>
      </w:divBdr>
    </w:div>
    <w:div w:id="496194280">
      <w:bodyDiv w:val="1"/>
      <w:marLeft w:val="0"/>
      <w:marRight w:val="0"/>
      <w:marTop w:val="0"/>
      <w:marBottom w:val="0"/>
      <w:divBdr>
        <w:top w:val="none" w:sz="0" w:space="0" w:color="auto"/>
        <w:left w:val="none" w:sz="0" w:space="0" w:color="auto"/>
        <w:bottom w:val="none" w:sz="0" w:space="0" w:color="auto"/>
        <w:right w:val="none" w:sz="0" w:space="0" w:color="auto"/>
      </w:divBdr>
    </w:div>
    <w:div w:id="613754013">
      <w:bodyDiv w:val="1"/>
      <w:marLeft w:val="0"/>
      <w:marRight w:val="0"/>
      <w:marTop w:val="0"/>
      <w:marBottom w:val="0"/>
      <w:divBdr>
        <w:top w:val="none" w:sz="0" w:space="0" w:color="auto"/>
        <w:left w:val="none" w:sz="0" w:space="0" w:color="auto"/>
        <w:bottom w:val="none" w:sz="0" w:space="0" w:color="auto"/>
        <w:right w:val="none" w:sz="0" w:space="0" w:color="auto"/>
      </w:divBdr>
    </w:div>
    <w:div w:id="753211492">
      <w:bodyDiv w:val="1"/>
      <w:marLeft w:val="0"/>
      <w:marRight w:val="0"/>
      <w:marTop w:val="0"/>
      <w:marBottom w:val="0"/>
      <w:divBdr>
        <w:top w:val="none" w:sz="0" w:space="0" w:color="auto"/>
        <w:left w:val="none" w:sz="0" w:space="0" w:color="auto"/>
        <w:bottom w:val="none" w:sz="0" w:space="0" w:color="auto"/>
        <w:right w:val="none" w:sz="0" w:space="0" w:color="auto"/>
      </w:divBdr>
    </w:div>
    <w:div w:id="853491973">
      <w:bodyDiv w:val="1"/>
      <w:marLeft w:val="0"/>
      <w:marRight w:val="0"/>
      <w:marTop w:val="0"/>
      <w:marBottom w:val="0"/>
      <w:divBdr>
        <w:top w:val="none" w:sz="0" w:space="0" w:color="auto"/>
        <w:left w:val="none" w:sz="0" w:space="0" w:color="auto"/>
        <w:bottom w:val="none" w:sz="0" w:space="0" w:color="auto"/>
        <w:right w:val="none" w:sz="0" w:space="0" w:color="auto"/>
      </w:divBdr>
    </w:div>
    <w:div w:id="1117290473">
      <w:bodyDiv w:val="1"/>
      <w:marLeft w:val="0"/>
      <w:marRight w:val="0"/>
      <w:marTop w:val="0"/>
      <w:marBottom w:val="0"/>
      <w:divBdr>
        <w:top w:val="none" w:sz="0" w:space="0" w:color="auto"/>
        <w:left w:val="none" w:sz="0" w:space="0" w:color="auto"/>
        <w:bottom w:val="none" w:sz="0" w:space="0" w:color="auto"/>
        <w:right w:val="none" w:sz="0" w:space="0" w:color="auto"/>
      </w:divBdr>
    </w:div>
    <w:div w:id="1224834751">
      <w:bodyDiv w:val="1"/>
      <w:marLeft w:val="0"/>
      <w:marRight w:val="0"/>
      <w:marTop w:val="0"/>
      <w:marBottom w:val="0"/>
      <w:divBdr>
        <w:top w:val="none" w:sz="0" w:space="0" w:color="auto"/>
        <w:left w:val="none" w:sz="0" w:space="0" w:color="auto"/>
        <w:bottom w:val="none" w:sz="0" w:space="0" w:color="auto"/>
        <w:right w:val="none" w:sz="0" w:space="0" w:color="auto"/>
      </w:divBdr>
      <w:divsChild>
        <w:div w:id="1369062635">
          <w:marLeft w:val="0"/>
          <w:marRight w:val="0"/>
          <w:marTop w:val="0"/>
          <w:marBottom w:val="0"/>
          <w:divBdr>
            <w:top w:val="none" w:sz="0" w:space="0" w:color="auto"/>
            <w:left w:val="none" w:sz="0" w:space="0" w:color="auto"/>
            <w:bottom w:val="none" w:sz="0" w:space="0" w:color="auto"/>
            <w:right w:val="none" w:sz="0" w:space="0" w:color="auto"/>
          </w:divBdr>
        </w:div>
      </w:divsChild>
    </w:div>
    <w:div w:id="1277102439">
      <w:bodyDiv w:val="1"/>
      <w:marLeft w:val="0"/>
      <w:marRight w:val="0"/>
      <w:marTop w:val="0"/>
      <w:marBottom w:val="0"/>
      <w:divBdr>
        <w:top w:val="none" w:sz="0" w:space="0" w:color="auto"/>
        <w:left w:val="none" w:sz="0" w:space="0" w:color="auto"/>
        <w:bottom w:val="none" w:sz="0" w:space="0" w:color="auto"/>
        <w:right w:val="none" w:sz="0" w:space="0" w:color="auto"/>
      </w:divBdr>
      <w:divsChild>
        <w:div w:id="699163060">
          <w:marLeft w:val="0"/>
          <w:marRight w:val="0"/>
          <w:marTop w:val="0"/>
          <w:marBottom w:val="0"/>
          <w:divBdr>
            <w:top w:val="none" w:sz="0" w:space="0" w:color="auto"/>
            <w:left w:val="none" w:sz="0" w:space="0" w:color="auto"/>
            <w:bottom w:val="none" w:sz="0" w:space="0" w:color="auto"/>
            <w:right w:val="none" w:sz="0" w:space="0" w:color="auto"/>
          </w:divBdr>
        </w:div>
      </w:divsChild>
    </w:div>
    <w:div w:id="1294748617">
      <w:bodyDiv w:val="1"/>
      <w:marLeft w:val="0"/>
      <w:marRight w:val="0"/>
      <w:marTop w:val="0"/>
      <w:marBottom w:val="0"/>
      <w:divBdr>
        <w:top w:val="none" w:sz="0" w:space="0" w:color="auto"/>
        <w:left w:val="none" w:sz="0" w:space="0" w:color="auto"/>
        <w:bottom w:val="none" w:sz="0" w:space="0" w:color="auto"/>
        <w:right w:val="none" w:sz="0" w:space="0" w:color="auto"/>
      </w:divBdr>
      <w:divsChild>
        <w:div w:id="823157649">
          <w:marLeft w:val="0"/>
          <w:marRight w:val="0"/>
          <w:marTop w:val="0"/>
          <w:marBottom w:val="0"/>
          <w:divBdr>
            <w:top w:val="none" w:sz="0" w:space="0" w:color="auto"/>
            <w:left w:val="none" w:sz="0" w:space="0" w:color="auto"/>
            <w:bottom w:val="none" w:sz="0" w:space="0" w:color="auto"/>
            <w:right w:val="none" w:sz="0" w:space="0" w:color="auto"/>
          </w:divBdr>
        </w:div>
      </w:divsChild>
    </w:div>
    <w:div w:id="1583680003">
      <w:bodyDiv w:val="1"/>
      <w:marLeft w:val="0"/>
      <w:marRight w:val="0"/>
      <w:marTop w:val="0"/>
      <w:marBottom w:val="0"/>
      <w:divBdr>
        <w:top w:val="none" w:sz="0" w:space="0" w:color="auto"/>
        <w:left w:val="none" w:sz="0" w:space="0" w:color="auto"/>
        <w:bottom w:val="none" w:sz="0" w:space="0" w:color="auto"/>
        <w:right w:val="none" w:sz="0" w:space="0" w:color="auto"/>
      </w:divBdr>
    </w:div>
    <w:div w:id="1805467165">
      <w:bodyDiv w:val="1"/>
      <w:marLeft w:val="0"/>
      <w:marRight w:val="0"/>
      <w:marTop w:val="0"/>
      <w:marBottom w:val="0"/>
      <w:divBdr>
        <w:top w:val="none" w:sz="0" w:space="0" w:color="auto"/>
        <w:left w:val="none" w:sz="0" w:space="0" w:color="auto"/>
        <w:bottom w:val="none" w:sz="0" w:space="0" w:color="auto"/>
        <w:right w:val="none" w:sz="0" w:space="0" w:color="auto"/>
      </w:divBdr>
      <w:divsChild>
        <w:div w:id="990404500">
          <w:marLeft w:val="0"/>
          <w:marRight w:val="0"/>
          <w:marTop w:val="0"/>
          <w:marBottom w:val="0"/>
          <w:divBdr>
            <w:top w:val="none" w:sz="0" w:space="0" w:color="auto"/>
            <w:left w:val="none" w:sz="0" w:space="0" w:color="auto"/>
            <w:bottom w:val="none" w:sz="0" w:space="0" w:color="auto"/>
            <w:right w:val="none" w:sz="0" w:space="0" w:color="auto"/>
          </w:divBdr>
        </w:div>
      </w:divsChild>
    </w:div>
    <w:div w:id="1833906923">
      <w:bodyDiv w:val="1"/>
      <w:marLeft w:val="0"/>
      <w:marRight w:val="0"/>
      <w:marTop w:val="0"/>
      <w:marBottom w:val="0"/>
      <w:divBdr>
        <w:top w:val="none" w:sz="0" w:space="0" w:color="auto"/>
        <w:left w:val="none" w:sz="0" w:space="0" w:color="auto"/>
        <w:bottom w:val="none" w:sz="0" w:space="0" w:color="auto"/>
        <w:right w:val="none" w:sz="0" w:space="0" w:color="auto"/>
      </w:divBdr>
    </w:div>
    <w:div w:id="1848985159">
      <w:bodyDiv w:val="1"/>
      <w:marLeft w:val="0"/>
      <w:marRight w:val="0"/>
      <w:marTop w:val="0"/>
      <w:marBottom w:val="0"/>
      <w:divBdr>
        <w:top w:val="none" w:sz="0" w:space="0" w:color="auto"/>
        <w:left w:val="none" w:sz="0" w:space="0" w:color="auto"/>
        <w:bottom w:val="none" w:sz="0" w:space="0" w:color="auto"/>
        <w:right w:val="none" w:sz="0" w:space="0" w:color="auto"/>
      </w:divBdr>
    </w:div>
    <w:div w:id="1877622860">
      <w:bodyDiv w:val="1"/>
      <w:marLeft w:val="0"/>
      <w:marRight w:val="0"/>
      <w:marTop w:val="0"/>
      <w:marBottom w:val="0"/>
      <w:divBdr>
        <w:top w:val="none" w:sz="0" w:space="0" w:color="auto"/>
        <w:left w:val="none" w:sz="0" w:space="0" w:color="auto"/>
        <w:bottom w:val="none" w:sz="0" w:space="0" w:color="auto"/>
        <w:right w:val="none" w:sz="0" w:space="0" w:color="auto"/>
      </w:divBdr>
    </w:div>
    <w:div w:id="1913662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Faris-Alshubiri/post/is_there_any_research_article_suggesting_further_study_on_market_penetration_and_market_development/attachment/59d6202279197b807797e9c0/AS:288872320782343@1445883937051/download/2.pdf" TargetMode="External"/><Relationship Id="rId13" Type="http://schemas.openxmlformats.org/officeDocument/2006/relationships/hyperlink" Target="https://doi.org/10.1016/S0278-4319(99)00047-X" TargetMode="External"/><Relationship Id="rId18" Type="http://schemas.openxmlformats.org/officeDocument/2006/relationships/hyperlink" Target="https://doi.org/10.1002/(SICI)1097-0266(200002)21:2%3C175::AID-SMJ86%3E3.0.CO;2-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lrp.2018.12.001" TargetMode="External"/><Relationship Id="rId7" Type="http://schemas.openxmlformats.org/officeDocument/2006/relationships/endnotes" Target="endnotes.xml"/><Relationship Id="rId12" Type="http://schemas.openxmlformats.org/officeDocument/2006/relationships/hyperlink" Target="https://doi.org/10.1002/smj.427" TargetMode="External"/><Relationship Id="rId17" Type="http://schemas.openxmlformats.org/officeDocument/2006/relationships/hyperlink" Target="https://www.academia.edu/download/42820999/idjrb7n9.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ICT-09-2017-0073" TargetMode="External"/><Relationship Id="rId20" Type="http://schemas.openxmlformats.org/officeDocument/2006/relationships/hyperlink" Target="https://doi.org/10.1080/10548408.2013.7512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commercial-lending/debt-to-equity-ratio-formula/"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5367/te.2011.0021" TargetMode="External"/><Relationship Id="rId23" Type="http://schemas.openxmlformats.org/officeDocument/2006/relationships/hyperlink" Target="https://doi.org/10.1016/j.tourman.2021.104307" TargetMode="External"/><Relationship Id="rId10" Type="http://schemas.openxmlformats.org/officeDocument/2006/relationships/hyperlink" Target="https://corporatefinanceinstitute.com/resources/career-map/sell-side/risk-management/financial-risk-management-process/" TargetMode="External"/><Relationship Id="rId19" Type="http://schemas.openxmlformats.org/officeDocument/2006/relationships/hyperlink" Target="https://doi.org/10.1016/j.tourman.2013.03.007" TargetMode="External"/><Relationship Id="rId4" Type="http://schemas.openxmlformats.org/officeDocument/2006/relationships/settings" Target="settings.xml"/><Relationship Id="rId9" Type="http://schemas.openxmlformats.org/officeDocument/2006/relationships/hyperlink" Target="https://doi.org/10.1016/S0261-5177(99)00095-3" TargetMode="External"/><Relationship Id="rId14" Type="http://schemas.openxmlformats.org/officeDocument/2006/relationships/hyperlink" Target="https://doi.org/10.1111/1467-6486.00358" TargetMode="External"/><Relationship Id="rId22" Type="http://schemas.openxmlformats.org/officeDocument/2006/relationships/hyperlink" Target="https://doi.org/10.1002/smj.6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146E6-358B-48ED-8485-4363ABB45E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476</TotalTime>
  <Pages>1</Pages>
  <Words>3244</Words>
  <Characters>18494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Roxana-Maria Burlacu</dc:creator>
  <cp:keywords/>
  <dc:description/>
  <cp:lastModifiedBy>Roxana Maria Burlacu (2014302)</cp:lastModifiedBy>
  <cp:revision>97</cp:revision>
  <dcterms:created xsi:type="dcterms:W3CDTF">2024-02-19T16:26:00Z</dcterms:created>
  <dcterms:modified xsi:type="dcterms:W3CDTF">2024-02-28T10:24:00Z</dcterms:modified>
</cp:coreProperties>
</file>