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81B259" w14:textId="77777777" w:rsidR="00D611A8" w:rsidRDefault="00D611A8" w:rsidP="0059725D">
      <w:pPr>
        <w:jc w:val="center"/>
        <w:rPr>
          <w:rFonts w:cs="Arial"/>
        </w:rPr>
      </w:pPr>
    </w:p>
    <w:p w14:paraId="71A3BBE6" w14:textId="77777777" w:rsidR="00D611A8" w:rsidRDefault="00D611A8" w:rsidP="0059725D">
      <w:pPr>
        <w:jc w:val="center"/>
        <w:rPr>
          <w:rFonts w:cs="Arial"/>
        </w:rPr>
      </w:pPr>
    </w:p>
    <w:p w14:paraId="316C4FE8" w14:textId="77777777" w:rsidR="00D611A8" w:rsidRDefault="00D611A8" w:rsidP="0059725D">
      <w:pPr>
        <w:jc w:val="center"/>
        <w:rPr>
          <w:rFonts w:cs="Arial"/>
        </w:rPr>
      </w:pPr>
    </w:p>
    <w:p w14:paraId="265CC766" w14:textId="3667F0B0" w:rsidR="007C15B5" w:rsidRPr="000A5FD9" w:rsidRDefault="007C15B5" w:rsidP="0059725D">
      <w:pPr>
        <w:jc w:val="center"/>
        <w:rPr>
          <w:rFonts w:cs="Arial"/>
        </w:rPr>
      </w:pPr>
      <w:r w:rsidRPr="000A5FD9">
        <w:rPr>
          <w:rFonts w:cs="Arial"/>
        </w:rPr>
        <w:t xml:space="preserve">LCHS7000 </w:t>
      </w:r>
    </w:p>
    <w:p w14:paraId="6F43CEE4" w14:textId="505A61D4" w:rsidR="00FC5003" w:rsidRPr="000A5FD9" w:rsidRDefault="007C15B5" w:rsidP="0059725D">
      <w:pPr>
        <w:jc w:val="center"/>
        <w:rPr>
          <w:rFonts w:cs="Arial"/>
        </w:rPr>
      </w:pPr>
      <w:r w:rsidRPr="000A5FD9">
        <w:rPr>
          <w:rFonts w:cs="Arial"/>
        </w:rPr>
        <w:t>Social Epidemiology and Public Health Development</w:t>
      </w:r>
    </w:p>
    <w:p w14:paraId="310967E8" w14:textId="3BFDE8B5" w:rsidR="00FC5003" w:rsidRPr="00954687" w:rsidRDefault="00FC5003" w:rsidP="0059725D">
      <w:pPr>
        <w:jc w:val="center"/>
        <w:rPr>
          <w:rFonts w:cs="Arial"/>
          <w:highlight w:val="yellow"/>
        </w:rPr>
      </w:pPr>
      <w:r w:rsidRPr="00954687">
        <w:rPr>
          <w:rFonts w:cs="Arial"/>
          <w:highlight w:val="yellow"/>
        </w:rPr>
        <w:t>Lecturer’s name</w:t>
      </w:r>
      <w:r w:rsidR="00EC0526" w:rsidRPr="00954687">
        <w:rPr>
          <w:rFonts w:cs="Arial"/>
          <w:highlight w:val="yellow"/>
        </w:rPr>
        <w:t xml:space="preserve">: </w:t>
      </w:r>
    </w:p>
    <w:p w14:paraId="3932925A" w14:textId="4451A676" w:rsidR="00D57B6B" w:rsidRPr="00E01C8D" w:rsidRDefault="00E01C8D" w:rsidP="0059725D">
      <w:pPr>
        <w:jc w:val="center"/>
        <w:rPr>
          <w:rFonts w:cs="Arial"/>
        </w:rPr>
      </w:pPr>
      <w:r w:rsidRPr="00E01C8D">
        <w:rPr>
          <w:rFonts w:cs="Arial"/>
        </w:rPr>
        <w:t>Component 2 Analytical Report</w:t>
      </w:r>
    </w:p>
    <w:p w14:paraId="6F3EBD2A" w14:textId="10574B25" w:rsidR="009A336C" w:rsidRPr="000A5FD9" w:rsidRDefault="009A336C" w:rsidP="0059725D">
      <w:pPr>
        <w:jc w:val="center"/>
        <w:rPr>
          <w:rFonts w:cs="Arial"/>
          <w:b/>
        </w:rPr>
      </w:pPr>
      <w:r>
        <w:rPr>
          <w:rFonts w:cs="Arial"/>
          <w:b/>
        </w:rPr>
        <w:t>2,</w:t>
      </w:r>
      <w:r w:rsidR="0081759B">
        <w:rPr>
          <w:rFonts w:cs="Arial"/>
          <w:b/>
        </w:rPr>
        <w:t>773</w:t>
      </w:r>
      <w:r>
        <w:rPr>
          <w:rFonts w:cs="Arial"/>
          <w:b/>
        </w:rPr>
        <w:t xml:space="preserve"> Words</w:t>
      </w:r>
    </w:p>
    <w:p w14:paraId="0E89C966" w14:textId="77777777" w:rsidR="00C42891" w:rsidRDefault="00C42891" w:rsidP="0059725D">
      <w:pPr>
        <w:jc w:val="center"/>
        <w:rPr>
          <w:rFonts w:cs="Arial"/>
          <w:b/>
        </w:rPr>
      </w:pPr>
    </w:p>
    <w:p w14:paraId="1BC25B0A" w14:textId="77777777" w:rsidR="004F4859" w:rsidRDefault="004F4859" w:rsidP="0059725D">
      <w:pPr>
        <w:jc w:val="center"/>
        <w:rPr>
          <w:rFonts w:cs="Arial"/>
          <w:b/>
        </w:rPr>
      </w:pPr>
    </w:p>
    <w:p w14:paraId="0A2B4303" w14:textId="77777777" w:rsidR="004F4859" w:rsidRDefault="004F4859" w:rsidP="0059725D">
      <w:pPr>
        <w:jc w:val="center"/>
        <w:rPr>
          <w:rFonts w:cs="Arial"/>
          <w:b/>
        </w:rPr>
      </w:pPr>
    </w:p>
    <w:p w14:paraId="38B67C4B" w14:textId="77777777" w:rsidR="004F4859" w:rsidRDefault="004F4859" w:rsidP="0059725D">
      <w:pPr>
        <w:jc w:val="center"/>
        <w:rPr>
          <w:rFonts w:cs="Arial"/>
          <w:b/>
        </w:rPr>
      </w:pPr>
    </w:p>
    <w:p w14:paraId="4BCB178C" w14:textId="77777777" w:rsidR="004F4859" w:rsidRDefault="004F4859" w:rsidP="0059725D">
      <w:pPr>
        <w:jc w:val="center"/>
        <w:rPr>
          <w:rFonts w:cs="Arial"/>
          <w:b/>
        </w:rPr>
      </w:pPr>
    </w:p>
    <w:p w14:paraId="49532894" w14:textId="77777777" w:rsidR="004F4859" w:rsidRDefault="004F4859" w:rsidP="0059725D">
      <w:pPr>
        <w:jc w:val="center"/>
        <w:rPr>
          <w:rFonts w:cs="Arial"/>
          <w:b/>
        </w:rPr>
      </w:pPr>
    </w:p>
    <w:p w14:paraId="1648A3FD" w14:textId="77777777" w:rsidR="004F4859" w:rsidRPr="000A5FD9" w:rsidRDefault="004F4859" w:rsidP="0059725D">
      <w:pPr>
        <w:jc w:val="center"/>
        <w:rPr>
          <w:rFonts w:cs="Arial"/>
          <w:b/>
        </w:rPr>
      </w:pPr>
    </w:p>
    <w:p w14:paraId="4EC86A96" w14:textId="77777777" w:rsidR="004F4859" w:rsidRPr="00954687" w:rsidRDefault="004F4859" w:rsidP="004F4859">
      <w:pPr>
        <w:rPr>
          <w:rFonts w:cs="Arial"/>
          <w:highlight w:val="yellow"/>
        </w:rPr>
      </w:pPr>
      <w:r w:rsidRPr="00954687">
        <w:rPr>
          <w:rFonts w:cs="Arial"/>
          <w:highlight w:val="yellow"/>
        </w:rPr>
        <w:t>Student Name:</w:t>
      </w:r>
    </w:p>
    <w:p w14:paraId="79ADCDF0" w14:textId="77777777" w:rsidR="004F4859" w:rsidRPr="00954687" w:rsidRDefault="004F4859" w:rsidP="004F4859">
      <w:pPr>
        <w:rPr>
          <w:rFonts w:cs="Arial"/>
          <w:highlight w:val="yellow"/>
        </w:rPr>
      </w:pPr>
      <w:r w:rsidRPr="00954687">
        <w:rPr>
          <w:rFonts w:cs="Arial"/>
          <w:highlight w:val="yellow"/>
        </w:rPr>
        <w:t xml:space="preserve">Student Number: </w:t>
      </w:r>
    </w:p>
    <w:p w14:paraId="592D1B48" w14:textId="77777777" w:rsidR="00B875B1" w:rsidRPr="000A5FD9" w:rsidRDefault="00B875B1">
      <w:pPr>
        <w:spacing w:line="259" w:lineRule="auto"/>
        <w:jc w:val="left"/>
        <w:rPr>
          <w:rFonts w:cs="Arial"/>
        </w:rPr>
      </w:pPr>
      <w:r w:rsidRPr="000A5FD9">
        <w:rPr>
          <w:rFonts w:cs="Arial"/>
        </w:rPr>
        <w:br w:type="page"/>
      </w:r>
    </w:p>
    <w:sdt>
      <w:sdtPr>
        <w:rPr>
          <w:rFonts w:cs="Arial"/>
          <w:b/>
        </w:rPr>
        <w:id w:val="-1815244825"/>
        <w:docPartObj>
          <w:docPartGallery w:val="Table of Contents"/>
          <w:docPartUnique/>
        </w:docPartObj>
      </w:sdtPr>
      <w:sdtEndPr>
        <w:rPr>
          <w:bCs/>
          <w:noProof/>
        </w:rPr>
      </w:sdtEndPr>
      <w:sdtContent>
        <w:p w14:paraId="1BB94607" w14:textId="5E84EDF1" w:rsidR="00B875B1" w:rsidRPr="000A5FD9" w:rsidRDefault="00B875B1" w:rsidP="00B875B1">
          <w:pPr>
            <w:jc w:val="center"/>
            <w:rPr>
              <w:rFonts w:cs="Arial"/>
              <w:b/>
            </w:rPr>
          </w:pPr>
          <w:r w:rsidRPr="000A5FD9">
            <w:rPr>
              <w:rFonts w:cs="Arial"/>
              <w:b/>
            </w:rPr>
            <w:t>Table of Contents</w:t>
          </w:r>
        </w:p>
        <w:p w14:paraId="469D299B" w14:textId="77777777" w:rsidR="0054757B" w:rsidRDefault="00B875B1">
          <w:pPr>
            <w:pStyle w:val="TOC1"/>
            <w:tabs>
              <w:tab w:val="right" w:leader="dot" w:pos="9016"/>
            </w:tabs>
            <w:rPr>
              <w:rFonts w:asciiTheme="minorHAnsi" w:eastAsiaTheme="minorEastAsia" w:hAnsiTheme="minorHAnsi"/>
              <w:noProof/>
              <w:lang w:val="en-IN" w:eastAsia="en-IN"/>
            </w:rPr>
          </w:pPr>
          <w:r w:rsidRPr="000A5FD9">
            <w:rPr>
              <w:rFonts w:cs="Arial"/>
              <w:b/>
              <w:bCs/>
              <w:noProof/>
            </w:rPr>
            <w:fldChar w:fldCharType="begin"/>
          </w:r>
          <w:r w:rsidRPr="000A5FD9">
            <w:rPr>
              <w:rFonts w:cs="Arial"/>
              <w:b/>
              <w:bCs/>
              <w:noProof/>
            </w:rPr>
            <w:instrText xml:space="preserve"> TOC \o "1-3" \h \z \u </w:instrText>
          </w:r>
          <w:r w:rsidRPr="000A5FD9">
            <w:rPr>
              <w:rFonts w:cs="Arial"/>
              <w:b/>
              <w:bCs/>
              <w:noProof/>
            </w:rPr>
            <w:fldChar w:fldCharType="separate"/>
          </w:r>
          <w:hyperlink w:anchor="_Toc228312956" w:history="1">
            <w:r w:rsidR="0054757B" w:rsidRPr="00465D91">
              <w:rPr>
                <w:rStyle w:val="Hyperlink"/>
                <w:rFonts w:cs="Arial"/>
                <w:noProof/>
              </w:rPr>
              <w:t>Task 1: Social Epidemiological Analysis</w:t>
            </w:r>
            <w:r w:rsidR="0054757B">
              <w:rPr>
                <w:noProof/>
                <w:webHidden/>
              </w:rPr>
              <w:tab/>
            </w:r>
            <w:r w:rsidR="0054757B">
              <w:rPr>
                <w:noProof/>
                <w:webHidden/>
              </w:rPr>
              <w:fldChar w:fldCharType="begin"/>
            </w:r>
            <w:r w:rsidR="0054757B">
              <w:rPr>
                <w:noProof/>
                <w:webHidden/>
              </w:rPr>
              <w:instrText xml:space="preserve"> PAGEREF _Toc228312956 \h </w:instrText>
            </w:r>
            <w:r w:rsidR="0054757B">
              <w:rPr>
                <w:noProof/>
                <w:webHidden/>
              </w:rPr>
            </w:r>
            <w:r w:rsidR="0054757B">
              <w:rPr>
                <w:noProof/>
                <w:webHidden/>
              </w:rPr>
              <w:fldChar w:fldCharType="separate"/>
            </w:r>
            <w:r w:rsidR="0054757B">
              <w:rPr>
                <w:noProof/>
                <w:webHidden/>
              </w:rPr>
              <w:t>3</w:t>
            </w:r>
            <w:r w:rsidR="0054757B">
              <w:rPr>
                <w:noProof/>
                <w:webHidden/>
              </w:rPr>
              <w:fldChar w:fldCharType="end"/>
            </w:r>
          </w:hyperlink>
        </w:p>
        <w:p w14:paraId="1651FCF9"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57" w:history="1">
            <w:r w:rsidRPr="00465D91">
              <w:rPr>
                <w:rStyle w:val="Hyperlink"/>
                <w:rFonts w:cs="Arial"/>
                <w:noProof/>
              </w:rPr>
              <w:t>Introduction</w:t>
            </w:r>
            <w:r>
              <w:rPr>
                <w:noProof/>
                <w:webHidden/>
              </w:rPr>
              <w:tab/>
            </w:r>
            <w:r>
              <w:rPr>
                <w:noProof/>
                <w:webHidden/>
              </w:rPr>
              <w:fldChar w:fldCharType="begin"/>
            </w:r>
            <w:r>
              <w:rPr>
                <w:noProof/>
                <w:webHidden/>
              </w:rPr>
              <w:instrText xml:space="preserve"> PAGEREF _Toc228312957 \h </w:instrText>
            </w:r>
            <w:r>
              <w:rPr>
                <w:noProof/>
                <w:webHidden/>
              </w:rPr>
            </w:r>
            <w:r>
              <w:rPr>
                <w:noProof/>
                <w:webHidden/>
              </w:rPr>
              <w:fldChar w:fldCharType="separate"/>
            </w:r>
            <w:r>
              <w:rPr>
                <w:noProof/>
                <w:webHidden/>
              </w:rPr>
              <w:t>3</w:t>
            </w:r>
            <w:r>
              <w:rPr>
                <w:noProof/>
                <w:webHidden/>
              </w:rPr>
              <w:fldChar w:fldCharType="end"/>
            </w:r>
          </w:hyperlink>
        </w:p>
        <w:p w14:paraId="626291E1"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58" w:history="1">
            <w:r w:rsidRPr="00465D91">
              <w:rPr>
                <w:rStyle w:val="Hyperlink"/>
                <w:rFonts w:cs="Arial"/>
                <w:noProof/>
              </w:rPr>
              <w:t>Contextual background and underlying factor</w:t>
            </w:r>
            <w:r>
              <w:rPr>
                <w:noProof/>
                <w:webHidden/>
              </w:rPr>
              <w:tab/>
            </w:r>
            <w:r>
              <w:rPr>
                <w:noProof/>
                <w:webHidden/>
              </w:rPr>
              <w:fldChar w:fldCharType="begin"/>
            </w:r>
            <w:r>
              <w:rPr>
                <w:noProof/>
                <w:webHidden/>
              </w:rPr>
              <w:instrText xml:space="preserve"> PAGEREF _Toc228312958 \h </w:instrText>
            </w:r>
            <w:r>
              <w:rPr>
                <w:noProof/>
                <w:webHidden/>
              </w:rPr>
            </w:r>
            <w:r>
              <w:rPr>
                <w:noProof/>
                <w:webHidden/>
              </w:rPr>
              <w:fldChar w:fldCharType="separate"/>
            </w:r>
            <w:r>
              <w:rPr>
                <w:noProof/>
                <w:webHidden/>
              </w:rPr>
              <w:t>3</w:t>
            </w:r>
            <w:r>
              <w:rPr>
                <w:noProof/>
                <w:webHidden/>
              </w:rPr>
              <w:fldChar w:fldCharType="end"/>
            </w:r>
          </w:hyperlink>
        </w:p>
        <w:p w14:paraId="7A835221" w14:textId="77777777" w:rsidR="0054757B" w:rsidRDefault="0054757B">
          <w:pPr>
            <w:pStyle w:val="TOC3"/>
            <w:tabs>
              <w:tab w:val="right" w:leader="dot" w:pos="9016"/>
            </w:tabs>
            <w:rPr>
              <w:rFonts w:asciiTheme="minorHAnsi" w:eastAsiaTheme="minorEastAsia" w:hAnsiTheme="minorHAnsi"/>
              <w:noProof/>
              <w:lang w:val="en-IN" w:eastAsia="en-IN"/>
            </w:rPr>
          </w:pPr>
          <w:hyperlink w:anchor="_Toc228312959" w:history="1">
            <w:r w:rsidRPr="00465D91">
              <w:rPr>
                <w:rStyle w:val="Hyperlink"/>
                <w:rFonts w:cs="Arial"/>
                <w:noProof/>
              </w:rPr>
              <w:t>Higher Rates of Mental Health Conditions</w:t>
            </w:r>
            <w:r>
              <w:rPr>
                <w:noProof/>
                <w:webHidden/>
              </w:rPr>
              <w:tab/>
            </w:r>
            <w:r>
              <w:rPr>
                <w:noProof/>
                <w:webHidden/>
              </w:rPr>
              <w:fldChar w:fldCharType="begin"/>
            </w:r>
            <w:r>
              <w:rPr>
                <w:noProof/>
                <w:webHidden/>
              </w:rPr>
              <w:instrText xml:space="preserve"> PAGEREF _Toc228312959 \h </w:instrText>
            </w:r>
            <w:r>
              <w:rPr>
                <w:noProof/>
                <w:webHidden/>
              </w:rPr>
            </w:r>
            <w:r>
              <w:rPr>
                <w:noProof/>
                <w:webHidden/>
              </w:rPr>
              <w:fldChar w:fldCharType="separate"/>
            </w:r>
            <w:r>
              <w:rPr>
                <w:noProof/>
                <w:webHidden/>
              </w:rPr>
              <w:t>3</w:t>
            </w:r>
            <w:r>
              <w:rPr>
                <w:noProof/>
                <w:webHidden/>
              </w:rPr>
              <w:fldChar w:fldCharType="end"/>
            </w:r>
          </w:hyperlink>
        </w:p>
        <w:p w14:paraId="1AF2C3B0" w14:textId="77777777" w:rsidR="0054757B" w:rsidRDefault="0054757B">
          <w:pPr>
            <w:pStyle w:val="TOC3"/>
            <w:tabs>
              <w:tab w:val="right" w:leader="dot" w:pos="9016"/>
            </w:tabs>
            <w:rPr>
              <w:rFonts w:asciiTheme="minorHAnsi" w:eastAsiaTheme="minorEastAsia" w:hAnsiTheme="minorHAnsi"/>
              <w:noProof/>
              <w:lang w:val="en-IN" w:eastAsia="en-IN"/>
            </w:rPr>
          </w:pPr>
          <w:hyperlink w:anchor="_Toc228312960" w:history="1">
            <w:r w:rsidRPr="00465D91">
              <w:rPr>
                <w:rStyle w:val="Hyperlink"/>
                <w:rFonts w:cs="Arial"/>
                <w:noProof/>
              </w:rPr>
              <w:t>Higher Suicide Rates among Men</w:t>
            </w:r>
            <w:r>
              <w:rPr>
                <w:noProof/>
                <w:webHidden/>
              </w:rPr>
              <w:tab/>
            </w:r>
            <w:r>
              <w:rPr>
                <w:noProof/>
                <w:webHidden/>
              </w:rPr>
              <w:fldChar w:fldCharType="begin"/>
            </w:r>
            <w:r>
              <w:rPr>
                <w:noProof/>
                <w:webHidden/>
              </w:rPr>
              <w:instrText xml:space="preserve"> PAGEREF _Toc228312960 \h </w:instrText>
            </w:r>
            <w:r>
              <w:rPr>
                <w:noProof/>
                <w:webHidden/>
              </w:rPr>
            </w:r>
            <w:r>
              <w:rPr>
                <w:noProof/>
                <w:webHidden/>
              </w:rPr>
              <w:fldChar w:fldCharType="separate"/>
            </w:r>
            <w:r>
              <w:rPr>
                <w:noProof/>
                <w:webHidden/>
              </w:rPr>
              <w:t>4</w:t>
            </w:r>
            <w:r>
              <w:rPr>
                <w:noProof/>
                <w:webHidden/>
              </w:rPr>
              <w:fldChar w:fldCharType="end"/>
            </w:r>
          </w:hyperlink>
        </w:p>
        <w:p w14:paraId="6E49E89D" w14:textId="77777777" w:rsidR="0054757B" w:rsidRDefault="0054757B">
          <w:pPr>
            <w:pStyle w:val="TOC3"/>
            <w:tabs>
              <w:tab w:val="right" w:leader="dot" w:pos="9016"/>
            </w:tabs>
            <w:rPr>
              <w:rFonts w:asciiTheme="minorHAnsi" w:eastAsiaTheme="minorEastAsia" w:hAnsiTheme="minorHAnsi"/>
              <w:noProof/>
              <w:lang w:val="en-IN" w:eastAsia="en-IN"/>
            </w:rPr>
          </w:pPr>
          <w:hyperlink w:anchor="_Toc228312961" w:history="1">
            <w:r w:rsidRPr="00465D91">
              <w:rPr>
                <w:rStyle w:val="Hyperlink"/>
                <w:rFonts w:cs="Arial"/>
                <w:noProof/>
              </w:rPr>
              <w:t>Cardiovascular Disease and Gender Bias in Healthcare</w:t>
            </w:r>
            <w:r>
              <w:rPr>
                <w:noProof/>
                <w:webHidden/>
              </w:rPr>
              <w:tab/>
            </w:r>
            <w:r>
              <w:rPr>
                <w:noProof/>
                <w:webHidden/>
              </w:rPr>
              <w:fldChar w:fldCharType="begin"/>
            </w:r>
            <w:r>
              <w:rPr>
                <w:noProof/>
                <w:webHidden/>
              </w:rPr>
              <w:instrText xml:space="preserve"> PAGEREF _Toc228312961 \h </w:instrText>
            </w:r>
            <w:r>
              <w:rPr>
                <w:noProof/>
                <w:webHidden/>
              </w:rPr>
            </w:r>
            <w:r>
              <w:rPr>
                <w:noProof/>
                <w:webHidden/>
              </w:rPr>
              <w:fldChar w:fldCharType="separate"/>
            </w:r>
            <w:r>
              <w:rPr>
                <w:noProof/>
                <w:webHidden/>
              </w:rPr>
              <w:t>4</w:t>
            </w:r>
            <w:r>
              <w:rPr>
                <w:noProof/>
                <w:webHidden/>
              </w:rPr>
              <w:fldChar w:fldCharType="end"/>
            </w:r>
          </w:hyperlink>
        </w:p>
        <w:p w14:paraId="246DB949" w14:textId="77777777" w:rsidR="0054757B" w:rsidRDefault="0054757B">
          <w:pPr>
            <w:pStyle w:val="TOC3"/>
            <w:tabs>
              <w:tab w:val="right" w:leader="dot" w:pos="9016"/>
            </w:tabs>
            <w:rPr>
              <w:rFonts w:asciiTheme="minorHAnsi" w:eastAsiaTheme="minorEastAsia" w:hAnsiTheme="minorHAnsi"/>
              <w:noProof/>
              <w:lang w:val="en-IN" w:eastAsia="en-IN"/>
            </w:rPr>
          </w:pPr>
          <w:hyperlink w:anchor="_Toc228312962" w:history="1">
            <w:r w:rsidRPr="00465D91">
              <w:rPr>
                <w:rStyle w:val="Hyperlink"/>
                <w:rFonts w:cs="Arial"/>
                <w:noProof/>
              </w:rPr>
              <w:t>Gender-Based Poverty and Economic Inequality</w:t>
            </w:r>
            <w:r>
              <w:rPr>
                <w:noProof/>
                <w:webHidden/>
              </w:rPr>
              <w:tab/>
            </w:r>
            <w:r>
              <w:rPr>
                <w:noProof/>
                <w:webHidden/>
              </w:rPr>
              <w:fldChar w:fldCharType="begin"/>
            </w:r>
            <w:r>
              <w:rPr>
                <w:noProof/>
                <w:webHidden/>
              </w:rPr>
              <w:instrText xml:space="preserve"> PAGEREF _Toc228312962 \h </w:instrText>
            </w:r>
            <w:r>
              <w:rPr>
                <w:noProof/>
                <w:webHidden/>
              </w:rPr>
            </w:r>
            <w:r>
              <w:rPr>
                <w:noProof/>
                <w:webHidden/>
              </w:rPr>
              <w:fldChar w:fldCharType="separate"/>
            </w:r>
            <w:r>
              <w:rPr>
                <w:noProof/>
                <w:webHidden/>
              </w:rPr>
              <w:t>4</w:t>
            </w:r>
            <w:r>
              <w:rPr>
                <w:noProof/>
                <w:webHidden/>
              </w:rPr>
              <w:fldChar w:fldCharType="end"/>
            </w:r>
          </w:hyperlink>
        </w:p>
        <w:p w14:paraId="2069EEE0" w14:textId="77777777" w:rsidR="0054757B" w:rsidRDefault="0054757B">
          <w:pPr>
            <w:pStyle w:val="TOC3"/>
            <w:tabs>
              <w:tab w:val="right" w:leader="dot" w:pos="9016"/>
            </w:tabs>
            <w:rPr>
              <w:rFonts w:asciiTheme="minorHAnsi" w:eastAsiaTheme="minorEastAsia" w:hAnsiTheme="minorHAnsi"/>
              <w:noProof/>
              <w:lang w:val="en-IN" w:eastAsia="en-IN"/>
            </w:rPr>
          </w:pPr>
          <w:hyperlink w:anchor="_Toc228312963" w:history="1">
            <w:r w:rsidRPr="00465D91">
              <w:rPr>
                <w:rStyle w:val="Hyperlink"/>
                <w:rFonts w:cs="Arial"/>
                <w:noProof/>
              </w:rPr>
              <w:t>Unequal Access and Utilisation of Healthcare Services</w:t>
            </w:r>
            <w:r>
              <w:rPr>
                <w:noProof/>
                <w:webHidden/>
              </w:rPr>
              <w:tab/>
            </w:r>
            <w:r>
              <w:rPr>
                <w:noProof/>
                <w:webHidden/>
              </w:rPr>
              <w:fldChar w:fldCharType="begin"/>
            </w:r>
            <w:r>
              <w:rPr>
                <w:noProof/>
                <w:webHidden/>
              </w:rPr>
              <w:instrText xml:space="preserve"> PAGEREF _Toc228312963 \h </w:instrText>
            </w:r>
            <w:r>
              <w:rPr>
                <w:noProof/>
                <w:webHidden/>
              </w:rPr>
            </w:r>
            <w:r>
              <w:rPr>
                <w:noProof/>
                <w:webHidden/>
              </w:rPr>
              <w:fldChar w:fldCharType="separate"/>
            </w:r>
            <w:r>
              <w:rPr>
                <w:noProof/>
                <w:webHidden/>
              </w:rPr>
              <w:t>4</w:t>
            </w:r>
            <w:r>
              <w:rPr>
                <w:noProof/>
                <w:webHidden/>
              </w:rPr>
              <w:fldChar w:fldCharType="end"/>
            </w:r>
          </w:hyperlink>
        </w:p>
        <w:p w14:paraId="1AFDDA8C" w14:textId="77777777" w:rsidR="0054757B" w:rsidRDefault="0054757B">
          <w:pPr>
            <w:pStyle w:val="TOC3"/>
            <w:tabs>
              <w:tab w:val="right" w:leader="dot" w:pos="9016"/>
            </w:tabs>
            <w:rPr>
              <w:rFonts w:asciiTheme="minorHAnsi" w:eastAsiaTheme="minorEastAsia" w:hAnsiTheme="minorHAnsi"/>
              <w:noProof/>
              <w:lang w:val="en-IN" w:eastAsia="en-IN"/>
            </w:rPr>
          </w:pPr>
          <w:hyperlink w:anchor="_Toc228312964" w:history="1">
            <w:r w:rsidRPr="00465D91">
              <w:rPr>
                <w:rStyle w:val="Hyperlink"/>
                <w:rFonts w:cs="Arial"/>
                <w:noProof/>
              </w:rPr>
              <w:t>Social Roles and Gender Norms</w:t>
            </w:r>
            <w:r>
              <w:rPr>
                <w:noProof/>
                <w:webHidden/>
              </w:rPr>
              <w:tab/>
            </w:r>
            <w:r>
              <w:rPr>
                <w:noProof/>
                <w:webHidden/>
              </w:rPr>
              <w:fldChar w:fldCharType="begin"/>
            </w:r>
            <w:r>
              <w:rPr>
                <w:noProof/>
                <w:webHidden/>
              </w:rPr>
              <w:instrText xml:space="preserve"> PAGEREF _Toc228312964 \h </w:instrText>
            </w:r>
            <w:r>
              <w:rPr>
                <w:noProof/>
                <w:webHidden/>
              </w:rPr>
            </w:r>
            <w:r>
              <w:rPr>
                <w:noProof/>
                <w:webHidden/>
              </w:rPr>
              <w:fldChar w:fldCharType="separate"/>
            </w:r>
            <w:r>
              <w:rPr>
                <w:noProof/>
                <w:webHidden/>
              </w:rPr>
              <w:t>5</w:t>
            </w:r>
            <w:r>
              <w:rPr>
                <w:noProof/>
                <w:webHidden/>
              </w:rPr>
              <w:fldChar w:fldCharType="end"/>
            </w:r>
          </w:hyperlink>
        </w:p>
        <w:p w14:paraId="17B5F82A"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65" w:history="1">
            <w:r w:rsidRPr="00465D91">
              <w:rPr>
                <w:rStyle w:val="Hyperlink"/>
                <w:rFonts w:cs="Arial"/>
                <w:noProof/>
              </w:rPr>
              <w:t>National Response to Reduce Gender Health Inequalities</w:t>
            </w:r>
            <w:r>
              <w:rPr>
                <w:noProof/>
                <w:webHidden/>
              </w:rPr>
              <w:tab/>
            </w:r>
            <w:r>
              <w:rPr>
                <w:noProof/>
                <w:webHidden/>
              </w:rPr>
              <w:fldChar w:fldCharType="begin"/>
            </w:r>
            <w:r>
              <w:rPr>
                <w:noProof/>
                <w:webHidden/>
              </w:rPr>
              <w:instrText xml:space="preserve"> PAGEREF _Toc228312965 \h </w:instrText>
            </w:r>
            <w:r>
              <w:rPr>
                <w:noProof/>
                <w:webHidden/>
              </w:rPr>
            </w:r>
            <w:r>
              <w:rPr>
                <w:noProof/>
                <w:webHidden/>
              </w:rPr>
              <w:fldChar w:fldCharType="separate"/>
            </w:r>
            <w:r>
              <w:rPr>
                <w:noProof/>
                <w:webHidden/>
              </w:rPr>
              <w:t>5</w:t>
            </w:r>
            <w:r>
              <w:rPr>
                <w:noProof/>
                <w:webHidden/>
              </w:rPr>
              <w:fldChar w:fldCharType="end"/>
            </w:r>
          </w:hyperlink>
        </w:p>
        <w:p w14:paraId="3AFE2BCA"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66" w:history="1">
            <w:r w:rsidRPr="00465D91">
              <w:rPr>
                <w:rStyle w:val="Hyperlink"/>
                <w:rFonts w:cs="Arial"/>
                <w:noProof/>
              </w:rPr>
              <w:t>Organisation Supporting Gender Health Inequality</w:t>
            </w:r>
            <w:r>
              <w:rPr>
                <w:noProof/>
                <w:webHidden/>
              </w:rPr>
              <w:tab/>
            </w:r>
            <w:r>
              <w:rPr>
                <w:noProof/>
                <w:webHidden/>
              </w:rPr>
              <w:fldChar w:fldCharType="begin"/>
            </w:r>
            <w:r>
              <w:rPr>
                <w:noProof/>
                <w:webHidden/>
              </w:rPr>
              <w:instrText xml:space="preserve"> PAGEREF _Toc228312966 \h </w:instrText>
            </w:r>
            <w:r>
              <w:rPr>
                <w:noProof/>
                <w:webHidden/>
              </w:rPr>
            </w:r>
            <w:r>
              <w:rPr>
                <w:noProof/>
                <w:webHidden/>
              </w:rPr>
              <w:fldChar w:fldCharType="separate"/>
            </w:r>
            <w:r>
              <w:rPr>
                <w:noProof/>
                <w:webHidden/>
              </w:rPr>
              <w:t>5</w:t>
            </w:r>
            <w:r>
              <w:rPr>
                <w:noProof/>
                <w:webHidden/>
              </w:rPr>
              <w:fldChar w:fldCharType="end"/>
            </w:r>
          </w:hyperlink>
        </w:p>
        <w:p w14:paraId="43E2B7A1"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67" w:history="1">
            <w:r w:rsidRPr="00465D91">
              <w:rPr>
                <w:rStyle w:val="Hyperlink"/>
                <w:rFonts w:cs="Arial"/>
                <w:noProof/>
              </w:rPr>
              <w:t>Conclusion</w:t>
            </w:r>
            <w:r>
              <w:rPr>
                <w:noProof/>
                <w:webHidden/>
              </w:rPr>
              <w:tab/>
            </w:r>
            <w:r>
              <w:rPr>
                <w:noProof/>
                <w:webHidden/>
              </w:rPr>
              <w:fldChar w:fldCharType="begin"/>
            </w:r>
            <w:r>
              <w:rPr>
                <w:noProof/>
                <w:webHidden/>
              </w:rPr>
              <w:instrText xml:space="preserve"> PAGEREF _Toc228312967 \h </w:instrText>
            </w:r>
            <w:r>
              <w:rPr>
                <w:noProof/>
                <w:webHidden/>
              </w:rPr>
            </w:r>
            <w:r>
              <w:rPr>
                <w:noProof/>
                <w:webHidden/>
              </w:rPr>
              <w:fldChar w:fldCharType="separate"/>
            </w:r>
            <w:r>
              <w:rPr>
                <w:noProof/>
                <w:webHidden/>
              </w:rPr>
              <w:t>5</w:t>
            </w:r>
            <w:r>
              <w:rPr>
                <w:noProof/>
                <w:webHidden/>
              </w:rPr>
              <w:fldChar w:fldCharType="end"/>
            </w:r>
          </w:hyperlink>
        </w:p>
        <w:p w14:paraId="6BAB6DC2" w14:textId="77777777" w:rsidR="0054757B" w:rsidRDefault="0054757B">
          <w:pPr>
            <w:pStyle w:val="TOC1"/>
            <w:tabs>
              <w:tab w:val="right" w:leader="dot" w:pos="9016"/>
            </w:tabs>
            <w:rPr>
              <w:rFonts w:asciiTheme="minorHAnsi" w:eastAsiaTheme="minorEastAsia" w:hAnsiTheme="minorHAnsi"/>
              <w:noProof/>
              <w:lang w:val="en-IN" w:eastAsia="en-IN"/>
            </w:rPr>
          </w:pPr>
          <w:hyperlink w:anchor="_Toc228312968" w:history="1">
            <w:r w:rsidRPr="00465D91">
              <w:rPr>
                <w:rStyle w:val="Hyperlink"/>
                <w:rFonts w:cs="Arial"/>
                <w:noProof/>
              </w:rPr>
              <w:t>Task 2: Epidemiological Analysis</w:t>
            </w:r>
            <w:r>
              <w:rPr>
                <w:noProof/>
                <w:webHidden/>
              </w:rPr>
              <w:tab/>
            </w:r>
            <w:r>
              <w:rPr>
                <w:noProof/>
                <w:webHidden/>
              </w:rPr>
              <w:fldChar w:fldCharType="begin"/>
            </w:r>
            <w:r>
              <w:rPr>
                <w:noProof/>
                <w:webHidden/>
              </w:rPr>
              <w:instrText xml:space="preserve"> PAGEREF _Toc228312968 \h </w:instrText>
            </w:r>
            <w:r>
              <w:rPr>
                <w:noProof/>
                <w:webHidden/>
              </w:rPr>
            </w:r>
            <w:r>
              <w:rPr>
                <w:noProof/>
                <w:webHidden/>
              </w:rPr>
              <w:fldChar w:fldCharType="separate"/>
            </w:r>
            <w:r>
              <w:rPr>
                <w:noProof/>
                <w:webHidden/>
              </w:rPr>
              <w:t>7</w:t>
            </w:r>
            <w:r>
              <w:rPr>
                <w:noProof/>
                <w:webHidden/>
              </w:rPr>
              <w:fldChar w:fldCharType="end"/>
            </w:r>
          </w:hyperlink>
        </w:p>
        <w:p w14:paraId="2A9E9640"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69" w:history="1">
            <w:r w:rsidRPr="00465D91">
              <w:rPr>
                <w:rStyle w:val="Hyperlink"/>
                <w:rFonts w:cs="Arial"/>
                <w:noProof/>
              </w:rPr>
              <w:t>Introduction</w:t>
            </w:r>
            <w:r>
              <w:rPr>
                <w:noProof/>
                <w:webHidden/>
              </w:rPr>
              <w:tab/>
            </w:r>
            <w:r>
              <w:rPr>
                <w:noProof/>
                <w:webHidden/>
              </w:rPr>
              <w:fldChar w:fldCharType="begin"/>
            </w:r>
            <w:r>
              <w:rPr>
                <w:noProof/>
                <w:webHidden/>
              </w:rPr>
              <w:instrText xml:space="preserve"> PAGEREF _Toc228312969 \h </w:instrText>
            </w:r>
            <w:r>
              <w:rPr>
                <w:noProof/>
                <w:webHidden/>
              </w:rPr>
            </w:r>
            <w:r>
              <w:rPr>
                <w:noProof/>
                <w:webHidden/>
              </w:rPr>
              <w:fldChar w:fldCharType="separate"/>
            </w:r>
            <w:r>
              <w:rPr>
                <w:noProof/>
                <w:webHidden/>
              </w:rPr>
              <w:t>7</w:t>
            </w:r>
            <w:r>
              <w:rPr>
                <w:noProof/>
                <w:webHidden/>
              </w:rPr>
              <w:fldChar w:fldCharType="end"/>
            </w:r>
          </w:hyperlink>
        </w:p>
        <w:p w14:paraId="20F6E8F2"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0" w:history="1">
            <w:r w:rsidRPr="00465D91">
              <w:rPr>
                <w:rStyle w:val="Hyperlink"/>
                <w:rFonts w:cs="Arial"/>
                <w:noProof/>
              </w:rPr>
              <w:t>Public Health Measures (3 P’s)</w:t>
            </w:r>
            <w:r>
              <w:rPr>
                <w:noProof/>
                <w:webHidden/>
              </w:rPr>
              <w:tab/>
            </w:r>
            <w:r>
              <w:rPr>
                <w:noProof/>
                <w:webHidden/>
              </w:rPr>
              <w:fldChar w:fldCharType="begin"/>
            </w:r>
            <w:r>
              <w:rPr>
                <w:noProof/>
                <w:webHidden/>
              </w:rPr>
              <w:instrText xml:space="preserve"> PAGEREF _Toc228312970 \h </w:instrText>
            </w:r>
            <w:r>
              <w:rPr>
                <w:noProof/>
                <w:webHidden/>
              </w:rPr>
            </w:r>
            <w:r>
              <w:rPr>
                <w:noProof/>
                <w:webHidden/>
              </w:rPr>
              <w:fldChar w:fldCharType="separate"/>
            </w:r>
            <w:r>
              <w:rPr>
                <w:noProof/>
                <w:webHidden/>
              </w:rPr>
              <w:t>7</w:t>
            </w:r>
            <w:r>
              <w:rPr>
                <w:noProof/>
                <w:webHidden/>
              </w:rPr>
              <w:fldChar w:fldCharType="end"/>
            </w:r>
          </w:hyperlink>
        </w:p>
        <w:p w14:paraId="3B5361A2"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1" w:history="1">
            <w:r w:rsidRPr="00465D91">
              <w:rPr>
                <w:rStyle w:val="Hyperlink"/>
                <w:rFonts w:cs="Arial"/>
                <w:noProof/>
              </w:rPr>
              <w:t>Key Determinants / Risk Factors</w:t>
            </w:r>
            <w:r>
              <w:rPr>
                <w:noProof/>
                <w:webHidden/>
              </w:rPr>
              <w:tab/>
            </w:r>
            <w:r>
              <w:rPr>
                <w:noProof/>
                <w:webHidden/>
              </w:rPr>
              <w:fldChar w:fldCharType="begin"/>
            </w:r>
            <w:r>
              <w:rPr>
                <w:noProof/>
                <w:webHidden/>
              </w:rPr>
              <w:instrText xml:space="preserve"> PAGEREF _Toc228312971 \h </w:instrText>
            </w:r>
            <w:r>
              <w:rPr>
                <w:noProof/>
                <w:webHidden/>
              </w:rPr>
            </w:r>
            <w:r>
              <w:rPr>
                <w:noProof/>
                <w:webHidden/>
              </w:rPr>
              <w:fldChar w:fldCharType="separate"/>
            </w:r>
            <w:r>
              <w:rPr>
                <w:noProof/>
                <w:webHidden/>
              </w:rPr>
              <w:t>8</w:t>
            </w:r>
            <w:r>
              <w:rPr>
                <w:noProof/>
                <w:webHidden/>
              </w:rPr>
              <w:fldChar w:fldCharType="end"/>
            </w:r>
          </w:hyperlink>
        </w:p>
        <w:p w14:paraId="08D555E7"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2" w:history="1">
            <w:r w:rsidRPr="00465D91">
              <w:rPr>
                <w:rStyle w:val="Hyperlink"/>
                <w:rFonts w:cs="Arial"/>
                <w:noProof/>
              </w:rPr>
              <w:t>Affected Population and Health Needs Assessment</w:t>
            </w:r>
            <w:r>
              <w:rPr>
                <w:noProof/>
                <w:webHidden/>
              </w:rPr>
              <w:tab/>
            </w:r>
            <w:r>
              <w:rPr>
                <w:noProof/>
                <w:webHidden/>
              </w:rPr>
              <w:fldChar w:fldCharType="begin"/>
            </w:r>
            <w:r>
              <w:rPr>
                <w:noProof/>
                <w:webHidden/>
              </w:rPr>
              <w:instrText xml:space="preserve"> PAGEREF _Toc228312972 \h </w:instrText>
            </w:r>
            <w:r>
              <w:rPr>
                <w:noProof/>
                <w:webHidden/>
              </w:rPr>
            </w:r>
            <w:r>
              <w:rPr>
                <w:noProof/>
                <w:webHidden/>
              </w:rPr>
              <w:fldChar w:fldCharType="separate"/>
            </w:r>
            <w:r>
              <w:rPr>
                <w:noProof/>
                <w:webHidden/>
              </w:rPr>
              <w:t>8</w:t>
            </w:r>
            <w:r>
              <w:rPr>
                <w:noProof/>
                <w:webHidden/>
              </w:rPr>
              <w:fldChar w:fldCharType="end"/>
            </w:r>
          </w:hyperlink>
        </w:p>
        <w:p w14:paraId="7B4D2E6B"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3" w:history="1">
            <w:r w:rsidRPr="00465D91">
              <w:rPr>
                <w:rStyle w:val="Hyperlink"/>
                <w:rFonts w:cs="Arial"/>
                <w:noProof/>
              </w:rPr>
              <w:t>Monitoring and Surveillance Systems</w:t>
            </w:r>
            <w:r>
              <w:rPr>
                <w:noProof/>
                <w:webHidden/>
              </w:rPr>
              <w:tab/>
            </w:r>
            <w:r>
              <w:rPr>
                <w:noProof/>
                <w:webHidden/>
              </w:rPr>
              <w:fldChar w:fldCharType="begin"/>
            </w:r>
            <w:r>
              <w:rPr>
                <w:noProof/>
                <w:webHidden/>
              </w:rPr>
              <w:instrText xml:space="preserve"> PAGEREF _Toc228312973 \h </w:instrText>
            </w:r>
            <w:r>
              <w:rPr>
                <w:noProof/>
                <w:webHidden/>
              </w:rPr>
            </w:r>
            <w:r>
              <w:rPr>
                <w:noProof/>
                <w:webHidden/>
              </w:rPr>
              <w:fldChar w:fldCharType="separate"/>
            </w:r>
            <w:r>
              <w:rPr>
                <w:noProof/>
                <w:webHidden/>
              </w:rPr>
              <w:t>9</w:t>
            </w:r>
            <w:r>
              <w:rPr>
                <w:noProof/>
                <w:webHidden/>
              </w:rPr>
              <w:fldChar w:fldCharType="end"/>
            </w:r>
          </w:hyperlink>
        </w:p>
        <w:p w14:paraId="5AFAC537"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4" w:history="1">
            <w:r w:rsidRPr="00465D91">
              <w:rPr>
                <w:rStyle w:val="Hyperlink"/>
                <w:rFonts w:cs="Arial"/>
                <w:noProof/>
              </w:rPr>
              <w:t>Public Health Impact</w:t>
            </w:r>
            <w:r>
              <w:rPr>
                <w:noProof/>
                <w:webHidden/>
              </w:rPr>
              <w:tab/>
            </w:r>
            <w:r>
              <w:rPr>
                <w:noProof/>
                <w:webHidden/>
              </w:rPr>
              <w:fldChar w:fldCharType="begin"/>
            </w:r>
            <w:r>
              <w:rPr>
                <w:noProof/>
                <w:webHidden/>
              </w:rPr>
              <w:instrText xml:space="preserve"> PAGEREF _Toc228312974 \h </w:instrText>
            </w:r>
            <w:r>
              <w:rPr>
                <w:noProof/>
                <w:webHidden/>
              </w:rPr>
            </w:r>
            <w:r>
              <w:rPr>
                <w:noProof/>
                <w:webHidden/>
              </w:rPr>
              <w:fldChar w:fldCharType="separate"/>
            </w:r>
            <w:r>
              <w:rPr>
                <w:noProof/>
                <w:webHidden/>
              </w:rPr>
              <w:t>9</w:t>
            </w:r>
            <w:r>
              <w:rPr>
                <w:noProof/>
                <w:webHidden/>
              </w:rPr>
              <w:fldChar w:fldCharType="end"/>
            </w:r>
          </w:hyperlink>
        </w:p>
        <w:p w14:paraId="616CC30B"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5" w:history="1">
            <w:r w:rsidRPr="00465D91">
              <w:rPr>
                <w:rStyle w:val="Hyperlink"/>
                <w:rFonts w:cs="Arial"/>
                <w:noProof/>
              </w:rPr>
              <w:t>Intervention Programme and Evaluation</w:t>
            </w:r>
            <w:r>
              <w:rPr>
                <w:noProof/>
                <w:webHidden/>
              </w:rPr>
              <w:tab/>
            </w:r>
            <w:r>
              <w:rPr>
                <w:noProof/>
                <w:webHidden/>
              </w:rPr>
              <w:fldChar w:fldCharType="begin"/>
            </w:r>
            <w:r>
              <w:rPr>
                <w:noProof/>
                <w:webHidden/>
              </w:rPr>
              <w:instrText xml:space="preserve"> PAGEREF _Toc228312975 \h </w:instrText>
            </w:r>
            <w:r>
              <w:rPr>
                <w:noProof/>
                <w:webHidden/>
              </w:rPr>
            </w:r>
            <w:r>
              <w:rPr>
                <w:noProof/>
                <w:webHidden/>
              </w:rPr>
              <w:fldChar w:fldCharType="separate"/>
            </w:r>
            <w:r>
              <w:rPr>
                <w:noProof/>
                <w:webHidden/>
              </w:rPr>
              <w:t>10</w:t>
            </w:r>
            <w:r>
              <w:rPr>
                <w:noProof/>
                <w:webHidden/>
              </w:rPr>
              <w:fldChar w:fldCharType="end"/>
            </w:r>
          </w:hyperlink>
        </w:p>
        <w:p w14:paraId="248364B3"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6" w:history="1">
            <w:r w:rsidRPr="00465D91">
              <w:rPr>
                <w:rStyle w:val="Hyperlink"/>
                <w:rFonts w:cs="Arial"/>
                <w:noProof/>
              </w:rPr>
              <w:t>Strengths and Weaknesses of the Epidemiological Approach</w:t>
            </w:r>
            <w:r>
              <w:rPr>
                <w:noProof/>
                <w:webHidden/>
              </w:rPr>
              <w:tab/>
            </w:r>
            <w:r>
              <w:rPr>
                <w:noProof/>
                <w:webHidden/>
              </w:rPr>
              <w:fldChar w:fldCharType="begin"/>
            </w:r>
            <w:r>
              <w:rPr>
                <w:noProof/>
                <w:webHidden/>
              </w:rPr>
              <w:instrText xml:space="preserve"> PAGEREF _Toc228312976 \h </w:instrText>
            </w:r>
            <w:r>
              <w:rPr>
                <w:noProof/>
                <w:webHidden/>
              </w:rPr>
            </w:r>
            <w:r>
              <w:rPr>
                <w:noProof/>
                <w:webHidden/>
              </w:rPr>
              <w:fldChar w:fldCharType="separate"/>
            </w:r>
            <w:r>
              <w:rPr>
                <w:noProof/>
                <w:webHidden/>
              </w:rPr>
              <w:t>10</w:t>
            </w:r>
            <w:r>
              <w:rPr>
                <w:noProof/>
                <w:webHidden/>
              </w:rPr>
              <w:fldChar w:fldCharType="end"/>
            </w:r>
          </w:hyperlink>
        </w:p>
        <w:p w14:paraId="5FBAE97D" w14:textId="77777777" w:rsidR="0054757B" w:rsidRDefault="0054757B">
          <w:pPr>
            <w:pStyle w:val="TOC2"/>
            <w:tabs>
              <w:tab w:val="right" w:leader="dot" w:pos="9016"/>
            </w:tabs>
            <w:rPr>
              <w:rFonts w:asciiTheme="minorHAnsi" w:eastAsiaTheme="minorEastAsia" w:hAnsiTheme="minorHAnsi"/>
              <w:noProof/>
              <w:lang w:val="en-IN" w:eastAsia="en-IN"/>
            </w:rPr>
          </w:pPr>
          <w:hyperlink w:anchor="_Toc228312977" w:history="1">
            <w:r w:rsidRPr="00465D91">
              <w:rPr>
                <w:rStyle w:val="Hyperlink"/>
                <w:rFonts w:cs="Arial"/>
                <w:noProof/>
              </w:rPr>
              <w:t>Conclusion</w:t>
            </w:r>
            <w:r>
              <w:rPr>
                <w:noProof/>
                <w:webHidden/>
              </w:rPr>
              <w:tab/>
            </w:r>
            <w:r>
              <w:rPr>
                <w:noProof/>
                <w:webHidden/>
              </w:rPr>
              <w:fldChar w:fldCharType="begin"/>
            </w:r>
            <w:r>
              <w:rPr>
                <w:noProof/>
                <w:webHidden/>
              </w:rPr>
              <w:instrText xml:space="preserve"> PAGEREF _Toc228312977 \h </w:instrText>
            </w:r>
            <w:r>
              <w:rPr>
                <w:noProof/>
                <w:webHidden/>
              </w:rPr>
            </w:r>
            <w:r>
              <w:rPr>
                <w:noProof/>
                <w:webHidden/>
              </w:rPr>
              <w:fldChar w:fldCharType="separate"/>
            </w:r>
            <w:r>
              <w:rPr>
                <w:noProof/>
                <w:webHidden/>
              </w:rPr>
              <w:t>11</w:t>
            </w:r>
            <w:r>
              <w:rPr>
                <w:noProof/>
                <w:webHidden/>
              </w:rPr>
              <w:fldChar w:fldCharType="end"/>
            </w:r>
          </w:hyperlink>
        </w:p>
        <w:p w14:paraId="209C3EAC" w14:textId="77777777" w:rsidR="0054757B" w:rsidRDefault="0054757B">
          <w:pPr>
            <w:pStyle w:val="TOC1"/>
            <w:tabs>
              <w:tab w:val="right" w:leader="dot" w:pos="9016"/>
            </w:tabs>
            <w:rPr>
              <w:rFonts w:asciiTheme="minorHAnsi" w:eastAsiaTheme="minorEastAsia" w:hAnsiTheme="minorHAnsi"/>
              <w:noProof/>
              <w:lang w:val="en-IN" w:eastAsia="en-IN"/>
            </w:rPr>
          </w:pPr>
          <w:hyperlink w:anchor="_Toc228312978" w:history="1">
            <w:r w:rsidRPr="00465D91">
              <w:rPr>
                <w:rStyle w:val="Hyperlink"/>
                <w:rFonts w:cs="Arial"/>
                <w:noProof/>
              </w:rPr>
              <w:t>References</w:t>
            </w:r>
            <w:r>
              <w:rPr>
                <w:noProof/>
                <w:webHidden/>
              </w:rPr>
              <w:tab/>
            </w:r>
            <w:r>
              <w:rPr>
                <w:noProof/>
                <w:webHidden/>
              </w:rPr>
              <w:fldChar w:fldCharType="begin"/>
            </w:r>
            <w:r>
              <w:rPr>
                <w:noProof/>
                <w:webHidden/>
              </w:rPr>
              <w:instrText xml:space="preserve"> PAGEREF _Toc228312978 \h </w:instrText>
            </w:r>
            <w:r>
              <w:rPr>
                <w:noProof/>
                <w:webHidden/>
              </w:rPr>
            </w:r>
            <w:r>
              <w:rPr>
                <w:noProof/>
                <w:webHidden/>
              </w:rPr>
              <w:fldChar w:fldCharType="separate"/>
            </w:r>
            <w:r>
              <w:rPr>
                <w:noProof/>
                <w:webHidden/>
              </w:rPr>
              <w:t>12</w:t>
            </w:r>
            <w:r>
              <w:rPr>
                <w:noProof/>
                <w:webHidden/>
              </w:rPr>
              <w:fldChar w:fldCharType="end"/>
            </w:r>
          </w:hyperlink>
        </w:p>
        <w:p w14:paraId="2DC038CF" w14:textId="55635371" w:rsidR="00B875B1" w:rsidRPr="000A5FD9" w:rsidRDefault="00B875B1">
          <w:pPr>
            <w:rPr>
              <w:rFonts w:cs="Arial"/>
            </w:rPr>
          </w:pPr>
          <w:r w:rsidRPr="000A5FD9">
            <w:rPr>
              <w:rFonts w:cs="Arial"/>
              <w:b/>
              <w:bCs/>
              <w:noProof/>
            </w:rPr>
            <w:fldChar w:fldCharType="end"/>
          </w:r>
        </w:p>
      </w:sdtContent>
    </w:sdt>
    <w:p w14:paraId="27216C0A" w14:textId="63AF5A6E" w:rsidR="0059725D" w:rsidRPr="000A5FD9" w:rsidRDefault="0059725D">
      <w:pPr>
        <w:spacing w:line="259" w:lineRule="auto"/>
        <w:jc w:val="left"/>
        <w:rPr>
          <w:rFonts w:cs="Arial"/>
        </w:rPr>
      </w:pPr>
      <w:r w:rsidRPr="000A5FD9">
        <w:rPr>
          <w:rFonts w:cs="Arial"/>
        </w:rPr>
        <w:br w:type="page"/>
      </w:r>
    </w:p>
    <w:p w14:paraId="4FD53E51" w14:textId="504D71E6" w:rsidR="0059725D" w:rsidRPr="000A5FD9" w:rsidRDefault="00D57B6B" w:rsidP="00D57B6B">
      <w:pPr>
        <w:pStyle w:val="Heading1"/>
        <w:rPr>
          <w:rFonts w:cs="Arial"/>
        </w:rPr>
      </w:pPr>
      <w:bookmarkStart w:id="0" w:name="_Toc228312956"/>
      <w:r w:rsidRPr="000A5FD9">
        <w:rPr>
          <w:rFonts w:cs="Arial"/>
        </w:rPr>
        <w:lastRenderedPageBreak/>
        <w:t>Task 1: Social Epidemiological Analysis</w:t>
      </w:r>
      <w:bookmarkEnd w:id="0"/>
    </w:p>
    <w:p w14:paraId="644F4AF1" w14:textId="3AE04185" w:rsidR="00E00449" w:rsidRPr="000A5FD9" w:rsidRDefault="00E00449" w:rsidP="00C92C05">
      <w:pPr>
        <w:pStyle w:val="Heading2"/>
        <w:rPr>
          <w:rFonts w:cs="Arial"/>
        </w:rPr>
      </w:pPr>
      <w:bookmarkStart w:id="1" w:name="_Toc228312957"/>
      <w:r w:rsidRPr="000A5FD9">
        <w:rPr>
          <w:rFonts w:cs="Arial"/>
        </w:rPr>
        <w:t>Introduction</w:t>
      </w:r>
      <w:bookmarkEnd w:id="1"/>
    </w:p>
    <w:p w14:paraId="67E7D9E8" w14:textId="462F0FD9" w:rsidR="002C2706" w:rsidRPr="002C2706" w:rsidRDefault="002C2706" w:rsidP="002C2706">
      <w:pPr>
        <w:rPr>
          <w:rFonts w:cs="Arial"/>
        </w:rPr>
      </w:pPr>
      <w:r w:rsidRPr="002C2706">
        <w:rPr>
          <w:rFonts w:cs="Arial"/>
        </w:rPr>
        <w:t>Gender health inequality can be defined as the systematic disparity in health status, access to health care services and risk factors between women and men. Gender is a very important social determinant of health in the UK as it defines the experiences of individuals over their life course (Hossain et al., 2025). Although female sex lives more years than male</w:t>
      </w:r>
      <w:r w:rsidR="009A6D3F">
        <w:rPr>
          <w:rFonts w:cs="Arial"/>
        </w:rPr>
        <w:t>s</w:t>
      </w:r>
      <w:r w:rsidRPr="002C2706">
        <w:rPr>
          <w:rFonts w:cs="Arial"/>
        </w:rPr>
        <w:t xml:space="preserve">, they are at greater risk of having chronic diseases and mental health problems. Conversely, men are more likely to die and access healthcare services less. These disparities are not only biological but are highly affected by social conventions, the state of the economy and institutional discrimination in health care systems. </w:t>
      </w:r>
    </w:p>
    <w:p w14:paraId="5717EAF0" w14:textId="7A4B60F5" w:rsidR="00224136" w:rsidRPr="000A5FD9" w:rsidRDefault="00224136" w:rsidP="00224136">
      <w:pPr>
        <w:pStyle w:val="Heading2"/>
        <w:rPr>
          <w:rFonts w:cs="Arial"/>
        </w:rPr>
      </w:pPr>
      <w:bookmarkStart w:id="2" w:name="_Toc228312958"/>
      <w:r w:rsidRPr="000A5FD9">
        <w:rPr>
          <w:rFonts w:cs="Arial"/>
        </w:rPr>
        <w:t>Contextual background and underlying factor</w:t>
      </w:r>
      <w:bookmarkEnd w:id="2"/>
    </w:p>
    <w:p w14:paraId="7122354C" w14:textId="714E1D79" w:rsidR="00E00449" w:rsidRPr="000A5FD9" w:rsidRDefault="00E00449" w:rsidP="00224136">
      <w:pPr>
        <w:pStyle w:val="Heading3"/>
        <w:rPr>
          <w:rFonts w:cs="Arial"/>
        </w:rPr>
      </w:pPr>
      <w:bookmarkStart w:id="3" w:name="_Toc228312959"/>
      <w:r w:rsidRPr="000A5FD9">
        <w:rPr>
          <w:rFonts w:cs="Arial"/>
        </w:rPr>
        <w:t>Higher Rates of Mental Health Conditions</w:t>
      </w:r>
      <w:bookmarkEnd w:id="3"/>
      <w:r w:rsidRPr="000A5FD9">
        <w:rPr>
          <w:rFonts w:cs="Arial"/>
        </w:rPr>
        <w:t xml:space="preserve"> </w:t>
      </w:r>
    </w:p>
    <w:p w14:paraId="1ABCAD3C" w14:textId="39259EC0" w:rsidR="00304E49" w:rsidRPr="000A5FD9" w:rsidRDefault="002C2706" w:rsidP="00E00449">
      <w:pPr>
        <w:rPr>
          <w:rFonts w:cs="Arial"/>
        </w:rPr>
      </w:pPr>
      <w:r w:rsidRPr="002C2706">
        <w:rPr>
          <w:rFonts w:cs="Arial"/>
        </w:rPr>
        <w:t xml:space="preserve">Common mental health disorders like anxiety and depression are higher among women than men in the UK. According to the data of national surveys, the percentage of women who report </w:t>
      </w:r>
      <w:r w:rsidR="009A6D3F">
        <w:rPr>
          <w:rFonts w:cs="Arial"/>
        </w:rPr>
        <w:t>experiencing</w:t>
      </w:r>
      <w:r w:rsidRPr="002C2706">
        <w:rPr>
          <w:rFonts w:cs="Arial"/>
        </w:rPr>
        <w:t xml:space="preserve"> psychological distress is much higher, especially in younger age groups (Jackson et al., 2023). </w:t>
      </w:r>
    </w:p>
    <w:p w14:paraId="6CD63DE4" w14:textId="77777777" w:rsidR="00304E49" w:rsidRPr="000A5FD9" w:rsidRDefault="00304E49" w:rsidP="00304E49">
      <w:pPr>
        <w:keepNext/>
        <w:rPr>
          <w:rFonts w:cs="Arial"/>
        </w:rPr>
      </w:pPr>
      <w:r w:rsidRPr="000A5FD9">
        <w:rPr>
          <w:rFonts w:cs="Arial"/>
          <w:noProof/>
          <w:lang w:val="en-IN" w:eastAsia="en-IN"/>
        </w:rPr>
        <w:drawing>
          <wp:inline distT="0" distB="0" distL="0" distR="0" wp14:anchorId="2841B3A2" wp14:editId="4DC48660">
            <wp:extent cx="5731510" cy="2216716"/>
            <wp:effectExtent l="76200" t="76200" r="135890" b="127000"/>
            <wp:docPr id="1" name="Picture 1" descr="Fig.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167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29FBF8" w14:textId="246961C0" w:rsidR="00304E49" w:rsidRPr="000A5FD9" w:rsidRDefault="00304E49" w:rsidP="00304E49">
      <w:pPr>
        <w:pStyle w:val="Caption"/>
        <w:jc w:val="center"/>
        <w:rPr>
          <w:rFonts w:cs="Arial"/>
        </w:rPr>
      </w:pPr>
      <w:r w:rsidRPr="000A5FD9">
        <w:rPr>
          <w:rFonts w:cs="Arial"/>
        </w:rPr>
        <w:t xml:space="preserve">Figure </w:t>
      </w:r>
      <w:r w:rsidRPr="000A5FD9">
        <w:rPr>
          <w:rFonts w:cs="Arial"/>
        </w:rPr>
        <w:fldChar w:fldCharType="begin"/>
      </w:r>
      <w:r w:rsidRPr="000A5FD9">
        <w:rPr>
          <w:rFonts w:cs="Arial"/>
        </w:rPr>
        <w:instrText xml:space="preserve"> SEQ Figure \* ARABIC </w:instrText>
      </w:r>
      <w:r w:rsidRPr="000A5FD9">
        <w:rPr>
          <w:rFonts w:cs="Arial"/>
        </w:rPr>
        <w:fldChar w:fldCharType="separate"/>
      </w:r>
      <w:r w:rsidR="005163E8">
        <w:rPr>
          <w:rFonts w:cs="Arial"/>
          <w:noProof/>
        </w:rPr>
        <w:t>1</w:t>
      </w:r>
      <w:r w:rsidRPr="000A5FD9">
        <w:rPr>
          <w:rFonts w:cs="Arial"/>
        </w:rPr>
        <w:fldChar w:fldCharType="end"/>
      </w:r>
      <w:r w:rsidRPr="000A5FD9">
        <w:rPr>
          <w:rFonts w:cs="Arial"/>
        </w:rPr>
        <w:t>: Relationship between Earnings and Mental Health Outcomes</w:t>
      </w:r>
    </w:p>
    <w:p w14:paraId="73E8C310" w14:textId="79F3D86E" w:rsidR="00304E49" w:rsidRPr="000A5FD9" w:rsidRDefault="00304E49" w:rsidP="00304E49">
      <w:pPr>
        <w:jc w:val="center"/>
        <w:rPr>
          <w:rFonts w:cs="Arial"/>
          <w:i/>
        </w:rPr>
      </w:pPr>
      <w:r w:rsidRPr="000A5FD9">
        <w:rPr>
          <w:rFonts w:cs="Arial"/>
          <w:i/>
        </w:rPr>
        <w:t xml:space="preserve">(Source: </w:t>
      </w:r>
      <w:r w:rsidR="00DE6170" w:rsidRPr="000A5FD9">
        <w:rPr>
          <w:rFonts w:cs="Arial"/>
          <w:i/>
        </w:rPr>
        <w:t>Evans-</w:t>
      </w:r>
      <w:proofErr w:type="spellStart"/>
      <w:r w:rsidR="00DE6170" w:rsidRPr="000A5FD9">
        <w:rPr>
          <w:rFonts w:cs="Arial"/>
          <w:i/>
        </w:rPr>
        <w:t>Lacko</w:t>
      </w:r>
      <w:proofErr w:type="spellEnd"/>
      <w:r w:rsidR="00DE6170" w:rsidRPr="000A5FD9">
        <w:rPr>
          <w:rFonts w:cs="Arial"/>
          <w:i/>
        </w:rPr>
        <w:t xml:space="preserve"> et al., 2024)</w:t>
      </w:r>
    </w:p>
    <w:p w14:paraId="73828B5C" w14:textId="2956DA6B" w:rsidR="00FB1F6C" w:rsidRPr="00FB1F6C" w:rsidRDefault="00500A1E" w:rsidP="00500A1E">
      <w:pPr>
        <w:rPr>
          <w:rFonts w:cs="Arial"/>
        </w:rPr>
      </w:pPr>
      <w:r w:rsidRPr="00500A1E">
        <w:rPr>
          <w:rFonts w:cs="Arial"/>
        </w:rPr>
        <w:t>Ev</w:t>
      </w:r>
      <w:r w:rsidR="009C3033">
        <w:rPr>
          <w:rFonts w:cs="Arial"/>
        </w:rPr>
        <w:t>ans-</w:t>
      </w:r>
      <w:proofErr w:type="spellStart"/>
      <w:r w:rsidR="009C3033">
        <w:rPr>
          <w:rFonts w:cs="Arial"/>
        </w:rPr>
        <w:t>Lacko</w:t>
      </w:r>
      <w:proofErr w:type="spellEnd"/>
      <w:r w:rsidR="009C3033">
        <w:rPr>
          <w:rFonts w:cs="Arial"/>
        </w:rPr>
        <w:t xml:space="preserve"> et al. (2024) emphasis</w:t>
      </w:r>
      <w:r w:rsidRPr="00500A1E">
        <w:rPr>
          <w:rFonts w:cs="Arial"/>
        </w:rPr>
        <w:t>ed that women were likely to have low income and unstable jobs, which is socioeconomic status that is likely to put women at a disadvantage in terms of poor mental health. Waiting times and resource shortage may lead to delayed access to care. In order to deal with the disparity, specific mental health care, early intervention policies and more generic interventions to reduce the social and economic cost of gender are necessary.</w:t>
      </w:r>
      <w:r w:rsidR="00FB1F6C">
        <w:rPr>
          <w:rFonts w:cs="Arial"/>
        </w:rPr>
        <w:t xml:space="preserve"> </w:t>
      </w:r>
    </w:p>
    <w:p w14:paraId="27D8AB89" w14:textId="5CCD94D4" w:rsidR="00E00449" w:rsidRPr="000A5FD9" w:rsidRDefault="004676E3" w:rsidP="00224136">
      <w:pPr>
        <w:pStyle w:val="Heading3"/>
        <w:rPr>
          <w:rFonts w:cs="Arial"/>
        </w:rPr>
      </w:pPr>
      <w:bookmarkStart w:id="4" w:name="_Toc228312960"/>
      <w:r w:rsidRPr="000A5FD9">
        <w:rPr>
          <w:rFonts w:cs="Arial"/>
        </w:rPr>
        <w:lastRenderedPageBreak/>
        <w:t>Higher Suicide Rates a</w:t>
      </w:r>
      <w:r w:rsidR="00E00449" w:rsidRPr="000A5FD9">
        <w:rPr>
          <w:rFonts w:cs="Arial"/>
        </w:rPr>
        <w:t>mong Men</w:t>
      </w:r>
      <w:bookmarkEnd w:id="4"/>
    </w:p>
    <w:p w14:paraId="33ACC5AD" w14:textId="45F90379" w:rsidR="00500A1E" w:rsidRPr="00500A1E" w:rsidRDefault="00500A1E" w:rsidP="00500A1E">
      <w:pPr>
        <w:rPr>
          <w:rFonts w:cs="Arial"/>
        </w:rPr>
      </w:pPr>
      <w:r w:rsidRPr="00500A1E">
        <w:rPr>
          <w:rFonts w:cs="Arial"/>
        </w:rPr>
        <w:t xml:space="preserve">Bailey et al. (2025) note extremely high suicide rates among men in the UK, even though the latter possesses low rates of diagnosed mental health issues. According to the report by the Office for National Statistics (2025), suicide is a major cause of demise among the male population and more so among middle aged men. It is mentioned that the suicide rate (by age) was the highest among the males in 50-54 years age group. Masculine ideals, as </w:t>
      </w:r>
      <w:proofErr w:type="spellStart"/>
      <w:r w:rsidRPr="00500A1E">
        <w:rPr>
          <w:rFonts w:cs="Arial"/>
        </w:rPr>
        <w:t>Mokhwelepa</w:t>
      </w:r>
      <w:proofErr w:type="spellEnd"/>
      <w:r w:rsidRPr="00500A1E">
        <w:rPr>
          <w:rFonts w:cs="Arial"/>
        </w:rPr>
        <w:t xml:space="preserve"> and </w:t>
      </w:r>
      <w:proofErr w:type="spellStart"/>
      <w:r w:rsidRPr="00500A1E">
        <w:rPr>
          <w:rFonts w:cs="Arial"/>
        </w:rPr>
        <w:t>Sumbane</w:t>
      </w:r>
      <w:proofErr w:type="spellEnd"/>
      <w:r w:rsidRPr="00500A1E">
        <w:rPr>
          <w:rFonts w:cs="Arial"/>
        </w:rPr>
        <w:t xml:space="preserve"> (2025) remark, place more emphasis on independence which can lead to being more self-reliant and more prepared to take risks. This difference could be explained by social and cultural conventions, which do not allow men to be weak in their emotions an</w:t>
      </w:r>
      <w:r>
        <w:rPr>
          <w:rFonts w:cs="Arial"/>
        </w:rPr>
        <w:t xml:space="preserve">d to be in need of assistance. </w:t>
      </w:r>
    </w:p>
    <w:p w14:paraId="7CE96EC5" w14:textId="55D37C2E" w:rsidR="00E00449" w:rsidRPr="000A5FD9" w:rsidRDefault="00E00449" w:rsidP="00224136">
      <w:pPr>
        <w:pStyle w:val="Heading3"/>
        <w:rPr>
          <w:rFonts w:cs="Arial"/>
        </w:rPr>
      </w:pPr>
      <w:bookmarkStart w:id="5" w:name="_Toc228312961"/>
      <w:r w:rsidRPr="000A5FD9">
        <w:rPr>
          <w:rFonts w:cs="Arial"/>
        </w:rPr>
        <w:t>Cardiovascular Disease and Gender Bias in Healthcare</w:t>
      </w:r>
      <w:bookmarkEnd w:id="5"/>
    </w:p>
    <w:p w14:paraId="1C1FAB28" w14:textId="7804DF68" w:rsidR="00500A1E" w:rsidRPr="002C2706" w:rsidRDefault="00500A1E" w:rsidP="002C2706">
      <w:pPr>
        <w:rPr>
          <w:rFonts w:cs="Arial"/>
        </w:rPr>
      </w:pPr>
      <w:r w:rsidRPr="00500A1E">
        <w:rPr>
          <w:rFonts w:cs="Arial"/>
        </w:rPr>
        <w:t xml:space="preserve">In females, the symptoms might not be similar to males, and thus under- or </w:t>
      </w:r>
      <w:proofErr w:type="spellStart"/>
      <w:r w:rsidRPr="00500A1E">
        <w:rPr>
          <w:rFonts w:cs="Arial"/>
        </w:rPr>
        <w:t>mis</w:t>
      </w:r>
      <w:proofErr w:type="spellEnd"/>
      <w:r w:rsidRPr="00500A1E">
        <w:rPr>
          <w:rFonts w:cs="Arial"/>
        </w:rPr>
        <w:t>-diagnosis will occur. In the past, most medical research has been conducted in the male population, and this has led to a shortage of gender-specific information and clinical care (</w:t>
      </w:r>
      <w:proofErr w:type="spellStart"/>
      <w:r w:rsidRPr="00500A1E">
        <w:rPr>
          <w:rFonts w:cs="Arial"/>
        </w:rPr>
        <w:t>Gualtierotti</w:t>
      </w:r>
      <w:proofErr w:type="spellEnd"/>
      <w:r w:rsidRPr="00500A1E">
        <w:rPr>
          <w:rFonts w:cs="Arial"/>
        </w:rPr>
        <w:t xml:space="preserve">, 2025). This could be interpreted to imply that women might fail to obtain proper and prompt treatment which is also a factor leading to the survival and </w:t>
      </w:r>
      <w:r w:rsidR="009C3033">
        <w:rPr>
          <w:rFonts w:cs="Arial"/>
        </w:rPr>
        <w:t>health care inequity. To minimis</w:t>
      </w:r>
      <w:r w:rsidRPr="00500A1E">
        <w:rPr>
          <w:rFonts w:cs="Arial"/>
        </w:rPr>
        <w:t xml:space="preserve">e this gap, women health needs to be researched further, the training of health-care workers needs to be better and the diagnostic criteria needs to become more inclusive </w:t>
      </w:r>
      <w:r>
        <w:rPr>
          <w:rFonts w:cs="Arial"/>
        </w:rPr>
        <w:t xml:space="preserve">to reflect gender differences. </w:t>
      </w:r>
    </w:p>
    <w:p w14:paraId="5F95E1D2" w14:textId="60C8C55F" w:rsidR="00E00449" w:rsidRPr="000A5FD9" w:rsidRDefault="00E00449" w:rsidP="00224136">
      <w:pPr>
        <w:pStyle w:val="Heading3"/>
        <w:rPr>
          <w:rFonts w:cs="Arial"/>
        </w:rPr>
      </w:pPr>
      <w:bookmarkStart w:id="6" w:name="_Toc228312962"/>
      <w:r w:rsidRPr="000A5FD9">
        <w:rPr>
          <w:rFonts w:cs="Arial"/>
        </w:rPr>
        <w:t>Gender-Based Poverty and Economic Inequality</w:t>
      </w:r>
      <w:bookmarkEnd w:id="6"/>
    </w:p>
    <w:p w14:paraId="2198115C" w14:textId="003E72FA" w:rsidR="00E00449" w:rsidRPr="000A5FD9" w:rsidRDefault="00500A1E" w:rsidP="00E00449">
      <w:pPr>
        <w:rPr>
          <w:rFonts w:cs="Arial"/>
        </w:rPr>
      </w:pPr>
      <w:r w:rsidRPr="00500A1E">
        <w:rPr>
          <w:rFonts w:cs="Arial"/>
        </w:rPr>
        <w:t>Economic inequality is the major factor influencing health disparity between men and women in the UK. The primary factors that make women more vulnerable to poverty are the gender pay gap, working part-time and giving unpaid care (Evans-</w:t>
      </w:r>
      <w:proofErr w:type="spellStart"/>
      <w:r w:rsidRPr="00500A1E">
        <w:rPr>
          <w:rFonts w:cs="Arial"/>
        </w:rPr>
        <w:t>Lacko</w:t>
      </w:r>
      <w:proofErr w:type="spellEnd"/>
      <w:r w:rsidRPr="00500A1E">
        <w:rPr>
          <w:rFonts w:cs="Arial"/>
        </w:rPr>
        <w:t xml:space="preserve"> et al., 2024). Economic poverty restricts access to resources such as health promoting food, housing and health care facilities. Also, the healthcare-related costs of women are also increased by the reproductive health care and increased life expectancy. These are the long-term health risks that include such financial disabilities. This can be helped by policies that tackle gender based poverty like closing the gender pay gap, offering cheaper childcare services and reinf</w:t>
      </w:r>
      <w:r>
        <w:rPr>
          <w:rFonts w:cs="Arial"/>
        </w:rPr>
        <w:t xml:space="preserve">orcing social welfare systems. </w:t>
      </w:r>
    </w:p>
    <w:p w14:paraId="3984278F" w14:textId="76CD7EA4" w:rsidR="00E00449" w:rsidRPr="000A5FD9" w:rsidRDefault="00E00449" w:rsidP="00224136">
      <w:pPr>
        <w:pStyle w:val="Heading3"/>
        <w:rPr>
          <w:rFonts w:cs="Arial"/>
        </w:rPr>
      </w:pPr>
      <w:bookmarkStart w:id="7" w:name="_Toc228312963"/>
      <w:r w:rsidRPr="000A5FD9">
        <w:rPr>
          <w:rFonts w:cs="Arial"/>
        </w:rPr>
        <w:t>Unequal Access and Utilisation of Healthcare Services</w:t>
      </w:r>
      <w:bookmarkEnd w:id="7"/>
    </w:p>
    <w:p w14:paraId="5EF5E9B8" w14:textId="4E5EDB2B" w:rsidR="00E00449" w:rsidRPr="000A5FD9" w:rsidRDefault="00500A1E" w:rsidP="00E00449">
      <w:pPr>
        <w:rPr>
          <w:rFonts w:cs="Arial"/>
        </w:rPr>
      </w:pPr>
      <w:r w:rsidRPr="00500A1E">
        <w:rPr>
          <w:rFonts w:cs="Arial"/>
        </w:rPr>
        <w:t xml:space="preserve">Men tend to get medical assistance in general, especially with mental health issues, which can delay the diagnosis and treatment process and worsen health issues (Scott and </w:t>
      </w:r>
      <w:proofErr w:type="spellStart"/>
      <w:r w:rsidRPr="00500A1E">
        <w:rPr>
          <w:rFonts w:cs="Arial"/>
        </w:rPr>
        <w:t>Hoskin</w:t>
      </w:r>
      <w:proofErr w:type="spellEnd"/>
      <w:r w:rsidRPr="00500A1E">
        <w:rPr>
          <w:rFonts w:cs="Arial"/>
        </w:rPr>
        <w:t xml:space="preserve">, 2024). This is probably influenced by societal constructs and stigma of masculinity. Women, who more frequently are likely to feel the need to seek health care, on the other hand, have stated that health care professionals are not considering their symptoms (Khan et al., 2023). </w:t>
      </w:r>
      <w:r w:rsidRPr="00500A1E">
        <w:rPr>
          <w:rFonts w:cs="Arial"/>
        </w:rPr>
        <w:lastRenderedPageBreak/>
        <w:t>This may lead to late diagnosis and treatment. In order to enhance access and use of health services, we must consider the issue in a g</w:t>
      </w:r>
      <w:r>
        <w:rPr>
          <w:rFonts w:cs="Arial"/>
        </w:rPr>
        <w:t>ender sensitive approach.</w:t>
      </w:r>
    </w:p>
    <w:p w14:paraId="6D084BF5" w14:textId="41CC266A" w:rsidR="00E00449" w:rsidRPr="000A5FD9" w:rsidRDefault="00E00449" w:rsidP="00224136">
      <w:pPr>
        <w:pStyle w:val="Heading3"/>
        <w:rPr>
          <w:rFonts w:cs="Arial"/>
        </w:rPr>
      </w:pPr>
      <w:bookmarkStart w:id="8" w:name="_Toc228312964"/>
      <w:r w:rsidRPr="000A5FD9">
        <w:rPr>
          <w:rFonts w:cs="Arial"/>
        </w:rPr>
        <w:t>Social Roles and Gender Norms</w:t>
      </w:r>
      <w:bookmarkEnd w:id="8"/>
    </w:p>
    <w:p w14:paraId="0BF10F49" w14:textId="32C0DE12" w:rsidR="00E00449" w:rsidRPr="000A5FD9" w:rsidRDefault="00500A1E" w:rsidP="00E00449">
      <w:pPr>
        <w:rPr>
          <w:rFonts w:cs="Arial"/>
        </w:rPr>
      </w:pPr>
      <w:r w:rsidRPr="00500A1E">
        <w:rPr>
          <w:rFonts w:cs="Arial"/>
        </w:rPr>
        <w:t>Roles and cultural norms contribute a lot to health behaviours and health outcomes. The men also have a higher likelihood of having risky behaviours that contribute to the likelihood of chronic disease and early death (</w:t>
      </w:r>
      <w:proofErr w:type="spellStart"/>
      <w:r w:rsidRPr="00500A1E">
        <w:rPr>
          <w:rFonts w:cs="Arial"/>
        </w:rPr>
        <w:t>Oduro</w:t>
      </w:r>
      <w:proofErr w:type="spellEnd"/>
      <w:r w:rsidRPr="00500A1E">
        <w:rPr>
          <w:rFonts w:cs="Arial"/>
        </w:rPr>
        <w:t xml:space="preserve"> et al., 2023). Conversely, the females have higher chances of being stressed by a series of care-taking roles, work-life and gender-based victimisation (</w:t>
      </w:r>
      <w:proofErr w:type="spellStart"/>
      <w:r w:rsidRPr="00500A1E">
        <w:rPr>
          <w:rFonts w:cs="Arial"/>
        </w:rPr>
        <w:t>Heydarikhayat</w:t>
      </w:r>
      <w:proofErr w:type="spellEnd"/>
      <w:r w:rsidRPr="00500A1E">
        <w:rPr>
          <w:rFonts w:cs="Arial"/>
        </w:rPr>
        <w:t xml:space="preserve"> et al., 2025). The various risk exposures would demand emphasis on the social determinants of health. Thus, the interventions of the public health should also be aimed at altering the behaviour of the people, rather than altering the norms of the society as a whole and advancing gender eq</w:t>
      </w:r>
      <w:r>
        <w:rPr>
          <w:rFonts w:cs="Arial"/>
        </w:rPr>
        <w:t xml:space="preserve">uality in all spheres of life. </w:t>
      </w:r>
    </w:p>
    <w:p w14:paraId="7DD48BFF" w14:textId="69B13D9B" w:rsidR="00E00449" w:rsidRPr="000A5FD9" w:rsidRDefault="00E00449" w:rsidP="00224136">
      <w:pPr>
        <w:pStyle w:val="Heading2"/>
        <w:rPr>
          <w:rFonts w:cs="Arial"/>
        </w:rPr>
      </w:pPr>
      <w:bookmarkStart w:id="9" w:name="_Toc228312965"/>
      <w:r w:rsidRPr="000A5FD9">
        <w:rPr>
          <w:rFonts w:cs="Arial"/>
        </w:rPr>
        <w:t>National Response to Reduce Gender Health Inequalities</w:t>
      </w:r>
      <w:bookmarkEnd w:id="9"/>
    </w:p>
    <w:p w14:paraId="00A81DBD" w14:textId="5B00C1E0" w:rsidR="00E00449" w:rsidRPr="000A5FD9" w:rsidRDefault="00500A1E" w:rsidP="00E00449">
      <w:pPr>
        <w:rPr>
          <w:rFonts w:cs="Arial"/>
        </w:rPr>
      </w:pPr>
      <w:r w:rsidRPr="00500A1E">
        <w:rPr>
          <w:rFonts w:cs="Arial"/>
        </w:rPr>
        <w:t>The UK government has done a number of things in trying to overcome the gender health inequalities. The Women Health Strategy in England is a positive move towards the right direction to achieve better health care outcomes among women by addressing issues that affect women like reproductive health, menopause and provision of services (Gov. UK., 2022). It will decrease the disparities in diagnosis and treatment and enhance the study of women health. Moreover, ment</w:t>
      </w:r>
      <w:r w:rsidR="009C3033">
        <w:rPr>
          <w:rFonts w:cs="Arial"/>
        </w:rPr>
        <w:t>al health services are prioritis</w:t>
      </w:r>
      <w:r w:rsidRPr="00500A1E">
        <w:rPr>
          <w:rFonts w:cs="Arial"/>
        </w:rPr>
        <w:t>ed in the Long Term Plan of the National Health Service (NHS), which aims at decreasing health disparities among the population, including women (NHS England, 2023). It will encompass strategies like the augmentation of access to psychological assistance,</w:t>
      </w:r>
      <w:r w:rsidR="009C3033">
        <w:rPr>
          <w:rFonts w:cs="Arial"/>
        </w:rPr>
        <w:t xml:space="preserve"> early intervention and customis</w:t>
      </w:r>
      <w:r w:rsidRPr="00500A1E">
        <w:rPr>
          <w:rFonts w:cs="Arial"/>
        </w:rPr>
        <w:t>ed assist</w:t>
      </w:r>
      <w:r>
        <w:rPr>
          <w:rFonts w:cs="Arial"/>
        </w:rPr>
        <w:t xml:space="preserve">ance to the vulnerable. </w:t>
      </w:r>
    </w:p>
    <w:p w14:paraId="536D6D16" w14:textId="67A149DD" w:rsidR="00E00449" w:rsidRPr="000A5FD9" w:rsidRDefault="00E00449" w:rsidP="00C92C05">
      <w:pPr>
        <w:pStyle w:val="Heading2"/>
        <w:rPr>
          <w:rFonts w:cs="Arial"/>
        </w:rPr>
      </w:pPr>
      <w:bookmarkStart w:id="10" w:name="_Toc228312966"/>
      <w:r w:rsidRPr="000A5FD9">
        <w:rPr>
          <w:rFonts w:cs="Arial"/>
        </w:rPr>
        <w:t>Organisation Supporting Gender Health Inequality</w:t>
      </w:r>
      <w:bookmarkEnd w:id="10"/>
    </w:p>
    <w:p w14:paraId="74E5AC49" w14:textId="640A480F" w:rsidR="00E00449" w:rsidRPr="000A5FD9" w:rsidRDefault="00500A1E" w:rsidP="00E00449">
      <w:pPr>
        <w:rPr>
          <w:rFonts w:cs="Arial"/>
        </w:rPr>
      </w:pPr>
      <w:r w:rsidRPr="00500A1E">
        <w:rPr>
          <w:rFonts w:cs="Arial"/>
        </w:rPr>
        <w:t xml:space="preserve">The Mental Health Foundation is a UK charity that researches to learn what gender can play in mental health and gives recommendations based on evidence on the policy and practice (Mental Health Foundation, 2026). It also creates awareness to the masses through campaigns, and supplies resources to help individuals and communities. It </w:t>
      </w:r>
      <w:r w:rsidR="009C3033">
        <w:rPr>
          <w:rFonts w:cs="Arial"/>
        </w:rPr>
        <w:t>has some aims such as to minimis</w:t>
      </w:r>
      <w:r w:rsidRPr="00500A1E">
        <w:rPr>
          <w:rFonts w:cs="Arial"/>
        </w:rPr>
        <w:t xml:space="preserve">e disparities in mental health through prevention and early intervention approaches. </w:t>
      </w:r>
    </w:p>
    <w:p w14:paraId="2A0F6FDF" w14:textId="77777777" w:rsidR="00E00449" w:rsidRPr="000A5FD9" w:rsidRDefault="00E00449" w:rsidP="00C92C05">
      <w:pPr>
        <w:pStyle w:val="Heading2"/>
        <w:rPr>
          <w:rFonts w:cs="Arial"/>
        </w:rPr>
      </w:pPr>
      <w:bookmarkStart w:id="11" w:name="_Toc228312967"/>
      <w:r w:rsidRPr="000A5FD9">
        <w:rPr>
          <w:rFonts w:cs="Arial"/>
        </w:rPr>
        <w:t>Conclusion</w:t>
      </w:r>
      <w:bookmarkEnd w:id="11"/>
    </w:p>
    <w:p w14:paraId="4617642A" w14:textId="530FF15F" w:rsidR="00D57B6B" w:rsidRPr="000A5FD9" w:rsidRDefault="00500A1E" w:rsidP="00E00449">
      <w:pPr>
        <w:rPr>
          <w:rFonts w:cs="Arial"/>
        </w:rPr>
      </w:pPr>
      <w:r w:rsidRPr="00500A1E">
        <w:rPr>
          <w:rFonts w:cs="Arial"/>
        </w:rPr>
        <w:t xml:space="preserve">The conclusion is that the issue of gender health disparities in the UK is pre-determined by the elements of biology, social and economic determinants. There are more prevalent mental health disorders among women and are more hampered by the health care systems as compared to men who are prone to premature death and less likely to access the health services. The solution to gender health inequalities lies in a multifaceted approach that takes </w:t>
      </w:r>
      <w:r w:rsidRPr="00500A1E">
        <w:rPr>
          <w:rFonts w:cs="Arial"/>
        </w:rPr>
        <w:lastRenderedPageBreak/>
        <w:t>the form of policy change, enhancement of health services and attempts to curb un-healthy social determinants of health.</w:t>
      </w:r>
    </w:p>
    <w:p w14:paraId="449B05E2" w14:textId="77777777" w:rsidR="00500A1E" w:rsidRDefault="00500A1E">
      <w:pPr>
        <w:spacing w:line="259" w:lineRule="auto"/>
        <w:jc w:val="left"/>
        <w:rPr>
          <w:rFonts w:eastAsiaTheme="majorEastAsia" w:cs="Arial"/>
          <w:b/>
          <w:color w:val="000000" w:themeColor="text1"/>
          <w:szCs w:val="32"/>
        </w:rPr>
      </w:pPr>
      <w:r>
        <w:rPr>
          <w:rFonts w:cs="Arial"/>
        </w:rPr>
        <w:br w:type="page"/>
      </w:r>
    </w:p>
    <w:p w14:paraId="0A6A7069" w14:textId="25ABA30E" w:rsidR="00D57B6B" w:rsidRPr="000A5FD9" w:rsidRDefault="00D57B6B" w:rsidP="00D57B6B">
      <w:pPr>
        <w:pStyle w:val="Heading1"/>
        <w:rPr>
          <w:rFonts w:cs="Arial"/>
        </w:rPr>
      </w:pPr>
      <w:bookmarkStart w:id="12" w:name="_Toc228312968"/>
      <w:r w:rsidRPr="000A5FD9">
        <w:rPr>
          <w:rFonts w:cs="Arial"/>
        </w:rPr>
        <w:lastRenderedPageBreak/>
        <w:t>Task 2: Epidemiological Analysis</w:t>
      </w:r>
      <w:bookmarkEnd w:id="12"/>
      <w:r w:rsidRPr="000A5FD9">
        <w:rPr>
          <w:rFonts w:cs="Arial"/>
        </w:rPr>
        <w:t xml:space="preserve"> </w:t>
      </w:r>
    </w:p>
    <w:p w14:paraId="1F46DA27" w14:textId="4829742E" w:rsidR="005A0E4F" w:rsidRPr="000A5FD9" w:rsidRDefault="007C15B5" w:rsidP="000A5FD9">
      <w:pPr>
        <w:pStyle w:val="Heading2"/>
        <w:rPr>
          <w:rFonts w:cs="Arial"/>
        </w:rPr>
      </w:pPr>
      <w:bookmarkStart w:id="13" w:name="_Toc228312969"/>
      <w:r w:rsidRPr="000A5FD9">
        <w:rPr>
          <w:rFonts w:cs="Arial"/>
        </w:rPr>
        <w:t>Introduction</w:t>
      </w:r>
      <w:bookmarkEnd w:id="13"/>
    </w:p>
    <w:p w14:paraId="31399E9F" w14:textId="34FF2929" w:rsidR="00500A1E" w:rsidRPr="00500A1E" w:rsidRDefault="00500A1E" w:rsidP="00500A1E">
      <w:pPr>
        <w:rPr>
          <w:rFonts w:cs="Arial"/>
        </w:rPr>
      </w:pPr>
      <w:r w:rsidRPr="00500A1E">
        <w:rPr>
          <w:rFonts w:cs="Arial"/>
        </w:rPr>
        <w:t xml:space="preserve">Obesity is a chronic non-communicable disease that is typified by the excessive weight within the body. According to WHO (2025), the rates of obesity have been rising drastically in every corner of the world and this has been affected by a change in lifestyles and the environment. The findings of the said report indicate that one in every four adults in the UK is obese and this is directly connected to the socioeconomic inequalities, in that, it is more widespread in the underprivileged groups. Health differences in the UK are directly connected with obesity because obesity is overrepresented among the population who reside in impoverished </w:t>
      </w:r>
      <w:r w:rsidR="009C3033" w:rsidRPr="00500A1E">
        <w:rPr>
          <w:rFonts w:cs="Arial"/>
        </w:rPr>
        <w:t>neighbourh</w:t>
      </w:r>
      <w:r w:rsidR="009C3033">
        <w:rPr>
          <w:rFonts w:cs="Arial"/>
        </w:rPr>
        <w:t>oods</w:t>
      </w:r>
      <w:r>
        <w:rPr>
          <w:rFonts w:cs="Arial"/>
        </w:rPr>
        <w:t xml:space="preserve"> (Hutchinson et al., 2026). </w:t>
      </w:r>
    </w:p>
    <w:p w14:paraId="3C986B9C" w14:textId="77777777" w:rsidR="005163E8" w:rsidRDefault="005163E8" w:rsidP="005163E8">
      <w:pPr>
        <w:keepNext/>
      </w:pPr>
      <w:r w:rsidRPr="005163E8">
        <w:rPr>
          <w:lang w:val="en-IN" w:eastAsia="en-IN"/>
        </w:rPr>
        <w:drawing>
          <wp:inline distT="0" distB="0" distL="0" distR="0" wp14:anchorId="3CC0D540" wp14:editId="75C89559">
            <wp:extent cx="5731510" cy="27705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70505"/>
                    </a:xfrm>
                    <a:prstGeom prst="rect">
                      <a:avLst/>
                    </a:prstGeom>
                  </pic:spPr>
                </pic:pic>
              </a:graphicData>
            </a:graphic>
          </wp:inline>
        </w:drawing>
      </w:r>
    </w:p>
    <w:p w14:paraId="50026AE6" w14:textId="783D8B09" w:rsidR="008C36AB" w:rsidRDefault="005163E8" w:rsidP="005163E8">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161417">
        <w:t>Overweight and obesity, by region</w:t>
      </w:r>
    </w:p>
    <w:p w14:paraId="4FF0FCFE" w14:textId="10A576D6" w:rsidR="005163E8" w:rsidRPr="005163E8" w:rsidRDefault="005163E8" w:rsidP="005163E8">
      <w:pPr>
        <w:jc w:val="center"/>
        <w:rPr>
          <w:i/>
        </w:rPr>
      </w:pPr>
      <w:r>
        <w:rPr>
          <w:i/>
        </w:rPr>
        <w:t xml:space="preserve">(Source: NHS England, </w:t>
      </w:r>
      <w:r w:rsidRPr="005163E8">
        <w:rPr>
          <w:i/>
        </w:rPr>
        <w:t>2026)</w:t>
      </w:r>
    </w:p>
    <w:p w14:paraId="4C894E47" w14:textId="18FC75CB" w:rsidR="007C15B5" w:rsidRPr="000A5FD9" w:rsidRDefault="00500A1E" w:rsidP="0059725D">
      <w:pPr>
        <w:rPr>
          <w:rFonts w:cs="Arial"/>
        </w:rPr>
      </w:pPr>
      <w:r w:rsidRPr="00500A1E">
        <w:rPr>
          <w:rFonts w:cs="Arial"/>
        </w:rPr>
        <w:t>The percentage of adults in the UK who have been classified as overweight or obese is 66 percent, according to NHS England (2026), and this is a severe problem with the seriousness of a public health concern. The provided findings come to the conclusion that the prevalence of obesity is higher than the national average, particularly in c</w:t>
      </w:r>
      <w:r>
        <w:rPr>
          <w:rFonts w:cs="Arial"/>
        </w:rPr>
        <w:t xml:space="preserve">hildren and low-income groups. </w:t>
      </w:r>
    </w:p>
    <w:p w14:paraId="3CB652D7" w14:textId="5464201E" w:rsidR="006E3C18" w:rsidRPr="000A5FD9" w:rsidRDefault="006E3C18" w:rsidP="001D7B70">
      <w:pPr>
        <w:pStyle w:val="Heading2"/>
        <w:rPr>
          <w:rFonts w:cs="Arial"/>
        </w:rPr>
      </w:pPr>
      <w:bookmarkStart w:id="14" w:name="_Toc228312970"/>
      <w:r w:rsidRPr="000A5FD9">
        <w:rPr>
          <w:rFonts w:cs="Arial"/>
        </w:rPr>
        <w:t>Public Health Measures (3 P’s)</w:t>
      </w:r>
      <w:bookmarkEnd w:id="14"/>
      <w:r w:rsidRPr="000A5FD9">
        <w:rPr>
          <w:rFonts w:cs="Arial"/>
        </w:rPr>
        <w:t xml:space="preserve"> </w:t>
      </w:r>
    </w:p>
    <w:p w14:paraId="30144CCA" w14:textId="77777777" w:rsidR="00500A1E" w:rsidRPr="00500A1E" w:rsidRDefault="00500A1E" w:rsidP="00500A1E">
      <w:pPr>
        <w:rPr>
          <w:rFonts w:cs="Arial"/>
        </w:rPr>
      </w:pPr>
      <w:r w:rsidRPr="00500A1E">
        <w:rPr>
          <w:rFonts w:cs="Arial"/>
        </w:rPr>
        <w:t xml:space="preserve">The widely used models of creating strategies to address obesity in the UK are prevention, protection and promotion. Prevention-based interventions are designed to reduce the incidence of obesity by encouraging better lifestyles (Oliver et al., 2022). There are multiple programmes that promote behavioural changes, including improved diet and exercise, which are linked with the NHS (Bower et al., 2023). Physical activity and nutrition programmes in </w:t>
      </w:r>
      <w:r w:rsidRPr="00500A1E">
        <w:rPr>
          <w:rFonts w:cs="Arial"/>
        </w:rPr>
        <w:lastRenderedPageBreak/>
        <w:t xml:space="preserve">schools play a crucial role in the establishment of healthy lifestyles at a tender age, particularly in high-risk communities among children. </w:t>
      </w:r>
    </w:p>
    <w:p w14:paraId="15D2A665" w14:textId="77777777" w:rsidR="00500A1E" w:rsidRPr="00500A1E" w:rsidRDefault="00500A1E" w:rsidP="00500A1E">
      <w:pPr>
        <w:rPr>
          <w:rFonts w:cs="Arial"/>
        </w:rPr>
      </w:pPr>
      <w:r w:rsidRPr="00500A1E">
        <w:rPr>
          <w:rFonts w:cs="Arial"/>
        </w:rPr>
        <w:t xml:space="preserve">The protection measures involve regulatory and policy-based interventions, which are intended to reduce exposure to unhealthy products. The purpose of introducing the Soft Drinks Industry Levy is to reduce the number of consumed sugars in the UK (Jones et al., 2023). In addition, advertising junk food, particularly to children, will be limited in order to limit the influence of unhealthy marketing. </w:t>
      </w:r>
    </w:p>
    <w:p w14:paraId="7A8188C9" w14:textId="1FE6B186" w:rsidR="006E3C18" w:rsidRPr="000A5FD9" w:rsidRDefault="009D27A7" w:rsidP="006E3C18">
      <w:pPr>
        <w:rPr>
          <w:rFonts w:cs="Arial"/>
        </w:rPr>
      </w:pPr>
      <w:r w:rsidRPr="009D27A7">
        <w:rPr>
          <w:rFonts w:cs="Arial"/>
        </w:rPr>
        <w:t>The conclusion is that obesity is a severe social health issue at both international and national levels and the prevalence of obesity is very high in the deprived communities such as Tower Hamlets. To support the design of specific interventions and informed policy response, epidemiological studies are critical in determining the distribution, determinants and effects of However. Nevertheless, only through the sacrifice of the collective effort, the underlying issue of obesity can be addressed at the personal level. It involves a multi-level, holistic strategy, which involves prevention, policy control, and community-based strategies.</w:t>
      </w:r>
    </w:p>
    <w:p w14:paraId="270B6330" w14:textId="16B703B4" w:rsidR="006E3C18" w:rsidRPr="000A5FD9" w:rsidRDefault="006E3C18" w:rsidP="001D7B70">
      <w:pPr>
        <w:pStyle w:val="Heading2"/>
        <w:rPr>
          <w:rFonts w:cs="Arial"/>
        </w:rPr>
      </w:pPr>
      <w:bookmarkStart w:id="15" w:name="_Toc228312971"/>
      <w:r w:rsidRPr="000A5FD9">
        <w:rPr>
          <w:rFonts w:cs="Arial"/>
        </w:rPr>
        <w:t>Key Determinants / Risk Factors</w:t>
      </w:r>
      <w:bookmarkEnd w:id="15"/>
    </w:p>
    <w:p w14:paraId="4CB986F1" w14:textId="77777777" w:rsidR="00500A1E" w:rsidRPr="00500A1E" w:rsidRDefault="00500A1E" w:rsidP="00500A1E">
      <w:pPr>
        <w:rPr>
          <w:rFonts w:cs="Arial"/>
        </w:rPr>
      </w:pPr>
      <w:r w:rsidRPr="00500A1E">
        <w:rPr>
          <w:rFonts w:cs="Arial"/>
        </w:rPr>
        <w:t xml:space="preserve">Obesity is determined by a complex interaction of biological, behavioural and social factors. The contribution of the behavioural factors also deserves to be mentioned, in particular, poor diets with a large portion of processed food and products with sugar (de Menezes et al., 2023). These kinds of behaviours are typically based on the personal preference although to a large extent they are also affected by the immediate surroundings. </w:t>
      </w:r>
    </w:p>
    <w:p w14:paraId="194DDF18" w14:textId="68F88DCD" w:rsidR="006E3C18" w:rsidRPr="000A5FD9" w:rsidRDefault="00500A1E" w:rsidP="006E3C18">
      <w:pPr>
        <w:rPr>
          <w:rFonts w:cs="Arial"/>
        </w:rPr>
      </w:pPr>
      <w:r w:rsidRPr="00500A1E">
        <w:rPr>
          <w:rFonts w:cs="Arial"/>
        </w:rPr>
        <w:t>The social determinants are relevant in the context of obesity in explaining the trend of obesity especially in such places as Tower Hamlets in the UK. Poverty and deprivation lead to the absence of healthy food and recreational space, and individuals are increasingly reliant on the availability of low-cost foods rich in calories (</w:t>
      </w:r>
      <w:proofErr w:type="spellStart"/>
      <w:r w:rsidRPr="00500A1E">
        <w:rPr>
          <w:rFonts w:cs="Arial"/>
        </w:rPr>
        <w:t>Ziso</w:t>
      </w:r>
      <w:proofErr w:type="spellEnd"/>
      <w:r w:rsidRPr="00500A1E">
        <w:rPr>
          <w:rFonts w:cs="Arial"/>
        </w:rPr>
        <w:t xml:space="preserve"> et al., 2022). Another causal agent is ethnicity where particular groups of people stand at a greater chance of obesity due to cultural eating hab</w:t>
      </w:r>
      <w:r>
        <w:rPr>
          <w:rFonts w:cs="Arial"/>
        </w:rPr>
        <w:t>its and genetic predisposition.</w:t>
      </w:r>
    </w:p>
    <w:p w14:paraId="5A382748" w14:textId="0615E00B" w:rsidR="006E3C18" w:rsidRPr="000A5FD9" w:rsidRDefault="006E3C18" w:rsidP="001D7B70">
      <w:pPr>
        <w:pStyle w:val="Heading2"/>
        <w:rPr>
          <w:rFonts w:cs="Arial"/>
        </w:rPr>
      </w:pPr>
      <w:bookmarkStart w:id="16" w:name="_Toc228312972"/>
      <w:r w:rsidRPr="000A5FD9">
        <w:rPr>
          <w:rFonts w:cs="Arial"/>
        </w:rPr>
        <w:t>Affected Population and Health Needs Assessment</w:t>
      </w:r>
      <w:bookmarkEnd w:id="16"/>
    </w:p>
    <w:p w14:paraId="10D8623A" w14:textId="1E93F85B" w:rsidR="00500A1E" w:rsidRPr="00500A1E" w:rsidRDefault="009C3033" w:rsidP="00500A1E">
      <w:pPr>
        <w:rPr>
          <w:rFonts w:cs="Arial"/>
        </w:rPr>
      </w:pPr>
      <w:r>
        <w:rPr>
          <w:rFonts w:cs="Arial"/>
        </w:rPr>
        <w:t>The population to be utilis</w:t>
      </w:r>
      <w:r w:rsidR="00500A1E" w:rsidRPr="00500A1E">
        <w:rPr>
          <w:rFonts w:cs="Arial"/>
        </w:rPr>
        <w:t>ed in this epidemiological research is that of a London borough, Tow</w:t>
      </w:r>
      <w:r>
        <w:rPr>
          <w:rFonts w:cs="Arial"/>
        </w:rPr>
        <w:t>er Hamlets, which is characteris</w:t>
      </w:r>
      <w:r w:rsidR="00500A1E" w:rsidRPr="00500A1E">
        <w:rPr>
          <w:rFonts w:cs="Arial"/>
        </w:rPr>
        <w:t xml:space="preserve">ed by the high rates of socio-economic deprivation, as well as high degrees of ethnic diversity. The area contains some of the youngest populations in the UK and a large proportion of the population is of Bangladeshi and other minority ethnic backgrounds. These socio-economic and demographic dynamics are linked to a distinct health disparity trend particularly in terms of obesity. </w:t>
      </w:r>
    </w:p>
    <w:p w14:paraId="583D0EF4" w14:textId="77777777" w:rsidR="00500A1E" w:rsidRPr="00500A1E" w:rsidRDefault="00500A1E" w:rsidP="00500A1E">
      <w:pPr>
        <w:rPr>
          <w:rFonts w:cs="Arial"/>
        </w:rPr>
      </w:pPr>
      <w:r w:rsidRPr="00500A1E">
        <w:rPr>
          <w:rFonts w:cs="Arial"/>
        </w:rPr>
        <w:lastRenderedPageBreak/>
        <w:t xml:space="preserve">It has always been epidemiologically proven that more deprived </w:t>
      </w:r>
      <w:proofErr w:type="spellStart"/>
      <w:r w:rsidRPr="00500A1E">
        <w:rPr>
          <w:rFonts w:cs="Arial"/>
        </w:rPr>
        <w:t>neighborhoods</w:t>
      </w:r>
      <w:proofErr w:type="spellEnd"/>
      <w:r w:rsidRPr="00500A1E">
        <w:rPr>
          <w:rFonts w:cs="Arial"/>
        </w:rPr>
        <w:t xml:space="preserve"> have a higher rate of obesity and Tower Hamlets is not an exception. Among such high-risk groups of this population, it is possible to sing out children, individuals with low-income families, and ethnic minorities (Broadbent et al., 2024). Of particular interest is the issue of childhood obesity where early childhood obesity increases the likelihood of obesity persisting into adulthood and other chronic diseases. </w:t>
      </w:r>
    </w:p>
    <w:p w14:paraId="03250BED" w14:textId="0E9A0BC4" w:rsidR="00A46594" w:rsidRPr="00A46594" w:rsidRDefault="00500A1E" w:rsidP="00A46594">
      <w:pPr>
        <w:rPr>
          <w:rFonts w:cs="Arial"/>
        </w:rPr>
      </w:pPr>
      <w:r w:rsidRPr="00500A1E">
        <w:rPr>
          <w:rFonts w:cs="Arial"/>
        </w:rPr>
        <w:t>Several significant issues of this population are identified with the help of a health needs assessment. Poor access to culturally relevant preventive programmes and health services results in high levels of discrepancies. Other barriers that restrict access to the existing interventions are financial barriers, low health literacy, and lack of knowledge of healthy lifestyles practices. Dietary practices and health perceptions can also be influenced by the culture and, therefore, standardised interventions are less effective (Bennett et al., 2022). Regarding inequality, obesity is prevalent in disadvantaged communities in Tower Hamlets and this adds to the e</w:t>
      </w:r>
      <w:r>
        <w:rPr>
          <w:rFonts w:cs="Arial"/>
        </w:rPr>
        <w:t xml:space="preserve">xisting disparities in health. </w:t>
      </w:r>
    </w:p>
    <w:p w14:paraId="06322D11" w14:textId="1040BCB2" w:rsidR="006E3C18" w:rsidRPr="000A5FD9" w:rsidRDefault="006E3C18" w:rsidP="001D7B70">
      <w:pPr>
        <w:pStyle w:val="Heading2"/>
        <w:rPr>
          <w:rFonts w:cs="Arial"/>
        </w:rPr>
      </w:pPr>
      <w:bookmarkStart w:id="17" w:name="_Toc228312973"/>
      <w:r w:rsidRPr="000A5FD9">
        <w:rPr>
          <w:rFonts w:cs="Arial"/>
        </w:rPr>
        <w:t>Monitoring and Surveillance Systems</w:t>
      </w:r>
      <w:bookmarkEnd w:id="17"/>
    </w:p>
    <w:p w14:paraId="46FBABEB" w14:textId="7EA2180E" w:rsidR="00A46594" w:rsidRPr="00A46594" w:rsidRDefault="00A46594" w:rsidP="00A46594">
      <w:pPr>
        <w:rPr>
          <w:rFonts w:cs="Arial"/>
        </w:rPr>
      </w:pPr>
      <w:r w:rsidRPr="00A46594">
        <w:rPr>
          <w:rFonts w:cs="Arial"/>
        </w:rPr>
        <w:t xml:space="preserve">Monitoring and surveillance should be considered as an integral part of epidemiological practice as they allow the researcher to identify the trends, the population at risk, and the effectiveness of the interventions. In the UK, the data on obesity is gathered by using a variety of systems that offer the national datasets on health indicators, as well as </w:t>
      </w:r>
      <w:r w:rsidR="009A6D3F">
        <w:rPr>
          <w:rFonts w:cs="Arial"/>
        </w:rPr>
        <w:t xml:space="preserve">the </w:t>
      </w:r>
      <w:r w:rsidRPr="00A46594">
        <w:rPr>
          <w:rFonts w:cs="Arial"/>
        </w:rPr>
        <w:t>UK Health Security Agency</w:t>
      </w:r>
      <w:r w:rsidR="009A6D3F">
        <w:rPr>
          <w:rFonts w:cs="Arial"/>
        </w:rPr>
        <w:t>, which</w:t>
      </w:r>
      <w:r w:rsidRPr="00A46594">
        <w:rPr>
          <w:rFonts w:cs="Arial"/>
        </w:rPr>
        <w:t xml:space="preserve"> </w:t>
      </w:r>
      <w:r w:rsidR="001566FA">
        <w:rPr>
          <w:rFonts w:cs="Arial"/>
        </w:rPr>
        <w:t>assists in monitoring and analys</w:t>
      </w:r>
      <w:r w:rsidRPr="00A46594">
        <w:rPr>
          <w:rFonts w:cs="Arial"/>
        </w:rPr>
        <w:t xml:space="preserve">ing population health. </w:t>
      </w:r>
      <w:r w:rsidR="009A6D3F">
        <w:rPr>
          <w:rFonts w:cs="Arial"/>
        </w:rPr>
        <w:t xml:space="preserve">The </w:t>
      </w:r>
      <w:r w:rsidRPr="00A46594">
        <w:rPr>
          <w:rFonts w:cs="Arial"/>
        </w:rPr>
        <w:t xml:space="preserve">National Child Measurement Programme (NCMP) is significant in gauging the prevalence of obesity in children through the measurement of BMI in pupils in Reception and Year 6 (Mohamed and </w:t>
      </w:r>
      <w:proofErr w:type="spellStart"/>
      <w:r w:rsidRPr="00A46594">
        <w:rPr>
          <w:rFonts w:cs="Arial"/>
        </w:rPr>
        <w:t>Pallan</w:t>
      </w:r>
      <w:proofErr w:type="spellEnd"/>
      <w:r w:rsidRPr="00A46594">
        <w:rPr>
          <w:rFonts w:cs="Arial"/>
        </w:rPr>
        <w:t xml:space="preserve">, 2024). </w:t>
      </w:r>
    </w:p>
    <w:p w14:paraId="0C362618" w14:textId="71AF87F8" w:rsidR="006E3C18" w:rsidRPr="000A5FD9" w:rsidRDefault="00A46594" w:rsidP="006E3C18">
      <w:pPr>
        <w:rPr>
          <w:rFonts w:cs="Arial"/>
        </w:rPr>
      </w:pPr>
      <w:r w:rsidRPr="00A46594">
        <w:rPr>
          <w:rFonts w:cs="Arial"/>
        </w:rPr>
        <w:t>Population</w:t>
      </w:r>
      <w:r w:rsidR="009A6D3F">
        <w:rPr>
          <w:rFonts w:cs="Arial"/>
        </w:rPr>
        <w:t>-</w:t>
      </w:r>
      <w:r w:rsidRPr="00A46594">
        <w:rPr>
          <w:rFonts w:cs="Arial"/>
        </w:rPr>
        <w:t>level datasets allow cross-regional and demographic comparisons to facilitate specific health planning of the population (</w:t>
      </w:r>
      <w:proofErr w:type="spellStart"/>
      <w:r w:rsidRPr="00A46594">
        <w:rPr>
          <w:rFonts w:cs="Arial"/>
        </w:rPr>
        <w:t>Bhosale</w:t>
      </w:r>
      <w:proofErr w:type="spellEnd"/>
      <w:r w:rsidRPr="00A46594">
        <w:rPr>
          <w:rFonts w:cs="Arial"/>
        </w:rPr>
        <w:t xml:space="preserve"> et al., 2025). Such surveillance systems involve the use of a mixture of routine data, screening programmes, and population health data to track the prevalence and distribution of obesity. Constant monitoring of the trends over time is achieved through routine surveillance, and screening data is used to detect early warning of people at risk. </w:t>
      </w:r>
      <w:r w:rsidR="00580EC6">
        <w:rPr>
          <w:rFonts w:cs="Arial"/>
        </w:rPr>
        <w:t>However</w:t>
      </w:r>
      <w:r w:rsidRPr="00A46594">
        <w:rPr>
          <w:rFonts w:cs="Arial"/>
        </w:rPr>
        <w:t xml:space="preserve">, as much as such systems have immense advantages, such as collecting data </w:t>
      </w:r>
      <w:r w:rsidR="009A6D3F">
        <w:rPr>
          <w:rFonts w:cs="Arial"/>
        </w:rPr>
        <w:t>on a</w:t>
      </w:r>
      <w:r w:rsidRPr="00A46594">
        <w:rPr>
          <w:rFonts w:cs="Arial"/>
        </w:rPr>
        <w:t xml:space="preserve"> large scale</w:t>
      </w:r>
      <w:r w:rsidR="001566FA">
        <w:rPr>
          <w:rFonts w:cs="Arial"/>
        </w:rPr>
        <w:t xml:space="preserve"> and analys</w:t>
      </w:r>
      <w:r w:rsidRPr="00A46594">
        <w:rPr>
          <w:rFonts w:cs="Arial"/>
        </w:rPr>
        <w:t>ing trend</w:t>
      </w:r>
      <w:r w:rsidR="009A6D3F">
        <w:rPr>
          <w:rFonts w:cs="Arial"/>
        </w:rPr>
        <w:t>s</w:t>
      </w:r>
      <w:r w:rsidRPr="00A46594">
        <w:rPr>
          <w:rFonts w:cs="Arial"/>
        </w:rPr>
        <w:t xml:space="preserve"> over time, there are also disadvantages associated with them. The data of surveillance might be inadequate to reflect the intricacy of social and behavioural determinants of obesity (</w:t>
      </w:r>
      <w:proofErr w:type="spellStart"/>
      <w:r w:rsidRPr="00A46594">
        <w:rPr>
          <w:rFonts w:cs="Arial"/>
        </w:rPr>
        <w:t>Salm</w:t>
      </w:r>
      <w:proofErr w:type="spellEnd"/>
      <w:r w:rsidRPr="00A46594">
        <w:rPr>
          <w:rFonts w:cs="Arial"/>
        </w:rPr>
        <w:t xml:space="preserve"> et al., 2023). </w:t>
      </w:r>
    </w:p>
    <w:p w14:paraId="4F3C9500" w14:textId="1E93C312" w:rsidR="006E3C18" w:rsidRPr="000A5FD9" w:rsidRDefault="006E3C18" w:rsidP="001D7B70">
      <w:pPr>
        <w:pStyle w:val="Heading2"/>
        <w:rPr>
          <w:rFonts w:cs="Arial"/>
        </w:rPr>
      </w:pPr>
      <w:bookmarkStart w:id="18" w:name="_Toc228312974"/>
      <w:r w:rsidRPr="000A5FD9">
        <w:rPr>
          <w:rFonts w:cs="Arial"/>
        </w:rPr>
        <w:t>Public Health Impact</w:t>
      </w:r>
      <w:bookmarkEnd w:id="18"/>
    </w:p>
    <w:p w14:paraId="1C21E96C" w14:textId="77777777" w:rsidR="00500A1E" w:rsidRPr="00500A1E" w:rsidRDefault="00500A1E" w:rsidP="00500A1E">
      <w:pPr>
        <w:rPr>
          <w:rFonts w:cs="Arial"/>
        </w:rPr>
      </w:pPr>
      <w:r w:rsidRPr="00500A1E">
        <w:rPr>
          <w:rFonts w:cs="Arial"/>
        </w:rPr>
        <w:t xml:space="preserve">Obesity has severe immediate and long-term consequences on the individuals and population. Obese individuals tend to be less mobile, feel fatigued, and have a reduced daily activity </w:t>
      </w:r>
      <w:r w:rsidRPr="00500A1E">
        <w:rPr>
          <w:rFonts w:cs="Arial"/>
        </w:rPr>
        <w:lastRenderedPageBreak/>
        <w:t xml:space="preserve">capacity in the short-term, which can affect their overall quality of life negatively. General psychological effects also include low self-esteem, anxiety and depression that are normally worsened by the stigma and social discrimination. Epidemiologically, these acute effects contribute to the increased use of healthcare and poor health among individuals who are affected. </w:t>
      </w:r>
    </w:p>
    <w:p w14:paraId="1EEDCF68" w14:textId="19BFE33A" w:rsidR="006E3C18" w:rsidRPr="000A5FD9" w:rsidRDefault="00500A1E" w:rsidP="006E3C18">
      <w:pPr>
        <w:rPr>
          <w:rFonts w:cs="Arial"/>
        </w:rPr>
      </w:pPr>
      <w:r w:rsidRPr="00500A1E">
        <w:rPr>
          <w:rFonts w:cs="Arial"/>
        </w:rPr>
        <w:t>The appearance of chronic conditions, such as type 2 diabetes, cardiovascular disease, and certain types of cancer, is directly connected to obesity in the long-run (</w:t>
      </w:r>
      <w:proofErr w:type="spellStart"/>
      <w:r w:rsidRPr="00500A1E">
        <w:rPr>
          <w:rFonts w:cs="Arial"/>
        </w:rPr>
        <w:t>Antouri</w:t>
      </w:r>
      <w:proofErr w:type="spellEnd"/>
      <w:r w:rsidRPr="00500A1E">
        <w:rPr>
          <w:rFonts w:cs="Arial"/>
        </w:rPr>
        <w:t xml:space="preserve"> et al., 2024). This results into morbidity and early mortality, consequently reducing life expectancy. Broadbent et al. (2024) demonstrate that the burden of disease is more among the more obese population, particularly in poorer communities such as Tower Hamlets. In addition, obesity burdens the NHS with high financial cost due to high demand o</w:t>
      </w:r>
      <w:r>
        <w:rPr>
          <w:rFonts w:cs="Arial"/>
        </w:rPr>
        <w:t>f treatment and long-term care.</w:t>
      </w:r>
    </w:p>
    <w:p w14:paraId="76137B3C" w14:textId="25AF4B2E" w:rsidR="006E3C18" w:rsidRPr="000A5FD9" w:rsidRDefault="006E3C18" w:rsidP="001D7B70">
      <w:pPr>
        <w:pStyle w:val="Heading2"/>
        <w:rPr>
          <w:rFonts w:cs="Arial"/>
        </w:rPr>
      </w:pPr>
      <w:bookmarkStart w:id="19" w:name="_Toc228312975"/>
      <w:r w:rsidRPr="000A5FD9">
        <w:rPr>
          <w:rFonts w:cs="Arial"/>
        </w:rPr>
        <w:t>Intervention Programme and Evaluation</w:t>
      </w:r>
      <w:bookmarkEnd w:id="19"/>
    </w:p>
    <w:p w14:paraId="10760BC9" w14:textId="2A8710A3" w:rsidR="00A46594" w:rsidRPr="00A46594" w:rsidRDefault="00500A1E" w:rsidP="00A46594">
      <w:pPr>
        <w:rPr>
          <w:rFonts w:cs="Arial"/>
        </w:rPr>
      </w:pPr>
      <w:r w:rsidRPr="00500A1E">
        <w:rPr>
          <w:rFonts w:cs="Arial"/>
        </w:rPr>
        <w:t>To resolve the obesity issue in Tower Hamlets, a community-based weight management programme can be proposed. The high-risk groups, which are overrepresented in obesity, would be the main target population of this programme: low-income adults and children. It consists of a combination of nutrition education, physical activity programmes, and behaviour change support. The nutrition education would focus on popularization of healthy nutrition, interpretation of food labels and affordable nutrition. It is possible to assess the effectiveness of the intervention with the assistance of measurable outcomes, including a reduction in BMI, an increase in physical activity, and more knowledge of healthy lifestyle practices. On the negative side, this approach has several strengths. It targets high-risk groups and allows better utilisation of funds and it promotes community participation, which can result in increased par</w:t>
      </w:r>
      <w:r>
        <w:rPr>
          <w:rFonts w:cs="Arial"/>
        </w:rPr>
        <w:t xml:space="preserve">ticipation and sustainability. </w:t>
      </w:r>
    </w:p>
    <w:p w14:paraId="348609B8" w14:textId="50E3DBAF" w:rsidR="006E3C18" w:rsidRPr="000A5FD9" w:rsidRDefault="006E3C18" w:rsidP="001D7B70">
      <w:pPr>
        <w:pStyle w:val="Heading2"/>
        <w:rPr>
          <w:rFonts w:cs="Arial"/>
        </w:rPr>
      </w:pPr>
      <w:bookmarkStart w:id="20" w:name="_Toc228312976"/>
      <w:r w:rsidRPr="000A5FD9">
        <w:rPr>
          <w:rFonts w:cs="Arial"/>
        </w:rPr>
        <w:t>Strengths and Weaknesses of the Epidemiological Approach</w:t>
      </w:r>
      <w:bookmarkEnd w:id="20"/>
    </w:p>
    <w:p w14:paraId="0875A2FD" w14:textId="77777777" w:rsidR="00500A1E" w:rsidRPr="00500A1E" w:rsidRDefault="00500A1E" w:rsidP="00500A1E">
      <w:pPr>
        <w:rPr>
          <w:rFonts w:cs="Arial"/>
        </w:rPr>
      </w:pPr>
      <w:r w:rsidRPr="00500A1E">
        <w:rPr>
          <w:rFonts w:cs="Arial"/>
        </w:rPr>
        <w:t>Epidemiology possesses several strengths as far as its use in the management of obesity is concerned. It will be used to help use evidence based decisions to identify patterns, trends and high-risk groups in some communities. Epidemiology is used to formulate policies and evaluate the intervention on the population and, therefore, the intervention is evidence-based and quantifies its outcomes (</w:t>
      </w:r>
      <w:proofErr w:type="spellStart"/>
      <w:r w:rsidRPr="00500A1E">
        <w:rPr>
          <w:rFonts w:cs="Arial"/>
        </w:rPr>
        <w:t>Ogundeko-Olugbami</w:t>
      </w:r>
      <w:proofErr w:type="spellEnd"/>
      <w:r w:rsidRPr="00500A1E">
        <w:rPr>
          <w:rFonts w:cs="Arial"/>
        </w:rPr>
        <w:t xml:space="preserve"> et al., 2025). This allows the public health professionals to design particular interventions, as well as allocate resources more effectively. </w:t>
      </w:r>
    </w:p>
    <w:p w14:paraId="0B0EF1B8" w14:textId="312B05B5" w:rsidR="006E3C18" w:rsidRPr="000A5FD9" w:rsidRDefault="00500A1E" w:rsidP="006E3C18">
      <w:pPr>
        <w:rPr>
          <w:rFonts w:cs="Arial"/>
        </w:rPr>
      </w:pPr>
      <w:r>
        <w:rPr>
          <w:rFonts w:cs="Arial"/>
        </w:rPr>
        <w:t>However</w:t>
      </w:r>
      <w:r w:rsidRPr="00500A1E">
        <w:rPr>
          <w:rFonts w:cs="Arial"/>
        </w:rPr>
        <w:t>, the epidemiological approach has its drawbacks that are to be taken into consideration. Among the problems that may undermine the quality of data is underreporting, anomalies in data collection and delays in the availability of data, which may reduce the accuracy of results (</w:t>
      </w:r>
      <w:proofErr w:type="spellStart"/>
      <w:r w:rsidRPr="00500A1E">
        <w:rPr>
          <w:rFonts w:cs="Arial"/>
        </w:rPr>
        <w:t>Khumbudzo</w:t>
      </w:r>
      <w:proofErr w:type="spellEnd"/>
      <w:r w:rsidRPr="00500A1E">
        <w:rPr>
          <w:rFonts w:cs="Arial"/>
        </w:rPr>
        <w:t xml:space="preserve"> et al., 2025). Additionally, it may also not be useful in </w:t>
      </w:r>
      <w:r w:rsidRPr="00500A1E">
        <w:rPr>
          <w:rFonts w:cs="Arial"/>
        </w:rPr>
        <w:lastRenderedPageBreak/>
        <w:t>understanding the social and cultural dimension of health including behavioural motivations and environmental influences.</w:t>
      </w:r>
    </w:p>
    <w:p w14:paraId="77AFEF01" w14:textId="0CBC0889" w:rsidR="006E3C18" w:rsidRPr="000A5FD9" w:rsidRDefault="006E3C18" w:rsidP="001D7B70">
      <w:pPr>
        <w:pStyle w:val="Heading2"/>
        <w:rPr>
          <w:rFonts w:cs="Arial"/>
        </w:rPr>
      </w:pPr>
      <w:bookmarkStart w:id="21" w:name="_Toc228312977"/>
      <w:r w:rsidRPr="000A5FD9">
        <w:rPr>
          <w:rFonts w:cs="Arial"/>
        </w:rPr>
        <w:t>Conclusion</w:t>
      </w:r>
      <w:bookmarkEnd w:id="21"/>
    </w:p>
    <w:p w14:paraId="5A3CE5BF" w14:textId="32E3A113" w:rsidR="00A46594" w:rsidRPr="000A5FD9" w:rsidRDefault="009D27A7" w:rsidP="00A46594">
      <w:pPr>
        <w:rPr>
          <w:rFonts w:cs="Arial"/>
        </w:rPr>
      </w:pPr>
      <w:r>
        <w:rPr>
          <w:rFonts w:cs="Arial"/>
        </w:rPr>
        <w:t>It is concluded</w:t>
      </w:r>
      <w:r w:rsidRPr="009D27A7">
        <w:rPr>
          <w:rFonts w:cs="Arial"/>
        </w:rPr>
        <w:t xml:space="preserve"> that obesity is a severe social health issue at both international and national levels and the prevalence of obesity is very high in the deprived communities such as Tower Hamlets. To support the design of specific interventions and informed policy response, epidemiological studies are critical in determining the distribution, determinants and effects of However. Nevertheless, only through the sacrifice of the collective effort, the underlying issue of obesity can be addressed at the personal level. It involves a multi-level, holistic strategy, which involves prevention, policy control, and community-based strategies.</w:t>
      </w:r>
    </w:p>
    <w:p w14:paraId="685FE9BF" w14:textId="126F7DE1" w:rsidR="000F143B" w:rsidRPr="000A5FD9" w:rsidRDefault="000F143B" w:rsidP="001D7B70">
      <w:pPr>
        <w:rPr>
          <w:rFonts w:cs="Arial"/>
        </w:rPr>
      </w:pPr>
    </w:p>
    <w:p w14:paraId="21EE43FD" w14:textId="77777777" w:rsidR="00645C59" w:rsidRDefault="00645C59">
      <w:pPr>
        <w:spacing w:line="259" w:lineRule="auto"/>
        <w:jc w:val="left"/>
        <w:rPr>
          <w:rFonts w:eastAsiaTheme="majorEastAsia" w:cs="Arial"/>
          <w:b/>
          <w:color w:val="000000" w:themeColor="text1"/>
          <w:szCs w:val="32"/>
        </w:rPr>
      </w:pPr>
      <w:r>
        <w:rPr>
          <w:rFonts w:cs="Arial"/>
        </w:rPr>
        <w:br w:type="page"/>
      </w:r>
    </w:p>
    <w:p w14:paraId="3C1035FE" w14:textId="10D3A1AE" w:rsidR="000F143B" w:rsidRPr="000A5FD9" w:rsidRDefault="000F143B" w:rsidP="000F143B">
      <w:pPr>
        <w:pStyle w:val="Heading1"/>
        <w:rPr>
          <w:rFonts w:cs="Arial"/>
        </w:rPr>
      </w:pPr>
      <w:bookmarkStart w:id="22" w:name="_Toc228312978"/>
      <w:r w:rsidRPr="000A5FD9">
        <w:rPr>
          <w:rFonts w:cs="Arial"/>
        </w:rPr>
        <w:lastRenderedPageBreak/>
        <w:t>References</w:t>
      </w:r>
      <w:bookmarkEnd w:id="22"/>
    </w:p>
    <w:p w14:paraId="0521AAAD" w14:textId="77777777" w:rsidR="001566FA" w:rsidRPr="000A5FD9" w:rsidRDefault="001566FA" w:rsidP="00AB1D77">
      <w:pPr>
        <w:rPr>
          <w:lang w:val="en-IN" w:eastAsia="en-IN"/>
        </w:rPr>
      </w:pPr>
      <w:proofErr w:type="spellStart"/>
      <w:r>
        <w:rPr>
          <w:shd w:val="clear" w:color="auto" w:fill="FFFFFF"/>
        </w:rPr>
        <w:t>Antouri</w:t>
      </w:r>
      <w:proofErr w:type="spellEnd"/>
      <w:r>
        <w:rPr>
          <w:shd w:val="clear" w:color="auto" w:fill="FFFFFF"/>
        </w:rPr>
        <w:t xml:space="preserve">, Z., </w:t>
      </w:r>
      <w:proofErr w:type="spellStart"/>
      <w:r>
        <w:rPr>
          <w:shd w:val="clear" w:color="auto" w:fill="FFFFFF"/>
        </w:rPr>
        <w:t>Mezouaghi</w:t>
      </w:r>
      <w:proofErr w:type="spellEnd"/>
      <w:r>
        <w:rPr>
          <w:shd w:val="clear" w:color="auto" w:fill="FFFFFF"/>
        </w:rPr>
        <w:t xml:space="preserve">, A., </w:t>
      </w:r>
      <w:proofErr w:type="spellStart"/>
      <w:r>
        <w:rPr>
          <w:shd w:val="clear" w:color="auto" w:fill="FFFFFF"/>
        </w:rPr>
        <w:t>Djilali</w:t>
      </w:r>
      <w:proofErr w:type="spellEnd"/>
      <w:r>
        <w:rPr>
          <w:shd w:val="clear" w:color="auto" w:fill="FFFFFF"/>
        </w:rPr>
        <w:t>, S., Zeb, A., K</w:t>
      </w:r>
      <w:r>
        <w:rPr>
          <w:shd w:val="clear" w:color="auto" w:fill="FFFFFF"/>
        </w:rPr>
        <w:t>han, I. and Omer, A.S. (2024)</w:t>
      </w:r>
      <w:r>
        <w:rPr>
          <w:shd w:val="clear" w:color="auto" w:fill="FFFFFF"/>
        </w:rPr>
        <w:t xml:space="preserve"> </w:t>
      </w:r>
      <w:proofErr w:type="gramStart"/>
      <w:r>
        <w:rPr>
          <w:shd w:val="clear" w:color="auto" w:fill="FFFFFF"/>
        </w:rPr>
        <w:t>The</w:t>
      </w:r>
      <w:proofErr w:type="gramEnd"/>
      <w:r>
        <w:rPr>
          <w:shd w:val="clear" w:color="auto" w:fill="FFFFFF"/>
        </w:rPr>
        <w:t xml:space="preserve"> impact of obesity on chronic diseases: type 2 diabetes, heart disease, and high blood pressure. </w:t>
      </w:r>
      <w:r>
        <w:rPr>
          <w:i/>
          <w:iCs/>
          <w:shd w:val="clear" w:color="auto" w:fill="FFFFFF"/>
        </w:rPr>
        <w:t>Applied Mathematics in Science and Engineering</w:t>
      </w:r>
      <w:r>
        <w:rPr>
          <w:shd w:val="clear" w:color="auto" w:fill="FFFFFF"/>
        </w:rPr>
        <w:t>, </w:t>
      </w:r>
      <w:r>
        <w:rPr>
          <w:i/>
          <w:iCs/>
          <w:shd w:val="clear" w:color="auto" w:fill="FFFFFF"/>
        </w:rPr>
        <w:t>32</w:t>
      </w:r>
      <w:r>
        <w:rPr>
          <w:shd w:val="clear" w:color="auto" w:fill="FFFFFF"/>
        </w:rPr>
        <w:t>(1), p.2422061.</w:t>
      </w:r>
    </w:p>
    <w:p w14:paraId="779D4EFD" w14:textId="77777777" w:rsidR="001566FA" w:rsidRPr="000A5FD9" w:rsidRDefault="001566FA" w:rsidP="00EC2CBE">
      <w:pPr>
        <w:rPr>
          <w:rFonts w:cs="Arial"/>
          <w:shd w:val="clear" w:color="auto" w:fill="FFFFFF"/>
        </w:rPr>
      </w:pPr>
      <w:r w:rsidRPr="000A5FD9">
        <w:rPr>
          <w:rFonts w:cs="Arial"/>
          <w:shd w:val="clear" w:color="auto" w:fill="FFFFFF"/>
        </w:rPr>
        <w:t xml:space="preserve">Bailey, J., </w:t>
      </w:r>
      <w:proofErr w:type="spellStart"/>
      <w:r w:rsidRPr="000A5FD9">
        <w:rPr>
          <w:rFonts w:cs="Arial"/>
          <w:shd w:val="clear" w:color="auto" w:fill="FFFFFF"/>
        </w:rPr>
        <w:t>Schartau</w:t>
      </w:r>
      <w:proofErr w:type="spellEnd"/>
      <w:r w:rsidRPr="000A5FD9">
        <w:rPr>
          <w:rFonts w:cs="Arial"/>
          <w:shd w:val="clear" w:color="auto" w:fill="FFFFFF"/>
        </w:rPr>
        <w:t xml:space="preserve">, P., </w:t>
      </w:r>
      <w:proofErr w:type="spellStart"/>
      <w:r w:rsidRPr="000A5FD9">
        <w:rPr>
          <w:rFonts w:cs="Arial"/>
          <w:shd w:val="clear" w:color="auto" w:fill="FFFFFF"/>
        </w:rPr>
        <w:t>Fazel</w:t>
      </w:r>
      <w:proofErr w:type="spellEnd"/>
      <w:r w:rsidRPr="000A5FD9">
        <w:rPr>
          <w:rFonts w:cs="Arial"/>
          <w:shd w:val="clear" w:color="auto" w:fill="FFFFFF"/>
        </w:rPr>
        <w:t>, S., Nazareth, I. and Petersen, I. (2025) Incidence of suicide within two years of a first diagnosis of depression, anxiety, or mixed anxiety and depression: an exploratory cohort study in primary care using the Clinical Practice Research Datalink. </w:t>
      </w:r>
      <w:proofErr w:type="spellStart"/>
      <w:r w:rsidRPr="000A5FD9">
        <w:rPr>
          <w:rFonts w:cs="Arial"/>
          <w:i/>
          <w:iCs/>
          <w:shd w:val="clear" w:color="auto" w:fill="FFFFFF"/>
        </w:rPr>
        <w:t>EClinicalMedicine</w:t>
      </w:r>
      <w:proofErr w:type="spellEnd"/>
      <w:r w:rsidRPr="000A5FD9">
        <w:rPr>
          <w:rFonts w:cs="Arial"/>
          <w:shd w:val="clear" w:color="auto" w:fill="FFFFFF"/>
        </w:rPr>
        <w:t>, </w:t>
      </w:r>
      <w:r w:rsidRPr="000A5FD9">
        <w:rPr>
          <w:rFonts w:cs="Arial"/>
          <w:i/>
          <w:iCs/>
          <w:shd w:val="clear" w:color="auto" w:fill="FFFFFF"/>
        </w:rPr>
        <w:t>87</w:t>
      </w:r>
      <w:r w:rsidRPr="000A5FD9">
        <w:rPr>
          <w:rFonts w:cs="Arial"/>
          <w:shd w:val="clear" w:color="auto" w:fill="FFFFFF"/>
        </w:rPr>
        <w:t>.</w:t>
      </w:r>
    </w:p>
    <w:p w14:paraId="68EC3D30" w14:textId="77777777" w:rsidR="001566FA" w:rsidRDefault="001566FA" w:rsidP="00544141">
      <w:pPr>
        <w:rPr>
          <w:shd w:val="clear" w:color="auto" w:fill="FFFFFF"/>
        </w:rPr>
      </w:pPr>
      <w:r>
        <w:rPr>
          <w:shd w:val="clear" w:color="auto" w:fill="FFFFFF"/>
        </w:rPr>
        <w:t>Bennett, G., Bard</w:t>
      </w:r>
      <w:r>
        <w:rPr>
          <w:shd w:val="clear" w:color="auto" w:fill="FFFFFF"/>
        </w:rPr>
        <w:t xml:space="preserve">on, L.A. and </w:t>
      </w:r>
      <w:proofErr w:type="spellStart"/>
      <w:r>
        <w:rPr>
          <w:shd w:val="clear" w:color="auto" w:fill="FFFFFF"/>
        </w:rPr>
        <w:t>Gibney</w:t>
      </w:r>
      <w:proofErr w:type="spellEnd"/>
      <w:r>
        <w:rPr>
          <w:shd w:val="clear" w:color="auto" w:fill="FFFFFF"/>
        </w:rPr>
        <w:t>, E.R. (2022)</w:t>
      </w:r>
      <w:r>
        <w:rPr>
          <w:shd w:val="clear" w:color="auto" w:fill="FFFFFF"/>
        </w:rPr>
        <w:t xml:space="preserve"> </w:t>
      </w:r>
      <w:proofErr w:type="gramStart"/>
      <w:r>
        <w:rPr>
          <w:shd w:val="clear" w:color="auto" w:fill="FFFFFF"/>
        </w:rPr>
        <w:t>A</w:t>
      </w:r>
      <w:proofErr w:type="gramEnd"/>
      <w:r>
        <w:rPr>
          <w:shd w:val="clear" w:color="auto" w:fill="FFFFFF"/>
        </w:rPr>
        <w:t xml:space="preserve"> comparison of dietary patterns and factors influencing food choice among ethnic groups living in one locality: a systematic review. </w:t>
      </w:r>
      <w:r>
        <w:rPr>
          <w:i/>
          <w:iCs/>
          <w:shd w:val="clear" w:color="auto" w:fill="FFFFFF"/>
        </w:rPr>
        <w:t>Nutrients</w:t>
      </w:r>
      <w:r>
        <w:rPr>
          <w:shd w:val="clear" w:color="auto" w:fill="FFFFFF"/>
        </w:rPr>
        <w:t>, </w:t>
      </w:r>
      <w:r>
        <w:rPr>
          <w:i/>
          <w:iCs/>
          <w:shd w:val="clear" w:color="auto" w:fill="FFFFFF"/>
        </w:rPr>
        <w:t>14</w:t>
      </w:r>
      <w:r>
        <w:rPr>
          <w:shd w:val="clear" w:color="auto" w:fill="FFFFFF"/>
        </w:rPr>
        <w:t>(5), p.941.</w:t>
      </w:r>
    </w:p>
    <w:p w14:paraId="49F44F40" w14:textId="77777777" w:rsidR="001566FA" w:rsidRDefault="001566FA" w:rsidP="003B6CD9">
      <w:pPr>
        <w:rPr>
          <w:shd w:val="clear" w:color="auto" w:fill="FFFFFF"/>
        </w:rPr>
      </w:pPr>
      <w:proofErr w:type="spellStart"/>
      <w:r>
        <w:rPr>
          <w:shd w:val="clear" w:color="auto" w:fill="FFFFFF"/>
        </w:rPr>
        <w:t>Bhosale</w:t>
      </w:r>
      <w:proofErr w:type="spellEnd"/>
      <w:r>
        <w:rPr>
          <w:shd w:val="clear" w:color="auto" w:fill="FFFFFF"/>
        </w:rPr>
        <w:t>, A.S., Urquhart, O., Carrasco</w:t>
      </w:r>
      <w:r>
        <w:rPr>
          <w:rFonts w:ascii="Cambria Math" w:hAnsi="Cambria Math" w:cs="Cambria Math"/>
          <w:shd w:val="clear" w:color="auto" w:fill="FFFFFF"/>
        </w:rPr>
        <w:t>‐</w:t>
      </w:r>
      <w:r>
        <w:rPr>
          <w:shd w:val="clear" w:color="auto" w:fill="FFFFFF"/>
        </w:rPr>
        <w:t xml:space="preserve">Labra, A., </w:t>
      </w:r>
      <w:proofErr w:type="spellStart"/>
      <w:r>
        <w:rPr>
          <w:shd w:val="clear" w:color="auto" w:fill="FFFFFF"/>
        </w:rPr>
        <w:t>Mathur</w:t>
      </w:r>
      <w:proofErr w:type="spellEnd"/>
      <w:r>
        <w:rPr>
          <w:shd w:val="clear" w:color="auto" w:fill="FFFFFF"/>
        </w:rPr>
        <w:t>, M.R.</w:t>
      </w:r>
      <w:r>
        <w:rPr>
          <w:shd w:val="clear" w:color="auto" w:fill="FFFFFF"/>
        </w:rPr>
        <w:t>, Rafia, K. and Glick, M., (2025)</w:t>
      </w:r>
      <w:r>
        <w:rPr>
          <w:shd w:val="clear" w:color="auto" w:fill="FFFFFF"/>
        </w:rPr>
        <w:t xml:space="preserve"> Population health and public health: Commonalities and differences. </w:t>
      </w:r>
      <w:r>
        <w:rPr>
          <w:i/>
          <w:iCs/>
          <w:shd w:val="clear" w:color="auto" w:fill="FFFFFF"/>
        </w:rPr>
        <w:t>Journal of Public Health Dentistry</w:t>
      </w:r>
      <w:r>
        <w:rPr>
          <w:shd w:val="clear" w:color="auto" w:fill="FFFFFF"/>
        </w:rPr>
        <w:t>, </w:t>
      </w:r>
      <w:r>
        <w:rPr>
          <w:i/>
          <w:iCs/>
          <w:shd w:val="clear" w:color="auto" w:fill="FFFFFF"/>
        </w:rPr>
        <w:t>85</w:t>
      </w:r>
      <w:r>
        <w:rPr>
          <w:shd w:val="clear" w:color="auto" w:fill="FFFFFF"/>
        </w:rPr>
        <w:t>(1), pp.40-46.</w:t>
      </w:r>
    </w:p>
    <w:p w14:paraId="3C912AE8" w14:textId="77777777" w:rsidR="001566FA" w:rsidRDefault="001566FA" w:rsidP="00B65459">
      <w:pPr>
        <w:rPr>
          <w:shd w:val="clear" w:color="auto" w:fill="FFFFFF"/>
        </w:rPr>
      </w:pPr>
      <w:r>
        <w:rPr>
          <w:shd w:val="clear" w:color="auto" w:fill="FFFFFF"/>
        </w:rPr>
        <w:t xml:space="preserve">Bower, P., </w:t>
      </w:r>
      <w:proofErr w:type="spellStart"/>
      <w:r>
        <w:rPr>
          <w:shd w:val="clear" w:color="auto" w:fill="FFFFFF"/>
        </w:rPr>
        <w:t>Soiland</w:t>
      </w:r>
      <w:proofErr w:type="spellEnd"/>
      <w:r>
        <w:rPr>
          <w:rFonts w:ascii="Cambria Math" w:hAnsi="Cambria Math" w:cs="Cambria Math"/>
          <w:shd w:val="clear" w:color="auto" w:fill="FFFFFF"/>
        </w:rPr>
        <w:t>‐</w:t>
      </w:r>
      <w:r>
        <w:rPr>
          <w:shd w:val="clear" w:color="auto" w:fill="FFFFFF"/>
        </w:rPr>
        <w:t xml:space="preserve">Reyes, C., Heller, S., Wilson, P., </w:t>
      </w:r>
      <w:proofErr w:type="spellStart"/>
      <w:r>
        <w:rPr>
          <w:shd w:val="clear" w:color="auto" w:fill="FFFFFF"/>
        </w:rPr>
        <w:t>Cotterill</w:t>
      </w:r>
      <w:proofErr w:type="spellEnd"/>
      <w:r>
        <w:rPr>
          <w:shd w:val="clear" w:color="auto" w:fill="FFFFFF"/>
        </w:rPr>
        <w:t xml:space="preserve">, S., </w:t>
      </w:r>
      <w:r>
        <w:rPr>
          <w:shd w:val="clear" w:color="auto" w:fill="FFFFFF"/>
        </w:rPr>
        <w:t>French, D. and Sutton, M. (2023)</w:t>
      </w:r>
      <w:r>
        <w:rPr>
          <w:shd w:val="clear" w:color="auto" w:fill="FFFFFF"/>
        </w:rPr>
        <w:t xml:space="preserve"> Diabetes prevention at scale: Narrative review of findings and lessons from the DIPLOMA evaluation of the NHS Diabetes Prevention Programme in England. </w:t>
      </w:r>
      <w:r>
        <w:rPr>
          <w:i/>
          <w:iCs/>
          <w:shd w:val="clear" w:color="auto" w:fill="FFFFFF"/>
        </w:rPr>
        <w:t>Diabetic Medicine</w:t>
      </w:r>
      <w:r>
        <w:rPr>
          <w:shd w:val="clear" w:color="auto" w:fill="FFFFFF"/>
        </w:rPr>
        <w:t>, </w:t>
      </w:r>
      <w:r>
        <w:rPr>
          <w:i/>
          <w:iCs/>
          <w:shd w:val="clear" w:color="auto" w:fill="FFFFFF"/>
        </w:rPr>
        <w:t>40</w:t>
      </w:r>
      <w:r>
        <w:rPr>
          <w:shd w:val="clear" w:color="auto" w:fill="FFFFFF"/>
        </w:rPr>
        <w:t>(11), p.e15209.</w:t>
      </w:r>
    </w:p>
    <w:p w14:paraId="2827EC43" w14:textId="77777777" w:rsidR="001566FA" w:rsidRDefault="001566FA" w:rsidP="00544141">
      <w:pPr>
        <w:rPr>
          <w:shd w:val="clear" w:color="auto" w:fill="FFFFFF"/>
        </w:rPr>
      </w:pPr>
      <w:r>
        <w:rPr>
          <w:shd w:val="clear" w:color="auto" w:fill="FFFFFF"/>
        </w:rPr>
        <w:t>Broadbent, P., Shen, Y., Pearce,</w:t>
      </w:r>
      <w:r>
        <w:rPr>
          <w:shd w:val="clear" w:color="auto" w:fill="FFFFFF"/>
        </w:rPr>
        <w:t xml:space="preserve"> A. and </w:t>
      </w:r>
      <w:proofErr w:type="spellStart"/>
      <w:r>
        <w:rPr>
          <w:shd w:val="clear" w:color="auto" w:fill="FFFFFF"/>
        </w:rPr>
        <w:t>Katikireddi</w:t>
      </w:r>
      <w:proofErr w:type="spellEnd"/>
      <w:r>
        <w:rPr>
          <w:shd w:val="clear" w:color="auto" w:fill="FFFFFF"/>
        </w:rPr>
        <w:t>, S.V. (2024)</w:t>
      </w:r>
      <w:r>
        <w:rPr>
          <w:shd w:val="clear" w:color="auto" w:fill="FFFFFF"/>
        </w:rPr>
        <w:t xml:space="preserve"> Trends in inequalities in childhood overweight and obesity preva</w:t>
      </w:r>
      <w:bookmarkStart w:id="23" w:name="_GoBack"/>
      <w:bookmarkEnd w:id="23"/>
      <w:r>
        <w:rPr>
          <w:shd w:val="clear" w:color="auto" w:fill="FFFFFF"/>
        </w:rPr>
        <w:t>lence: a repeat cross-sectional analysis of the Health Survey for England. </w:t>
      </w:r>
      <w:r>
        <w:rPr>
          <w:i/>
          <w:iCs/>
          <w:shd w:val="clear" w:color="auto" w:fill="FFFFFF"/>
        </w:rPr>
        <w:t>Archives of disease in childhood</w:t>
      </w:r>
      <w:r>
        <w:rPr>
          <w:shd w:val="clear" w:color="auto" w:fill="FFFFFF"/>
        </w:rPr>
        <w:t>, </w:t>
      </w:r>
      <w:r>
        <w:rPr>
          <w:i/>
          <w:iCs/>
          <w:shd w:val="clear" w:color="auto" w:fill="FFFFFF"/>
        </w:rPr>
        <w:t>109</w:t>
      </w:r>
      <w:r>
        <w:rPr>
          <w:shd w:val="clear" w:color="auto" w:fill="FFFFFF"/>
        </w:rPr>
        <w:t>(3), pp.233-239.</w:t>
      </w:r>
    </w:p>
    <w:p w14:paraId="1E9F81FC" w14:textId="77777777" w:rsidR="001566FA" w:rsidRDefault="001566FA" w:rsidP="005A0675">
      <w:pPr>
        <w:rPr>
          <w:shd w:val="clear" w:color="auto" w:fill="FFFFFF"/>
        </w:rPr>
      </w:pPr>
      <w:proofErr w:type="gramStart"/>
      <w:r>
        <w:rPr>
          <w:shd w:val="clear" w:color="auto" w:fill="FFFFFF"/>
        </w:rPr>
        <w:t>de</w:t>
      </w:r>
      <w:proofErr w:type="gramEnd"/>
      <w:r>
        <w:rPr>
          <w:shd w:val="clear" w:color="auto" w:fill="FFFFFF"/>
        </w:rPr>
        <w:t xml:space="preserve"> Menezes, L.R.D., e Souza, R.C.V., Cardoso, P.C. and Dos </w:t>
      </w:r>
      <w:r>
        <w:rPr>
          <w:shd w:val="clear" w:color="auto" w:fill="FFFFFF"/>
        </w:rPr>
        <w:t>Santos, L.C. (2023)</w:t>
      </w:r>
      <w:r>
        <w:rPr>
          <w:shd w:val="clear" w:color="auto" w:fill="FFFFFF"/>
        </w:rPr>
        <w:t xml:space="preserve"> Factors associated with dietary patterns of schoolchildren: A systematic review. </w:t>
      </w:r>
      <w:r>
        <w:rPr>
          <w:i/>
          <w:iCs/>
          <w:shd w:val="clear" w:color="auto" w:fill="FFFFFF"/>
        </w:rPr>
        <w:t>Nutrients</w:t>
      </w:r>
      <w:r>
        <w:rPr>
          <w:shd w:val="clear" w:color="auto" w:fill="FFFFFF"/>
        </w:rPr>
        <w:t>, </w:t>
      </w:r>
      <w:r>
        <w:rPr>
          <w:i/>
          <w:iCs/>
          <w:shd w:val="clear" w:color="auto" w:fill="FFFFFF"/>
        </w:rPr>
        <w:t>15</w:t>
      </w:r>
      <w:r>
        <w:rPr>
          <w:shd w:val="clear" w:color="auto" w:fill="FFFFFF"/>
        </w:rPr>
        <w:t>(11), p.2450.</w:t>
      </w:r>
    </w:p>
    <w:p w14:paraId="684A6A80" w14:textId="77777777" w:rsidR="001566FA" w:rsidRPr="000A5FD9" w:rsidRDefault="001566FA" w:rsidP="00DE6170">
      <w:pPr>
        <w:rPr>
          <w:rFonts w:cs="Arial"/>
          <w:shd w:val="clear" w:color="auto" w:fill="FFFFFF"/>
        </w:rPr>
      </w:pPr>
      <w:r w:rsidRPr="000A5FD9">
        <w:rPr>
          <w:rFonts w:cs="Arial"/>
          <w:shd w:val="clear" w:color="auto" w:fill="FFFFFF"/>
        </w:rPr>
        <w:t>Evans-</w:t>
      </w:r>
      <w:proofErr w:type="spellStart"/>
      <w:r w:rsidRPr="000A5FD9">
        <w:rPr>
          <w:rFonts w:cs="Arial"/>
          <w:shd w:val="clear" w:color="auto" w:fill="FFFFFF"/>
        </w:rPr>
        <w:t>Lacko</w:t>
      </w:r>
      <w:proofErr w:type="spellEnd"/>
      <w:r w:rsidRPr="000A5FD9">
        <w:rPr>
          <w:rFonts w:cs="Arial"/>
          <w:shd w:val="clear" w:color="auto" w:fill="FFFFFF"/>
        </w:rPr>
        <w:t xml:space="preserve">, S., </w:t>
      </w:r>
      <w:proofErr w:type="spellStart"/>
      <w:r w:rsidRPr="000A5FD9">
        <w:rPr>
          <w:rFonts w:cs="Arial"/>
          <w:shd w:val="clear" w:color="auto" w:fill="FFFFFF"/>
        </w:rPr>
        <w:t>Gilabert</w:t>
      </w:r>
      <w:proofErr w:type="spellEnd"/>
      <w:r w:rsidRPr="000A5FD9">
        <w:rPr>
          <w:rFonts w:cs="Arial"/>
          <w:shd w:val="clear" w:color="auto" w:fill="FFFFFF"/>
        </w:rPr>
        <w:t xml:space="preserve">, P.F. and Knapp, M. (2024) </w:t>
      </w:r>
      <w:proofErr w:type="gramStart"/>
      <w:r w:rsidRPr="000A5FD9">
        <w:rPr>
          <w:rFonts w:cs="Arial"/>
          <w:shd w:val="clear" w:color="auto" w:fill="FFFFFF"/>
        </w:rPr>
        <w:t>The</w:t>
      </w:r>
      <w:proofErr w:type="gramEnd"/>
      <w:r w:rsidRPr="000A5FD9">
        <w:rPr>
          <w:rFonts w:cs="Arial"/>
          <w:shd w:val="clear" w:color="auto" w:fill="FFFFFF"/>
        </w:rPr>
        <w:t xml:space="preserve"> double disadvantage faced by adolescents from low socioeconomic backgrounds with mental health problems affects earnings up to mid-life. </w:t>
      </w:r>
      <w:r w:rsidRPr="000A5FD9">
        <w:rPr>
          <w:rFonts w:cs="Arial"/>
          <w:i/>
          <w:iCs/>
          <w:shd w:val="clear" w:color="auto" w:fill="FFFFFF"/>
        </w:rPr>
        <w:t>Social Science &amp; Medicine</w:t>
      </w:r>
      <w:r w:rsidRPr="000A5FD9">
        <w:rPr>
          <w:rFonts w:cs="Arial"/>
          <w:shd w:val="clear" w:color="auto" w:fill="FFFFFF"/>
        </w:rPr>
        <w:t>, </w:t>
      </w:r>
      <w:r w:rsidRPr="000A5FD9">
        <w:rPr>
          <w:rFonts w:cs="Arial"/>
          <w:i/>
          <w:iCs/>
          <w:shd w:val="clear" w:color="auto" w:fill="FFFFFF"/>
        </w:rPr>
        <w:t>362</w:t>
      </w:r>
      <w:r w:rsidRPr="000A5FD9">
        <w:rPr>
          <w:rFonts w:cs="Arial"/>
          <w:shd w:val="clear" w:color="auto" w:fill="FFFFFF"/>
        </w:rPr>
        <w:t>, p.117385.</w:t>
      </w:r>
    </w:p>
    <w:p w14:paraId="09E4950F" w14:textId="77777777" w:rsidR="001566FA" w:rsidRDefault="001566FA" w:rsidP="005A0675">
      <w:pPr>
        <w:rPr>
          <w:shd w:val="clear" w:color="auto" w:fill="FFFFFF"/>
        </w:rPr>
      </w:pPr>
      <w:r>
        <w:rPr>
          <w:shd w:val="clear" w:color="auto" w:fill="FFFFFF"/>
        </w:rPr>
        <w:t xml:space="preserve">Eyre, E.L., </w:t>
      </w:r>
      <w:proofErr w:type="spellStart"/>
      <w:r>
        <w:rPr>
          <w:shd w:val="clear" w:color="auto" w:fill="FFFFFF"/>
        </w:rPr>
        <w:t>Adeyemi</w:t>
      </w:r>
      <w:proofErr w:type="spellEnd"/>
      <w:r>
        <w:rPr>
          <w:shd w:val="clear" w:color="auto" w:fill="FFFFFF"/>
        </w:rPr>
        <w:t xml:space="preserve">, L.J., Cook, K., Noon, M., </w:t>
      </w:r>
      <w:proofErr w:type="spellStart"/>
      <w:r>
        <w:rPr>
          <w:shd w:val="clear" w:color="auto" w:fill="FFFFFF"/>
        </w:rPr>
        <w:t>Tallis</w:t>
      </w:r>
      <w:proofErr w:type="spellEnd"/>
      <w:r>
        <w:rPr>
          <w:shd w:val="clear" w:color="auto" w:fill="FFFFFF"/>
        </w:rPr>
        <w:t>, J. and Duncan, M. (2022)</w:t>
      </w:r>
      <w:r>
        <w:rPr>
          <w:shd w:val="clear" w:color="auto" w:fill="FFFFFF"/>
        </w:rPr>
        <w:t xml:space="preserve"> Barriers and facilitators to physical activity and FMS in children living in deprived areas in the UK: Qualitative study. </w:t>
      </w:r>
      <w:r>
        <w:rPr>
          <w:i/>
          <w:iCs/>
          <w:shd w:val="clear" w:color="auto" w:fill="FFFFFF"/>
        </w:rPr>
        <w:t>International journal of environmental research and public health</w:t>
      </w:r>
      <w:r>
        <w:rPr>
          <w:shd w:val="clear" w:color="auto" w:fill="FFFFFF"/>
        </w:rPr>
        <w:t>, </w:t>
      </w:r>
      <w:r>
        <w:rPr>
          <w:i/>
          <w:iCs/>
          <w:shd w:val="clear" w:color="auto" w:fill="FFFFFF"/>
        </w:rPr>
        <w:t>19</w:t>
      </w:r>
      <w:r>
        <w:rPr>
          <w:shd w:val="clear" w:color="auto" w:fill="FFFFFF"/>
        </w:rPr>
        <w:t>(3), p.1717.</w:t>
      </w:r>
    </w:p>
    <w:p w14:paraId="21370AC9" w14:textId="77777777" w:rsidR="001566FA" w:rsidRPr="000A5FD9" w:rsidRDefault="001566FA" w:rsidP="00C77AA6">
      <w:pPr>
        <w:rPr>
          <w:rFonts w:cs="Arial"/>
          <w:lang w:eastAsia="en-IN"/>
        </w:rPr>
      </w:pPr>
      <w:r w:rsidRPr="000A5FD9">
        <w:rPr>
          <w:rFonts w:cs="Arial"/>
          <w:lang w:eastAsia="en-IN"/>
        </w:rPr>
        <w:lastRenderedPageBreak/>
        <w:t xml:space="preserve">Gov. UK. (2022) Women's Health Strategy for England. Available at: </w:t>
      </w:r>
      <w:hyperlink r:id="rId10" w:history="1">
        <w:r w:rsidRPr="000A5FD9">
          <w:rPr>
            <w:rStyle w:val="Hyperlink"/>
            <w:rFonts w:cs="Arial"/>
            <w:lang w:eastAsia="en-IN"/>
          </w:rPr>
          <w:t>https://www.gov.uk/government/publications/womens-health-strategy-for-england/womens-health-strategy-for-england</w:t>
        </w:r>
      </w:hyperlink>
      <w:r w:rsidRPr="000A5FD9">
        <w:rPr>
          <w:rFonts w:cs="Arial"/>
          <w:lang w:eastAsia="en-IN"/>
        </w:rPr>
        <w:t xml:space="preserve"> [Accessed: 25 Apr. 2026]</w:t>
      </w:r>
    </w:p>
    <w:p w14:paraId="57A58C8C" w14:textId="77777777" w:rsidR="001566FA" w:rsidRPr="000A5FD9" w:rsidRDefault="001566FA" w:rsidP="00994517">
      <w:pPr>
        <w:rPr>
          <w:rFonts w:cs="Arial"/>
          <w:shd w:val="clear" w:color="auto" w:fill="FFFFFF"/>
        </w:rPr>
      </w:pPr>
      <w:proofErr w:type="spellStart"/>
      <w:r w:rsidRPr="000A5FD9">
        <w:rPr>
          <w:rFonts w:cs="Arial"/>
          <w:shd w:val="clear" w:color="auto" w:fill="FFFFFF"/>
        </w:rPr>
        <w:t>Gualtierotti</w:t>
      </w:r>
      <w:proofErr w:type="spellEnd"/>
      <w:r w:rsidRPr="000A5FD9">
        <w:rPr>
          <w:rFonts w:cs="Arial"/>
          <w:shd w:val="clear" w:color="auto" w:fill="FFFFFF"/>
        </w:rPr>
        <w:t>, R. (2025) Bridging the gap: Time to integrate sex and gender differences into research and clinical practice for improved health outcomes. </w:t>
      </w:r>
      <w:r w:rsidRPr="000A5FD9">
        <w:rPr>
          <w:rFonts w:cs="Arial"/>
          <w:i/>
          <w:iCs/>
          <w:shd w:val="clear" w:color="auto" w:fill="FFFFFF"/>
        </w:rPr>
        <w:t>European Journal of Internal Medicine</w:t>
      </w:r>
      <w:r w:rsidRPr="000A5FD9">
        <w:rPr>
          <w:rFonts w:cs="Arial"/>
          <w:shd w:val="clear" w:color="auto" w:fill="FFFFFF"/>
        </w:rPr>
        <w:t>, </w:t>
      </w:r>
      <w:r w:rsidRPr="000A5FD9">
        <w:rPr>
          <w:rFonts w:cs="Arial"/>
          <w:i/>
          <w:iCs/>
          <w:shd w:val="clear" w:color="auto" w:fill="FFFFFF"/>
        </w:rPr>
        <w:t>134</w:t>
      </w:r>
      <w:r w:rsidRPr="000A5FD9">
        <w:rPr>
          <w:rFonts w:cs="Arial"/>
          <w:shd w:val="clear" w:color="auto" w:fill="FFFFFF"/>
        </w:rPr>
        <w:t>, pp.9-16.</w:t>
      </w:r>
    </w:p>
    <w:p w14:paraId="050DB44D" w14:textId="77777777" w:rsidR="001566FA" w:rsidRPr="000A5FD9" w:rsidRDefault="001566FA" w:rsidP="0018284A">
      <w:pPr>
        <w:rPr>
          <w:rFonts w:cs="Arial"/>
          <w:shd w:val="clear" w:color="auto" w:fill="FFFFFF"/>
        </w:rPr>
      </w:pPr>
      <w:proofErr w:type="spellStart"/>
      <w:r w:rsidRPr="000A5FD9">
        <w:rPr>
          <w:rFonts w:cs="Arial"/>
          <w:shd w:val="clear" w:color="auto" w:fill="FFFFFF"/>
        </w:rPr>
        <w:t>Heydarikhayat</w:t>
      </w:r>
      <w:proofErr w:type="spellEnd"/>
      <w:r w:rsidRPr="000A5FD9">
        <w:rPr>
          <w:rFonts w:cs="Arial"/>
          <w:shd w:val="clear" w:color="auto" w:fill="FFFFFF"/>
        </w:rPr>
        <w:t xml:space="preserve">, N., </w:t>
      </w:r>
      <w:proofErr w:type="spellStart"/>
      <w:r w:rsidRPr="000A5FD9">
        <w:rPr>
          <w:rFonts w:cs="Arial"/>
          <w:shd w:val="clear" w:color="auto" w:fill="FFFFFF"/>
        </w:rPr>
        <w:t>Heydarikhayat</w:t>
      </w:r>
      <w:proofErr w:type="spellEnd"/>
      <w:r w:rsidRPr="000A5FD9">
        <w:rPr>
          <w:rFonts w:cs="Arial"/>
          <w:shd w:val="clear" w:color="auto" w:fill="FFFFFF"/>
        </w:rPr>
        <w:t xml:space="preserve">, S., </w:t>
      </w:r>
      <w:proofErr w:type="spellStart"/>
      <w:r w:rsidRPr="000A5FD9">
        <w:rPr>
          <w:rFonts w:cs="Arial"/>
          <w:shd w:val="clear" w:color="auto" w:fill="FFFFFF"/>
        </w:rPr>
        <w:t>Salehian</w:t>
      </w:r>
      <w:proofErr w:type="spellEnd"/>
      <w:r w:rsidRPr="000A5FD9">
        <w:rPr>
          <w:rFonts w:cs="Arial"/>
          <w:shd w:val="clear" w:color="auto" w:fill="FFFFFF"/>
        </w:rPr>
        <w:t xml:space="preserve">, T., </w:t>
      </w:r>
      <w:proofErr w:type="spellStart"/>
      <w:r w:rsidRPr="000A5FD9">
        <w:rPr>
          <w:rFonts w:cs="Arial"/>
          <w:shd w:val="clear" w:color="auto" w:fill="FFFFFF"/>
        </w:rPr>
        <w:t>Heydarikhayat</w:t>
      </w:r>
      <w:proofErr w:type="spellEnd"/>
      <w:r w:rsidRPr="000A5FD9">
        <w:rPr>
          <w:rFonts w:cs="Arial"/>
          <w:shd w:val="clear" w:color="auto" w:fill="FFFFFF"/>
        </w:rPr>
        <w:t xml:space="preserve">, N. and </w:t>
      </w:r>
      <w:proofErr w:type="spellStart"/>
      <w:r w:rsidRPr="000A5FD9">
        <w:rPr>
          <w:rFonts w:cs="Arial"/>
          <w:shd w:val="clear" w:color="auto" w:fill="FFFFFF"/>
        </w:rPr>
        <w:t>Rohani</w:t>
      </w:r>
      <w:proofErr w:type="spellEnd"/>
      <w:r w:rsidRPr="000A5FD9">
        <w:rPr>
          <w:rFonts w:cs="Arial"/>
          <w:shd w:val="clear" w:color="auto" w:fill="FFFFFF"/>
        </w:rPr>
        <w:t>, C. (2025) Lived experiences of Iranian employed women with maintaining work-life balance: a descriptive phenomenological study. </w:t>
      </w:r>
      <w:r w:rsidRPr="000A5FD9">
        <w:rPr>
          <w:rFonts w:cs="Arial"/>
          <w:i/>
          <w:iCs/>
          <w:shd w:val="clear" w:color="auto" w:fill="FFFFFF"/>
        </w:rPr>
        <w:t>BMC Women's Health</w:t>
      </w:r>
      <w:r w:rsidRPr="000A5FD9">
        <w:rPr>
          <w:rFonts w:cs="Arial"/>
          <w:shd w:val="clear" w:color="auto" w:fill="FFFFFF"/>
        </w:rPr>
        <w:t>, </w:t>
      </w:r>
      <w:r w:rsidRPr="000A5FD9">
        <w:rPr>
          <w:rFonts w:cs="Arial"/>
          <w:i/>
          <w:iCs/>
          <w:shd w:val="clear" w:color="auto" w:fill="FFFFFF"/>
        </w:rPr>
        <w:t>25</w:t>
      </w:r>
      <w:r w:rsidRPr="000A5FD9">
        <w:rPr>
          <w:rFonts w:cs="Arial"/>
          <w:shd w:val="clear" w:color="auto" w:fill="FFFFFF"/>
        </w:rPr>
        <w:t>(1), p.311.</w:t>
      </w:r>
    </w:p>
    <w:p w14:paraId="79CA8E7D" w14:textId="77777777" w:rsidR="001566FA" w:rsidRPr="000A5FD9" w:rsidRDefault="001566FA" w:rsidP="000F143B">
      <w:pPr>
        <w:rPr>
          <w:rFonts w:cs="Arial"/>
          <w:shd w:val="clear" w:color="auto" w:fill="FFFFFF"/>
        </w:rPr>
      </w:pPr>
      <w:r w:rsidRPr="000A5FD9">
        <w:rPr>
          <w:rFonts w:cs="Arial"/>
          <w:shd w:val="clear" w:color="auto" w:fill="FFFFFF"/>
        </w:rPr>
        <w:t xml:space="preserve">Hossain, B., Pinker, I., </w:t>
      </w:r>
      <w:proofErr w:type="spellStart"/>
      <w:r w:rsidRPr="000A5FD9">
        <w:rPr>
          <w:rFonts w:cs="Arial"/>
          <w:shd w:val="clear" w:color="auto" w:fill="FFFFFF"/>
        </w:rPr>
        <w:t>Sall</w:t>
      </w:r>
      <w:proofErr w:type="spellEnd"/>
      <w:r w:rsidRPr="000A5FD9">
        <w:rPr>
          <w:rFonts w:cs="Arial"/>
          <w:shd w:val="clear" w:color="auto" w:fill="FFFFFF"/>
        </w:rPr>
        <w:t xml:space="preserve">, F., </w:t>
      </w:r>
      <w:proofErr w:type="spellStart"/>
      <w:r w:rsidRPr="000A5FD9">
        <w:rPr>
          <w:rFonts w:cs="Arial"/>
          <w:shd w:val="clear" w:color="auto" w:fill="FFFFFF"/>
        </w:rPr>
        <w:t>Dessenne</w:t>
      </w:r>
      <w:proofErr w:type="spellEnd"/>
      <w:r w:rsidRPr="000A5FD9">
        <w:rPr>
          <w:rFonts w:cs="Arial"/>
          <w:shd w:val="clear" w:color="auto" w:fill="FFFFFF"/>
        </w:rPr>
        <w:t>, C. and Ruiz-Castell, M. (2025) Mapping the evidence on the intersection of gender and social determinants of health in health inequality: a scoping review. </w:t>
      </w:r>
      <w:r w:rsidRPr="000A5FD9">
        <w:rPr>
          <w:rFonts w:cs="Arial"/>
          <w:i/>
          <w:iCs/>
          <w:shd w:val="clear" w:color="auto" w:fill="FFFFFF"/>
        </w:rPr>
        <w:t>BMC Public Health</w:t>
      </w:r>
      <w:r w:rsidRPr="000A5FD9">
        <w:rPr>
          <w:rFonts w:cs="Arial"/>
          <w:shd w:val="clear" w:color="auto" w:fill="FFFFFF"/>
        </w:rPr>
        <w:t>, </w:t>
      </w:r>
      <w:r w:rsidRPr="000A5FD9">
        <w:rPr>
          <w:rFonts w:cs="Arial"/>
          <w:i/>
          <w:iCs/>
          <w:shd w:val="clear" w:color="auto" w:fill="FFFFFF"/>
        </w:rPr>
        <w:t>25</w:t>
      </w:r>
      <w:r w:rsidRPr="000A5FD9">
        <w:rPr>
          <w:rFonts w:cs="Arial"/>
          <w:shd w:val="clear" w:color="auto" w:fill="FFFFFF"/>
        </w:rPr>
        <w:t>(1), p.4260.</w:t>
      </w:r>
    </w:p>
    <w:p w14:paraId="6AC94B2B" w14:textId="77777777" w:rsidR="001566FA" w:rsidRDefault="001566FA" w:rsidP="009E268B">
      <w:pPr>
        <w:rPr>
          <w:shd w:val="clear" w:color="auto" w:fill="FFFFFF"/>
        </w:rPr>
      </w:pPr>
      <w:r>
        <w:rPr>
          <w:shd w:val="clear" w:color="auto" w:fill="FFFFFF"/>
        </w:rPr>
        <w:t xml:space="preserve">Hutchinson, J., </w:t>
      </w:r>
      <w:proofErr w:type="spellStart"/>
      <w:r>
        <w:rPr>
          <w:shd w:val="clear" w:color="auto" w:fill="FFFFFF"/>
        </w:rPr>
        <w:t>Darko</w:t>
      </w:r>
      <w:proofErr w:type="spellEnd"/>
      <w:r>
        <w:rPr>
          <w:shd w:val="clear" w:color="auto" w:fill="FFFFFF"/>
        </w:rPr>
        <w:t xml:space="preserve">, N., Hardy, R., Webb, D., </w:t>
      </w:r>
      <w:proofErr w:type="spellStart"/>
      <w:r>
        <w:rPr>
          <w:shd w:val="clear" w:color="auto" w:fill="FFFFFF"/>
        </w:rPr>
        <w:t>Zac</w:t>
      </w:r>
      <w:r>
        <w:rPr>
          <w:shd w:val="clear" w:color="auto" w:fill="FFFFFF"/>
        </w:rPr>
        <w:t>cardi</w:t>
      </w:r>
      <w:proofErr w:type="spellEnd"/>
      <w:r>
        <w:rPr>
          <w:shd w:val="clear" w:color="auto" w:fill="FFFFFF"/>
        </w:rPr>
        <w:t>, F. and Johnson, W. (2026)</w:t>
      </w:r>
      <w:r>
        <w:rPr>
          <w:shd w:val="clear" w:color="auto" w:fill="FFFFFF"/>
        </w:rPr>
        <w:t xml:space="preserve"> Intersectional inequality in general and central obesity: cross-sectional UK Biobank study: Epidemiology and Population Health. </w:t>
      </w:r>
      <w:r>
        <w:rPr>
          <w:i/>
          <w:iCs/>
          <w:shd w:val="clear" w:color="auto" w:fill="FFFFFF"/>
        </w:rPr>
        <w:t>International Journal of Obesity</w:t>
      </w:r>
      <w:r>
        <w:rPr>
          <w:shd w:val="clear" w:color="auto" w:fill="FFFFFF"/>
        </w:rPr>
        <w:t>, pp.1-10.</w:t>
      </w:r>
    </w:p>
    <w:p w14:paraId="475590E7" w14:textId="77777777" w:rsidR="001566FA" w:rsidRPr="000A5FD9" w:rsidRDefault="001566FA" w:rsidP="007F4FF5">
      <w:pPr>
        <w:rPr>
          <w:rFonts w:cs="Arial"/>
          <w:shd w:val="clear" w:color="auto" w:fill="FFFFFF"/>
        </w:rPr>
      </w:pPr>
      <w:r w:rsidRPr="000A5FD9">
        <w:rPr>
          <w:rFonts w:cs="Arial"/>
          <w:shd w:val="clear" w:color="auto" w:fill="FFFFFF"/>
        </w:rPr>
        <w:t xml:space="preserve">Jackson, S.E., Brown, J., Shahab, L., McNeill, A., </w:t>
      </w:r>
      <w:proofErr w:type="spellStart"/>
      <w:r w:rsidRPr="000A5FD9">
        <w:rPr>
          <w:rFonts w:cs="Arial"/>
          <w:shd w:val="clear" w:color="auto" w:fill="FFFFFF"/>
        </w:rPr>
        <w:t>Munafò</w:t>
      </w:r>
      <w:proofErr w:type="spellEnd"/>
      <w:r w:rsidRPr="000A5FD9">
        <w:rPr>
          <w:rFonts w:cs="Arial"/>
          <w:shd w:val="clear" w:color="auto" w:fill="FFFFFF"/>
        </w:rPr>
        <w:t>, M.R. and Brose, L. (2023) Trends in psychological distress among adults in England, 2020-2022. </w:t>
      </w:r>
      <w:r w:rsidRPr="000A5FD9">
        <w:rPr>
          <w:rFonts w:cs="Arial"/>
          <w:i/>
          <w:iCs/>
          <w:shd w:val="clear" w:color="auto" w:fill="FFFFFF"/>
        </w:rPr>
        <w:t>JAMA network open</w:t>
      </w:r>
      <w:r w:rsidRPr="000A5FD9">
        <w:rPr>
          <w:rFonts w:cs="Arial"/>
          <w:shd w:val="clear" w:color="auto" w:fill="FFFFFF"/>
        </w:rPr>
        <w:t>, </w:t>
      </w:r>
      <w:r w:rsidRPr="000A5FD9">
        <w:rPr>
          <w:rFonts w:cs="Arial"/>
          <w:i/>
          <w:iCs/>
          <w:shd w:val="clear" w:color="auto" w:fill="FFFFFF"/>
        </w:rPr>
        <w:t>6</w:t>
      </w:r>
      <w:r w:rsidRPr="000A5FD9">
        <w:rPr>
          <w:rFonts w:cs="Arial"/>
          <w:shd w:val="clear" w:color="auto" w:fill="FFFFFF"/>
        </w:rPr>
        <w:t>(7), p.e2321959.</w:t>
      </w:r>
    </w:p>
    <w:p w14:paraId="38A4D77E" w14:textId="77777777" w:rsidR="001566FA" w:rsidRDefault="001566FA" w:rsidP="00D916C1">
      <w:pPr>
        <w:rPr>
          <w:shd w:val="clear" w:color="auto" w:fill="FFFFFF"/>
        </w:rPr>
      </w:pPr>
      <w:r>
        <w:rPr>
          <w:shd w:val="clear" w:color="auto" w:fill="FFFFFF"/>
        </w:rPr>
        <w:t xml:space="preserve">Jones, C.P., Forde, H., Penney, T.L., van </w:t>
      </w:r>
      <w:proofErr w:type="spellStart"/>
      <w:r>
        <w:rPr>
          <w:shd w:val="clear" w:color="auto" w:fill="FFFFFF"/>
        </w:rPr>
        <w:t>Tulleken</w:t>
      </w:r>
      <w:proofErr w:type="spellEnd"/>
      <w:r>
        <w:rPr>
          <w:shd w:val="clear" w:color="auto" w:fill="FFFFFF"/>
        </w:rPr>
        <w:t>, D., Cummins, S., Adams, J., Law, C., Rutter, H.</w:t>
      </w:r>
      <w:r>
        <w:rPr>
          <w:shd w:val="clear" w:color="auto" w:fill="FFFFFF"/>
        </w:rPr>
        <w:t>, Smith, R. and White, M. (2023)</w:t>
      </w:r>
      <w:r>
        <w:rPr>
          <w:shd w:val="clear" w:color="auto" w:fill="FFFFFF"/>
        </w:rPr>
        <w:t xml:space="preserve"> Industry views of the UK Soft Drinks Industry Levy: a thematic analysis of elite interviews with food and drink industry professionals, 2018–2020. </w:t>
      </w:r>
      <w:r>
        <w:rPr>
          <w:i/>
          <w:iCs/>
          <w:shd w:val="clear" w:color="auto" w:fill="FFFFFF"/>
        </w:rPr>
        <w:t>BMJ open</w:t>
      </w:r>
      <w:r>
        <w:rPr>
          <w:shd w:val="clear" w:color="auto" w:fill="FFFFFF"/>
        </w:rPr>
        <w:t>, </w:t>
      </w:r>
      <w:r>
        <w:rPr>
          <w:i/>
          <w:iCs/>
          <w:shd w:val="clear" w:color="auto" w:fill="FFFFFF"/>
        </w:rPr>
        <w:t>13</w:t>
      </w:r>
      <w:r>
        <w:rPr>
          <w:shd w:val="clear" w:color="auto" w:fill="FFFFFF"/>
        </w:rPr>
        <w:t>(8), p.e072223.</w:t>
      </w:r>
    </w:p>
    <w:p w14:paraId="26EBD3FE" w14:textId="77777777" w:rsidR="001566FA" w:rsidRPr="000A5FD9" w:rsidRDefault="001566FA" w:rsidP="003051BD">
      <w:pPr>
        <w:rPr>
          <w:rFonts w:cs="Arial"/>
          <w:shd w:val="clear" w:color="auto" w:fill="FFFFFF"/>
        </w:rPr>
      </w:pPr>
      <w:r w:rsidRPr="000A5FD9">
        <w:rPr>
          <w:rFonts w:cs="Arial"/>
          <w:shd w:val="clear" w:color="auto" w:fill="FFFFFF"/>
        </w:rPr>
        <w:t xml:space="preserve">Khan, Z., </w:t>
      </w:r>
      <w:proofErr w:type="spellStart"/>
      <w:r w:rsidRPr="000A5FD9">
        <w:rPr>
          <w:rFonts w:cs="Arial"/>
          <w:shd w:val="clear" w:color="auto" w:fill="FFFFFF"/>
        </w:rPr>
        <w:t>Vowles</w:t>
      </w:r>
      <w:proofErr w:type="spellEnd"/>
      <w:r w:rsidRPr="000A5FD9">
        <w:rPr>
          <w:rFonts w:cs="Arial"/>
          <w:shd w:val="clear" w:color="auto" w:fill="FFFFFF"/>
        </w:rPr>
        <w:t xml:space="preserve">, Z., Fernandez </w:t>
      </w:r>
      <w:proofErr w:type="spellStart"/>
      <w:r w:rsidRPr="000A5FD9">
        <w:rPr>
          <w:rFonts w:cs="Arial"/>
          <w:shd w:val="clear" w:color="auto" w:fill="FFFFFF"/>
        </w:rPr>
        <w:t>Turienzo</w:t>
      </w:r>
      <w:proofErr w:type="spellEnd"/>
      <w:r w:rsidRPr="000A5FD9">
        <w:rPr>
          <w:rFonts w:cs="Arial"/>
          <w:shd w:val="clear" w:color="auto" w:fill="FFFFFF"/>
        </w:rPr>
        <w:t xml:space="preserve">, C., Barry, Z., </w:t>
      </w:r>
      <w:proofErr w:type="spellStart"/>
      <w:r w:rsidRPr="000A5FD9">
        <w:rPr>
          <w:rFonts w:cs="Arial"/>
          <w:shd w:val="clear" w:color="auto" w:fill="FFFFFF"/>
        </w:rPr>
        <w:t>Brigante</w:t>
      </w:r>
      <w:proofErr w:type="spellEnd"/>
      <w:r w:rsidRPr="000A5FD9">
        <w:rPr>
          <w:rFonts w:cs="Arial"/>
          <w:shd w:val="clear" w:color="auto" w:fill="FFFFFF"/>
        </w:rPr>
        <w:t xml:space="preserve">, L., </w:t>
      </w:r>
      <w:proofErr w:type="spellStart"/>
      <w:r w:rsidRPr="000A5FD9">
        <w:rPr>
          <w:rFonts w:cs="Arial"/>
          <w:shd w:val="clear" w:color="auto" w:fill="FFFFFF"/>
        </w:rPr>
        <w:t>Downe</w:t>
      </w:r>
      <w:proofErr w:type="spellEnd"/>
      <w:r w:rsidRPr="000A5FD9">
        <w:rPr>
          <w:rFonts w:cs="Arial"/>
          <w:shd w:val="clear" w:color="auto" w:fill="FFFFFF"/>
        </w:rPr>
        <w:t>, S., Easter, A., Harding, S., McFadden, A., Montgomery, E. and Page, L. (2023) Targeted health and social care interventions for women and infants who are disproportionately impacted by health inequalities in high-income countries: a systematic review. </w:t>
      </w:r>
      <w:r w:rsidRPr="000A5FD9">
        <w:rPr>
          <w:rFonts w:cs="Arial"/>
          <w:i/>
          <w:iCs/>
          <w:shd w:val="clear" w:color="auto" w:fill="FFFFFF"/>
        </w:rPr>
        <w:t>International journal for equity in health</w:t>
      </w:r>
      <w:r w:rsidRPr="000A5FD9">
        <w:rPr>
          <w:rFonts w:cs="Arial"/>
          <w:shd w:val="clear" w:color="auto" w:fill="FFFFFF"/>
        </w:rPr>
        <w:t>, </w:t>
      </w:r>
      <w:r w:rsidRPr="000A5FD9">
        <w:rPr>
          <w:rFonts w:cs="Arial"/>
          <w:i/>
          <w:iCs/>
          <w:shd w:val="clear" w:color="auto" w:fill="FFFFFF"/>
        </w:rPr>
        <w:t>22</w:t>
      </w:r>
      <w:r w:rsidRPr="000A5FD9">
        <w:rPr>
          <w:rFonts w:cs="Arial"/>
          <w:shd w:val="clear" w:color="auto" w:fill="FFFFFF"/>
        </w:rPr>
        <w:t>(1), p.131.</w:t>
      </w:r>
    </w:p>
    <w:p w14:paraId="40307B3C" w14:textId="77777777" w:rsidR="001566FA" w:rsidRDefault="001566FA" w:rsidP="003E54CE">
      <w:pPr>
        <w:rPr>
          <w:shd w:val="clear" w:color="auto" w:fill="FFFFFF"/>
        </w:rPr>
      </w:pPr>
      <w:proofErr w:type="spellStart"/>
      <w:r>
        <w:rPr>
          <w:shd w:val="clear" w:color="auto" w:fill="FFFFFF"/>
        </w:rPr>
        <w:t>Khumbudzo</w:t>
      </w:r>
      <w:proofErr w:type="spellEnd"/>
      <w:r>
        <w:rPr>
          <w:shd w:val="clear" w:color="auto" w:fill="FFFFFF"/>
        </w:rPr>
        <w:t xml:space="preserve">, M., </w:t>
      </w:r>
      <w:proofErr w:type="spellStart"/>
      <w:r>
        <w:rPr>
          <w:shd w:val="clear" w:color="auto" w:fill="FFFFFF"/>
        </w:rPr>
        <w:t>Duah</w:t>
      </w:r>
      <w:proofErr w:type="spellEnd"/>
      <w:r>
        <w:rPr>
          <w:shd w:val="clear" w:color="auto" w:fill="FFFFFF"/>
        </w:rPr>
        <w:t xml:space="preserve">, E., </w:t>
      </w:r>
      <w:proofErr w:type="spellStart"/>
      <w:r>
        <w:rPr>
          <w:shd w:val="clear" w:color="auto" w:fill="FFFFFF"/>
        </w:rPr>
        <w:t>Gro</w:t>
      </w:r>
      <w:r>
        <w:rPr>
          <w:shd w:val="clear" w:color="auto" w:fill="FFFFFF"/>
        </w:rPr>
        <w:t>bler</w:t>
      </w:r>
      <w:proofErr w:type="spellEnd"/>
      <w:r>
        <w:rPr>
          <w:shd w:val="clear" w:color="auto" w:fill="FFFFFF"/>
        </w:rPr>
        <w:t xml:space="preserve">, E. and </w:t>
      </w:r>
      <w:proofErr w:type="spellStart"/>
      <w:r>
        <w:rPr>
          <w:shd w:val="clear" w:color="auto" w:fill="FFFFFF"/>
        </w:rPr>
        <w:t>Maluleke</w:t>
      </w:r>
      <w:proofErr w:type="spellEnd"/>
      <w:r>
        <w:rPr>
          <w:shd w:val="clear" w:color="auto" w:fill="FFFFFF"/>
        </w:rPr>
        <w:t>, K. (2025)</w:t>
      </w:r>
      <w:r>
        <w:rPr>
          <w:shd w:val="clear" w:color="auto" w:fill="FFFFFF"/>
        </w:rPr>
        <w:t xml:space="preserve"> The Role of Mathematical Modelling in Predicting and Controlling Infectious Disease Outbreaks in Underserved Settings: A Systematic Review and Meta</w:t>
      </w:r>
      <w:r>
        <w:rPr>
          <w:rFonts w:ascii="Cambria Math" w:hAnsi="Cambria Math" w:cs="Cambria Math"/>
          <w:shd w:val="clear" w:color="auto" w:fill="FFFFFF"/>
        </w:rPr>
        <w:t>‐</w:t>
      </w:r>
      <w:r>
        <w:rPr>
          <w:shd w:val="clear" w:color="auto" w:fill="FFFFFF"/>
        </w:rPr>
        <w:t>Analysis. </w:t>
      </w:r>
      <w:r>
        <w:rPr>
          <w:i/>
          <w:iCs/>
          <w:shd w:val="clear" w:color="auto" w:fill="FFFFFF"/>
        </w:rPr>
        <w:t>Public Health Challenges</w:t>
      </w:r>
      <w:r>
        <w:rPr>
          <w:shd w:val="clear" w:color="auto" w:fill="FFFFFF"/>
        </w:rPr>
        <w:t>, </w:t>
      </w:r>
      <w:r>
        <w:rPr>
          <w:i/>
          <w:iCs/>
          <w:shd w:val="clear" w:color="auto" w:fill="FFFFFF"/>
        </w:rPr>
        <w:t>4</w:t>
      </w:r>
      <w:r>
        <w:rPr>
          <w:shd w:val="clear" w:color="auto" w:fill="FFFFFF"/>
        </w:rPr>
        <w:t>(3), p.e70116.</w:t>
      </w:r>
    </w:p>
    <w:p w14:paraId="1EF47CF9" w14:textId="77777777" w:rsidR="001566FA" w:rsidRPr="000A5FD9" w:rsidRDefault="001566FA" w:rsidP="00E079D5">
      <w:pPr>
        <w:rPr>
          <w:rFonts w:cs="Arial"/>
          <w:lang w:eastAsia="en-IN"/>
        </w:rPr>
      </w:pPr>
      <w:r w:rsidRPr="000A5FD9">
        <w:rPr>
          <w:rFonts w:cs="Arial"/>
          <w:lang w:eastAsia="en-IN"/>
        </w:rPr>
        <w:t>Mental Health Foundation. (2026). </w:t>
      </w:r>
      <w:r w:rsidRPr="000A5FD9">
        <w:rPr>
          <w:rFonts w:cs="Arial"/>
          <w:i/>
          <w:iCs/>
          <w:lang w:eastAsia="en-IN"/>
        </w:rPr>
        <w:t>Mental Health Foundation | Good mental health for all</w:t>
      </w:r>
      <w:r w:rsidRPr="000A5FD9">
        <w:rPr>
          <w:rFonts w:cs="Arial"/>
          <w:lang w:eastAsia="en-IN"/>
        </w:rPr>
        <w:t xml:space="preserve">. [Online] Available at: </w:t>
      </w:r>
      <w:hyperlink r:id="rId11" w:history="1">
        <w:r w:rsidRPr="000A5FD9">
          <w:rPr>
            <w:rStyle w:val="Hyperlink"/>
            <w:rFonts w:cs="Arial"/>
            <w:lang w:eastAsia="en-IN"/>
          </w:rPr>
          <w:t>https://www.mentalhealth.org.uk/</w:t>
        </w:r>
      </w:hyperlink>
      <w:r w:rsidRPr="000A5FD9">
        <w:rPr>
          <w:rFonts w:cs="Arial"/>
          <w:lang w:eastAsia="en-IN"/>
        </w:rPr>
        <w:t xml:space="preserve"> [Accessed 28 Apr. 2026].</w:t>
      </w:r>
    </w:p>
    <w:p w14:paraId="246B1D92" w14:textId="77777777" w:rsidR="001566FA" w:rsidRDefault="001566FA" w:rsidP="007848E7">
      <w:pPr>
        <w:rPr>
          <w:shd w:val="clear" w:color="auto" w:fill="FFFFFF"/>
        </w:rPr>
      </w:pPr>
      <w:r>
        <w:rPr>
          <w:shd w:val="clear" w:color="auto" w:fill="FFFFFF"/>
        </w:rPr>
        <w:lastRenderedPageBreak/>
        <w:t>Moh</w:t>
      </w:r>
      <w:r>
        <w:rPr>
          <w:shd w:val="clear" w:color="auto" w:fill="FFFFFF"/>
        </w:rPr>
        <w:t xml:space="preserve">amed, M. and </w:t>
      </w:r>
      <w:proofErr w:type="spellStart"/>
      <w:r>
        <w:rPr>
          <w:shd w:val="clear" w:color="auto" w:fill="FFFFFF"/>
        </w:rPr>
        <w:t>Pallan</w:t>
      </w:r>
      <w:proofErr w:type="spellEnd"/>
      <w:r>
        <w:rPr>
          <w:shd w:val="clear" w:color="auto" w:fill="FFFFFF"/>
        </w:rPr>
        <w:t>, M.J. (2024)</w:t>
      </w:r>
      <w:r>
        <w:rPr>
          <w:shd w:val="clear" w:color="auto" w:fill="FFFFFF"/>
        </w:rPr>
        <w:t xml:space="preserve"> Tracking changes in weight status in primary school children in Birmingham: an analysis of the National Child Measurement Programme–a retrospective cohort study. </w:t>
      </w:r>
      <w:r>
        <w:rPr>
          <w:i/>
          <w:iCs/>
          <w:shd w:val="clear" w:color="auto" w:fill="FFFFFF"/>
        </w:rPr>
        <w:t>BMJ Paediatrics Open</w:t>
      </w:r>
      <w:r>
        <w:rPr>
          <w:shd w:val="clear" w:color="auto" w:fill="FFFFFF"/>
        </w:rPr>
        <w:t>, </w:t>
      </w:r>
      <w:r>
        <w:rPr>
          <w:i/>
          <w:iCs/>
          <w:shd w:val="clear" w:color="auto" w:fill="FFFFFF"/>
        </w:rPr>
        <w:t>8</w:t>
      </w:r>
      <w:r>
        <w:rPr>
          <w:shd w:val="clear" w:color="auto" w:fill="FFFFFF"/>
        </w:rPr>
        <w:t>(1), p.e002547.</w:t>
      </w:r>
    </w:p>
    <w:p w14:paraId="3C5A3DF6" w14:textId="77777777" w:rsidR="001566FA" w:rsidRPr="000A5FD9" w:rsidRDefault="001566FA" w:rsidP="000453AE">
      <w:pPr>
        <w:rPr>
          <w:rFonts w:cs="Arial"/>
          <w:shd w:val="clear" w:color="auto" w:fill="FFFFFF"/>
        </w:rPr>
      </w:pPr>
      <w:proofErr w:type="spellStart"/>
      <w:r w:rsidRPr="000A5FD9">
        <w:rPr>
          <w:rFonts w:cs="Arial"/>
          <w:shd w:val="clear" w:color="auto" w:fill="FFFFFF"/>
        </w:rPr>
        <w:t>Mokhwelepa</w:t>
      </w:r>
      <w:proofErr w:type="spellEnd"/>
      <w:r w:rsidRPr="000A5FD9">
        <w:rPr>
          <w:rFonts w:cs="Arial"/>
          <w:shd w:val="clear" w:color="auto" w:fill="FFFFFF"/>
        </w:rPr>
        <w:t xml:space="preserve">, L.W. and </w:t>
      </w:r>
      <w:proofErr w:type="spellStart"/>
      <w:r w:rsidRPr="000A5FD9">
        <w:rPr>
          <w:rFonts w:cs="Arial"/>
          <w:shd w:val="clear" w:color="auto" w:fill="FFFFFF"/>
        </w:rPr>
        <w:t>Sumbane</w:t>
      </w:r>
      <w:proofErr w:type="spellEnd"/>
      <w:r w:rsidRPr="000A5FD9">
        <w:rPr>
          <w:rFonts w:cs="Arial"/>
          <w:shd w:val="clear" w:color="auto" w:fill="FFFFFF"/>
        </w:rPr>
        <w:t>, G.O. (2025) Men’s mental health matters: The impact of traditional masculinity norms on men’s willingness to seek mental health support; a systematic review of literature. </w:t>
      </w:r>
      <w:r w:rsidRPr="000A5FD9">
        <w:rPr>
          <w:rFonts w:cs="Arial"/>
          <w:i/>
          <w:iCs/>
          <w:shd w:val="clear" w:color="auto" w:fill="FFFFFF"/>
        </w:rPr>
        <w:t>American journal of men's health</w:t>
      </w:r>
      <w:r w:rsidRPr="000A5FD9">
        <w:rPr>
          <w:rFonts w:cs="Arial"/>
          <w:shd w:val="clear" w:color="auto" w:fill="FFFFFF"/>
        </w:rPr>
        <w:t>, </w:t>
      </w:r>
      <w:r w:rsidRPr="000A5FD9">
        <w:rPr>
          <w:rFonts w:cs="Arial"/>
          <w:i/>
          <w:iCs/>
          <w:shd w:val="clear" w:color="auto" w:fill="FFFFFF"/>
        </w:rPr>
        <w:t>19</w:t>
      </w:r>
      <w:r w:rsidRPr="000A5FD9">
        <w:rPr>
          <w:rFonts w:cs="Arial"/>
          <w:shd w:val="clear" w:color="auto" w:fill="FFFFFF"/>
        </w:rPr>
        <w:t>(3), p.15579883251321670.</w:t>
      </w:r>
    </w:p>
    <w:p w14:paraId="6D07CAA0" w14:textId="77777777" w:rsidR="001566FA" w:rsidRPr="000A5FD9" w:rsidRDefault="001566FA" w:rsidP="00224136">
      <w:pPr>
        <w:rPr>
          <w:rFonts w:cs="Arial"/>
          <w:lang w:val="en-IN" w:eastAsia="en-IN"/>
        </w:rPr>
      </w:pPr>
      <w:r w:rsidRPr="000A5FD9">
        <w:rPr>
          <w:rFonts w:cs="Arial"/>
          <w:iCs/>
          <w:lang w:val="en-IN" w:eastAsia="en-IN"/>
        </w:rPr>
        <w:t>NHS England</w:t>
      </w:r>
      <w:r w:rsidRPr="000A5FD9">
        <w:rPr>
          <w:rFonts w:cs="Arial"/>
          <w:lang w:val="en-IN" w:eastAsia="en-IN"/>
        </w:rPr>
        <w:t xml:space="preserve"> (2023). </w:t>
      </w:r>
      <w:r w:rsidRPr="000A5FD9">
        <w:rPr>
          <w:rFonts w:cs="Arial"/>
          <w:i/>
          <w:iCs/>
          <w:lang w:val="en-IN" w:eastAsia="en-IN"/>
        </w:rPr>
        <w:t xml:space="preserve"> Adult and older adult mental health</w:t>
      </w:r>
      <w:r w:rsidRPr="000A5FD9">
        <w:rPr>
          <w:rFonts w:cs="Arial"/>
          <w:lang w:val="en-IN" w:eastAsia="en-IN"/>
        </w:rPr>
        <w:t xml:space="preserve">. [Online] England.nhs.uk. Available at: </w:t>
      </w:r>
      <w:hyperlink r:id="rId12" w:history="1">
        <w:r w:rsidRPr="000A5FD9">
          <w:rPr>
            <w:rStyle w:val="Hyperlink"/>
            <w:rFonts w:cs="Arial"/>
            <w:lang w:val="en-IN" w:eastAsia="en-IN"/>
          </w:rPr>
          <w:t>https://www.england.nhs.uk/mental-health/adults/</w:t>
        </w:r>
      </w:hyperlink>
      <w:r w:rsidRPr="000A5FD9">
        <w:rPr>
          <w:rFonts w:cs="Arial"/>
          <w:lang w:val="en-IN" w:eastAsia="en-IN"/>
        </w:rPr>
        <w:t xml:space="preserve"> [Accessed 28 Apr. 2026].</w:t>
      </w:r>
    </w:p>
    <w:p w14:paraId="5EF5482C" w14:textId="77777777" w:rsidR="001566FA" w:rsidRDefault="001566FA" w:rsidP="008C36AB">
      <w:pPr>
        <w:spacing w:line="360" w:lineRule="atLeast"/>
        <w:jc w:val="left"/>
        <w:rPr>
          <w:lang w:val="en-IN" w:eastAsia="en-IN"/>
        </w:rPr>
      </w:pPr>
      <w:r>
        <w:rPr>
          <w:lang w:val="en-IN" w:eastAsia="en-IN"/>
        </w:rPr>
        <w:t>NHS England</w:t>
      </w:r>
      <w:r w:rsidRPr="008C36AB">
        <w:rPr>
          <w:lang w:val="en-IN" w:eastAsia="en-IN"/>
        </w:rPr>
        <w:t xml:space="preserve"> (2026). </w:t>
      </w:r>
      <w:r>
        <w:rPr>
          <w:lang w:val="en-IN" w:eastAsia="en-IN"/>
        </w:rPr>
        <w:t>Health Survey for England, 2024. [O</w:t>
      </w:r>
      <w:r w:rsidRPr="008C36AB">
        <w:rPr>
          <w:lang w:val="en-IN" w:eastAsia="en-IN"/>
        </w:rPr>
        <w:t xml:space="preserve">nline] Available at: </w:t>
      </w:r>
      <w:hyperlink r:id="rId13" w:history="1">
        <w:r w:rsidRPr="009531E1">
          <w:rPr>
            <w:rStyle w:val="Hyperlink"/>
            <w:lang w:val="en-IN" w:eastAsia="en-IN"/>
          </w:rPr>
          <w:t>https://digital.nhs.uk/data-and-information/publications/statistical/health-survey-for-england/2024/adults-overweight-and-obesity</w:t>
        </w:r>
      </w:hyperlink>
      <w:r>
        <w:rPr>
          <w:lang w:val="en-IN" w:eastAsia="en-IN"/>
        </w:rPr>
        <w:t xml:space="preserve"> [Accessed: 26 Apr. 2026].</w:t>
      </w:r>
    </w:p>
    <w:p w14:paraId="02DE9721" w14:textId="77777777" w:rsidR="001566FA" w:rsidRPr="000A5FD9" w:rsidRDefault="001566FA" w:rsidP="0018284A">
      <w:pPr>
        <w:rPr>
          <w:rFonts w:cs="Arial"/>
          <w:shd w:val="clear" w:color="auto" w:fill="FFFFFF"/>
        </w:rPr>
      </w:pPr>
      <w:proofErr w:type="spellStart"/>
      <w:r w:rsidRPr="000A5FD9">
        <w:rPr>
          <w:rFonts w:cs="Arial"/>
          <w:shd w:val="clear" w:color="auto" w:fill="FFFFFF"/>
        </w:rPr>
        <w:t>Oduro</w:t>
      </w:r>
      <w:proofErr w:type="spellEnd"/>
      <w:r w:rsidRPr="000A5FD9">
        <w:rPr>
          <w:rFonts w:cs="Arial"/>
          <w:shd w:val="clear" w:color="auto" w:fill="FFFFFF"/>
        </w:rPr>
        <w:t xml:space="preserve">, J.K., </w:t>
      </w:r>
      <w:proofErr w:type="spellStart"/>
      <w:r w:rsidRPr="000A5FD9">
        <w:rPr>
          <w:rFonts w:cs="Arial"/>
          <w:shd w:val="clear" w:color="auto" w:fill="FFFFFF"/>
        </w:rPr>
        <w:t>Okyere</w:t>
      </w:r>
      <w:proofErr w:type="spellEnd"/>
      <w:r w:rsidRPr="000A5FD9">
        <w:rPr>
          <w:rFonts w:cs="Arial"/>
          <w:shd w:val="clear" w:color="auto" w:fill="FFFFFF"/>
        </w:rPr>
        <w:t xml:space="preserve">, J. and </w:t>
      </w:r>
      <w:proofErr w:type="spellStart"/>
      <w:r w:rsidRPr="000A5FD9">
        <w:rPr>
          <w:rFonts w:cs="Arial"/>
          <w:shd w:val="clear" w:color="auto" w:fill="FFFFFF"/>
        </w:rPr>
        <w:t>Nyador</w:t>
      </w:r>
      <w:proofErr w:type="spellEnd"/>
      <w:r w:rsidRPr="000A5FD9">
        <w:rPr>
          <w:rFonts w:cs="Arial"/>
          <w:shd w:val="clear" w:color="auto" w:fill="FFFFFF"/>
        </w:rPr>
        <w:t>, J.K.M.T. (2023) Risky health behaviours and chronic conditions among aged persons: analysis of SAGE selected countries. </w:t>
      </w:r>
      <w:r w:rsidRPr="000A5FD9">
        <w:rPr>
          <w:rFonts w:cs="Arial"/>
          <w:i/>
          <w:iCs/>
          <w:shd w:val="clear" w:color="auto" w:fill="FFFFFF"/>
        </w:rPr>
        <w:t>BMC geriatrics</w:t>
      </w:r>
      <w:r w:rsidRPr="000A5FD9">
        <w:rPr>
          <w:rFonts w:cs="Arial"/>
          <w:shd w:val="clear" w:color="auto" w:fill="FFFFFF"/>
        </w:rPr>
        <w:t>, </w:t>
      </w:r>
      <w:r w:rsidRPr="000A5FD9">
        <w:rPr>
          <w:rFonts w:cs="Arial"/>
          <w:i/>
          <w:iCs/>
          <w:shd w:val="clear" w:color="auto" w:fill="FFFFFF"/>
        </w:rPr>
        <w:t>23</w:t>
      </w:r>
      <w:r w:rsidRPr="000A5FD9">
        <w:rPr>
          <w:rFonts w:cs="Arial"/>
          <w:shd w:val="clear" w:color="auto" w:fill="FFFFFF"/>
        </w:rPr>
        <w:t>(1), p.145.</w:t>
      </w:r>
    </w:p>
    <w:p w14:paraId="305889FB" w14:textId="77777777" w:rsidR="001566FA" w:rsidRPr="000A5FD9" w:rsidRDefault="001566FA" w:rsidP="00EC2CBE">
      <w:pPr>
        <w:rPr>
          <w:rFonts w:cs="Arial"/>
          <w:lang w:eastAsia="en-IN"/>
        </w:rPr>
      </w:pPr>
      <w:r w:rsidRPr="000A5FD9">
        <w:rPr>
          <w:rFonts w:cs="Arial"/>
          <w:lang w:eastAsia="en-IN"/>
        </w:rPr>
        <w:t>Office for National Statistics. (2025). </w:t>
      </w:r>
      <w:r w:rsidRPr="000A5FD9">
        <w:rPr>
          <w:rFonts w:cs="Arial"/>
          <w:i/>
          <w:iCs/>
          <w:lang w:eastAsia="en-IN"/>
        </w:rPr>
        <w:t>Suicides in England and Wales</w:t>
      </w:r>
      <w:r w:rsidRPr="000A5FD9">
        <w:rPr>
          <w:rFonts w:cs="Arial"/>
          <w:lang w:eastAsia="en-IN"/>
        </w:rPr>
        <w:t xml:space="preserve">. [Online] Available at: </w:t>
      </w:r>
      <w:hyperlink r:id="rId14" w:history="1">
        <w:r w:rsidRPr="000A5FD9">
          <w:rPr>
            <w:rStyle w:val="Hyperlink"/>
            <w:rFonts w:cs="Arial"/>
            <w:lang w:eastAsia="en-IN"/>
          </w:rPr>
          <w:t>https://www.ons.gov.uk/peoplepopulationandcommunity/birthsdeathsandmarriages/deaths/bulletins/suicidesintheunitedkingdom/2024registrations</w:t>
        </w:r>
      </w:hyperlink>
      <w:r w:rsidRPr="000A5FD9">
        <w:rPr>
          <w:rFonts w:cs="Arial"/>
          <w:lang w:eastAsia="en-IN"/>
        </w:rPr>
        <w:t xml:space="preserve"> [Accessed 28 Apr. 2026].</w:t>
      </w:r>
    </w:p>
    <w:p w14:paraId="4FB2367B" w14:textId="77777777" w:rsidR="001566FA" w:rsidRDefault="001566FA" w:rsidP="003E54CE">
      <w:pPr>
        <w:rPr>
          <w:shd w:val="clear" w:color="auto" w:fill="FFFFFF"/>
        </w:rPr>
      </w:pPr>
      <w:proofErr w:type="spellStart"/>
      <w:r>
        <w:rPr>
          <w:shd w:val="clear" w:color="auto" w:fill="FFFFFF"/>
        </w:rPr>
        <w:t>Ogundeko-Olugbami</w:t>
      </w:r>
      <w:proofErr w:type="spellEnd"/>
      <w:r>
        <w:rPr>
          <w:shd w:val="clear" w:color="auto" w:fill="FFFFFF"/>
        </w:rPr>
        <w:t xml:space="preserve">, O., </w:t>
      </w:r>
      <w:proofErr w:type="spellStart"/>
      <w:r>
        <w:rPr>
          <w:shd w:val="clear" w:color="auto" w:fill="FFFFFF"/>
        </w:rPr>
        <w:t>Ogundeko</w:t>
      </w:r>
      <w:proofErr w:type="spellEnd"/>
      <w:r>
        <w:rPr>
          <w:shd w:val="clear" w:color="auto" w:fill="FFFFFF"/>
        </w:rPr>
        <w:t>, O.,</w:t>
      </w:r>
      <w:r>
        <w:rPr>
          <w:shd w:val="clear" w:color="auto" w:fill="FFFFFF"/>
        </w:rPr>
        <w:t xml:space="preserve"> </w:t>
      </w:r>
      <w:proofErr w:type="spellStart"/>
      <w:r>
        <w:rPr>
          <w:shd w:val="clear" w:color="auto" w:fill="FFFFFF"/>
        </w:rPr>
        <w:t>Lawan</w:t>
      </w:r>
      <w:proofErr w:type="spellEnd"/>
      <w:r>
        <w:rPr>
          <w:shd w:val="clear" w:color="auto" w:fill="FFFFFF"/>
        </w:rPr>
        <w:t>, M. and Foster, E. (2025)</w:t>
      </w:r>
      <w:r>
        <w:rPr>
          <w:shd w:val="clear" w:color="auto" w:fill="FFFFFF"/>
        </w:rPr>
        <w:t xml:space="preserve"> Harnessing data for impact: Transforming public health interventions through evidence-based decision-making. </w:t>
      </w:r>
      <w:r>
        <w:rPr>
          <w:i/>
          <w:iCs/>
          <w:shd w:val="clear" w:color="auto" w:fill="FFFFFF"/>
        </w:rPr>
        <w:t>World Journal of Advanced Research and Reviews</w:t>
      </w:r>
      <w:r>
        <w:rPr>
          <w:shd w:val="clear" w:color="auto" w:fill="FFFFFF"/>
        </w:rPr>
        <w:t>, </w:t>
      </w:r>
      <w:r>
        <w:rPr>
          <w:i/>
          <w:iCs/>
          <w:shd w:val="clear" w:color="auto" w:fill="FFFFFF"/>
        </w:rPr>
        <w:t>25</w:t>
      </w:r>
      <w:r>
        <w:rPr>
          <w:shd w:val="clear" w:color="auto" w:fill="FFFFFF"/>
        </w:rPr>
        <w:t>(1), pp.2085-2103.</w:t>
      </w:r>
    </w:p>
    <w:p w14:paraId="02E0E46E" w14:textId="77777777" w:rsidR="001566FA" w:rsidRDefault="001566FA" w:rsidP="00B65459">
      <w:pPr>
        <w:rPr>
          <w:shd w:val="clear" w:color="auto" w:fill="FFFFFF"/>
        </w:rPr>
      </w:pPr>
      <w:r>
        <w:rPr>
          <w:shd w:val="clear" w:color="auto" w:fill="FFFFFF"/>
        </w:rPr>
        <w:t xml:space="preserve">Oliver, K., </w:t>
      </w:r>
      <w:proofErr w:type="spellStart"/>
      <w:r>
        <w:rPr>
          <w:shd w:val="clear" w:color="auto" w:fill="FFFFFF"/>
        </w:rPr>
        <w:t>Iser</w:t>
      </w:r>
      <w:proofErr w:type="spellEnd"/>
      <w:r>
        <w:rPr>
          <w:shd w:val="clear" w:color="auto" w:fill="FFFFFF"/>
        </w:rPr>
        <w:t xml:space="preserve">, J., </w:t>
      </w:r>
      <w:proofErr w:type="spellStart"/>
      <w:r>
        <w:rPr>
          <w:shd w:val="clear" w:color="auto" w:fill="FFFFFF"/>
        </w:rPr>
        <w:t>Bru</w:t>
      </w:r>
      <w:r>
        <w:rPr>
          <w:shd w:val="clear" w:color="auto" w:fill="FFFFFF"/>
        </w:rPr>
        <w:t>mage</w:t>
      </w:r>
      <w:proofErr w:type="spellEnd"/>
      <w:r>
        <w:rPr>
          <w:shd w:val="clear" w:color="auto" w:fill="FFFFFF"/>
        </w:rPr>
        <w:t xml:space="preserve">, M. and </w:t>
      </w:r>
      <w:proofErr w:type="spellStart"/>
      <w:r>
        <w:rPr>
          <w:shd w:val="clear" w:color="auto" w:fill="FFFFFF"/>
        </w:rPr>
        <w:t>Lushniak</w:t>
      </w:r>
      <w:proofErr w:type="spellEnd"/>
      <w:r>
        <w:rPr>
          <w:shd w:val="clear" w:color="auto" w:fill="FFFFFF"/>
        </w:rPr>
        <w:t>, B. (2022)</w:t>
      </w:r>
      <w:r>
        <w:rPr>
          <w:shd w:val="clear" w:color="auto" w:fill="FFFFFF"/>
        </w:rPr>
        <w:t xml:space="preserve"> </w:t>
      </w:r>
      <w:proofErr w:type="gramStart"/>
      <w:r>
        <w:rPr>
          <w:shd w:val="clear" w:color="auto" w:fill="FFFFFF"/>
        </w:rPr>
        <w:t>The</w:t>
      </w:r>
      <w:proofErr w:type="gramEnd"/>
      <w:r>
        <w:rPr>
          <w:shd w:val="clear" w:color="auto" w:fill="FFFFFF"/>
        </w:rPr>
        <w:t xml:space="preserve"> power of prevention: prevention and preparedness in public health. </w:t>
      </w:r>
      <w:r>
        <w:rPr>
          <w:i/>
          <w:iCs/>
          <w:shd w:val="clear" w:color="auto" w:fill="FFFFFF"/>
        </w:rPr>
        <w:t xml:space="preserve">Am J </w:t>
      </w:r>
      <w:proofErr w:type="spellStart"/>
      <w:r>
        <w:rPr>
          <w:i/>
          <w:iCs/>
          <w:shd w:val="clear" w:color="auto" w:fill="FFFFFF"/>
        </w:rPr>
        <w:t>Prev</w:t>
      </w:r>
      <w:proofErr w:type="spellEnd"/>
      <w:r>
        <w:rPr>
          <w:i/>
          <w:iCs/>
          <w:shd w:val="clear" w:color="auto" w:fill="FFFFFF"/>
        </w:rPr>
        <w:t xml:space="preserve"> Med</w:t>
      </w:r>
      <w:r>
        <w:rPr>
          <w:shd w:val="clear" w:color="auto" w:fill="FFFFFF"/>
        </w:rPr>
        <w:t>, </w:t>
      </w:r>
      <w:r>
        <w:rPr>
          <w:i/>
          <w:iCs/>
          <w:shd w:val="clear" w:color="auto" w:fill="FFFFFF"/>
        </w:rPr>
        <w:t>62</w:t>
      </w:r>
      <w:r>
        <w:rPr>
          <w:shd w:val="clear" w:color="auto" w:fill="FFFFFF"/>
        </w:rPr>
        <w:t>(4), pp.650-652.</w:t>
      </w:r>
    </w:p>
    <w:p w14:paraId="08A7F7FA" w14:textId="77777777" w:rsidR="001566FA" w:rsidRDefault="001566FA" w:rsidP="006E3BAD">
      <w:pPr>
        <w:rPr>
          <w:shd w:val="clear" w:color="auto" w:fill="FFFFFF"/>
        </w:rPr>
      </w:pPr>
      <w:proofErr w:type="spellStart"/>
      <w:r>
        <w:rPr>
          <w:shd w:val="clear" w:color="auto" w:fill="FFFFFF"/>
        </w:rPr>
        <w:t>Salm</w:t>
      </w:r>
      <w:proofErr w:type="spellEnd"/>
      <w:r>
        <w:rPr>
          <w:shd w:val="clear" w:color="auto" w:fill="FFFFFF"/>
        </w:rPr>
        <w:t xml:space="preserve">, L., </w:t>
      </w:r>
      <w:proofErr w:type="spellStart"/>
      <w:r>
        <w:rPr>
          <w:shd w:val="clear" w:color="auto" w:fill="FFFFFF"/>
        </w:rPr>
        <w:t>Nisbett</w:t>
      </w:r>
      <w:proofErr w:type="spellEnd"/>
      <w:r>
        <w:rPr>
          <w:shd w:val="clear" w:color="auto" w:fill="FFFFFF"/>
        </w:rPr>
        <w:t xml:space="preserve">, N., </w:t>
      </w:r>
      <w:proofErr w:type="spellStart"/>
      <w:r>
        <w:rPr>
          <w:shd w:val="clear" w:color="auto" w:fill="FFFFFF"/>
        </w:rPr>
        <w:t>Cuming</w:t>
      </w:r>
      <w:proofErr w:type="spellEnd"/>
      <w:r>
        <w:rPr>
          <w:shd w:val="clear" w:color="auto" w:fill="FFFFFF"/>
        </w:rPr>
        <w:t xml:space="preserve">, K., </w:t>
      </w:r>
      <w:proofErr w:type="spellStart"/>
      <w:r>
        <w:rPr>
          <w:shd w:val="clear" w:color="auto" w:fill="FFFFFF"/>
        </w:rPr>
        <w:t>Hrynick</w:t>
      </w:r>
      <w:proofErr w:type="spellEnd"/>
      <w:r>
        <w:rPr>
          <w:shd w:val="clear" w:color="auto" w:fill="FFFFFF"/>
        </w:rPr>
        <w:t xml:space="preserve">, T., </w:t>
      </w:r>
      <w:proofErr w:type="spellStart"/>
      <w:r>
        <w:rPr>
          <w:shd w:val="clear" w:color="auto" w:fill="FFFFFF"/>
        </w:rPr>
        <w:t>Lula</w:t>
      </w:r>
      <w:r>
        <w:rPr>
          <w:shd w:val="clear" w:color="auto" w:fill="FFFFFF"/>
        </w:rPr>
        <w:t>che</w:t>
      </w:r>
      <w:proofErr w:type="spellEnd"/>
      <w:r>
        <w:rPr>
          <w:shd w:val="clear" w:color="auto" w:fill="FFFFFF"/>
        </w:rPr>
        <w:t>, A. and MacGregor, H. (2023)</w:t>
      </w:r>
      <w:r>
        <w:rPr>
          <w:shd w:val="clear" w:color="auto" w:fill="FFFFFF"/>
        </w:rPr>
        <w:t xml:space="preserve"> </w:t>
      </w:r>
      <w:proofErr w:type="gramStart"/>
      <w:r>
        <w:rPr>
          <w:shd w:val="clear" w:color="auto" w:fill="FFFFFF"/>
        </w:rPr>
        <w:t>A</w:t>
      </w:r>
      <w:proofErr w:type="gramEnd"/>
      <w:r>
        <w:rPr>
          <w:shd w:val="clear" w:color="auto" w:fill="FFFFFF"/>
        </w:rPr>
        <w:t xml:space="preserve"> whole system approach to childhood obesity: how a supportive environment was created in the city of Brighton and Hove, United Kingdom. </w:t>
      </w:r>
      <w:r>
        <w:rPr>
          <w:i/>
          <w:iCs/>
          <w:shd w:val="clear" w:color="auto" w:fill="FFFFFF"/>
        </w:rPr>
        <w:t>Food Security</w:t>
      </w:r>
      <w:r>
        <w:rPr>
          <w:shd w:val="clear" w:color="auto" w:fill="FFFFFF"/>
        </w:rPr>
        <w:t>, p.1.</w:t>
      </w:r>
    </w:p>
    <w:p w14:paraId="2EE0E526" w14:textId="77777777" w:rsidR="001566FA" w:rsidRPr="000A5FD9" w:rsidRDefault="001566FA" w:rsidP="00DF1E54">
      <w:pPr>
        <w:rPr>
          <w:rFonts w:cs="Arial"/>
          <w:shd w:val="clear" w:color="auto" w:fill="FFFFFF"/>
        </w:rPr>
      </w:pPr>
      <w:r w:rsidRPr="000A5FD9">
        <w:rPr>
          <w:rFonts w:cs="Arial"/>
          <w:shd w:val="clear" w:color="auto" w:fill="FFFFFF"/>
        </w:rPr>
        <w:t xml:space="preserve">Scott, E.C. and </w:t>
      </w:r>
      <w:proofErr w:type="spellStart"/>
      <w:r w:rsidRPr="000A5FD9">
        <w:rPr>
          <w:rFonts w:cs="Arial"/>
          <w:shd w:val="clear" w:color="auto" w:fill="FFFFFF"/>
        </w:rPr>
        <w:t>Hoskin</w:t>
      </w:r>
      <w:proofErr w:type="spellEnd"/>
      <w:r w:rsidRPr="000A5FD9">
        <w:rPr>
          <w:rFonts w:cs="Arial"/>
          <w:shd w:val="clear" w:color="auto" w:fill="FFFFFF"/>
        </w:rPr>
        <w:t>, P.J. (2024) Health inequalities in cancer care: a literature review of pathways to diagnosis in the United Kingdom. </w:t>
      </w:r>
      <w:proofErr w:type="spellStart"/>
      <w:r w:rsidRPr="000A5FD9">
        <w:rPr>
          <w:rFonts w:cs="Arial"/>
          <w:i/>
          <w:iCs/>
          <w:shd w:val="clear" w:color="auto" w:fill="FFFFFF"/>
        </w:rPr>
        <w:t>EClinicalMedicine</w:t>
      </w:r>
      <w:proofErr w:type="spellEnd"/>
      <w:r w:rsidRPr="000A5FD9">
        <w:rPr>
          <w:rFonts w:cs="Arial"/>
          <w:shd w:val="clear" w:color="auto" w:fill="FFFFFF"/>
        </w:rPr>
        <w:t>, </w:t>
      </w:r>
      <w:r w:rsidRPr="000A5FD9">
        <w:rPr>
          <w:rFonts w:cs="Arial"/>
          <w:i/>
          <w:iCs/>
          <w:shd w:val="clear" w:color="auto" w:fill="FFFFFF"/>
        </w:rPr>
        <w:t>76</w:t>
      </w:r>
      <w:r w:rsidRPr="000A5FD9">
        <w:rPr>
          <w:rFonts w:cs="Arial"/>
          <w:shd w:val="clear" w:color="auto" w:fill="FFFFFF"/>
        </w:rPr>
        <w:t>.</w:t>
      </w:r>
    </w:p>
    <w:p w14:paraId="04C3BD8A" w14:textId="77777777" w:rsidR="001566FA" w:rsidRDefault="001566FA" w:rsidP="000A5FD9">
      <w:pPr>
        <w:rPr>
          <w:rFonts w:cs="Arial"/>
          <w:lang w:val="en-IN" w:eastAsia="en-IN"/>
        </w:rPr>
      </w:pPr>
      <w:r w:rsidRPr="000A5FD9">
        <w:rPr>
          <w:rFonts w:cs="Arial"/>
          <w:lang w:val="en-IN" w:eastAsia="en-IN"/>
        </w:rPr>
        <w:t>WHO (2025). </w:t>
      </w:r>
      <w:r w:rsidRPr="000A5FD9">
        <w:rPr>
          <w:rFonts w:cs="Arial"/>
          <w:i/>
          <w:iCs/>
          <w:lang w:val="en-IN" w:eastAsia="en-IN"/>
        </w:rPr>
        <w:t>Obesity and overweight</w:t>
      </w:r>
      <w:r w:rsidRPr="000A5FD9">
        <w:rPr>
          <w:rFonts w:cs="Arial"/>
          <w:lang w:val="en-IN" w:eastAsia="en-IN"/>
        </w:rPr>
        <w:t>. [</w:t>
      </w:r>
      <w:r w:rsidRPr="000A5FD9">
        <w:rPr>
          <w:rFonts w:cs="Arial"/>
        </w:rPr>
        <w:t>Online</w:t>
      </w:r>
      <w:r w:rsidRPr="000A5FD9">
        <w:rPr>
          <w:rFonts w:cs="Arial"/>
          <w:lang w:val="en-IN" w:eastAsia="en-IN"/>
        </w:rPr>
        <w:t xml:space="preserve">]. Available at: </w:t>
      </w:r>
      <w:hyperlink r:id="rId15" w:history="1">
        <w:r w:rsidRPr="000A5FD9">
          <w:rPr>
            <w:rStyle w:val="Hyperlink"/>
            <w:rFonts w:eastAsia="Times New Roman" w:cs="Arial"/>
            <w:lang w:val="en-IN" w:eastAsia="en-IN"/>
          </w:rPr>
          <w:t>https://www.who.int/news-room/fact-sheets/detail/obesity-and-overweight</w:t>
        </w:r>
      </w:hyperlink>
      <w:r w:rsidRPr="000A5FD9">
        <w:rPr>
          <w:rFonts w:cs="Arial"/>
          <w:lang w:val="en-IN" w:eastAsia="en-IN"/>
        </w:rPr>
        <w:t xml:space="preserve"> [Accessed 28 Apr. 2026].</w:t>
      </w:r>
    </w:p>
    <w:p w14:paraId="644AFA16" w14:textId="77777777" w:rsidR="001566FA" w:rsidRDefault="001566FA" w:rsidP="005A0675">
      <w:pPr>
        <w:rPr>
          <w:shd w:val="clear" w:color="auto" w:fill="FFFFFF"/>
        </w:rPr>
      </w:pPr>
      <w:proofErr w:type="spellStart"/>
      <w:r>
        <w:rPr>
          <w:shd w:val="clear" w:color="auto" w:fill="FFFFFF"/>
        </w:rPr>
        <w:t>Ziso</w:t>
      </w:r>
      <w:proofErr w:type="spellEnd"/>
      <w:r>
        <w:rPr>
          <w:shd w:val="clear" w:color="auto" w:fill="FFFFFF"/>
        </w:rPr>
        <w:t>, D., Chu</w:t>
      </w:r>
      <w:r>
        <w:rPr>
          <w:shd w:val="clear" w:color="auto" w:fill="FFFFFF"/>
        </w:rPr>
        <w:t>n, O.K. and Puglisi, M.J. (2022)</w:t>
      </w:r>
      <w:r>
        <w:rPr>
          <w:shd w:val="clear" w:color="auto" w:fill="FFFFFF"/>
        </w:rPr>
        <w:t xml:space="preserve"> Increasing access to healthy foods through improving food environment: a review of mixed methods intervention studies with residents of low-income communities. </w:t>
      </w:r>
      <w:r>
        <w:rPr>
          <w:i/>
          <w:iCs/>
          <w:shd w:val="clear" w:color="auto" w:fill="FFFFFF"/>
        </w:rPr>
        <w:t>Nutrients</w:t>
      </w:r>
      <w:r>
        <w:rPr>
          <w:shd w:val="clear" w:color="auto" w:fill="FFFFFF"/>
        </w:rPr>
        <w:t>, </w:t>
      </w:r>
      <w:r>
        <w:rPr>
          <w:i/>
          <w:iCs/>
          <w:shd w:val="clear" w:color="auto" w:fill="FFFFFF"/>
        </w:rPr>
        <w:t>14</w:t>
      </w:r>
      <w:r>
        <w:rPr>
          <w:shd w:val="clear" w:color="auto" w:fill="FFFFFF"/>
        </w:rPr>
        <w:t>(11), p.2278.</w:t>
      </w:r>
    </w:p>
    <w:sectPr w:rsidR="001566FA" w:rsidSect="007D0C5A">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0C8B7F" w14:textId="77777777" w:rsidR="007D302E" w:rsidRDefault="007D302E" w:rsidP="007D0C5A">
      <w:pPr>
        <w:spacing w:after="0" w:line="240" w:lineRule="auto"/>
      </w:pPr>
      <w:r>
        <w:separator/>
      </w:r>
    </w:p>
  </w:endnote>
  <w:endnote w:type="continuationSeparator" w:id="0">
    <w:p w14:paraId="50602B98" w14:textId="77777777" w:rsidR="007D302E" w:rsidRDefault="007D302E" w:rsidP="007D0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35496352"/>
      <w:docPartObj>
        <w:docPartGallery w:val="Page Numbers (Bottom of Page)"/>
        <w:docPartUnique/>
      </w:docPartObj>
    </w:sdtPr>
    <w:sdtEndPr>
      <w:rPr>
        <w:noProof/>
      </w:rPr>
    </w:sdtEndPr>
    <w:sdtContent>
      <w:p w14:paraId="17DC48F4" w14:textId="6308B71A" w:rsidR="00FF008C" w:rsidRDefault="00FF008C">
        <w:pPr>
          <w:pStyle w:val="Footer"/>
          <w:jc w:val="right"/>
        </w:pPr>
        <w:r>
          <w:fldChar w:fldCharType="begin"/>
        </w:r>
        <w:r>
          <w:instrText xml:space="preserve"> PAGE   \* MERGEFORMAT </w:instrText>
        </w:r>
        <w:r>
          <w:fldChar w:fldCharType="separate"/>
        </w:r>
        <w:r w:rsidR="009C3033">
          <w:rPr>
            <w:noProof/>
          </w:rPr>
          <w:t>12</w:t>
        </w:r>
        <w:r>
          <w:rPr>
            <w:noProof/>
          </w:rPr>
          <w:fldChar w:fldCharType="end"/>
        </w:r>
      </w:p>
    </w:sdtContent>
  </w:sdt>
  <w:p w14:paraId="0512EAB9" w14:textId="77777777" w:rsidR="00FF008C" w:rsidRDefault="00FF00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522C9E" w14:textId="77777777" w:rsidR="007D302E" w:rsidRDefault="007D302E" w:rsidP="007D0C5A">
      <w:pPr>
        <w:spacing w:after="0" w:line="240" w:lineRule="auto"/>
      </w:pPr>
      <w:r>
        <w:separator/>
      </w:r>
    </w:p>
  </w:footnote>
  <w:footnote w:type="continuationSeparator" w:id="0">
    <w:p w14:paraId="414950A8" w14:textId="77777777" w:rsidR="007D302E" w:rsidRDefault="007D302E" w:rsidP="007D0C5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1515D4"/>
    <w:multiLevelType w:val="hybridMultilevel"/>
    <w:tmpl w:val="4E2C4D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EC5C1B"/>
    <w:multiLevelType w:val="hybridMultilevel"/>
    <w:tmpl w:val="708C32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386684"/>
    <w:multiLevelType w:val="hybridMultilevel"/>
    <w:tmpl w:val="5EE632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F4477EA"/>
    <w:multiLevelType w:val="hybridMultilevel"/>
    <w:tmpl w:val="3E9E9AF0"/>
    <w:lvl w:ilvl="0" w:tplc="5292FCD2">
      <w:numFmt w:val="bullet"/>
      <w:lvlText w:val=""/>
      <w:lvlJc w:val="left"/>
      <w:pPr>
        <w:ind w:left="726" w:hanging="360"/>
      </w:pPr>
      <w:rPr>
        <w:rFonts w:ascii="Wingdings" w:eastAsia="Wingdings" w:hAnsi="Wingdings" w:cs="Wingdings" w:hint="default"/>
        <w:b w:val="0"/>
        <w:bCs w:val="0"/>
        <w:i w:val="0"/>
        <w:iCs w:val="0"/>
        <w:spacing w:val="0"/>
        <w:w w:val="100"/>
        <w:sz w:val="22"/>
        <w:szCs w:val="22"/>
        <w:lang w:val="en-US" w:eastAsia="en-US" w:bidi="ar-SA"/>
      </w:rPr>
    </w:lvl>
    <w:lvl w:ilvl="1" w:tplc="950EC640">
      <w:numFmt w:val="bullet"/>
      <w:lvlText w:val="o"/>
      <w:lvlJc w:val="left"/>
      <w:pPr>
        <w:ind w:left="1446" w:hanging="360"/>
      </w:pPr>
      <w:rPr>
        <w:rFonts w:ascii="Courier New" w:eastAsia="Courier New" w:hAnsi="Courier New" w:cs="Courier New" w:hint="default"/>
        <w:b w:val="0"/>
        <w:bCs w:val="0"/>
        <w:i w:val="0"/>
        <w:iCs w:val="0"/>
        <w:spacing w:val="0"/>
        <w:w w:val="100"/>
        <w:sz w:val="22"/>
        <w:szCs w:val="22"/>
        <w:lang w:val="en-US" w:eastAsia="en-US" w:bidi="ar-SA"/>
      </w:rPr>
    </w:lvl>
    <w:lvl w:ilvl="2" w:tplc="FE905FEC">
      <w:numFmt w:val="bullet"/>
      <w:lvlText w:val="•"/>
      <w:lvlJc w:val="left"/>
      <w:pPr>
        <w:ind w:left="2278" w:hanging="360"/>
      </w:pPr>
      <w:rPr>
        <w:rFonts w:hint="default"/>
        <w:lang w:val="en-US" w:eastAsia="en-US" w:bidi="ar-SA"/>
      </w:rPr>
    </w:lvl>
    <w:lvl w:ilvl="3" w:tplc="73C60E26">
      <w:numFmt w:val="bullet"/>
      <w:lvlText w:val="•"/>
      <w:lvlJc w:val="left"/>
      <w:pPr>
        <w:ind w:left="3117" w:hanging="360"/>
      </w:pPr>
      <w:rPr>
        <w:rFonts w:hint="default"/>
        <w:lang w:val="en-US" w:eastAsia="en-US" w:bidi="ar-SA"/>
      </w:rPr>
    </w:lvl>
    <w:lvl w:ilvl="4" w:tplc="2F9CC1BC">
      <w:numFmt w:val="bullet"/>
      <w:lvlText w:val="•"/>
      <w:lvlJc w:val="left"/>
      <w:pPr>
        <w:ind w:left="3955" w:hanging="360"/>
      </w:pPr>
      <w:rPr>
        <w:rFonts w:hint="default"/>
        <w:lang w:val="en-US" w:eastAsia="en-US" w:bidi="ar-SA"/>
      </w:rPr>
    </w:lvl>
    <w:lvl w:ilvl="5" w:tplc="BC2086CE">
      <w:numFmt w:val="bullet"/>
      <w:lvlText w:val="•"/>
      <w:lvlJc w:val="left"/>
      <w:pPr>
        <w:ind w:left="4794" w:hanging="360"/>
      </w:pPr>
      <w:rPr>
        <w:rFonts w:hint="default"/>
        <w:lang w:val="en-US" w:eastAsia="en-US" w:bidi="ar-SA"/>
      </w:rPr>
    </w:lvl>
    <w:lvl w:ilvl="6" w:tplc="2FA8BCBC">
      <w:numFmt w:val="bullet"/>
      <w:lvlText w:val="•"/>
      <w:lvlJc w:val="left"/>
      <w:pPr>
        <w:ind w:left="5632" w:hanging="360"/>
      </w:pPr>
      <w:rPr>
        <w:rFonts w:hint="default"/>
        <w:lang w:val="en-US" w:eastAsia="en-US" w:bidi="ar-SA"/>
      </w:rPr>
    </w:lvl>
    <w:lvl w:ilvl="7" w:tplc="00C60D62">
      <w:numFmt w:val="bullet"/>
      <w:lvlText w:val="•"/>
      <w:lvlJc w:val="left"/>
      <w:pPr>
        <w:ind w:left="6471" w:hanging="360"/>
      </w:pPr>
      <w:rPr>
        <w:rFonts w:hint="default"/>
        <w:lang w:val="en-US" w:eastAsia="en-US" w:bidi="ar-SA"/>
      </w:rPr>
    </w:lvl>
    <w:lvl w:ilvl="8" w:tplc="C484ABF6">
      <w:numFmt w:val="bullet"/>
      <w:lvlText w:val="•"/>
      <w:lvlJc w:val="left"/>
      <w:pPr>
        <w:ind w:left="7309" w:hanging="360"/>
      </w:pPr>
      <w:rPr>
        <w:rFonts w:hint="default"/>
        <w:lang w:val="en-US" w:eastAsia="en-US" w:bidi="ar-SA"/>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DIyMjMwsgACU1NjAyUdpeDU4uLM/DyQAvNaABasT/QsAAAA"/>
  </w:docVars>
  <w:rsids>
    <w:rsidRoot w:val="008F76F8"/>
    <w:rsid w:val="000066B7"/>
    <w:rsid w:val="0001380C"/>
    <w:rsid w:val="00016660"/>
    <w:rsid w:val="0003666E"/>
    <w:rsid w:val="0004096B"/>
    <w:rsid w:val="000453AE"/>
    <w:rsid w:val="00055421"/>
    <w:rsid w:val="00065089"/>
    <w:rsid w:val="00095783"/>
    <w:rsid w:val="000A5FD9"/>
    <w:rsid w:val="000B0DDA"/>
    <w:rsid w:val="000B6AA8"/>
    <w:rsid w:val="000C0A77"/>
    <w:rsid w:val="000D0ED5"/>
    <w:rsid w:val="000F143B"/>
    <w:rsid w:val="000F4B51"/>
    <w:rsid w:val="0012618D"/>
    <w:rsid w:val="00126BEE"/>
    <w:rsid w:val="00141E71"/>
    <w:rsid w:val="001566FA"/>
    <w:rsid w:val="00156BB2"/>
    <w:rsid w:val="001744F8"/>
    <w:rsid w:val="00175779"/>
    <w:rsid w:val="0018284A"/>
    <w:rsid w:val="00196552"/>
    <w:rsid w:val="001A158B"/>
    <w:rsid w:val="001D7B70"/>
    <w:rsid w:val="001E413D"/>
    <w:rsid w:val="001E4AFA"/>
    <w:rsid w:val="001F35ED"/>
    <w:rsid w:val="00224136"/>
    <w:rsid w:val="0024013D"/>
    <w:rsid w:val="00244B3A"/>
    <w:rsid w:val="0025020A"/>
    <w:rsid w:val="00256816"/>
    <w:rsid w:val="00263FE6"/>
    <w:rsid w:val="002739B9"/>
    <w:rsid w:val="00275707"/>
    <w:rsid w:val="00282B50"/>
    <w:rsid w:val="002A5498"/>
    <w:rsid w:val="002B2C8C"/>
    <w:rsid w:val="002B5790"/>
    <w:rsid w:val="002B79FC"/>
    <w:rsid w:val="002C2271"/>
    <w:rsid w:val="002C24A4"/>
    <w:rsid w:val="002C2706"/>
    <w:rsid w:val="002C58E9"/>
    <w:rsid w:val="002D5085"/>
    <w:rsid w:val="002F123B"/>
    <w:rsid w:val="002F6181"/>
    <w:rsid w:val="00304E49"/>
    <w:rsid w:val="003051BD"/>
    <w:rsid w:val="00312F3D"/>
    <w:rsid w:val="00334DC8"/>
    <w:rsid w:val="00373B48"/>
    <w:rsid w:val="00394169"/>
    <w:rsid w:val="00395C67"/>
    <w:rsid w:val="003971FF"/>
    <w:rsid w:val="003B6CD9"/>
    <w:rsid w:val="003D60E1"/>
    <w:rsid w:val="003E0EF6"/>
    <w:rsid w:val="003E54CE"/>
    <w:rsid w:val="003F54AD"/>
    <w:rsid w:val="003F7AC6"/>
    <w:rsid w:val="00422644"/>
    <w:rsid w:val="00452795"/>
    <w:rsid w:val="00461C2E"/>
    <w:rsid w:val="00463F0D"/>
    <w:rsid w:val="004676E3"/>
    <w:rsid w:val="0047336A"/>
    <w:rsid w:val="00480922"/>
    <w:rsid w:val="004F4859"/>
    <w:rsid w:val="00500A1E"/>
    <w:rsid w:val="00501002"/>
    <w:rsid w:val="005030E5"/>
    <w:rsid w:val="005078BC"/>
    <w:rsid w:val="005163E8"/>
    <w:rsid w:val="005335E7"/>
    <w:rsid w:val="00544141"/>
    <w:rsid w:val="005457B3"/>
    <w:rsid w:val="0054757B"/>
    <w:rsid w:val="00570B44"/>
    <w:rsid w:val="00580EC6"/>
    <w:rsid w:val="0059725D"/>
    <w:rsid w:val="005A0675"/>
    <w:rsid w:val="005A0E4F"/>
    <w:rsid w:val="005B5213"/>
    <w:rsid w:val="005D5ECC"/>
    <w:rsid w:val="005E1B23"/>
    <w:rsid w:val="005F6BD3"/>
    <w:rsid w:val="0061184F"/>
    <w:rsid w:val="00617373"/>
    <w:rsid w:val="006214C1"/>
    <w:rsid w:val="006401F7"/>
    <w:rsid w:val="00645C59"/>
    <w:rsid w:val="00672643"/>
    <w:rsid w:val="0068011F"/>
    <w:rsid w:val="00681142"/>
    <w:rsid w:val="00683E89"/>
    <w:rsid w:val="00692258"/>
    <w:rsid w:val="0069606C"/>
    <w:rsid w:val="006A36BD"/>
    <w:rsid w:val="006B4077"/>
    <w:rsid w:val="006B56E1"/>
    <w:rsid w:val="006C07F1"/>
    <w:rsid w:val="006E3BAD"/>
    <w:rsid w:val="006E3C18"/>
    <w:rsid w:val="006E6C34"/>
    <w:rsid w:val="00700335"/>
    <w:rsid w:val="00757CBF"/>
    <w:rsid w:val="007848E7"/>
    <w:rsid w:val="00792D98"/>
    <w:rsid w:val="007B26C1"/>
    <w:rsid w:val="007B3652"/>
    <w:rsid w:val="007B4C44"/>
    <w:rsid w:val="007B6AFD"/>
    <w:rsid w:val="007B7776"/>
    <w:rsid w:val="007C15B5"/>
    <w:rsid w:val="007D0C5A"/>
    <w:rsid w:val="007D302E"/>
    <w:rsid w:val="007F2063"/>
    <w:rsid w:val="007F46B9"/>
    <w:rsid w:val="007F4FF5"/>
    <w:rsid w:val="0080347F"/>
    <w:rsid w:val="00805733"/>
    <w:rsid w:val="0081759B"/>
    <w:rsid w:val="00824361"/>
    <w:rsid w:val="008305AE"/>
    <w:rsid w:val="0083764E"/>
    <w:rsid w:val="008401A9"/>
    <w:rsid w:val="008402FE"/>
    <w:rsid w:val="008C3033"/>
    <w:rsid w:val="008C36AB"/>
    <w:rsid w:val="008C4853"/>
    <w:rsid w:val="008F76F8"/>
    <w:rsid w:val="0090673E"/>
    <w:rsid w:val="00920DD9"/>
    <w:rsid w:val="00937CF7"/>
    <w:rsid w:val="009464F6"/>
    <w:rsid w:val="00954687"/>
    <w:rsid w:val="00982767"/>
    <w:rsid w:val="009913B2"/>
    <w:rsid w:val="00994517"/>
    <w:rsid w:val="00997F3A"/>
    <w:rsid w:val="009A336C"/>
    <w:rsid w:val="009A44EC"/>
    <w:rsid w:val="009A6D3F"/>
    <w:rsid w:val="009C3033"/>
    <w:rsid w:val="009D27A7"/>
    <w:rsid w:val="009D34DD"/>
    <w:rsid w:val="009E268B"/>
    <w:rsid w:val="009E6B9A"/>
    <w:rsid w:val="009E6E7B"/>
    <w:rsid w:val="00A07271"/>
    <w:rsid w:val="00A148DE"/>
    <w:rsid w:val="00A35358"/>
    <w:rsid w:val="00A4220E"/>
    <w:rsid w:val="00A43D5D"/>
    <w:rsid w:val="00A46594"/>
    <w:rsid w:val="00A51ED1"/>
    <w:rsid w:val="00A52BF6"/>
    <w:rsid w:val="00A57352"/>
    <w:rsid w:val="00A8425D"/>
    <w:rsid w:val="00AA1375"/>
    <w:rsid w:val="00AB1D77"/>
    <w:rsid w:val="00AB5AE7"/>
    <w:rsid w:val="00AD71EF"/>
    <w:rsid w:val="00AE32CC"/>
    <w:rsid w:val="00B044CA"/>
    <w:rsid w:val="00B04E37"/>
    <w:rsid w:val="00B31980"/>
    <w:rsid w:val="00B34DB1"/>
    <w:rsid w:val="00B36A9D"/>
    <w:rsid w:val="00B3740B"/>
    <w:rsid w:val="00B454D2"/>
    <w:rsid w:val="00B53EB9"/>
    <w:rsid w:val="00B55559"/>
    <w:rsid w:val="00B65459"/>
    <w:rsid w:val="00B6778B"/>
    <w:rsid w:val="00B875B1"/>
    <w:rsid w:val="00BA456E"/>
    <w:rsid w:val="00BB63D8"/>
    <w:rsid w:val="00BC7A64"/>
    <w:rsid w:val="00BE4D48"/>
    <w:rsid w:val="00BE67F0"/>
    <w:rsid w:val="00BF04FD"/>
    <w:rsid w:val="00BF46EA"/>
    <w:rsid w:val="00BF47A6"/>
    <w:rsid w:val="00C03E87"/>
    <w:rsid w:val="00C07272"/>
    <w:rsid w:val="00C2660A"/>
    <w:rsid w:val="00C35535"/>
    <w:rsid w:val="00C42891"/>
    <w:rsid w:val="00C45927"/>
    <w:rsid w:val="00C77AA6"/>
    <w:rsid w:val="00C80BB3"/>
    <w:rsid w:val="00C91402"/>
    <w:rsid w:val="00C92C05"/>
    <w:rsid w:val="00CB6388"/>
    <w:rsid w:val="00CC0829"/>
    <w:rsid w:val="00CC44A5"/>
    <w:rsid w:val="00CD6DAB"/>
    <w:rsid w:val="00CF125B"/>
    <w:rsid w:val="00D164A6"/>
    <w:rsid w:val="00D21620"/>
    <w:rsid w:val="00D225C1"/>
    <w:rsid w:val="00D30886"/>
    <w:rsid w:val="00D500C5"/>
    <w:rsid w:val="00D53FE4"/>
    <w:rsid w:val="00D551F6"/>
    <w:rsid w:val="00D57B6B"/>
    <w:rsid w:val="00D611A8"/>
    <w:rsid w:val="00D67B24"/>
    <w:rsid w:val="00D745E7"/>
    <w:rsid w:val="00D746A5"/>
    <w:rsid w:val="00D916C1"/>
    <w:rsid w:val="00D94B10"/>
    <w:rsid w:val="00DD58EC"/>
    <w:rsid w:val="00DE6170"/>
    <w:rsid w:val="00DF1E54"/>
    <w:rsid w:val="00E00449"/>
    <w:rsid w:val="00E01455"/>
    <w:rsid w:val="00E01C8D"/>
    <w:rsid w:val="00E079D5"/>
    <w:rsid w:val="00E13952"/>
    <w:rsid w:val="00E349EE"/>
    <w:rsid w:val="00E41041"/>
    <w:rsid w:val="00E53313"/>
    <w:rsid w:val="00E7293D"/>
    <w:rsid w:val="00EA3AD0"/>
    <w:rsid w:val="00EB5B69"/>
    <w:rsid w:val="00EC0526"/>
    <w:rsid w:val="00EC2CBE"/>
    <w:rsid w:val="00EC5133"/>
    <w:rsid w:val="00EE06CC"/>
    <w:rsid w:val="00F01D2E"/>
    <w:rsid w:val="00F026D1"/>
    <w:rsid w:val="00F10235"/>
    <w:rsid w:val="00F2614F"/>
    <w:rsid w:val="00F31D5E"/>
    <w:rsid w:val="00F32A32"/>
    <w:rsid w:val="00F32C6B"/>
    <w:rsid w:val="00F40F80"/>
    <w:rsid w:val="00F57E4D"/>
    <w:rsid w:val="00F75256"/>
    <w:rsid w:val="00F757D0"/>
    <w:rsid w:val="00F75FD7"/>
    <w:rsid w:val="00FA5405"/>
    <w:rsid w:val="00FB1F6C"/>
    <w:rsid w:val="00FB6216"/>
    <w:rsid w:val="00FB6616"/>
    <w:rsid w:val="00FB69FD"/>
    <w:rsid w:val="00FC5003"/>
    <w:rsid w:val="00FC637E"/>
    <w:rsid w:val="00FD37B8"/>
    <w:rsid w:val="00FE06B7"/>
    <w:rsid w:val="00FE24BB"/>
    <w:rsid w:val="00FF008C"/>
    <w:rsid w:val="00FF3971"/>
    <w:rsid w:val="00FF3E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BF087"/>
  <w15:chartTrackingRefBased/>
  <w15:docId w15:val="{3BE60834-F85C-46CE-BE37-E5BD92D4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725D"/>
    <w:pPr>
      <w:spacing w:line="360" w:lineRule="auto"/>
      <w:jc w:val="both"/>
    </w:pPr>
    <w:rPr>
      <w:rFonts w:ascii="Arial" w:hAnsi="Arial"/>
      <w:lang w:val="en-GB"/>
    </w:rPr>
  </w:style>
  <w:style w:type="paragraph" w:styleId="Heading1">
    <w:name w:val="heading 1"/>
    <w:basedOn w:val="Normal"/>
    <w:next w:val="Normal"/>
    <w:link w:val="Heading1Char"/>
    <w:uiPriority w:val="9"/>
    <w:qFormat/>
    <w:rsid w:val="00F32A32"/>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32A32"/>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224136"/>
    <w:pPr>
      <w:keepNext/>
      <w:keepLines/>
      <w:spacing w:before="40" w:after="0"/>
      <w:outlineLvl w:val="2"/>
    </w:pPr>
    <w:rPr>
      <w:rFonts w:eastAsiaTheme="majorEastAsia" w:cstheme="majorBidi"/>
      <w:b/>
      <w:i/>
      <w:color w:val="000000" w:themeColor="text1"/>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A32"/>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F32A32"/>
    <w:rPr>
      <w:rFonts w:ascii="Times New Roman" w:eastAsiaTheme="majorEastAsia" w:hAnsi="Times New Roman" w:cstheme="majorBidi"/>
      <w:b/>
      <w:i/>
      <w:sz w:val="24"/>
      <w:szCs w:val="26"/>
      <w:lang w:val="en-GB"/>
    </w:rPr>
  </w:style>
  <w:style w:type="paragraph" w:customStyle="1" w:styleId="TableParagraph">
    <w:name w:val="Table Paragraph"/>
    <w:basedOn w:val="Normal"/>
    <w:uiPriority w:val="1"/>
    <w:qFormat/>
    <w:rsid w:val="0083764E"/>
    <w:pPr>
      <w:widowControl w:val="0"/>
      <w:autoSpaceDE w:val="0"/>
      <w:autoSpaceDN w:val="0"/>
      <w:spacing w:after="0" w:line="240" w:lineRule="auto"/>
      <w:ind w:left="6"/>
      <w:jc w:val="left"/>
    </w:pPr>
    <w:rPr>
      <w:rFonts w:ascii="Calibri" w:eastAsia="Calibri" w:hAnsi="Calibri" w:cs="Calibri"/>
      <w:lang w:val="en-US"/>
    </w:rPr>
  </w:style>
  <w:style w:type="paragraph" w:styleId="TOCHeading">
    <w:name w:val="TOC Heading"/>
    <w:basedOn w:val="Heading1"/>
    <w:next w:val="Normal"/>
    <w:uiPriority w:val="39"/>
    <w:unhideWhenUsed/>
    <w:qFormat/>
    <w:rsid w:val="0083764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3764E"/>
    <w:pPr>
      <w:spacing w:after="100"/>
    </w:pPr>
  </w:style>
  <w:style w:type="character" w:styleId="Hyperlink">
    <w:name w:val="Hyperlink"/>
    <w:basedOn w:val="DefaultParagraphFont"/>
    <w:uiPriority w:val="99"/>
    <w:unhideWhenUsed/>
    <w:rsid w:val="0083764E"/>
    <w:rPr>
      <w:color w:val="0563C1" w:themeColor="hyperlink"/>
      <w:u w:val="single"/>
    </w:rPr>
  </w:style>
  <w:style w:type="character" w:customStyle="1" w:styleId="UnresolvedMention">
    <w:name w:val="Unresolved Mention"/>
    <w:basedOn w:val="DefaultParagraphFont"/>
    <w:uiPriority w:val="99"/>
    <w:semiHidden/>
    <w:unhideWhenUsed/>
    <w:rsid w:val="007B4C44"/>
    <w:rPr>
      <w:color w:val="605E5C"/>
      <w:shd w:val="clear" w:color="auto" w:fill="E1DFDD"/>
    </w:rPr>
  </w:style>
  <w:style w:type="paragraph" w:styleId="ListParagraph">
    <w:name w:val="List Paragraph"/>
    <w:basedOn w:val="Normal"/>
    <w:uiPriority w:val="34"/>
    <w:qFormat/>
    <w:rsid w:val="00FD37B8"/>
    <w:pPr>
      <w:ind w:left="720"/>
      <w:contextualSpacing/>
    </w:pPr>
  </w:style>
  <w:style w:type="character" w:customStyle="1" w:styleId="Heading3Char">
    <w:name w:val="Heading 3 Char"/>
    <w:basedOn w:val="DefaultParagraphFont"/>
    <w:link w:val="Heading3"/>
    <w:uiPriority w:val="9"/>
    <w:rsid w:val="00224136"/>
    <w:rPr>
      <w:rFonts w:ascii="Arial" w:eastAsiaTheme="majorEastAsia" w:hAnsi="Arial" w:cstheme="majorBidi"/>
      <w:b/>
      <w:i/>
      <w:color w:val="000000" w:themeColor="text1"/>
      <w:szCs w:val="24"/>
      <w:u w:val="single"/>
      <w:lang w:val="en-GB"/>
    </w:rPr>
  </w:style>
  <w:style w:type="paragraph" w:styleId="TOC2">
    <w:name w:val="toc 2"/>
    <w:basedOn w:val="Normal"/>
    <w:next w:val="Normal"/>
    <w:autoRedefine/>
    <w:uiPriority w:val="39"/>
    <w:unhideWhenUsed/>
    <w:rsid w:val="00D551F6"/>
    <w:pPr>
      <w:spacing w:after="100"/>
      <w:ind w:left="240"/>
    </w:pPr>
  </w:style>
  <w:style w:type="paragraph" w:styleId="Caption">
    <w:name w:val="caption"/>
    <w:basedOn w:val="Normal"/>
    <w:next w:val="Normal"/>
    <w:uiPriority w:val="35"/>
    <w:unhideWhenUsed/>
    <w:qFormat/>
    <w:rsid w:val="00175779"/>
    <w:pPr>
      <w:spacing w:after="200" w:line="240" w:lineRule="auto"/>
    </w:pPr>
    <w:rPr>
      <w:b/>
      <w:iCs/>
      <w:color w:val="000000" w:themeColor="text1"/>
      <w:szCs w:val="18"/>
    </w:rPr>
  </w:style>
  <w:style w:type="paragraph" w:styleId="Header">
    <w:name w:val="header"/>
    <w:basedOn w:val="Normal"/>
    <w:link w:val="HeaderChar"/>
    <w:uiPriority w:val="99"/>
    <w:unhideWhenUsed/>
    <w:rsid w:val="007D0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C5A"/>
    <w:rPr>
      <w:rFonts w:ascii="Arial" w:hAnsi="Arial"/>
      <w:lang w:val="en-GB"/>
    </w:rPr>
  </w:style>
  <w:style w:type="paragraph" w:styleId="Footer">
    <w:name w:val="footer"/>
    <w:basedOn w:val="Normal"/>
    <w:link w:val="FooterChar"/>
    <w:uiPriority w:val="99"/>
    <w:unhideWhenUsed/>
    <w:rsid w:val="007D0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C5A"/>
    <w:rPr>
      <w:rFonts w:ascii="Arial" w:hAnsi="Arial"/>
      <w:lang w:val="en-GB"/>
    </w:rPr>
  </w:style>
  <w:style w:type="paragraph" w:styleId="NormalWeb">
    <w:name w:val="Normal (Web)"/>
    <w:basedOn w:val="Normal"/>
    <w:uiPriority w:val="99"/>
    <w:semiHidden/>
    <w:unhideWhenUsed/>
    <w:rsid w:val="00EC2CBE"/>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paragraph" w:styleId="TOC3">
    <w:name w:val="toc 3"/>
    <w:basedOn w:val="Normal"/>
    <w:next w:val="Normal"/>
    <w:autoRedefine/>
    <w:uiPriority w:val="39"/>
    <w:unhideWhenUsed/>
    <w:rsid w:val="00B875B1"/>
    <w:pPr>
      <w:spacing w:after="100"/>
      <w:ind w:left="440"/>
    </w:pPr>
  </w:style>
  <w:style w:type="table" w:styleId="TableGrid">
    <w:name w:val="Table Grid"/>
    <w:basedOn w:val="TableNormal"/>
    <w:uiPriority w:val="39"/>
    <w:rsid w:val="005A0E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983634">
      <w:bodyDiv w:val="1"/>
      <w:marLeft w:val="0"/>
      <w:marRight w:val="0"/>
      <w:marTop w:val="0"/>
      <w:marBottom w:val="0"/>
      <w:divBdr>
        <w:top w:val="none" w:sz="0" w:space="0" w:color="auto"/>
        <w:left w:val="none" w:sz="0" w:space="0" w:color="auto"/>
        <w:bottom w:val="none" w:sz="0" w:space="0" w:color="auto"/>
        <w:right w:val="none" w:sz="0" w:space="0" w:color="auto"/>
      </w:divBdr>
    </w:div>
    <w:div w:id="494225833">
      <w:bodyDiv w:val="1"/>
      <w:marLeft w:val="0"/>
      <w:marRight w:val="0"/>
      <w:marTop w:val="0"/>
      <w:marBottom w:val="0"/>
      <w:divBdr>
        <w:top w:val="none" w:sz="0" w:space="0" w:color="auto"/>
        <w:left w:val="none" w:sz="0" w:space="0" w:color="auto"/>
        <w:bottom w:val="none" w:sz="0" w:space="0" w:color="auto"/>
        <w:right w:val="none" w:sz="0" w:space="0" w:color="auto"/>
      </w:divBdr>
      <w:divsChild>
        <w:div w:id="137108963">
          <w:marLeft w:val="0"/>
          <w:marRight w:val="0"/>
          <w:marTop w:val="0"/>
          <w:marBottom w:val="240"/>
          <w:divBdr>
            <w:top w:val="none" w:sz="0" w:space="0" w:color="auto"/>
            <w:left w:val="none" w:sz="0" w:space="0" w:color="auto"/>
            <w:bottom w:val="none" w:sz="0" w:space="0" w:color="auto"/>
            <w:right w:val="none" w:sz="0" w:space="0" w:color="auto"/>
          </w:divBdr>
        </w:div>
      </w:divsChild>
    </w:div>
    <w:div w:id="1222329076">
      <w:bodyDiv w:val="1"/>
      <w:marLeft w:val="0"/>
      <w:marRight w:val="0"/>
      <w:marTop w:val="0"/>
      <w:marBottom w:val="0"/>
      <w:divBdr>
        <w:top w:val="none" w:sz="0" w:space="0" w:color="auto"/>
        <w:left w:val="none" w:sz="0" w:space="0" w:color="auto"/>
        <w:bottom w:val="none" w:sz="0" w:space="0" w:color="auto"/>
        <w:right w:val="none" w:sz="0" w:space="0" w:color="auto"/>
      </w:divBdr>
      <w:divsChild>
        <w:div w:id="721446284">
          <w:marLeft w:val="0"/>
          <w:marRight w:val="0"/>
          <w:marTop w:val="0"/>
          <w:marBottom w:val="240"/>
          <w:divBdr>
            <w:top w:val="none" w:sz="0" w:space="0" w:color="auto"/>
            <w:left w:val="none" w:sz="0" w:space="0" w:color="auto"/>
            <w:bottom w:val="none" w:sz="0" w:space="0" w:color="auto"/>
            <w:right w:val="none" w:sz="0" w:space="0" w:color="auto"/>
          </w:divBdr>
        </w:div>
      </w:divsChild>
    </w:div>
    <w:div w:id="1274820508">
      <w:bodyDiv w:val="1"/>
      <w:marLeft w:val="0"/>
      <w:marRight w:val="0"/>
      <w:marTop w:val="0"/>
      <w:marBottom w:val="0"/>
      <w:divBdr>
        <w:top w:val="none" w:sz="0" w:space="0" w:color="auto"/>
        <w:left w:val="none" w:sz="0" w:space="0" w:color="auto"/>
        <w:bottom w:val="none" w:sz="0" w:space="0" w:color="auto"/>
        <w:right w:val="none" w:sz="0" w:space="0" w:color="auto"/>
      </w:divBdr>
      <w:divsChild>
        <w:div w:id="343283602">
          <w:marLeft w:val="0"/>
          <w:marRight w:val="0"/>
          <w:marTop w:val="0"/>
          <w:marBottom w:val="240"/>
          <w:divBdr>
            <w:top w:val="none" w:sz="0" w:space="0" w:color="auto"/>
            <w:left w:val="none" w:sz="0" w:space="0" w:color="auto"/>
            <w:bottom w:val="none" w:sz="0" w:space="0" w:color="auto"/>
            <w:right w:val="none" w:sz="0" w:space="0" w:color="auto"/>
          </w:divBdr>
        </w:div>
      </w:divsChild>
    </w:div>
    <w:div w:id="1320306397">
      <w:bodyDiv w:val="1"/>
      <w:marLeft w:val="0"/>
      <w:marRight w:val="0"/>
      <w:marTop w:val="0"/>
      <w:marBottom w:val="0"/>
      <w:divBdr>
        <w:top w:val="none" w:sz="0" w:space="0" w:color="auto"/>
        <w:left w:val="none" w:sz="0" w:space="0" w:color="auto"/>
        <w:bottom w:val="none" w:sz="0" w:space="0" w:color="auto"/>
        <w:right w:val="none" w:sz="0" w:space="0" w:color="auto"/>
      </w:divBdr>
      <w:divsChild>
        <w:div w:id="1595474199">
          <w:marLeft w:val="0"/>
          <w:marRight w:val="0"/>
          <w:marTop w:val="0"/>
          <w:marBottom w:val="240"/>
          <w:divBdr>
            <w:top w:val="none" w:sz="0" w:space="0" w:color="auto"/>
            <w:left w:val="none" w:sz="0" w:space="0" w:color="auto"/>
            <w:bottom w:val="none" w:sz="0" w:space="0" w:color="auto"/>
            <w:right w:val="none" w:sz="0" w:space="0" w:color="auto"/>
          </w:divBdr>
        </w:div>
      </w:divsChild>
    </w:div>
    <w:div w:id="1775789038">
      <w:bodyDiv w:val="1"/>
      <w:marLeft w:val="0"/>
      <w:marRight w:val="0"/>
      <w:marTop w:val="0"/>
      <w:marBottom w:val="0"/>
      <w:divBdr>
        <w:top w:val="none" w:sz="0" w:space="0" w:color="auto"/>
        <w:left w:val="none" w:sz="0" w:space="0" w:color="auto"/>
        <w:bottom w:val="none" w:sz="0" w:space="0" w:color="auto"/>
        <w:right w:val="none" w:sz="0" w:space="0" w:color="auto"/>
      </w:divBdr>
      <w:divsChild>
        <w:div w:id="1359039803">
          <w:marLeft w:val="0"/>
          <w:marRight w:val="0"/>
          <w:marTop w:val="0"/>
          <w:marBottom w:val="240"/>
          <w:divBdr>
            <w:top w:val="none" w:sz="0" w:space="0" w:color="auto"/>
            <w:left w:val="none" w:sz="0" w:space="0" w:color="auto"/>
            <w:bottom w:val="none" w:sz="0" w:space="0" w:color="auto"/>
            <w:right w:val="none" w:sz="0" w:space="0" w:color="auto"/>
          </w:divBdr>
        </w:div>
      </w:divsChild>
    </w:div>
    <w:div w:id="1799445373">
      <w:bodyDiv w:val="1"/>
      <w:marLeft w:val="0"/>
      <w:marRight w:val="0"/>
      <w:marTop w:val="0"/>
      <w:marBottom w:val="0"/>
      <w:divBdr>
        <w:top w:val="none" w:sz="0" w:space="0" w:color="auto"/>
        <w:left w:val="none" w:sz="0" w:space="0" w:color="auto"/>
        <w:bottom w:val="none" w:sz="0" w:space="0" w:color="auto"/>
        <w:right w:val="none" w:sz="0" w:space="0" w:color="auto"/>
      </w:divBdr>
      <w:divsChild>
        <w:div w:id="729688540">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gital.nhs.uk/data-and-information/publications/statistical/health-survey-for-england/2024/adults-overweight-and-obes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mental-health/adul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 TargetMode="External"/><Relationship Id="rId5" Type="http://schemas.openxmlformats.org/officeDocument/2006/relationships/webSettings" Target="webSettings.xml"/><Relationship Id="rId15" Type="http://schemas.openxmlformats.org/officeDocument/2006/relationships/hyperlink" Target="https://www.who.int/news-room/fact-sheets/detail/obesity-and-overweight" TargetMode="External"/><Relationship Id="rId10" Type="http://schemas.openxmlformats.org/officeDocument/2006/relationships/hyperlink" Target="https://www.gov.uk/government/publications/womens-health-strategy-for-england/womens-health-strategy-for-engla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peoplepopulationandcommunity/birthsdeathsandmarriages/deaths/bulletins/suicidesintheunitedkingdom/2024regist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165E3DA-8895-449E-A8D0-96D465991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14</Pages>
  <Words>4299</Words>
  <Characters>24506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2025-09-13T05:55:00Z</dcterms:created>
  <dcterms:modified xsi:type="dcterms:W3CDTF">2026-04-28T18:26:00Z</dcterms:modified>
</cp:coreProperties>
</file>