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88372" w14:textId="77777777" w:rsidR="00D80129" w:rsidRDefault="00D80129"/>
    <w:p w14:paraId="67002CD0" w14:textId="77777777" w:rsidR="00C3790B" w:rsidRPr="006B7E31" w:rsidRDefault="00C3790B" w:rsidP="00C3790B">
      <w:pPr>
        <w:pStyle w:val="Default"/>
        <w:rPr>
          <w:sz w:val="48"/>
          <w:szCs w:val="48"/>
        </w:rPr>
      </w:pPr>
      <w:proofErr w:type="spellStart"/>
      <w:r w:rsidRPr="006B7E31">
        <w:rPr>
          <w:b/>
          <w:bCs/>
          <w:sz w:val="48"/>
          <w:szCs w:val="48"/>
        </w:rPr>
        <w:t>BMIH6001</w:t>
      </w:r>
      <w:proofErr w:type="spellEnd"/>
      <w:r w:rsidRPr="006B7E31">
        <w:rPr>
          <w:b/>
          <w:bCs/>
          <w:sz w:val="48"/>
          <w:szCs w:val="48"/>
        </w:rPr>
        <w:t xml:space="preserve"> </w:t>
      </w:r>
    </w:p>
    <w:p w14:paraId="1051F647" w14:textId="77777777" w:rsidR="00C3790B" w:rsidRPr="006B7E31" w:rsidRDefault="00C3790B" w:rsidP="00C3790B">
      <w:pPr>
        <w:pStyle w:val="Default"/>
        <w:rPr>
          <w:sz w:val="48"/>
          <w:szCs w:val="48"/>
        </w:rPr>
      </w:pPr>
      <w:r w:rsidRPr="006B7E31">
        <w:rPr>
          <w:b/>
          <w:bCs/>
          <w:sz w:val="48"/>
          <w:szCs w:val="48"/>
        </w:rPr>
        <w:t xml:space="preserve">Contemporary Themes in the Hotel and Hospitality Sector </w:t>
      </w:r>
    </w:p>
    <w:p w14:paraId="17A6DCC4" w14:textId="77777777" w:rsidR="00C3790B" w:rsidRPr="006B7E31" w:rsidRDefault="00C3790B" w:rsidP="00C3790B">
      <w:pPr>
        <w:pStyle w:val="Default"/>
        <w:rPr>
          <w:sz w:val="48"/>
          <w:szCs w:val="48"/>
        </w:rPr>
      </w:pPr>
      <w:r w:rsidRPr="006B7E31">
        <w:rPr>
          <w:b/>
          <w:bCs/>
          <w:sz w:val="48"/>
          <w:szCs w:val="48"/>
        </w:rPr>
        <w:t xml:space="preserve">Assignment One </w:t>
      </w:r>
    </w:p>
    <w:p w14:paraId="527FD4D5" w14:textId="212DAC7E" w:rsidR="00C3790B" w:rsidRDefault="00C3790B" w:rsidP="00C3790B">
      <w:pPr>
        <w:rPr>
          <w:b/>
          <w:bCs/>
          <w:sz w:val="48"/>
          <w:szCs w:val="48"/>
        </w:rPr>
      </w:pPr>
      <w:r w:rsidRPr="006B7E31">
        <w:rPr>
          <w:b/>
          <w:bCs/>
          <w:sz w:val="48"/>
          <w:szCs w:val="48"/>
        </w:rPr>
        <w:t xml:space="preserve">Conference Research Paper </w:t>
      </w:r>
    </w:p>
    <w:p w14:paraId="41A83FFC" w14:textId="77777777" w:rsidR="00625721" w:rsidRPr="006B7E31" w:rsidRDefault="00625721" w:rsidP="00C3790B">
      <w:pPr>
        <w:rPr>
          <w:b/>
          <w:bCs/>
          <w:sz w:val="48"/>
          <w:szCs w:val="48"/>
        </w:rPr>
      </w:pPr>
    </w:p>
    <w:p w14:paraId="1A81C398" w14:textId="484358D9" w:rsidR="00C3790B" w:rsidRPr="00625721" w:rsidRDefault="00C3790B" w:rsidP="006B7E31">
      <w:pPr>
        <w:jc w:val="center"/>
        <w:rPr>
          <w:sz w:val="40"/>
          <w:szCs w:val="40"/>
          <w:u w:val="single"/>
        </w:rPr>
      </w:pPr>
      <w:r w:rsidRPr="00625721">
        <w:rPr>
          <w:sz w:val="40"/>
          <w:szCs w:val="40"/>
          <w:u w:val="single"/>
        </w:rPr>
        <w:t>SUPPORTING NEURODIVERSE EMPLOYEES: WORKPLACE INCLUSIVITY FOR STAFF WITH ADHD IN THE HOSPITALITY SECTOR</w:t>
      </w:r>
    </w:p>
    <w:p w14:paraId="7488F7B5" w14:textId="77777777" w:rsidR="00C3790B" w:rsidRDefault="00C3790B"/>
    <w:p w14:paraId="064F84E9" w14:textId="77777777" w:rsidR="00C3790B" w:rsidRDefault="00C3790B" w:rsidP="00C3790B">
      <w:r>
        <w:t>STUDENT NAME: FLOR YASMIN PEREZ PAULA</w:t>
      </w:r>
    </w:p>
    <w:p w14:paraId="52527133" w14:textId="33AA9A24" w:rsidR="00C3790B" w:rsidRDefault="00C3790B" w:rsidP="00C3790B">
      <w:r>
        <w:t>STUDENT ID: 2226712</w:t>
      </w:r>
    </w:p>
    <w:p w14:paraId="0C316C85" w14:textId="77777777" w:rsidR="00C3790B" w:rsidRDefault="00C3790B" w:rsidP="00C3790B"/>
    <w:p w14:paraId="6FFA177D" w14:textId="77777777" w:rsidR="00C3790B" w:rsidRDefault="00C3790B" w:rsidP="00C3790B"/>
    <w:p w14:paraId="5DFBCDE0" w14:textId="1989A5E3" w:rsidR="00C3790B" w:rsidRDefault="00C3790B" w:rsidP="00C3790B">
      <w:r w:rsidRPr="00C3790B">
        <w:t>Word count</w:t>
      </w:r>
      <w:r>
        <w:t xml:space="preserve">: </w:t>
      </w:r>
      <w:r w:rsidR="00A46522">
        <w:t>2,6</w:t>
      </w:r>
      <w:r w:rsidR="009D28EE">
        <w:t>4</w:t>
      </w:r>
      <w:r w:rsidR="007419F6">
        <w:t>4</w:t>
      </w:r>
    </w:p>
    <w:p w14:paraId="71AA36A6" w14:textId="56037B5B" w:rsidR="00C3790B" w:rsidRDefault="00C3790B" w:rsidP="00C3790B">
      <w:pPr>
        <w:rPr>
          <w:i/>
          <w:iCs/>
        </w:rPr>
      </w:pPr>
      <w:r w:rsidRPr="00C3790B">
        <w:t xml:space="preserve">Submission date: </w:t>
      </w:r>
      <w:r w:rsidRPr="006E055F">
        <w:t>30th October 2025</w:t>
      </w:r>
    </w:p>
    <w:p w14:paraId="59032D71" w14:textId="77777777" w:rsidR="00C3790B" w:rsidRDefault="00C3790B" w:rsidP="00C3790B">
      <w:r>
        <w:t>Lecturer: Natalie Brailsford</w:t>
      </w:r>
    </w:p>
    <w:p w14:paraId="69F3221D" w14:textId="77777777" w:rsidR="00C3790B" w:rsidRDefault="00C3790B" w:rsidP="00C3790B"/>
    <w:p w14:paraId="027C482F" w14:textId="77777777" w:rsidR="00C3790B" w:rsidRDefault="00C3790B" w:rsidP="00C3790B"/>
    <w:p w14:paraId="4ACBB194" w14:textId="77777777" w:rsidR="00C3790B" w:rsidRDefault="00C3790B" w:rsidP="00C3790B"/>
    <w:p w14:paraId="5711F27E" w14:textId="77777777" w:rsidR="00C3790B" w:rsidRDefault="00C3790B" w:rsidP="00C3790B"/>
    <w:p w14:paraId="590868DB" w14:textId="77777777" w:rsidR="00C3790B" w:rsidRDefault="00C3790B" w:rsidP="00C3790B"/>
    <w:p w14:paraId="7A81B32A" w14:textId="77777777" w:rsidR="00C3790B" w:rsidRDefault="00C3790B" w:rsidP="00C3790B"/>
    <w:p w14:paraId="4E10F5AA" w14:textId="77777777" w:rsidR="00C3790B" w:rsidRDefault="00C3790B" w:rsidP="00C3790B"/>
    <w:p w14:paraId="423D32A5" w14:textId="77777777" w:rsidR="00C3790B" w:rsidRDefault="00C3790B" w:rsidP="00C3790B"/>
    <w:p w14:paraId="084C0255" w14:textId="77777777" w:rsidR="00C3790B" w:rsidRDefault="00C3790B" w:rsidP="00C3790B"/>
    <w:p w14:paraId="5BB4D8FC" w14:textId="77777777" w:rsidR="00C3790B" w:rsidRDefault="00C3790B" w:rsidP="00C3790B"/>
    <w:p w14:paraId="2DE03604" w14:textId="77777777" w:rsidR="00C3790B" w:rsidRDefault="00C3790B" w:rsidP="00C3790B"/>
    <w:p w14:paraId="42321BBB" w14:textId="77777777" w:rsidR="00C3790B" w:rsidRDefault="00C3790B" w:rsidP="00C3790B"/>
    <w:p w14:paraId="28C51830" w14:textId="77777777" w:rsidR="00C3790B" w:rsidRDefault="00C3790B" w:rsidP="00C3790B"/>
    <w:p w14:paraId="53F5C074" w14:textId="77777777" w:rsidR="00C3790B" w:rsidRDefault="00C3790B" w:rsidP="00C3790B"/>
    <w:p w14:paraId="0C03A95D" w14:textId="01701EAE" w:rsidR="00C3790B" w:rsidRDefault="00C3790B" w:rsidP="00C3790B">
      <w:pPr>
        <w:pStyle w:val="Heading1"/>
      </w:pPr>
      <w:r>
        <w:t>Abstract</w:t>
      </w:r>
    </w:p>
    <w:p w14:paraId="03A643EA" w14:textId="77777777" w:rsidR="00C3790B" w:rsidRDefault="00C3790B" w:rsidP="00C3790B">
      <w:pPr>
        <w:spacing w:after="100" w:afterAutospacing="1"/>
      </w:pPr>
    </w:p>
    <w:p w14:paraId="5C172AAC" w14:textId="3A5B0642" w:rsidR="00C3790B" w:rsidRDefault="00686150" w:rsidP="00C3790B">
      <w:pPr>
        <w:spacing w:after="100" w:afterAutospacing="1"/>
      </w:pPr>
      <w:r w:rsidRPr="00686150">
        <w:t xml:space="preserve">This paper explores how hospitality organisations can foster inclusivity for employees with Attention Deficit Hyperactivity Disorder (ADHD), recognising neurodiversity as a key dimension of sustainable human resource management. Drawing on recent academic and industry sources, it adopts a qualitative, exploratory, secondary research approach to evaluate the challenges and opportunities surrounding ADHD inclusion. A PEST analysis identifies political support for equality, economic pressures from labour shortages, social shifts toward acceptance, and technological innovations that enable accessible workplaces. The findings highlight that inclusive leadership, adaptive HR practices, and universal design technologies are critical for embedding neurodiversity within hospitality operations. Examples from Whitbread’s </w:t>
      </w:r>
      <w:r w:rsidRPr="007B49E4">
        <w:t>Everyone Belongs and Marriott’s Pathways to Opportunity</w:t>
      </w:r>
      <w:r w:rsidRPr="00686150">
        <w:t xml:space="preserve"> demonstrate successful industry initiatives. The study concludes that supporting neurodiverse employees is both an ethical imperative and a strategic advantage, enhancing innovation, staff retention, and organisational resilience across the hospitality sector.</w:t>
      </w:r>
    </w:p>
    <w:p w14:paraId="6CA3FE2C" w14:textId="77777777" w:rsidR="00C3790B" w:rsidRDefault="00C3790B" w:rsidP="00C3790B">
      <w:pPr>
        <w:spacing w:after="100" w:afterAutospacing="1"/>
      </w:pPr>
    </w:p>
    <w:p w14:paraId="749ABB9D" w14:textId="77777777" w:rsidR="00C3790B" w:rsidRDefault="00C3790B" w:rsidP="00C3790B">
      <w:pPr>
        <w:spacing w:after="100" w:afterAutospacing="1"/>
      </w:pPr>
    </w:p>
    <w:p w14:paraId="30AC0299" w14:textId="77777777" w:rsidR="00C3790B" w:rsidRDefault="00C3790B" w:rsidP="00C3790B">
      <w:pPr>
        <w:spacing w:after="100" w:afterAutospacing="1"/>
      </w:pPr>
    </w:p>
    <w:p w14:paraId="76427F87" w14:textId="77777777" w:rsidR="00C3790B" w:rsidRDefault="00C3790B" w:rsidP="00C3790B">
      <w:pPr>
        <w:spacing w:after="100" w:afterAutospacing="1"/>
      </w:pPr>
    </w:p>
    <w:p w14:paraId="176AAE11" w14:textId="77777777" w:rsidR="00C3790B" w:rsidRDefault="00C3790B" w:rsidP="00C3790B">
      <w:pPr>
        <w:spacing w:after="100" w:afterAutospacing="1"/>
      </w:pPr>
    </w:p>
    <w:p w14:paraId="2E306C14" w14:textId="77777777" w:rsidR="00C3790B" w:rsidRDefault="00C3790B" w:rsidP="00C3790B">
      <w:pPr>
        <w:spacing w:after="100" w:afterAutospacing="1"/>
      </w:pPr>
    </w:p>
    <w:p w14:paraId="5E48A6D4" w14:textId="77777777" w:rsidR="00C3790B" w:rsidRDefault="00C3790B" w:rsidP="00C3790B">
      <w:pPr>
        <w:spacing w:after="100" w:afterAutospacing="1"/>
      </w:pPr>
    </w:p>
    <w:p w14:paraId="2054FDDE" w14:textId="77777777" w:rsidR="00C3790B" w:rsidRDefault="00C3790B" w:rsidP="00C3790B">
      <w:pPr>
        <w:spacing w:after="100" w:afterAutospacing="1"/>
      </w:pPr>
    </w:p>
    <w:p w14:paraId="33AAC831" w14:textId="77777777" w:rsidR="00C3790B" w:rsidRDefault="00C3790B" w:rsidP="00C3790B">
      <w:pPr>
        <w:spacing w:after="100" w:afterAutospacing="1"/>
      </w:pPr>
    </w:p>
    <w:p w14:paraId="4F3B3D5A" w14:textId="77777777" w:rsidR="00C3790B" w:rsidRDefault="00C3790B" w:rsidP="00C3790B">
      <w:pPr>
        <w:spacing w:after="100" w:afterAutospacing="1"/>
      </w:pPr>
    </w:p>
    <w:p w14:paraId="544416F0" w14:textId="77777777" w:rsidR="00C3790B" w:rsidRDefault="00C3790B" w:rsidP="00C3790B">
      <w:pPr>
        <w:spacing w:after="100" w:afterAutospacing="1"/>
      </w:pPr>
    </w:p>
    <w:p w14:paraId="2102B63C" w14:textId="77777777" w:rsidR="00C3790B" w:rsidRDefault="00C3790B" w:rsidP="00C3790B">
      <w:pPr>
        <w:spacing w:after="100" w:afterAutospacing="1"/>
      </w:pPr>
    </w:p>
    <w:p w14:paraId="336145BE" w14:textId="3A684D8E" w:rsidR="00C3790B" w:rsidRDefault="00C3790B" w:rsidP="00851ADA">
      <w:pPr>
        <w:pStyle w:val="Heading1"/>
      </w:pPr>
      <w:r>
        <w:t>Introduction</w:t>
      </w:r>
    </w:p>
    <w:p w14:paraId="42F3AA97" w14:textId="1DBD1609" w:rsidR="00A931A9" w:rsidRPr="00A931A9" w:rsidRDefault="00A931A9" w:rsidP="00A931A9">
      <w:r w:rsidRPr="00A931A9">
        <w:t>Diversity, equity, and inclusion (DEI) have become vital to organisational sustainability and innovation within the hospitality sector (Cooper and Hall, 2019). While gender and cultural inclusion are increasingly prioritised, neurodiversity</w:t>
      </w:r>
      <w:r>
        <w:t xml:space="preserve">, </w:t>
      </w:r>
      <w:r w:rsidRPr="00A931A9">
        <w:t>particularly Attention Deficit Hyperactivity Disorder (ADHD)</w:t>
      </w:r>
      <w:r>
        <w:t xml:space="preserve">, </w:t>
      </w:r>
      <w:r w:rsidRPr="00A931A9">
        <w:t xml:space="preserve">remains underexplored in both research and practice. Neurodiversity, a concept introduced by Singer (1999) and later expanded by Blume (1998), recognises natural variations in human cognition, including autism, ADHD, dyslexia, and dyspraxia (Vargas-Salas </w:t>
      </w:r>
      <w:r w:rsidRPr="00A931A9">
        <w:rPr>
          <w:i/>
          <w:iCs/>
        </w:rPr>
        <w:t>et al</w:t>
      </w:r>
      <w:r w:rsidRPr="00A931A9">
        <w:t>., 2025). These differences can enrich workplaces through diverse perspectives and problem-solving abilities.</w:t>
      </w:r>
    </w:p>
    <w:p w14:paraId="18E44696" w14:textId="77777777" w:rsidR="00A931A9" w:rsidRPr="00A931A9" w:rsidRDefault="00A931A9" w:rsidP="00A931A9">
      <w:r w:rsidRPr="00A931A9">
        <w:t xml:space="preserve">Hospitality’s fast-paced, emotionally demanding environments pose both opportunities and challenges for neurodiverse staff (Wen </w:t>
      </w:r>
      <w:r w:rsidRPr="00A931A9">
        <w:rPr>
          <w:i/>
          <w:iCs/>
        </w:rPr>
        <w:t>et al</w:t>
      </w:r>
      <w:r w:rsidRPr="00A931A9">
        <w:t xml:space="preserve">., 2024). ADHD, affecting 4–7% of the global workforce, is one of the most common yet misunderstood conditions (Hotte-Meunier </w:t>
      </w:r>
      <w:r w:rsidRPr="00A931A9">
        <w:rPr>
          <w:i/>
          <w:iCs/>
        </w:rPr>
        <w:t>et al</w:t>
      </w:r>
      <w:r w:rsidRPr="00A931A9">
        <w:t>., 2024). Though often linked with impulsivity or inattention (Jolley, 2018), individuals with ADHD frequently demonstrate creativity, innovation, and adaptability (</w:t>
      </w:r>
      <w:proofErr w:type="spellStart"/>
      <w:r w:rsidRPr="00A931A9">
        <w:t>Rollnik</w:t>
      </w:r>
      <w:proofErr w:type="spellEnd"/>
      <w:r w:rsidRPr="00A931A9">
        <w:t>-Sadowska and Grabińska, 2024; Houran, 2025).</w:t>
      </w:r>
    </w:p>
    <w:p w14:paraId="0874B945" w14:textId="77777777" w:rsidR="00A931A9" w:rsidRPr="00A931A9" w:rsidRDefault="00A931A9" w:rsidP="00A931A9">
      <w:r w:rsidRPr="00A931A9">
        <w:t>Despite growing awareness, organisational understanding and practical inclusion remain limited, leading to stigma and inconsistent support (</w:t>
      </w:r>
      <w:proofErr w:type="spellStart"/>
      <w:r w:rsidRPr="00A931A9">
        <w:t>Černickaja</w:t>
      </w:r>
      <w:proofErr w:type="spellEnd"/>
      <w:r w:rsidRPr="00A931A9">
        <w:t xml:space="preserve"> and Sokolová, 2024). This paper examines how hospitality organisations can better support employees with ADHD through inclusive leadership, flexible workplace design, and sustainable human resource practices that promote both equity and performance (</w:t>
      </w:r>
      <w:proofErr w:type="spellStart"/>
      <w:r w:rsidRPr="00A931A9">
        <w:t>Rollnik</w:t>
      </w:r>
      <w:proofErr w:type="spellEnd"/>
      <w:r w:rsidRPr="00A931A9">
        <w:t>-Sadowska and Grabińska, 2024).</w:t>
      </w:r>
    </w:p>
    <w:p w14:paraId="6EA539CE" w14:textId="77777777" w:rsidR="00C3790B" w:rsidRDefault="00C3790B" w:rsidP="00C3790B"/>
    <w:p w14:paraId="1A556494" w14:textId="1CEBC7EE" w:rsidR="00227BDD" w:rsidRDefault="00227BDD" w:rsidP="00227BDD">
      <w:pPr>
        <w:pStyle w:val="Heading1"/>
      </w:pPr>
      <w:r>
        <w:t>Literature Review</w:t>
      </w:r>
    </w:p>
    <w:p w14:paraId="434DD02B" w14:textId="72B03BFD" w:rsidR="00097F95" w:rsidRPr="00097F95" w:rsidRDefault="00097F95" w:rsidP="00097F95">
      <w:r w:rsidRPr="00097F95">
        <w:t>Neurodiversity describes the natural range of neurological differences that shape how individuals think and interact. Introduced by Singer (1999) and popularised by Blume (1998), the concept reframes conditions such as autism spectrum disorder (ASD), attention-deficit/hyperactivity disorder (ADHD), dyslexia, and dyspraxia as normal human variations rather than medical deficits (</w:t>
      </w:r>
      <w:r w:rsidR="00394B78" w:rsidRPr="00686150">
        <w:t>American Psychiatric Association</w:t>
      </w:r>
      <w:r w:rsidR="00394B78">
        <w:t xml:space="preserve">, </w:t>
      </w:r>
      <w:r w:rsidR="00394B78" w:rsidRPr="00686150">
        <w:t>2013)</w:t>
      </w:r>
      <w:r w:rsidR="00394B78">
        <w:t xml:space="preserve">; </w:t>
      </w:r>
      <w:r w:rsidRPr="00097F95">
        <w:t xml:space="preserve">Vargas-Salas </w:t>
      </w:r>
      <w:r w:rsidRPr="00D3418A">
        <w:rPr>
          <w:i/>
          <w:iCs/>
        </w:rPr>
        <w:t>et al</w:t>
      </w:r>
      <w:r w:rsidRPr="00097F95">
        <w:t>., 2025). This challenges deficit-based models and encourages management practices that value creativity and adaptability (</w:t>
      </w:r>
      <w:proofErr w:type="spellStart"/>
      <w:r w:rsidRPr="00097F95">
        <w:t>Rollnik</w:t>
      </w:r>
      <w:proofErr w:type="spellEnd"/>
      <w:r w:rsidRPr="00097F95">
        <w:t>-Sadowska and Grabińska, 2024).</w:t>
      </w:r>
    </w:p>
    <w:p w14:paraId="1B37E042" w14:textId="77777777" w:rsidR="00097F95" w:rsidRPr="00097F95" w:rsidRDefault="00097F95" w:rsidP="00097F95">
      <w:r w:rsidRPr="00097F95">
        <w:lastRenderedPageBreak/>
        <w:t xml:space="preserve">ADHD, affecting around 4% of adults globally, is one of the most prevalent yet misunderstood neurodevelopmental conditions (Hotte-Meunier </w:t>
      </w:r>
      <w:r w:rsidRPr="00D3418A">
        <w:rPr>
          <w:i/>
          <w:iCs/>
        </w:rPr>
        <w:t>et al</w:t>
      </w:r>
      <w:r w:rsidRPr="00097F95">
        <w:t xml:space="preserve">., 2024). Symptoms such as impulsivity and inattention vary by individual (Jolley, 2018), but research increasingly recognises that people with ADHD can demonstrate creativity, innovation, and resilience (Houran, 2025). When organisations channel these strengths effectively, they benefit from enhanced engagement and performance (Wen </w:t>
      </w:r>
      <w:r w:rsidRPr="00D3418A">
        <w:rPr>
          <w:i/>
          <w:iCs/>
        </w:rPr>
        <w:t>et al</w:t>
      </w:r>
      <w:r w:rsidRPr="00097F95">
        <w:t>., 2024).</w:t>
      </w:r>
    </w:p>
    <w:p w14:paraId="49A30743" w14:textId="77777777" w:rsidR="00097F95" w:rsidRPr="00097F95" w:rsidRDefault="00097F95" w:rsidP="00097F95">
      <w:r w:rsidRPr="00097F95">
        <w:t>However, workplace inclusion for neurodiverse employees remains limited. Studies highlight persistent stigma, uneven organisational support, and limited managerial understanding (</w:t>
      </w:r>
      <w:proofErr w:type="spellStart"/>
      <w:r w:rsidRPr="00097F95">
        <w:t>Černickaja</w:t>
      </w:r>
      <w:proofErr w:type="spellEnd"/>
      <w:r w:rsidRPr="00097F95">
        <w:t xml:space="preserve"> and Sokolová, 2024; Vargas-Salas </w:t>
      </w:r>
      <w:r w:rsidRPr="00D3418A">
        <w:rPr>
          <w:i/>
          <w:iCs/>
        </w:rPr>
        <w:t>et al</w:t>
      </w:r>
      <w:r w:rsidRPr="00097F95">
        <w:t xml:space="preserve">., 2025). Although many hospitality firms promote diversity broadly, few integrate neurodiversity into recruitment or staff development strategies, leaving ADHD employees underrepresented and undervalued (Wen </w:t>
      </w:r>
      <w:r w:rsidRPr="00D3418A">
        <w:rPr>
          <w:i/>
          <w:iCs/>
        </w:rPr>
        <w:t>et al</w:t>
      </w:r>
      <w:r w:rsidRPr="00097F95">
        <w:t>., 2024).</w:t>
      </w:r>
    </w:p>
    <w:p w14:paraId="078A3158" w14:textId="76D422F4" w:rsidR="0033572B" w:rsidRPr="0033572B" w:rsidRDefault="0033572B" w:rsidP="0033572B"/>
    <w:p w14:paraId="68AD5540" w14:textId="77777777" w:rsidR="00227BDD" w:rsidRDefault="00227BDD" w:rsidP="00227BDD"/>
    <w:p w14:paraId="0994B8BA" w14:textId="60384425" w:rsidR="00227BDD" w:rsidRPr="00227BDD" w:rsidRDefault="00227BDD" w:rsidP="00227BDD">
      <w:pPr>
        <w:pStyle w:val="Heading3"/>
      </w:pPr>
      <w:r w:rsidRPr="00227BDD">
        <w:t>The Business Case for Inclusion</w:t>
      </w:r>
    </w:p>
    <w:p w14:paraId="01AD6483" w14:textId="10B05249" w:rsidR="00406CE3" w:rsidRPr="00406CE3" w:rsidRDefault="00406CE3" w:rsidP="00406CE3">
      <w:r w:rsidRPr="00406CE3">
        <w:t>Inclusion is now understood as both an ethical responsibility and a business opportunity. Organisations that embrace neurodiversity report higher innovation and performance levels (</w:t>
      </w:r>
      <w:proofErr w:type="spellStart"/>
      <w:r w:rsidRPr="00406CE3">
        <w:t>Rollnik</w:t>
      </w:r>
      <w:proofErr w:type="spellEnd"/>
      <w:r w:rsidRPr="00406CE3">
        <w:t>-Sadowska and Grabińska, 2024). Hyland and Connolly (20</w:t>
      </w:r>
      <w:r w:rsidR="002467EA">
        <w:t>18</w:t>
      </w:r>
      <w:r w:rsidRPr="00406CE3">
        <w:t xml:space="preserve">, cited in </w:t>
      </w:r>
      <w:proofErr w:type="spellStart"/>
      <w:r w:rsidRPr="00406CE3">
        <w:t>Rollnik</w:t>
      </w:r>
      <w:proofErr w:type="spellEnd"/>
      <w:r w:rsidRPr="00406CE3">
        <w:t>-Sadowska and Grabińska, 2024) found that inclusive companies achieved 28% higher revenues than competitors. Houran (2025) similarly argues that leadership commitment to neurodiversity enhances creativity and psychological safety</w:t>
      </w:r>
      <w:r w:rsidR="00866FBE">
        <w:t xml:space="preserve">, which are </w:t>
      </w:r>
      <w:r w:rsidRPr="00406CE3">
        <w:t>key drivers of innovation and service quality.</w:t>
      </w:r>
    </w:p>
    <w:p w14:paraId="73F5B20E" w14:textId="1E634395" w:rsidR="00406CE3" w:rsidRPr="00406CE3" w:rsidRDefault="00406CE3" w:rsidP="00406CE3">
      <w:r w:rsidRPr="00406CE3">
        <w:t xml:space="preserve">For hospitality, which depends heavily on staff motivation and retention, inclusion supports long-term sustainability. Flexibility and empathetic management strengthen loyalty, reduce turnover, and improve brand reputation (Wen </w:t>
      </w:r>
      <w:r w:rsidRPr="00406CE3">
        <w:rPr>
          <w:i/>
          <w:iCs/>
        </w:rPr>
        <w:t>et al</w:t>
      </w:r>
      <w:r w:rsidRPr="00406CE3">
        <w:t xml:space="preserve">., 2024). Conversely, failing to accommodate neurodiverse needs exacerbates burnout and absenteeism, already critical issues in high-pressure hotel environments (Caterer.com, </w:t>
      </w:r>
      <w:proofErr w:type="spellStart"/>
      <w:r w:rsidRPr="00406CE3">
        <w:t>2025</w:t>
      </w:r>
      <w:r w:rsidR="00272728">
        <w:t>a</w:t>
      </w:r>
      <w:proofErr w:type="spellEnd"/>
      <w:r w:rsidRPr="00406CE3">
        <w:t>;</w:t>
      </w:r>
      <w:r w:rsidR="00272728">
        <w:t xml:space="preserve"> </w:t>
      </w:r>
      <w:r w:rsidR="00272728" w:rsidRPr="00406CE3">
        <w:t>Caterer.com</w:t>
      </w:r>
      <w:r w:rsidR="00272728">
        <w:t xml:space="preserve">, </w:t>
      </w:r>
      <w:proofErr w:type="spellStart"/>
      <w:r w:rsidRPr="00406CE3">
        <w:t>2025</w:t>
      </w:r>
      <w:r w:rsidR="00272728">
        <w:t>b</w:t>
      </w:r>
      <w:proofErr w:type="spellEnd"/>
      <w:r w:rsidRPr="00406CE3">
        <w:t xml:space="preserve">). Neurodiversity inclusion thus aligns with sustainable </w:t>
      </w:r>
      <w:proofErr w:type="spellStart"/>
      <w:r w:rsidRPr="00406CE3">
        <w:t>HRM</w:t>
      </w:r>
      <w:proofErr w:type="spellEnd"/>
      <w:r w:rsidRPr="00406CE3">
        <w:t>, which emphasises long-term equity and employee well-being (</w:t>
      </w:r>
      <w:proofErr w:type="spellStart"/>
      <w:r w:rsidRPr="00406CE3">
        <w:t>Rollnik</w:t>
      </w:r>
      <w:proofErr w:type="spellEnd"/>
      <w:r w:rsidRPr="00406CE3">
        <w:t>-Sadowska and Grabińska, 2024).</w:t>
      </w:r>
    </w:p>
    <w:p w14:paraId="7A732049" w14:textId="77777777" w:rsidR="00406CE3" w:rsidRPr="0005656B" w:rsidRDefault="00406CE3" w:rsidP="0005656B"/>
    <w:p w14:paraId="7616BE9B" w14:textId="703D6056" w:rsidR="00227BDD" w:rsidRDefault="00227BDD" w:rsidP="00227BDD">
      <w:pPr>
        <w:pStyle w:val="Heading3"/>
      </w:pPr>
      <w:r w:rsidRPr="00227BDD">
        <w:t>Barriers to Inclusion: Stigma, Awareness, and Structural Challenges</w:t>
      </w:r>
    </w:p>
    <w:p w14:paraId="4F25D66D" w14:textId="6D61C725" w:rsidR="00E17379" w:rsidRPr="00E17379" w:rsidRDefault="00E17379" w:rsidP="00E17379">
      <w:r w:rsidRPr="00E17379">
        <w:t>Despite clear benefits, barriers persist. Stigma and misunderstanding remain common, with managers often misinterpreting ADHD behaviours</w:t>
      </w:r>
      <w:r>
        <w:t xml:space="preserve"> (</w:t>
      </w:r>
      <w:r w:rsidRPr="00E17379">
        <w:t>such as forgetfulness or restlessness</w:t>
      </w:r>
      <w:r>
        <w:t xml:space="preserve">) </w:t>
      </w:r>
      <w:r w:rsidRPr="00E17379">
        <w:t xml:space="preserve">as poor performance (Jolley, 2018). </w:t>
      </w:r>
      <w:proofErr w:type="spellStart"/>
      <w:r w:rsidRPr="00E17379">
        <w:t>Černickaja</w:t>
      </w:r>
      <w:proofErr w:type="spellEnd"/>
      <w:r w:rsidRPr="00E17379">
        <w:t xml:space="preserve"> and Sokolová (2024) found that HR </w:t>
      </w:r>
      <w:r w:rsidRPr="00E17379">
        <w:lastRenderedPageBreak/>
        <w:t xml:space="preserve">specialists frequently rely on stereotypes, discouraging disclosure and creating unmet support needs (Vargas-Salas </w:t>
      </w:r>
      <w:r w:rsidRPr="00E17379">
        <w:rPr>
          <w:i/>
          <w:iCs/>
        </w:rPr>
        <w:t>et al</w:t>
      </w:r>
      <w:r w:rsidRPr="00E17379">
        <w:t>., 2025).</w:t>
      </w:r>
    </w:p>
    <w:p w14:paraId="799FEDCF" w14:textId="77777777" w:rsidR="00E17379" w:rsidRPr="00E17379" w:rsidRDefault="00E17379" w:rsidP="00E17379">
      <w:r w:rsidRPr="00E17379">
        <w:t xml:space="preserve">Another barrier is inadequate leadership training. Houran (2025) emphasises that inclusive management must be intentionally developed through emotional intelligence and servant leadership frameworks. Yet many hospitality organisations still rely on generic leadership models that overlook cognitive diversity (Hotte-Meunier </w:t>
      </w:r>
      <w:r w:rsidRPr="00E17379">
        <w:rPr>
          <w:i/>
          <w:iCs/>
        </w:rPr>
        <w:t>et al</w:t>
      </w:r>
      <w:r w:rsidRPr="00E17379">
        <w:t>., 2024). This leaves managers ill-equipped to interpret neurodiverse behaviour constructively or provide meaningful support.</w:t>
      </w:r>
    </w:p>
    <w:p w14:paraId="077312B7" w14:textId="054D584B" w:rsidR="00E17379" w:rsidRPr="00E17379" w:rsidRDefault="00E17379" w:rsidP="00E17379">
      <w:r w:rsidRPr="00E17379">
        <w:t>The demanding operational structure of hospitality</w:t>
      </w:r>
      <w:r>
        <w:t xml:space="preserve">, including </w:t>
      </w:r>
      <w:r w:rsidRPr="00E17379">
        <w:t>long hours, noise, and multitasking</w:t>
      </w:r>
      <w:r>
        <w:t xml:space="preserve">, </w:t>
      </w:r>
      <w:r w:rsidRPr="00E17379">
        <w:t xml:space="preserve">also hinders inclusion. ADHD employees may struggle with high sensory input and unpredictability (Jolley, 2018). However, research shows that predictable scheduling, quiet areas, and role matching can enhance performance and retention (Wen </w:t>
      </w:r>
      <w:r w:rsidRPr="00E17379">
        <w:rPr>
          <w:i/>
          <w:iCs/>
        </w:rPr>
        <w:t>et al</w:t>
      </w:r>
      <w:r w:rsidRPr="00E17379">
        <w:t xml:space="preserve">., 2024). Smaller hotels, with fewer resources, often find such interventions difficult to implement (Vargas-Salas </w:t>
      </w:r>
      <w:r w:rsidRPr="00E17379">
        <w:rPr>
          <w:i/>
          <w:iCs/>
        </w:rPr>
        <w:t>et al</w:t>
      </w:r>
      <w:r w:rsidRPr="00E17379">
        <w:t>., 2025).</w:t>
      </w:r>
    </w:p>
    <w:p w14:paraId="64A1BB56" w14:textId="77777777" w:rsidR="00E17379" w:rsidRPr="00E17379" w:rsidRDefault="00E17379" w:rsidP="00E17379">
      <w:r w:rsidRPr="00E17379">
        <w:t xml:space="preserve">Finally, technology can both support and exclude. Assistive tools such as scheduling apps and AI-driven systems can help manage attention and organisation, yet poor accessibility or complex design may increase stress (Varriale </w:t>
      </w:r>
      <w:r w:rsidRPr="00E17379">
        <w:rPr>
          <w:i/>
          <w:iCs/>
        </w:rPr>
        <w:t>et al</w:t>
      </w:r>
      <w:r w:rsidRPr="00E17379">
        <w:t>., 2023). Organisations should apply universal design principles to ensure technology supports rather than alienates neurodiverse workers (</w:t>
      </w:r>
      <w:proofErr w:type="spellStart"/>
      <w:r w:rsidRPr="00E17379">
        <w:t>Rollnik</w:t>
      </w:r>
      <w:proofErr w:type="spellEnd"/>
      <w:r w:rsidRPr="00E17379">
        <w:t>-Sadowska and Grabińska, 2024).</w:t>
      </w:r>
    </w:p>
    <w:p w14:paraId="1E623934" w14:textId="387A83FA" w:rsidR="0005656B" w:rsidRPr="0005656B" w:rsidRDefault="0005656B" w:rsidP="0005656B"/>
    <w:p w14:paraId="0BE6D87A" w14:textId="77777777" w:rsidR="00227BDD" w:rsidRDefault="00227BDD" w:rsidP="00227BDD"/>
    <w:p w14:paraId="09849287" w14:textId="67BC8BD7" w:rsidR="00227BDD" w:rsidRDefault="00227BDD" w:rsidP="00227BDD">
      <w:pPr>
        <w:pStyle w:val="Heading3"/>
      </w:pPr>
      <w:r w:rsidRPr="00227BDD">
        <w:t xml:space="preserve">Leadership and </w:t>
      </w:r>
      <w:r w:rsidR="007B49E4">
        <w:t>Organisational</w:t>
      </w:r>
      <w:r w:rsidRPr="00227BDD">
        <w:t xml:space="preserve"> Culture</w:t>
      </w:r>
    </w:p>
    <w:p w14:paraId="7777D162" w14:textId="1608FED0" w:rsidR="007711B9" w:rsidRPr="007711B9" w:rsidRDefault="007711B9" w:rsidP="007711B9">
      <w:r w:rsidRPr="007711B9">
        <w:t xml:space="preserve">Leadership plays a central role in establishing inclusive workplaces. Houran (2025) and Wen </w:t>
      </w:r>
      <w:r w:rsidRPr="007711B9">
        <w:rPr>
          <w:i/>
          <w:iCs/>
        </w:rPr>
        <w:t>et al</w:t>
      </w:r>
      <w:r w:rsidRPr="007711B9">
        <w:t>. (2024) demonstrate that servant and transformational leadership styles</w:t>
      </w:r>
      <w:r>
        <w:t xml:space="preserve">, which are </w:t>
      </w:r>
      <w:r w:rsidRPr="007711B9">
        <w:t>focused on empathy, trust, and empowerment</w:t>
      </w:r>
      <w:r>
        <w:t xml:space="preserve">, </w:t>
      </w:r>
      <w:r w:rsidRPr="007711B9">
        <w:t>create environments where neurodiverse employees thrive. Emotional intelligence helps leaders recognise differences as assets and foster psychological safety.</w:t>
      </w:r>
    </w:p>
    <w:p w14:paraId="4AA894B6" w14:textId="0B00006C" w:rsidR="007711B9" w:rsidRPr="007711B9" w:rsidRDefault="007711B9" w:rsidP="007711B9">
      <w:r w:rsidRPr="007711B9">
        <w:t xml:space="preserve">Hospitality leaders also shape culture by promoting open communication and flexibility, core values in service delivery (Caterer.com, </w:t>
      </w:r>
      <w:proofErr w:type="spellStart"/>
      <w:r w:rsidRPr="007711B9">
        <w:t>2025</w:t>
      </w:r>
      <w:r w:rsidR="00394B78">
        <w:t>b</w:t>
      </w:r>
      <w:proofErr w:type="spellEnd"/>
      <w:r w:rsidRPr="007711B9">
        <w:t>). Embedding neurodiversity into corporate social responsibility (CSR) and sustainability policies enhances both ethical reputation and employee satisfaction (</w:t>
      </w:r>
      <w:proofErr w:type="spellStart"/>
      <w:r w:rsidRPr="007711B9">
        <w:t>Rollnik</w:t>
      </w:r>
      <w:proofErr w:type="spellEnd"/>
      <w:r w:rsidRPr="007711B9">
        <w:t>-Sadowska and Grabińska, 2024). Effective initiatives include neurodiversity awareness training, mentoring schemes, and adjustments to sensory environments.</w:t>
      </w:r>
    </w:p>
    <w:p w14:paraId="405DEA8D" w14:textId="77777777" w:rsidR="007711B9" w:rsidRPr="007711B9" w:rsidRDefault="007711B9" w:rsidP="007711B9">
      <w:r w:rsidRPr="007711B9">
        <w:lastRenderedPageBreak/>
        <w:t xml:space="preserve">However, inclusion should extend beyond compliance. Hotte-Meunier </w:t>
      </w:r>
      <w:r w:rsidRPr="007711B9">
        <w:rPr>
          <w:i/>
          <w:iCs/>
        </w:rPr>
        <w:t>et al.</w:t>
      </w:r>
      <w:r w:rsidRPr="007711B9">
        <w:t xml:space="preserve"> (2024) stress the importance of reframing ADHD traits as potential strengths when supported by autonomy and creativity. Managers must focus less on controlling behaviour and more on enabling performance. In fast-paced hotel settings, this requires targeted leadership training and supportive HR infrastructure.</w:t>
      </w:r>
    </w:p>
    <w:p w14:paraId="7F1DA7D1" w14:textId="77777777" w:rsidR="00D84A06" w:rsidRDefault="00D84A06" w:rsidP="00227BDD"/>
    <w:p w14:paraId="598EB0DF" w14:textId="66772ACE" w:rsidR="00D84A06" w:rsidRDefault="00D84A06" w:rsidP="00D84A06">
      <w:pPr>
        <w:pStyle w:val="Heading3"/>
      </w:pPr>
      <w:r w:rsidRPr="00D84A06">
        <w:t>Summary</w:t>
      </w:r>
    </w:p>
    <w:p w14:paraId="0C398AA3" w14:textId="5E1C3277" w:rsidR="0005656B" w:rsidRDefault="00394B78" w:rsidP="00227BDD">
      <w:r w:rsidRPr="00394B78">
        <w:t>The literature confirms that embracing ADHD inclusion is essential for sustainable and ethical hospitality management. Although awareness has grown, implementation remains inconsistent due to stigma, limited managerial capacity, and operational rigidity. Evidence consistently shows that inclusive leadership, adaptive HR policies, and well-designed workplaces enhance performance, innovation, and resilience. Recognising ADHD as part of human diversity allows hospitality organisations to leverage unique talents, improving both employee well-being and service excellence.</w:t>
      </w:r>
    </w:p>
    <w:p w14:paraId="17D04F48" w14:textId="77777777" w:rsidR="00394B78" w:rsidRDefault="00394B78" w:rsidP="00227BDD"/>
    <w:p w14:paraId="783FD8C2" w14:textId="77777777" w:rsidR="00D84A06" w:rsidRDefault="00D84A06" w:rsidP="00D84A06"/>
    <w:p w14:paraId="074A0B0E" w14:textId="3A45D856" w:rsidR="00173F2D" w:rsidRPr="00173F2D" w:rsidRDefault="00173F2D" w:rsidP="00173F2D">
      <w:pPr>
        <w:pStyle w:val="Heading1"/>
      </w:pPr>
      <w:r w:rsidRPr="00173F2D">
        <w:t>Theme Impact Analysis</w:t>
      </w:r>
    </w:p>
    <w:p w14:paraId="3E96D36E" w14:textId="1F8A5727" w:rsidR="00173F2D" w:rsidRPr="00173F2D" w:rsidRDefault="00173F2D" w:rsidP="00173F2D">
      <w:pPr>
        <w:pStyle w:val="Heading2"/>
      </w:pPr>
      <w:r w:rsidRPr="00173F2D">
        <w:t>Overview</w:t>
      </w:r>
    </w:p>
    <w:p w14:paraId="01B508FF" w14:textId="3ACF4C01" w:rsidR="0005656B" w:rsidRDefault="00D00FAC" w:rsidP="00173F2D">
      <w:r w:rsidRPr="00D00FAC">
        <w:t xml:space="preserve">Supporting neurodiverse employees with ADHD in the hospitality sector is increasingly recognised as both a strategic necessity and an ethical responsibility. Although awareness of neurodiversity has improved, its integration into hospitality management remains limited. The industry’s dynamic, guest-focused, and high-pressure nature presents both opportunities and challenges for inclusive practice (Caterer.com, </w:t>
      </w:r>
      <w:proofErr w:type="spellStart"/>
      <w:r w:rsidRPr="00D00FAC">
        <w:t>2025</w:t>
      </w:r>
      <w:r>
        <w:t>a</w:t>
      </w:r>
      <w:proofErr w:type="spellEnd"/>
      <w:r w:rsidRPr="00D00FAC">
        <w:t>). This section applies the PEST framework (Aguilar, 1967) to analyse external influences shaping ADHD inclusion and examines key organisational implications for leadership, human resources, and sustainability.</w:t>
      </w:r>
    </w:p>
    <w:p w14:paraId="205CE4C3" w14:textId="77777777" w:rsidR="00D00FAC" w:rsidRPr="00173F2D" w:rsidRDefault="00D00FAC" w:rsidP="00173F2D"/>
    <w:p w14:paraId="11041CFA" w14:textId="4122C949" w:rsidR="00173F2D" w:rsidRPr="00173F2D" w:rsidRDefault="00173F2D" w:rsidP="00173F2D">
      <w:pPr>
        <w:pStyle w:val="Heading2"/>
      </w:pPr>
      <w:r w:rsidRPr="00173F2D">
        <w:t>PEST Analysis of Neurodiversity in Hospitality</w:t>
      </w:r>
    </w:p>
    <w:p w14:paraId="21BE2206" w14:textId="77777777" w:rsidR="00173F2D" w:rsidRDefault="00173F2D" w:rsidP="00173F2D">
      <w:pPr>
        <w:rPr>
          <w:b/>
          <w:bCs/>
        </w:rPr>
      </w:pPr>
      <w:r w:rsidRPr="00173F2D">
        <w:rPr>
          <w:b/>
          <w:bCs/>
        </w:rPr>
        <w:t>Political Factors</w:t>
      </w:r>
    </w:p>
    <w:p w14:paraId="65D84B94" w14:textId="4AF2D637" w:rsidR="00173F2D" w:rsidRDefault="00A144C5" w:rsidP="00173F2D">
      <w:r w:rsidRPr="00A144C5">
        <w:t>Governmental and institutional frameworks increasingly support inclusive employment. The Equality Act (</w:t>
      </w:r>
      <w:r>
        <w:t xml:space="preserve">Legislation.gov.uk, </w:t>
      </w:r>
      <w:r w:rsidRPr="00A144C5">
        <w:t>2010) and the UN Convention on the Rights of Persons with Disabilities (</w:t>
      </w:r>
      <w:r w:rsidR="00786D3E">
        <w:t xml:space="preserve">United Nations, </w:t>
      </w:r>
      <w:r w:rsidRPr="00A144C5">
        <w:t>200</w:t>
      </w:r>
      <w:r w:rsidR="00786D3E">
        <w:t>8</w:t>
      </w:r>
      <w:r w:rsidRPr="00A144C5">
        <w:t xml:space="preserve">) legally require reasonable workplace adjustments for individuals with neurological differences (Wen </w:t>
      </w:r>
      <w:r w:rsidRPr="00430A1A">
        <w:rPr>
          <w:i/>
          <w:iCs/>
        </w:rPr>
        <w:t>et al</w:t>
      </w:r>
      <w:r w:rsidRPr="00A144C5">
        <w:t>., 2024). Enforcement through bodies such as the Equality and Human Rights Commission</w:t>
      </w:r>
      <w:r w:rsidR="00BA66D4">
        <w:t xml:space="preserve"> (2025)</w:t>
      </w:r>
      <w:r w:rsidRPr="00A144C5">
        <w:t xml:space="preserve"> encourages hospitality </w:t>
      </w:r>
      <w:r w:rsidRPr="00A144C5">
        <w:lastRenderedPageBreak/>
        <w:t>businesses to strengthen accessibility and fairness. However, compliance alone does not guarantee inclusion. The translation of policy into everyday practice relies on informed leadership, adequate funding, and awareness across management levels (</w:t>
      </w:r>
      <w:proofErr w:type="spellStart"/>
      <w:r w:rsidRPr="00A144C5">
        <w:t>Černickaja</w:t>
      </w:r>
      <w:proofErr w:type="spellEnd"/>
      <w:r w:rsidRPr="00A144C5">
        <w:t xml:space="preserve"> and Sokolová, 2024). National initiatives such as </w:t>
      </w:r>
      <w:r w:rsidR="001B3584" w:rsidRPr="001B3584">
        <w:t>Hospitality Action</w:t>
      </w:r>
      <w:r w:rsidR="001B3584">
        <w:t xml:space="preserve"> (2025)</w:t>
      </w:r>
      <w:r w:rsidR="001B3584" w:rsidRPr="001B3584">
        <w:t xml:space="preserve"> and The Burnt Chef Project</w:t>
      </w:r>
      <w:r w:rsidR="001B3584">
        <w:t xml:space="preserve"> (2025)</w:t>
      </w:r>
      <w:r w:rsidRPr="00A144C5">
        <w:t xml:space="preserve"> have begun to link mental health and neurodiversity within broader wellbeing strategies, creating a supportive policy climate for change.</w:t>
      </w:r>
    </w:p>
    <w:p w14:paraId="5ABBAC29" w14:textId="77777777" w:rsidR="005326F2" w:rsidRPr="00173F2D" w:rsidRDefault="005326F2" w:rsidP="00173F2D"/>
    <w:p w14:paraId="453A8DA1" w14:textId="77777777" w:rsidR="00173F2D" w:rsidRDefault="00173F2D" w:rsidP="00173F2D">
      <w:pPr>
        <w:rPr>
          <w:b/>
          <w:bCs/>
        </w:rPr>
      </w:pPr>
      <w:r w:rsidRPr="00173F2D">
        <w:rPr>
          <w:b/>
          <w:bCs/>
        </w:rPr>
        <w:t>Economic Factors</w:t>
      </w:r>
    </w:p>
    <w:p w14:paraId="35D865C7" w14:textId="1218E057" w:rsidR="00173F2D" w:rsidRDefault="005326F2" w:rsidP="00173F2D">
      <w:r w:rsidRPr="005326F2">
        <w:t>Hospitality remains labour-intensive, with ongoing labour shortages and high turnover</w:t>
      </w:r>
      <w:r w:rsidR="00FB4FA2">
        <w:t xml:space="preserve">, </w:t>
      </w:r>
      <w:r w:rsidRPr="005326F2">
        <w:t xml:space="preserve">issues worsened post-pandemic (Caterer.com, </w:t>
      </w:r>
      <w:proofErr w:type="spellStart"/>
      <w:r w:rsidRPr="005326F2">
        <w:t>2025</w:t>
      </w:r>
      <w:r w:rsidR="00FB4FA2">
        <w:t>a</w:t>
      </w:r>
      <w:proofErr w:type="spellEnd"/>
      <w:r w:rsidRPr="005326F2">
        <w:t>). Recruiting and retaining neurodiverse staff can help close these gaps while enhancing innovation and brand image. Inclusive employers achieve better retention and productivity (</w:t>
      </w:r>
      <w:proofErr w:type="spellStart"/>
      <w:r w:rsidRPr="005326F2">
        <w:t>Rollnik</w:t>
      </w:r>
      <w:proofErr w:type="spellEnd"/>
      <w:r w:rsidRPr="005326F2">
        <w:t xml:space="preserve">-Sadowska and Grabińska, 2024). Nevertheless, smaller businesses often cite financial limitations when implementing adaptations or training </w:t>
      </w:r>
      <w:r w:rsidR="00FB4FA2" w:rsidRPr="005326F2">
        <w:t xml:space="preserve">(Caterer.com, </w:t>
      </w:r>
      <w:proofErr w:type="spellStart"/>
      <w:r w:rsidR="00FB4FA2" w:rsidRPr="005326F2">
        <w:t>2025</w:t>
      </w:r>
      <w:r w:rsidR="00FB4FA2">
        <w:t>b</w:t>
      </w:r>
      <w:proofErr w:type="spellEnd"/>
      <w:r w:rsidR="00FB4FA2" w:rsidRPr="005326F2">
        <w:t xml:space="preserve">). </w:t>
      </w:r>
      <w:r w:rsidRPr="005326F2">
        <w:t>While low-cost measures such as flexible scheduling or clear communication are feasible, sensory modifications or specialised software may require targeted investment. Public funding or tax incentives could accelerate progress, particularly for SMEs.</w:t>
      </w:r>
    </w:p>
    <w:p w14:paraId="74AB0A4F" w14:textId="77777777" w:rsidR="005326F2" w:rsidRPr="00173F2D" w:rsidRDefault="005326F2" w:rsidP="00173F2D"/>
    <w:p w14:paraId="122C8D51" w14:textId="77777777" w:rsidR="00173F2D" w:rsidRDefault="00173F2D" w:rsidP="00173F2D">
      <w:pPr>
        <w:rPr>
          <w:b/>
          <w:bCs/>
        </w:rPr>
      </w:pPr>
      <w:r w:rsidRPr="00173F2D">
        <w:rPr>
          <w:b/>
          <w:bCs/>
        </w:rPr>
        <w:t>Social Factors</w:t>
      </w:r>
    </w:p>
    <w:p w14:paraId="3FE3E7EE" w14:textId="17CA7B4A" w:rsidR="005326F2" w:rsidRDefault="00FB4FA2" w:rsidP="00173F2D">
      <w:r w:rsidRPr="00FB4FA2">
        <w:t xml:space="preserve">Societal attitudes toward neurodiversity are shifting from stigma to acceptance. Younger employees increasingly expect inclusive, psychologically safe workplaces (Hotte-Meunier </w:t>
      </w:r>
      <w:r w:rsidRPr="00FB4FA2">
        <w:rPr>
          <w:i/>
          <w:iCs/>
        </w:rPr>
        <w:t>et al</w:t>
      </w:r>
      <w:r w:rsidRPr="00FB4FA2">
        <w:t>., 2024). In hospitality</w:t>
      </w:r>
      <w:r>
        <w:t xml:space="preserve">, </w:t>
      </w:r>
      <w:r w:rsidRPr="00FB4FA2">
        <w:t>where collaboration and emotional labour are essential</w:t>
      </w:r>
      <w:r>
        <w:t xml:space="preserve">, </w:t>
      </w:r>
      <w:r w:rsidRPr="00FB4FA2">
        <w:t>encouraging empathy and openness can improve team cohesion and retention. Yet, traditional hierarchical structures, particularly in kitchens and front-of-house operations, can discourage disclosure (Jolley, 2018). Promoting open dialogue and neurodiverse role models helps normalise discussion and reduce stigma. Training in emotional intelligence and inclusive communication equips leaders to manage diverse teams more effectively (Houran, 2025).</w:t>
      </w:r>
    </w:p>
    <w:p w14:paraId="619E363A" w14:textId="77777777" w:rsidR="00FB4FA2" w:rsidRPr="00173F2D" w:rsidRDefault="00FB4FA2" w:rsidP="00173F2D"/>
    <w:p w14:paraId="2464ACAC" w14:textId="77777777" w:rsidR="00173F2D" w:rsidRDefault="00173F2D" w:rsidP="00173F2D">
      <w:pPr>
        <w:rPr>
          <w:b/>
          <w:bCs/>
        </w:rPr>
      </w:pPr>
      <w:r w:rsidRPr="00173F2D">
        <w:rPr>
          <w:b/>
          <w:bCs/>
        </w:rPr>
        <w:t>Technological Factors</w:t>
      </w:r>
    </w:p>
    <w:p w14:paraId="75655929" w14:textId="0D90E5EF" w:rsidR="00173F2D" w:rsidRDefault="00FB4FA2" w:rsidP="00173F2D">
      <w:r w:rsidRPr="00FB4FA2">
        <w:t>Digital innovation is transforming hospitality and provides new ways to support ADHD employees. Artificial intelligence and automation can relieve cognitive load by streamlining repetitive tasks, allowing employees to focus on creativity and service quality (</w:t>
      </w:r>
      <w:proofErr w:type="spellStart"/>
      <w:r w:rsidRPr="00FB4FA2">
        <w:t>IDeaS</w:t>
      </w:r>
      <w:proofErr w:type="spellEnd"/>
      <w:r w:rsidRPr="00FB4FA2">
        <w:t xml:space="preserve">, 2025). Assistive technologies such as scheduling tools, reminders, and voice-recognition software enhance time management and focus (Varriale </w:t>
      </w:r>
      <w:r w:rsidRPr="00FB4FA2">
        <w:rPr>
          <w:i/>
          <w:iCs/>
        </w:rPr>
        <w:t>et al</w:t>
      </w:r>
      <w:r w:rsidRPr="00FB4FA2">
        <w:t xml:space="preserve">., 2023). However, limited training and </w:t>
      </w:r>
      <w:r w:rsidRPr="00FB4FA2">
        <w:lastRenderedPageBreak/>
        <w:t>inaccessible design may undermine these benefits. Universal design principles should underpin digital transformation, ensuring tools are usable for all staff, including neurodiverse individuals (</w:t>
      </w:r>
      <w:proofErr w:type="spellStart"/>
      <w:r w:rsidRPr="00FB4FA2">
        <w:t>Rollnik</w:t>
      </w:r>
      <w:proofErr w:type="spellEnd"/>
      <w:r w:rsidRPr="00FB4FA2">
        <w:t>-Sadowska and Grabińska, 2024). Technology, when implemented thoughtfully, can empower staff and improve operational efficiency simultaneously.</w:t>
      </w:r>
    </w:p>
    <w:p w14:paraId="3A2B50D3" w14:textId="3E346C52" w:rsidR="00173F2D" w:rsidRPr="00173F2D" w:rsidRDefault="00173F2D" w:rsidP="00173F2D">
      <w:pPr>
        <w:pStyle w:val="Heading2"/>
      </w:pPr>
      <w:r w:rsidRPr="00173F2D">
        <w:t>Organisational Implications</w:t>
      </w:r>
    </w:p>
    <w:p w14:paraId="6C575D08" w14:textId="0B9C1C13" w:rsidR="00FB4FA2" w:rsidRDefault="00FB4FA2" w:rsidP="00FB4FA2">
      <w:r>
        <w:t xml:space="preserve">The PEST analysis demonstrates that inclusion in hospitality depends on coordinated action across political, social, economic, and technological dimensions. Legislative frameworks establish a foundation, but leadership remains the catalyst for real progress. Economically, inclusivity helps reduce recruitment costs and improves retention, contributing to sustainable growth (Wen </w:t>
      </w:r>
      <w:r w:rsidRPr="00FB4FA2">
        <w:rPr>
          <w:i/>
          <w:iCs/>
        </w:rPr>
        <w:t>et al</w:t>
      </w:r>
      <w:r>
        <w:t>., 2024). Socially, a supportive culture enhances creativity and collaboration</w:t>
      </w:r>
      <w:r>
        <w:t xml:space="preserve">, </w:t>
      </w:r>
      <w:r>
        <w:t>essential qualities in hospitality teams. Technologically, accessible systems strengthen consistency and engagement.</w:t>
      </w:r>
    </w:p>
    <w:p w14:paraId="6E98F18B" w14:textId="77777777" w:rsidR="00FB4FA2" w:rsidRDefault="00FB4FA2" w:rsidP="00FB4FA2"/>
    <w:p w14:paraId="7C77423A" w14:textId="77777777" w:rsidR="00FB4FA2" w:rsidRPr="00AA2096" w:rsidRDefault="00FB4FA2" w:rsidP="00FB4FA2">
      <w:pPr>
        <w:rPr>
          <w:b/>
          <w:bCs/>
        </w:rPr>
      </w:pPr>
      <w:r w:rsidRPr="00AA2096">
        <w:rPr>
          <w:b/>
          <w:bCs/>
        </w:rPr>
        <w:t>Leadership and Culture</w:t>
      </w:r>
    </w:p>
    <w:p w14:paraId="06349818" w14:textId="76DCA12C" w:rsidR="00FB4FA2" w:rsidRDefault="00FB4FA2" w:rsidP="00FB4FA2">
      <w:r>
        <w:t>Inclusive leadership is fundamental to creating supportive workplaces. Houran (2025) found that servant and transformational leaders</w:t>
      </w:r>
      <w:r w:rsidR="00AA2096">
        <w:t xml:space="preserve"> (</w:t>
      </w:r>
      <w:r>
        <w:t>those who demonstrate empathy, empowerment, and trust</w:t>
      </w:r>
      <w:r w:rsidR="00AA2096">
        <w:t xml:space="preserve">) </w:t>
      </w:r>
      <w:r>
        <w:t>build psychological safety and loyalty. Jolley (2018) adds that ADHD employees thrive when managers allow autonomy and focus on outcomes rather than control. Such leadership aligns with hospitality’s service ethos and can be cultivated through tailored professional development programmes. Mentoring and reflective leadership training can help line managers understand neurodiversity and adapt their communication styles accordingly.</w:t>
      </w:r>
    </w:p>
    <w:p w14:paraId="2ABB8F49" w14:textId="77777777" w:rsidR="00FB4FA2" w:rsidRDefault="00FB4FA2" w:rsidP="00FB4FA2"/>
    <w:p w14:paraId="7874B0B1" w14:textId="77777777" w:rsidR="00FB4FA2" w:rsidRPr="00AA2096" w:rsidRDefault="00FB4FA2" w:rsidP="00FB4FA2">
      <w:pPr>
        <w:rPr>
          <w:b/>
          <w:bCs/>
        </w:rPr>
      </w:pPr>
      <w:r w:rsidRPr="00AA2096">
        <w:rPr>
          <w:b/>
          <w:bCs/>
        </w:rPr>
        <w:t>Human Resource Management (</w:t>
      </w:r>
      <w:proofErr w:type="spellStart"/>
      <w:r w:rsidRPr="00AA2096">
        <w:rPr>
          <w:b/>
          <w:bCs/>
        </w:rPr>
        <w:t>HRM</w:t>
      </w:r>
      <w:proofErr w:type="spellEnd"/>
      <w:r w:rsidRPr="00AA2096">
        <w:rPr>
          <w:b/>
          <w:bCs/>
        </w:rPr>
        <w:t>)</w:t>
      </w:r>
    </w:p>
    <w:p w14:paraId="2FAB79F3" w14:textId="5114409E" w:rsidR="00FB4FA2" w:rsidRDefault="00FB4FA2" w:rsidP="00FB4FA2">
      <w:r>
        <w:t>HR policies must move from compliance to proactive inclusion. Job carving</w:t>
      </w:r>
      <w:r w:rsidR="00AA2096">
        <w:t xml:space="preserve"> (</w:t>
      </w:r>
      <w:r>
        <w:t>adapting roles to individual strengths</w:t>
      </w:r>
      <w:r w:rsidR="00AA2096">
        <w:t xml:space="preserve">) </w:t>
      </w:r>
      <w:r>
        <w:t xml:space="preserve">combined with flexible scheduling and sensory-friendly design can significantly enhance ADHD employee satisfaction and performance (Hotte-Meunier </w:t>
      </w:r>
      <w:r w:rsidRPr="00AA2096">
        <w:rPr>
          <w:i/>
          <w:iCs/>
        </w:rPr>
        <w:t>et al</w:t>
      </w:r>
      <w:r>
        <w:t>., 2024). Training HR professionals to view ADHD as a form of ability diversity fosters better recruitment and appraisal practices. For example, ADHD employees’ creativity and problem-solving skills can be channelled into guest experience or innovation-focused roles (</w:t>
      </w:r>
      <w:proofErr w:type="spellStart"/>
      <w:r>
        <w:t>Rollnik</w:t>
      </w:r>
      <w:proofErr w:type="spellEnd"/>
      <w:r>
        <w:t>-Sadowska and Grabińska, 2024). The Hospitality Heroes Report (</w:t>
      </w:r>
      <w:r w:rsidR="00AA2096">
        <w:t xml:space="preserve">Cateter.com, </w:t>
      </w:r>
      <w:proofErr w:type="spellStart"/>
      <w:r>
        <w:t>2025</w:t>
      </w:r>
      <w:r w:rsidR="00AA2096">
        <w:t>b</w:t>
      </w:r>
      <w:proofErr w:type="spellEnd"/>
      <w:r>
        <w:t>) confirms that diverse workplaces experience stronger morale and service innovation.</w:t>
      </w:r>
    </w:p>
    <w:p w14:paraId="60723EA9" w14:textId="77777777" w:rsidR="00FB4FA2" w:rsidRDefault="00FB4FA2" w:rsidP="00FB4FA2"/>
    <w:p w14:paraId="19DABC01" w14:textId="77777777" w:rsidR="00FB4FA2" w:rsidRPr="00D9475C" w:rsidRDefault="00FB4FA2" w:rsidP="00FB4FA2">
      <w:pPr>
        <w:rPr>
          <w:b/>
          <w:bCs/>
        </w:rPr>
      </w:pPr>
      <w:r w:rsidRPr="00D9475C">
        <w:rPr>
          <w:b/>
          <w:bCs/>
        </w:rPr>
        <w:t>Sustainability and CSR Integration</w:t>
      </w:r>
    </w:p>
    <w:p w14:paraId="776B2756" w14:textId="77777777" w:rsidR="00FB4FA2" w:rsidRDefault="00FB4FA2" w:rsidP="00FB4FA2">
      <w:r>
        <w:lastRenderedPageBreak/>
        <w:t xml:space="preserve">Embedding neurodiversity within corporate sustainability and CSR frameworks supports ethical leadership and global goals such as SDG 8 – Decent Work and Economic Growth (Vargas-Salas </w:t>
      </w:r>
      <w:r w:rsidRPr="00D9475C">
        <w:rPr>
          <w:i/>
          <w:iCs/>
        </w:rPr>
        <w:t>et al</w:t>
      </w:r>
      <w:r>
        <w:t>., 2025). Leading hotel groups like Whitbread and Marriott integrate inclusion and well-being into their sustainability strategies. Whitbread’s Everyone Belongs initiative promotes inclusive recruitment and training, while Marriott’s Pathways to Opportunity programme links diversity to global leadership development (Whitbread, cited in Hospitality Heroes Report, 2025; Marriott International, cited in Houran, 2025). These cases demonstrate that neurodiversity can be embedded within broader sustainability agendas, reinforcing both employee welfare and corporate reputation.</w:t>
      </w:r>
    </w:p>
    <w:p w14:paraId="64D0F830" w14:textId="77777777" w:rsidR="00FB4FA2" w:rsidRDefault="00FB4FA2" w:rsidP="00FB4FA2"/>
    <w:p w14:paraId="3FCE43A5" w14:textId="77777777" w:rsidR="00FB4FA2" w:rsidRPr="00D9475C" w:rsidRDefault="00FB4FA2" w:rsidP="00FB4FA2">
      <w:pPr>
        <w:rPr>
          <w:b/>
          <w:bCs/>
        </w:rPr>
      </w:pPr>
      <w:r w:rsidRPr="00D9475C">
        <w:rPr>
          <w:b/>
          <w:bCs/>
        </w:rPr>
        <w:t>Technology and Accessibility</w:t>
      </w:r>
    </w:p>
    <w:p w14:paraId="1F891820" w14:textId="6705F498" w:rsidR="00173F2D" w:rsidRDefault="00FB4FA2" w:rsidP="00FB4FA2">
      <w:r>
        <w:t xml:space="preserve">Digital inclusion complements HR strategies. Cloud-based scheduling and visual task boards can help ADHD employees manage focus and routine (Varriale </w:t>
      </w:r>
      <w:r w:rsidRPr="00D9475C">
        <w:rPr>
          <w:i/>
          <w:iCs/>
        </w:rPr>
        <w:t>et al</w:t>
      </w:r>
      <w:r>
        <w:t>., 2023). However, training is crucial to ensure technology enhances rather than replaces human support. Accessible digital systems not only improve performance but also demonstrate a company’s ethical commitment to equitable working conditions.</w:t>
      </w:r>
    </w:p>
    <w:p w14:paraId="23C8DCA3" w14:textId="77777777" w:rsidR="00D9475C" w:rsidRDefault="00D9475C" w:rsidP="00FB4FA2"/>
    <w:p w14:paraId="03BFE211" w14:textId="771F64F3" w:rsidR="00173F2D" w:rsidRPr="00173F2D" w:rsidRDefault="00173F2D" w:rsidP="00173F2D">
      <w:pPr>
        <w:pStyle w:val="Heading2"/>
      </w:pPr>
      <w:r w:rsidRPr="00173F2D">
        <w:t>Summary</w:t>
      </w:r>
    </w:p>
    <w:p w14:paraId="6CC570C3" w14:textId="644FF4A7" w:rsidR="00120926" w:rsidRDefault="00396162" w:rsidP="00173F2D">
      <w:r w:rsidRPr="00396162">
        <w:t>Overall, the external and organisational environment presents both opportunities and responsibilities for advancing ADHD inclusion in hospitality. Political and social frameworks increasingly encourage equality and psychological safety, while economic and technological trends highlight the tangible benefits of engaging neurodiverse talent. To realise these benefits, hospitality firms must adopt inclusive leadership and sustainable HR practices that transform compliance into genuine cultural change. As competition for skilled labour intensifies, hotels that embrace neurodiversity as a strategic advantage will be better equipped to innovate, retain staff, and deliver superior guest experiences.</w:t>
      </w:r>
    </w:p>
    <w:p w14:paraId="408E798C" w14:textId="77777777" w:rsidR="00396162" w:rsidRDefault="00396162" w:rsidP="00173F2D"/>
    <w:p w14:paraId="12D0181C" w14:textId="77777777" w:rsidR="00120926" w:rsidRDefault="00120926" w:rsidP="00120926">
      <w:pPr>
        <w:pStyle w:val="Heading1"/>
      </w:pPr>
      <w:r w:rsidRPr="00D84A06">
        <w:t>Methodology</w:t>
      </w:r>
    </w:p>
    <w:p w14:paraId="02FA31E9" w14:textId="20FB7C88" w:rsidR="00DB71A8" w:rsidRPr="00DB71A8" w:rsidRDefault="00DB71A8" w:rsidP="00DB71A8">
      <w:r w:rsidRPr="00DB71A8">
        <w:t xml:space="preserve">This paper adopts a qualitative, exploratory, secondary research approach to investigate how hospitality organisations can develop inclusive workplaces for employees with ADHD. The method aligns with the </w:t>
      </w:r>
      <w:proofErr w:type="spellStart"/>
      <w:r w:rsidRPr="00DB71A8">
        <w:t>BMIH6001</w:t>
      </w:r>
      <w:proofErr w:type="spellEnd"/>
      <w:r w:rsidRPr="00DB71A8">
        <w:t xml:space="preserve"> module’s emphasis on critically analysing contemporary industry themes through existing academic and professional sources rather than primary data. As </w:t>
      </w:r>
      <w:r w:rsidR="00F1154D" w:rsidRPr="00F1154D">
        <w:t>Saunders, Lewis and Thornhill</w:t>
      </w:r>
      <w:r w:rsidR="00F1154D">
        <w:t xml:space="preserve"> </w:t>
      </w:r>
      <w:r w:rsidRPr="00DB71A8">
        <w:t xml:space="preserve">(2019) note, secondary research </w:t>
      </w:r>
      <w:r w:rsidRPr="00DB71A8">
        <w:lastRenderedPageBreak/>
        <w:t>enables the integration of diverse perspectives, supporting conceptual development on emerging topics such as neurodiversity in employment.</w:t>
      </w:r>
    </w:p>
    <w:p w14:paraId="535967E6" w14:textId="329140E7" w:rsidR="00DB71A8" w:rsidRPr="00DB71A8" w:rsidRDefault="00DB71A8" w:rsidP="00DB71A8">
      <w:r w:rsidRPr="00DB71A8">
        <w:t xml:space="preserve">A desk-based review of peer-reviewed studies, industry reports, and organisational documents published between 2018 and 2025 was undertaken. Key academic sources included systematic reviews and empirical studies (Hotte-Meunier </w:t>
      </w:r>
      <w:r w:rsidRPr="00DB71A8">
        <w:rPr>
          <w:i/>
          <w:iCs/>
        </w:rPr>
        <w:t>et al</w:t>
      </w:r>
      <w:r w:rsidRPr="00DB71A8">
        <w:t xml:space="preserve">., 2024; Houran, 2025; Vargas-Salas </w:t>
      </w:r>
      <w:r w:rsidRPr="00DB71A8">
        <w:rPr>
          <w:i/>
          <w:iCs/>
        </w:rPr>
        <w:t>et al</w:t>
      </w:r>
      <w:r w:rsidRPr="00DB71A8">
        <w:t xml:space="preserve">., 2025), while industry reports such as </w:t>
      </w:r>
      <w:r w:rsidRPr="00DB71A8">
        <w:rPr>
          <w:i/>
          <w:iCs/>
        </w:rPr>
        <w:t>The Future of Hospitality Recruitment</w:t>
      </w:r>
      <w:r w:rsidRPr="00DB71A8">
        <w:t xml:space="preserve"> (Caterer.com, </w:t>
      </w:r>
      <w:proofErr w:type="spellStart"/>
      <w:r w:rsidRPr="00DB71A8">
        <w:t>2025</w:t>
      </w:r>
      <w:r w:rsidR="00E530DA">
        <w:t>a</w:t>
      </w:r>
      <w:proofErr w:type="spellEnd"/>
      <w:r w:rsidRPr="00DB71A8">
        <w:t xml:space="preserve">) and the </w:t>
      </w:r>
      <w:r w:rsidRPr="00DB71A8">
        <w:rPr>
          <w:i/>
          <w:iCs/>
        </w:rPr>
        <w:t>Hospitality Heroes Report</w:t>
      </w:r>
      <w:r w:rsidRPr="00DB71A8">
        <w:t xml:space="preserve"> (</w:t>
      </w:r>
      <w:r w:rsidR="00E530DA" w:rsidRPr="00DB71A8">
        <w:t>Caterer.com,</w:t>
      </w:r>
      <w:r w:rsidR="00E530DA">
        <w:t xml:space="preserve"> </w:t>
      </w:r>
      <w:proofErr w:type="spellStart"/>
      <w:r w:rsidRPr="00DB71A8">
        <w:t>2025</w:t>
      </w:r>
      <w:r w:rsidR="00E530DA">
        <w:t>b</w:t>
      </w:r>
      <w:proofErr w:type="spellEnd"/>
      <w:r w:rsidRPr="00DB71A8">
        <w:t>) provided practical insights into current workplace inclusion strategies.</w:t>
      </w:r>
    </w:p>
    <w:p w14:paraId="27F3BB80" w14:textId="77777777" w:rsidR="00DB71A8" w:rsidRPr="00DB71A8" w:rsidRDefault="00DB71A8" w:rsidP="00DB71A8">
      <w:r w:rsidRPr="00DB71A8">
        <w:t xml:space="preserve">The data were analysed using thematic analysis, identifying recurring ideas such as stigma, inclusive leadership, and sustainable </w:t>
      </w:r>
      <w:proofErr w:type="spellStart"/>
      <w:r w:rsidRPr="00DB71A8">
        <w:t>HRM</w:t>
      </w:r>
      <w:proofErr w:type="spellEnd"/>
      <w:r w:rsidRPr="00DB71A8">
        <w:t xml:space="preserve"> (Braun and Clarke, 2006). This interpretive method allowed for the exploration of patterns and relationships across disciplines, providing a holistic understanding of ADHD inclusion. All sources were cited following </w:t>
      </w:r>
      <w:proofErr w:type="spellStart"/>
      <w:r w:rsidRPr="00DB71A8">
        <w:t>UWTSD</w:t>
      </w:r>
      <w:proofErr w:type="spellEnd"/>
      <w:r w:rsidRPr="00DB71A8">
        <w:t xml:space="preserve"> Harvard referencing standards (</w:t>
      </w:r>
      <w:proofErr w:type="spellStart"/>
      <w:r w:rsidRPr="00DB71A8">
        <w:t>UWTSD</w:t>
      </w:r>
      <w:proofErr w:type="spellEnd"/>
      <w:r w:rsidRPr="00DB71A8">
        <w:t>, 2023) to ensure academic integrity.</w:t>
      </w:r>
    </w:p>
    <w:p w14:paraId="770EEE12" w14:textId="77777777" w:rsidR="00120926" w:rsidRDefault="00120926" w:rsidP="00173F2D"/>
    <w:p w14:paraId="3BF08BE7" w14:textId="77777777" w:rsidR="005326F2" w:rsidRDefault="005326F2" w:rsidP="00173F2D"/>
    <w:p w14:paraId="428E2E8A" w14:textId="0F0078E9" w:rsidR="00605142" w:rsidRPr="00605142" w:rsidRDefault="00605142" w:rsidP="00605142">
      <w:pPr>
        <w:pStyle w:val="Heading1"/>
      </w:pPr>
      <w:r w:rsidRPr="00605142">
        <w:t>Conclusion and Recommendations</w:t>
      </w:r>
    </w:p>
    <w:p w14:paraId="639C4490" w14:textId="521F3AE8" w:rsidR="00605142" w:rsidRPr="00605142" w:rsidRDefault="00605142" w:rsidP="00605142">
      <w:pPr>
        <w:pStyle w:val="Heading2"/>
      </w:pPr>
      <w:r w:rsidRPr="00605142">
        <w:t>Conclusion</w:t>
      </w:r>
    </w:p>
    <w:p w14:paraId="556DE558" w14:textId="68A57054" w:rsidR="001A1218" w:rsidRDefault="001A1218" w:rsidP="001A1218">
      <w:pPr>
        <w:rPr>
          <w:b/>
        </w:rPr>
      </w:pPr>
      <w:r w:rsidRPr="001A1218">
        <w:t>This paper examined how hospitality organisations can promote workplace inclusivity for employees with Attention Deficit Hyperactivity Disorder. The analysis found that although awareness of neurodiversity is rising, practical implementation within the hospitality sector remains inconsistent. Inclusive leadership, flexible HR systems, and accessible technologies are essential for transforming awareness into action. Supporting neurodiverse employees is not merely an ethical obligation but also a strategic opportunity to enhance creativity, staff retention, and innovation. Sustainable inclusion ultimately strengthens organisational resilience, aligning with hospitality’s social responsibility and long-term competitiveness.</w:t>
      </w:r>
    </w:p>
    <w:p w14:paraId="6F8B1AF2" w14:textId="1376F3A6" w:rsidR="00605142" w:rsidRDefault="005326F2" w:rsidP="00605142">
      <w:pPr>
        <w:pStyle w:val="Heading2"/>
      </w:pPr>
      <w:r>
        <w:t>Recommendations</w:t>
      </w:r>
    </w:p>
    <w:p w14:paraId="2103505B" w14:textId="77777777" w:rsidR="005326F2" w:rsidRPr="005326F2" w:rsidRDefault="005326F2" w:rsidP="005326F2"/>
    <w:p w14:paraId="6E47F797" w14:textId="59F23EFC" w:rsidR="005326F2" w:rsidRPr="00A96B1E" w:rsidRDefault="005326F2" w:rsidP="00A96B1E">
      <w:pPr>
        <w:rPr>
          <w:b/>
          <w:bCs/>
        </w:rPr>
      </w:pPr>
      <w:r w:rsidRPr="00A96B1E">
        <w:rPr>
          <w:b/>
          <w:bCs/>
        </w:rPr>
        <w:t>Leadership Development and Awareness Training</w:t>
      </w:r>
    </w:p>
    <w:p w14:paraId="20B063AC" w14:textId="71485B19" w:rsidR="005326F2" w:rsidRDefault="00A96B1E" w:rsidP="005326F2">
      <w:r w:rsidRPr="00A96B1E">
        <w:t xml:space="preserve">Hospitality organisations should embed neurodiversity awareness into management development programmes. Training should focus on emotional intelligence, communication, and the application of servant and transformational leadership approaches (Houran, 2025). Policymakers and industry associations such as the Institute of Hospitality could mandate </w:t>
      </w:r>
      <w:r w:rsidRPr="00A96B1E">
        <w:lastRenderedPageBreak/>
        <w:t>neurodiversity training for all supervisory roles. This would build the leadership capacity required to reduce stigma and foster inclusive workplace cultures.</w:t>
      </w:r>
    </w:p>
    <w:p w14:paraId="3F0C2E91" w14:textId="77777777" w:rsidR="00A96B1E" w:rsidRPr="005326F2" w:rsidRDefault="00A96B1E" w:rsidP="005326F2"/>
    <w:p w14:paraId="7384A7AF" w14:textId="4EFA3530" w:rsidR="005326F2" w:rsidRPr="00A96B1E" w:rsidRDefault="005326F2" w:rsidP="00A96B1E">
      <w:pPr>
        <w:rPr>
          <w:b/>
          <w:bCs/>
        </w:rPr>
      </w:pPr>
      <w:r w:rsidRPr="00A96B1E">
        <w:rPr>
          <w:b/>
          <w:bCs/>
        </w:rPr>
        <w:t>Inclusive Recruitment and Onboarding</w:t>
      </w:r>
      <w:r w:rsidR="00A96B1E">
        <w:rPr>
          <w:b/>
          <w:bCs/>
        </w:rPr>
        <w:t xml:space="preserve"> Policies</w:t>
      </w:r>
    </w:p>
    <w:p w14:paraId="2401919F" w14:textId="1A76B5F2" w:rsidR="005326F2" w:rsidRDefault="00A96B1E" w:rsidP="005326F2">
      <w:r w:rsidRPr="00A96B1E">
        <w:t>Hotels should develop transparent recruitment procedures that allow neurodiverse applicants to demonstrate their abilities in alternative ways. Job descriptions should emphasise key competencies rather than rigid behavioural expectations. Trial shifts, work samples, or situational interviews can be used to assess practical skills (</w:t>
      </w:r>
      <w:proofErr w:type="spellStart"/>
      <w:r w:rsidRPr="00A96B1E">
        <w:t>Černickaja</w:t>
      </w:r>
      <w:proofErr w:type="spellEnd"/>
      <w:r w:rsidRPr="00A96B1E">
        <w:t xml:space="preserve"> and Sokolová, 2024). Policymakers could incentivise inclusive hiring by offering tax credits or recognition schemes for employers demonstrating measurable progress.</w:t>
      </w:r>
    </w:p>
    <w:p w14:paraId="16C1653D" w14:textId="77777777" w:rsidR="00A96B1E" w:rsidRPr="005326F2" w:rsidRDefault="00A96B1E" w:rsidP="005326F2"/>
    <w:p w14:paraId="69A3F6BD" w14:textId="77777777" w:rsidR="005326F2" w:rsidRDefault="005326F2" w:rsidP="00A96B1E">
      <w:pPr>
        <w:jc w:val="left"/>
      </w:pPr>
      <w:r w:rsidRPr="00A96B1E">
        <w:rPr>
          <w:b/>
          <w:bCs/>
        </w:rPr>
        <w:t>Flexible Job Design and Workplace Adjustments</w:t>
      </w:r>
    </w:p>
    <w:p w14:paraId="520668B2" w14:textId="36392CFC" w:rsidR="00851ADA" w:rsidRDefault="00A96B1E" w:rsidP="00F30115">
      <w:r w:rsidRPr="00A96B1E">
        <w:t>Hospitality businesses should adopt job carving</w:t>
      </w:r>
      <w:r w:rsidR="00C15877">
        <w:t xml:space="preserve">, namely </w:t>
      </w:r>
      <w:r w:rsidRPr="00A96B1E">
        <w:t>designing roles to match employee strengths</w:t>
      </w:r>
      <w:r w:rsidR="00C15877">
        <w:t xml:space="preserve">, </w:t>
      </w:r>
      <w:r w:rsidRPr="00A96B1E">
        <w:t xml:space="preserve">and create flexible scheduling systems that reduce overstimulation and fatigue (Hotte-Meunier </w:t>
      </w:r>
      <w:r w:rsidRPr="00A96B1E">
        <w:rPr>
          <w:i/>
          <w:iCs/>
        </w:rPr>
        <w:t>et al</w:t>
      </w:r>
      <w:r w:rsidRPr="00A96B1E">
        <w:t>., 2024). Managers should be encouraged to provide structured feedback, quiet workspaces, and predictable routines to enhance focus and productivity. Industry bodies might include neurodiversity-friendly design standards in workplace certification schemes to encourage consistent practice across the sector.</w:t>
      </w:r>
    </w:p>
    <w:p w14:paraId="58461CBF" w14:textId="77777777" w:rsidR="00A96B1E" w:rsidRPr="005326F2" w:rsidRDefault="00A96B1E" w:rsidP="005326F2">
      <w:pPr>
        <w:jc w:val="left"/>
      </w:pPr>
    </w:p>
    <w:p w14:paraId="60F3798F" w14:textId="77777777" w:rsidR="005326F2" w:rsidRDefault="005326F2" w:rsidP="00A96B1E">
      <w:pPr>
        <w:jc w:val="left"/>
      </w:pPr>
      <w:r w:rsidRPr="00A96B1E">
        <w:rPr>
          <w:b/>
          <w:bCs/>
        </w:rPr>
        <w:t>Technological Support and Universal Design</w:t>
      </w:r>
    </w:p>
    <w:p w14:paraId="69DFDA39" w14:textId="33B30DC9" w:rsidR="005326F2" w:rsidRDefault="00A96B1E" w:rsidP="00F30115">
      <w:r w:rsidRPr="00A96B1E">
        <w:t xml:space="preserve">Digital transformation should be guided by universal design principles, ensuring that scheduling tools, learning platforms, and internal communication systems are accessible to all employees (Varriale </w:t>
      </w:r>
      <w:r w:rsidRPr="00F30115">
        <w:rPr>
          <w:i/>
          <w:iCs/>
        </w:rPr>
        <w:t>et al</w:t>
      </w:r>
      <w:r w:rsidRPr="00A96B1E">
        <w:t>., 2023). Hotels should provide training on digital task management and productivity tools tailored to neurodiverse needs. Industry regulators could establish accessibility benchmarks for technology providers serving the hospitality market, ensuring inclusivity from design to deployment</w:t>
      </w:r>
      <w:r w:rsidR="005326F2" w:rsidRPr="005326F2">
        <w:t>.</w:t>
      </w:r>
    </w:p>
    <w:p w14:paraId="2952B804" w14:textId="77777777" w:rsidR="005326F2" w:rsidRPr="005326F2" w:rsidRDefault="005326F2" w:rsidP="005326F2"/>
    <w:p w14:paraId="03B94501" w14:textId="77777777" w:rsidR="006C4BC3" w:rsidRDefault="006C4BC3" w:rsidP="005326F2">
      <w:pPr>
        <w:rPr>
          <w:b/>
          <w:bCs/>
        </w:rPr>
      </w:pPr>
      <w:r w:rsidRPr="006C4BC3">
        <w:rPr>
          <w:b/>
          <w:bCs/>
        </w:rPr>
        <w:t>Integration into Sustainability and CSR Strategies</w:t>
      </w:r>
    </w:p>
    <w:p w14:paraId="304CF7FB" w14:textId="78641A97" w:rsidR="005326F2" w:rsidRDefault="006C4BC3" w:rsidP="006C4BC3">
      <w:r w:rsidRPr="006C4BC3">
        <w:t>Neurodiversity inclusion should be embedded within corporate social responsibility and sustainability policies. Leading examples such as Whitbread’s Everyone Belongs initiative and Marriott’s Pathways to Opportunity programme demonstrate how inclusion and leadership development can coexist (Whitbread, cited in Hospitality Heroes Report; Marriott International, cited in Houran, 2025). Including neurodiversity goals in annual sustainability reports and performance appraisals would enhance transparency and accountability.</w:t>
      </w:r>
    </w:p>
    <w:p w14:paraId="16D6836A" w14:textId="77777777" w:rsidR="006C4BC3" w:rsidRPr="005326F2" w:rsidRDefault="006C4BC3" w:rsidP="005326F2">
      <w:pPr>
        <w:ind w:left="360"/>
      </w:pPr>
    </w:p>
    <w:p w14:paraId="2F16499C" w14:textId="4E9D893C" w:rsidR="005326F2" w:rsidRPr="005326F2" w:rsidRDefault="00B36F6C" w:rsidP="005326F2">
      <w:pPr>
        <w:jc w:val="left"/>
      </w:pPr>
      <w:r w:rsidRPr="00B36F6C">
        <w:rPr>
          <w:b/>
          <w:bCs/>
        </w:rPr>
        <w:lastRenderedPageBreak/>
        <w:t>Sector-Wide Collaboration and Research</w:t>
      </w:r>
      <w:r w:rsidR="005326F2" w:rsidRPr="005326F2">
        <w:br/>
      </w:r>
      <w:r w:rsidRPr="00B36F6C">
        <w:t>Collaboration between hotel groups, advocacy organisations, and universities is essential for developing evidence-based inclusion models. Sector-wide working groups could share data, develop inclusive policy guidelines, and publish best practice toolkits. Further academic research should examine departmental experiences</w:t>
      </w:r>
      <w:r>
        <w:t xml:space="preserve">, </w:t>
      </w:r>
      <w:r w:rsidRPr="00B36F6C">
        <w:t>such as housekeeping and food service</w:t>
      </w:r>
      <w:r>
        <w:t xml:space="preserve">, </w:t>
      </w:r>
      <w:r w:rsidRPr="00B36F6C">
        <w:t>to refine future policy recommendations.</w:t>
      </w:r>
    </w:p>
    <w:p w14:paraId="2BF78881" w14:textId="77777777" w:rsidR="00605142" w:rsidRPr="00605142" w:rsidRDefault="00605142" w:rsidP="00605142"/>
    <w:p w14:paraId="349D2163" w14:textId="4EED46CF" w:rsidR="00C3790B" w:rsidRDefault="005326F2" w:rsidP="005326F2">
      <w:pPr>
        <w:pStyle w:val="Heading1"/>
      </w:pPr>
      <w:r>
        <w:t>References</w:t>
      </w:r>
    </w:p>
    <w:p w14:paraId="5FF80CC0" w14:textId="77777777" w:rsidR="00374098" w:rsidRDefault="00374098" w:rsidP="00374098">
      <w:pPr>
        <w:contextualSpacing/>
      </w:pPr>
      <w:r w:rsidRPr="001E7126">
        <w:t xml:space="preserve">Aguilar, F.J. (1967) </w:t>
      </w:r>
      <w:r w:rsidRPr="00374098">
        <w:rPr>
          <w:i/>
          <w:iCs/>
        </w:rPr>
        <w:t>Scanning the Business Environment.</w:t>
      </w:r>
      <w:r w:rsidRPr="001E7126">
        <w:t xml:space="preserve"> New York: Macmillan.</w:t>
      </w:r>
    </w:p>
    <w:p w14:paraId="4A0DFCB6" w14:textId="77777777" w:rsidR="00374098" w:rsidRDefault="00374098" w:rsidP="00374098">
      <w:pPr>
        <w:spacing w:after="100" w:afterAutospacing="1"/>
        <w:contextualSpacing/>
      </w:pPr>
      <w:r w:rsidRPr="00686150">
        <w:t xml:space="preserve">American Psychiatric Association (2013) </w:t>
      </w:r>
      <w:r w:rsidRPr="00374098">
        <w:rPr>
          <w:i/>
          <w:iCs/>
        </w:rPr>
        <w:t>Diagnostic and Statistical Manual of Mental Disorders (DSM-5).</w:t>
      </w:r>
      <w:r w:rsidRPr="00686150">
        <w:t xml:space="preserve"> Washington, DC: American Psychiatric Publishing.</w:t>
      </w:r>
    </w:p>
    <w:p w14:paraId="15A4BF97" w14:textId="77777777" w:rsidR="00374098" w:rsidRPr="00686150" w:rsidRDefault="00374098" w:rsidP="00374098">
      <w:pPr>
        <w:spacing w:after="100" w:afterAutospacing="1"/>
        <w:contextualSpacing/>
      </w:pPr>
      <w:r w:rsidRPr="0022402F">
        <w:t xml:space="preserve">Blume, H. (1998) ‘Neurodiversity: On the neurological underpinnings of geekdom’, </w:t>
      </w:r>
      <w:r w:rsidRPr="00374098">
        <w:rPr>
          <w:i/>
          <w:iCs/>
        </w:rPr>
        <w:t>The Atlantic</w:t>
      </w:r>
      <w:r w:rsidRPr="0022402F">
        <w:t>, September.</w:t>
      </w:r>
    </w:p>
    <w:p w14:paraId="6C56C5CA" w14:textId="77777777" w:rsidR="00374098" w:rsidRPr="00686150" w:rsidRDefault="00374098" w:rsidP="00374098">
      <w:pPr>
        <w:spacing w:after="100" w:afterAutospacing="1"/>
        <w:contextualSpacing/>
      </w:pPr>
      <w:r w:rsidRPr="00686150">
        <w:t xml:space="preserve">Brotherton, B. (2015) </w:t>
      </w:r>
      <w:r w:rsidRPr="00374098">
        <w:rPr>
          <w:i/>
          <w:iCs/>
        </w:rPr>
        <w:t>Researching Hospitality and Tourism.</w:t>
      </w:r>
      <w:r w:rsidRPr="00686150">
        <w:t xml:space="preserve"> 2nd </w:t>
      </w:r>
      <w:proofErr w:type="spellStart"/>
      <w:r w:rsidRPr="00686150">
        <w:t>edn</w:t>
      </w:r>
      <w:proofErr w:type="spellEnd"/>
      <w:r w:rsidRPr="00686150">
        <w:t>. London: SAGE.</w:t>
      </w:r>
    </w:p>
    <w:p w14:paraId="57EED097" w14:textId="77777777" w:rsidR="00374098" w:rsidRPr="00686150" w:rsidRDefault="00374098" w:rsidP="00374098">
      <w:pPr>
        <w:spacing w:after="100" w:afterAutospacing="1"/>
        <w:contextualSpacing/>
      </w:pPr>
      <w:r w:rsidRPr="00686150">
        <w:t>Caterer.com (</w:t>
      </w:r>
      <w:proofErr w:type="spellStart"/>
      <w:r w:rsidRPr="00686150">
        <w:t>2025</w:t>
      </w:r>
      <w:r>
        <w:t>a</w:t>
      </w:r>
      <w:proofErr w:type="spellEnd"/>
      <w:r w:rsidRPr="00686150">
        <w:t>)</w:t>
      </w:r>
      <w:r w:rsidRPr="00B700C3">
        <w:t xml:space="preserve"> </w:t>
      </w:r>
      <w:r w:rsidRPr="00374098">
        <w:rPr>
          <w:i/>
          <w:iCs/>
        </w:rPr>
        <w:t>Hospitality recruitment in 2025: Navigating diversity, technology, and talent expectations</w:t>
      </w:r>
      <w:r w:rsidRPr="00374098">
        <w:rPr>
          <w:i/>
          <w:iCs/>
        </w:rPr>
        <w:t>.</w:t>
      </w:r>
      <w:r w:rsidRPr="00686150">
        <w:t xml:space="preserve"> Available at: </w:t>
      </w:r>
      <w:hyperlink r:id="rId8" w:history="1">
        <w:r w:rsidRPr="0009191A">
          <w:rPr>
            <w:rStyle w:val="Hyperlink"/>
          </w:rPr>
          <w:t>https://www.caterer.com/recruiter-advice/hospitality-recruitment-in-2025-navigating-diversity-technology-and-talent-expectations</w:t>
        </w:r>
      </w:hyperlink>
      <w:r>
        <w:t xml:space="preserve"> </w:t>
      </w:r>
      <w:r w:rsidRPr="00686150">
        <w:t>(Accessed: 10 October 2025).</w:t>
      </w:r>
    </w:p>
    <w:p w14:paraId="7FC51495" w14:textId="77777777" w:rsidR="00374098" w:rsidRPr="00686150" w:rsidRDefault="00374098" w:rsidP="00374098">
      <w:pPr>
        <w:spacing w:after="100" w:afterAutospacing="1"/>
        <w:contextualSpacing/>
      </w:pPr>
      <w:r w:rsidRPr="00272728">
        <w:t>Caterer.com</w:t>
      </w:r>
      <w:r w:rsidRPr="00374098">
        <w:rPr>
          <w:i/>
          <w:iCs/>
        </w:rPr>
        <w:t xml:space="preserve"> </w:t>
      </w:r>
      <w:r w:rsidRPr="00686150">
        <w:t>(</w:t>
      </w:r>
      <w:proofErr w:type="spellStart"/>
      <w:r w:rsidRPr="00686150">
        <w:t>2025</w:t>
      </w:r>
      <w:r>
        <w:t>b</w:t>
      </w:r>
      <w:proofErr w:type="spellEnd"/>
      <w:r w:rsidRPr="00686150">
        <w:t>)</w:t>
      </w:r>
      <w:r w:rsidRPr="00374098">
        <w:rPr>
          <w:i/>
          <w:iCs/>
        </w:rPr>
        <w:t xml:space="preserve"> </w:t>
      </w:r>
      <w:r w:rsidRPr="00374098">
        <w:rPr>
          <w:i/>
          <w:iCs/>
        </w:rPr>
        <w:t>Hospitality Heroes 2025: A Game-Changer for Hiring in Hospitality</w:t>
      </w:r>
      <w:r w:rsidRPr="00374098">
        <w:rPr>
          <w:i/>
          <w:iCs/>
        </w:rPr>
        <w:t>.</w:t>
      </w:r>
      <w:r w:rsidRPr="00686150">
        <w:t xml:space="preserve"> </w:t>
      </w:r>
      <w:r>
        <w:t xml:space="preserve">Available at: </w:t>
      </w:r>
      <w:hyperlink r:id="rId9" w:history="1">
        <w:r w:rsidRPr="0009191A">
          <w:rPr>
            <w:rStyle w:val="Hyperlink"/>
          </w:rPr>
          <w:t>https://www.caterer.com/recruiter-advice/hospitality-heroes-2025-a-game-changer-for-hiring-in-hospitality</w:t>
        </w:r>
      </w:hyperlink>
      <w:r>
        <w:t xml:space="preserve"> </w:t>
      </w:r>
      <w:r w:rsidRPr="00686150">
        <w:t>(Accessed: 10 October 2025).</w:t>
      </w:r>
    </w:p>
    <w:p w14:paraId="46B38F44" w14:textId="77777777" w:rsidR="00374098" w:rsidRDefault="00374098" w:rsidP="00374098">
      <w:pPr>
        <w:spacing w:after="100" w:afterAutospacing="1"/>
        <w:contextualSpacing/>
      </w:pPr>
      <w:proofErr w:type="spellStart"/>
      <w:r w:rsidRPr="00686150">
        <w:t>Černickaja</w:t>
      </w:r>
      <w:proofErr w:type="spellEnd"/>
      <w:r w:rsidRPr="00686150">
        <w:t xml:space="preserve">, A. and Sokolová, D. (2024) </w:t>
      </w:r>
      <w:r w:rsidRPr="00374098">
        <w:rPr>
          <w:i/>
          <w:iCs/>
        </w:rPr>
        <w:t>What Else Can We Do to Create an Inclusive Environment? Human Resources Specialists About Neurodiversity.</w:t>
      </w:r>
      <w:r w:rsidRPr="00686150">
        <w:t xml:space="preserve"> Prague: Charles University Press.</w:t>
      </w:r>
    </w:p>
    <w:p w14:paraId="718BF659" w14:textId="77777777" w:rsidR="00374098" w:rsidRDefault="00374098" w:rsidP="00374098">
      <w:pPr>
        <w:spacing w:after="100" w:afterAutospacing="1"/>
        <w:contextualSpacing/>
      </w:pPr>
      <w:r w:rsidRPr="00A144C5">
        <w:t>Equality and Human Rights Commission</w:t>
      </w:r>
      <w:r>
        <w:t xml:space="preserve"> (2025)</w:t>
      </w:r>
      <w:r>
        <w:t xml:space="preserve"> </w:t>
      </w:r>
      <w:r w:rsidRPr="00374098">
        <w:rPr>
          <w:i/>
          <w:iCs/>
        </w:rPr>
        <w:t>Equality and Human Rights Commission</w:t>
      </w:r>
      <w:r w:rsidRPr="00374098">
        <w:rPr>
          <w:i/>
          <w:iCs/>
        </w:rPr>
        <w:t xml:space="preserve"> - </w:t>
      </w:r>
      <w:r w:rsidRPr="00374098">
        <w:rPr>
          <w:i/>
          <w:iCs/>
        </w:rPr>
        <w:t>Using our powers to defend your freedom and promote a fairer England, Scotland and Wales</w:t>
      </w:r>
      <w:r>
        <w:t xml:space="preserve">. Available at: </w:t>
      </w:r>
      <w:hyperlink r:id="rId10" w:history="1">
        <w:r w:rsidRPr="0009191A">
          <w:rPr>
            <w:rStyle w:val="Hyperlink"/>
          </w:rPr>
          <w:t>https://www.equalityhumanrights.com/</w:t>
        </w:r>
      </w:hyperlink>
      <w:r>
        <w:t xml:space="preserve"> </w:t>
      </w:r>
      <w:r w:rsidRPr="00686150">
        <w:t>(Accessed: 1</w:t>
      </w:r>
      <w:r>
        <w:t>1</w:t>
      </w:r>
      <w:r w:rsidRPr="00686150">
        <w:t xml:space="preserve"> October 2025).</w:t>
      </w:r>
    </w:p>
    <w:p w14:paraId="21769B96" w14:textId="77777777" w:rsidR="00374098" w:rsidRDefault="00374098" w:rsidP="00374098">
      <w:pPr>
        <w:spacing w:after="100" w:afterAutospacing="1"/>
        <w:contextualSpacing/>
      </w:pPr>
      <w:r>
        <w:t xml:space="preserve">Hospitality Action (2025) </w:t>
      </w:r>
      <w:r w:rsidRPr="00374098">
        <w:rPr>
          <w:i/>
          <w:iCs/>
        </w:rPr>
        <w:t>Choose us in 2025</w:t>
      </w:r>
      <w:r w:rsidRPr="00374098">
        <w:rPr>
          <w:i/>
          <w:iCs/>
        </w:rPr>
        <w:t xml:space="preserve"> - </w:t>
      </w:r>
      <w:r w:rsidRPr="00374098">
        <w:rPr>
          <w:i/>
          <w:iCs/>
        </w:rPr>
        <w:t>Hospitality Action</w:t>
      </w:r>
      <w:r w:rsidRPr="00374098">
        <w:rPr>
          <w:i/>
          <w:iCs/>
        </w:rPr>
        <w:t xml:space="preserve"> - </w:t>
      </w:r>
      <w:r w:rsidRPr="00374098">
        <w:rPr>
          <w:i/>
          <w:iCs/>
        </w:rPr>
        <w:t>We’ve got you</w:t>
      </w:r>
      <w:r>
        <w:t>.</w:t>
      </w:r>
      <w:r>
        <w:t xml:space="preserve"> Available at: </w:t>
      </w:r>
      <w:hyperlink r:id="rId11" w:history="1">
        <w:r w:rsidRPr="0009191A">
          <w:rPr>
            <w:rStyle w:val="Hyperlink"/>
          </w:rPr>
          <w:t>https://www.hospitalityaction.org.uk/</w:t>
        </w:r>
      </w:hyperlink>
      <w:r>
        <w:t xml:space="preserve"> </w:t>
      </w:r>
      <w:r w:rsidRPr="00686150">
        <w:t>(Accessed: 1</w:t>
      </w:r>
      <w:r>
        <w:t>1</w:t>
      </w:r>
      <w:r w:rsidRPr="00686150">
        <w:t xml:space="preserve"> October 2025).</w:t>
      </w:r>
    </w:p>
    <w:p w14:paraId="5E3B88A8" w14:textId="77777777" w:rsidR="00374098" w:rsidRPr="00686150" w:rsidRDefault="00374098" w:rsidP="00374098">
      <w:pPr>
        <w:spacing w:after="100" w:afterAutospacing="1"/>
        <w:contextualSpacing/>
      </w:pPr>
      <w:r w:rsidRPr="00686150">
        <w:t xml:space="preserve">Hotte-Meunier, A., Sarraf, L., </w:t>
      </w:r>
      <w:proofErr w:type="spellStart"/>
      <w:r w:rsidRPr="00686150">
        <w:t>Bougeard</w:t>
      </w:r>
      <w:proofErr w:type="spellEnd"/>
      <w:r w:rsidRPr="00686150">
        <w:t xml:space="preserve">, A., Bernier, F. and Sauvé, G. (2024) ‘Strengths and challenges to embrace attention-deficit/hyperactivity disorder in employment—A systematic review’, </w:t>
      </w:r>
      <w:r w:rsidRPr="00374098">
        <w:rPr>
          <w:i/>
          <w:iCs/>
        </w:rPr>
        <w:t>Neurodiversity</w:t>
      </w:r>
      <w:r w:rsidRPr="00686150">
        <w:t>, 2(1), pp. 1–13.</w:t>
      </w:r>
    </w:p>
    <w:p w14:paraId="2CF67398" w14:textId="77777777" w:rsidR="00374098" w:rsidRPr="00686150" w:rsidRDefault="00374098" w:rsidP="00374098">
      <w:pPr>
        <w:spacing w:after="100" w:afterAutospacing="1"/>
        <w:contextualSpacing/>
      </w:pPr>
      <w:r w:rsidRPr="00686150">
        <w:t xml:space="preserve">Houran, B.M. (2025) </w:t>
      </w:r>
      <w:r w:rsidRPr="00374098">
        <w:rPr>
          <w:i/>
          <w:iCs/>
        </w:rPr>
        <w:t>Investing in Leaders to Support Neurodiversity at Work.</w:t>
      </w:r>
      <w:r w:rsidRPr="00686150">
        <w:t xml:space="preserve"> New York: Emerald Insight.</w:t>
      </w:r>
    </w:p>
    <w:p w14:paraId="05BD4A8A" w14:textId="77777777" w:rsidR="00374098" w:rsidRPr="00686150" w:rsidRDefault="00374098" w:rsidP="00374098">
      <w:pPr>
        <w:spacing w:after="100" w:afterAutospacing="1"/>
        <w:contextualSpacing/>
      </w:pPr>
      <w:r w:rsidRPr="00644800">
        <w:lastRenderedPageBreak/>
        <w:t>Hyland, S.</w:t>
      </w:r>
      <w:r>
        <w:t xml:space="preserve"> and</w:t>
      </w:r>
      <w:r w:rsidRPr="00644800">
        <w:t xml:space="preserve"> Connolly, J. </w:t>
      </w:r>
      <w:r>
        <w:t xml:space="preserve">(2018) </w:t>
      </w:r>
      <w:r w:rsidRPr="00374098">
        <w:rPr>
          <w:i/>
          <w:iCs/>
        </w:rPr>
        <w:t>Companies Leading in Disability Inclusion Have Outperformed Peers</w:t>
      </w:r>
      <w:r w:rsidRPr="00644800">
        <w:t>. Accenture Research Finds.</w:t>
      </w:r>
      <w:r>
        <w:t xml:space="preserve"> </w:t>
      </w:r>
      <w:r w:rsidRPr="00644800">
        <w:t xml:space="preserve">Available </w:t>
      </w:r>
      <w:r>
        <w:t>at</w:t>
      </w:r>
      <w:r w:rsidRPr="00644800">
        <w:t xml:space="preserve">: </w:t>
      </w:r>
      <w:hyperlink r:id="rId12" w:history="1">
        <w:r w:rsidRPr="00644800">
          <w:rPr>
            <w:rStyle w:val="Hyperlink"/>
          </w:rPr>
          <w:t>https://newsroom.accenture.com/news/2018/companies-leading-in-disability-inclusion-have-outperformedpeers-</w:t>
        </w:r>
        <w:r w:rsidRPr="0009191A">
          <w:rPr>
            <w:rStyle w:val="Hyperlink"/>
          </w:rPr>
          <w:t>accenture-research-finds</w:t>
        </w:r>
      </w:hyperlink>
      <w:r>
        <w:t xml:space="preserve"> </w:t>
      </w:r>
      <w:r w:rsidRPr="00644800">
        <w:t xml:space="preserve"> </w:t>
      </w:r>
      <w:r w:rsidRPr="00686150">
        <w:t>(Accessed: 10 October 2025).</w:t>
      </w:r>
    </w:p>
    <w:p w14:paraId="49E14C13" w14:textId="77777777" w:rsidR="00374098" w:rsidRPr="00686150" w:rsidRDefault="00374098" w:rsidP="00374098">
      <w:pPr>
        <w:spacing w:after="100" w:afterAutospacing="1"/>
        <w:contextualSpacing/>
      </w:pPr>
      <w:proofErr w:type="spellStart"/>
      <w:r w:rsidRPr="00686150">
        <w:t>IDeaS</w:t>
      </w:r>
      <w:proofErr w:type="spellEnd"/>
      <w:r w:rsidRPr="00686150">
        <w:t xml:space="preserve"> Revenue Solutions (2025) </w:t>
      </w:r>
      <w:r w:rsidRPr="00374098">
        <w:rPr>
          <w:i/>
          <w:iCs/>
        </w:rPr>
        <w:t>5 Predictions That Will Shape Hospitality in 2025.</w:t>
      </w:r>
      <w:r w:rsidRPr="00686150">
        <w:t xml:space="preserve"> Minneapolis: </w:t>
      </w:r>
      <w:proofErr w:type="spellStart"/>
      <w:r w:rsidRPr="00686150">
        <w:t>IDeaS</w:t>
      </w:r>
      <w:proofErr w:type="spellEnd"/>
      <w:r w:rsidRPr="00686150">
        <w:t xml:space="preserve"> Revenue Solutions.</w:t>
      </w:r>
      <w:r>
        <w:t xml:space="preserve"> Available at: </w:t>
      </w:r>
      <w:hyperlink r:id="rId13" w:history="1">
        <w:r w:rsidRPr="0009191A">
          <w:rPr>
            <w:rStyle w:val="Hyperlink"/>
          </w:rPr>
          <w:t>https://ideas.com/news/ideas-unveils-2025-predictions-shaping-hospitality/</w:t>
        </w:r>
      </w:hyperlink>
      <w:r>
        <w:t xml:space="preserve"> </w:t>
      </w:r>
      <w:r w:rsidRPr="00686150">
        <w:t>(Accessed: 10 October 2025).</w:t>
      </w:r>
    </w:p>
    <w:p w14:paraId="63305ABA" w14:textId="77777777" w:rsidR="00374098" w:rsidRPr="00686150" w:rsidRDefault="00374098" w:rsidP="00374098">
      <w:pPr>
        <w:spacing w:after="100" w:afterAutospacing="1"/>
        <w:contextualSpacing/>
      </w:pPr>
      <w:r w:rsidRPr="00686150">
        <w:t xml:space="preserve">Jolley, J.H. (2018) </w:t>
      </w:r>
      <w:r w:rsidRPr="00374098">
        <w:rPr>
          <w:i/>
          <w:iCs/>
        </w:rPr>
        <w:t>Understanding the Needs of Neurodiverse Employees in the Workplace.</w:t>
      </w:r>
      <w:r w:rsidRPr="00686150">
        <w:t xml:space="preserve"> San Diego, CA: Northcentral University.</w:t>
      </w:r>
    </w:p>
    <w:p w14:paraId="51158C01" w14:textId="77777777" w:rsidR="00374098" w:rsidRDefault="00374098" w:rsidP="00374098">
      <w:pPr>
        <w:spacing w:after="100" w:afterAutospacing="1"/>
        <w:contextualSpacing/>
      </w:pPr>
      <w:r>
        <w:t xml:space="preserve">Legislation.gov.uk (2010) </w:t>
      </w:r>
      <w:r w:rsidRPr="00374098">
        <w:rPr>
          <w:i/>
          <w:iCs/>
        </w:rPr>
        <w:t>Equality Act 2010</w:t>
      </w:r>
      <w:r>
        <w:t xml:space="preserve">. Available at: </w:t>
      </w:r>
      <w:hyperlink r:id="rId14" w:history="1">
        <w:r w:rsidRPr="0009191A">
          <w:rPr>
            <w:rStyle w:val="Hyperlink"/>
          </w:rPr>
          <w:t>https://www.legislation.gov.uk/ukpga/2010/15/contents</w:t>
        </w:r>
      </w:hyperlink>
      <w:r>
        <w:t xml:space="preserve"> </w:t>
      </w:r>
      <w:r w:rsidRPr="00686150">
        <w:t>(Accessed: 1</w:t>
      </w:r>
      <w:r>
        <w:t>1</w:t>
      </w:r>
      <w:r w:rsidRPr="00686150">
        <w:t xml:space="preserve"> October 2025).</w:t>
      </w:r>
    </w:p>
    <w:p w14:paraId="42A8D48F" w14:textId="77777777" w:rsidR="00374098" w:rsidRPr="00686150" w:rsidRDefault="00374098" w:rsidP="00374098">
      <w:pPr>
        <w:spacing w:after="100" w:afterAutospacing="1"/>
        <w:contextualSpacing/>
      </w:pPr>
      <w:r w:rsidRPr="00686150">
        <w:t xml:space="preserve">Marriott International (cited in Houran, 2025) </w:t>
      </w:r>
      <w:r w:rsidRPr="00374098">
        <w:rPr>
          <w:i/>
          <w:iCs/>
        </w:rPr>
        <w:t>Pathways to Opportunity</w:t>
      </w:r>
      <w:r w:rsidRPr="00686150">
        <w:t xml:space="preserve"> [corporate programme].</w:t>
      </w:r>
    </w:p>
    <w:p w14:paraId="61EF55C1" w14:textId="77777777" w:rsidR="00374098" w:rsidRDefault="00374098" w:rsidP="00374098">
      <w:pPr>
        <w:spacing w:after="100" w:afterAutospacing="1"/>
        <w:contextualSpacing/>
      </w:pPr>
      <w:r w:rsidRPr="00686150">
        <w:t xml:space="preserve">Robson, C. (2016) </w:t>
      </w:r>
      <w:r w:rsidRPr="00374098">
        <w:rPr>
          <w:i/>
          <w:iCs/>
        </w:rPr>
        <w:t>Real World Research.</w:t>
      </w:r>
      <w:r w:rsidRPr="00686150">
        <w:t xml:space="preserve"> 4th </w:t>
      </w:r>
      <w:proofErr w:type="spellStart"/>
      <w:r w:rsidRPr="00686150">
        <w:t>edn</w:t>
      </w:r>
      <w:proofErr w:type="spellEnd"/>
      <w:r w:rsidRPr="00686150">
        <w:t>. Chichester: Wiley.</w:t>
      </w:r>
    </w:p>
    <w:p w14:paraId="35B9A4DB" w14:textId="77777777" w:rsidR="00374098" w:rsidRPr="00686150" w:rsidRDefault="00374098" w:rsidP="00374098">
      <w:pPr>
        <w:spacing w:after="100" w:afterAutospacing="1"/>
        <w:contextualSpacing/>
      </w:pPr>
      <w:proofErr w:type="spellStart"/>
      <w:r w:rsidRPr="00686150">
        <w:t>Rollnik</w:t>
      </w:r>
      <w:proofErr w:type="spellEnd"/>
      <w:r w:rsidRPr="00686150">
        <w:t xml:space="preserve">-Sadowska, E. and Grabińska, V. (2024) ‘Managing neurodiversity in workplaces: A review and future research agenda for sustainable human resource management’, </w:t>
      </w:r>
      <w:r w:rsidRPr="00374098">
        <w:rPr>
          <w:i/>
          <w:iCs/>
        </w:rPr>
        <w:t>Sustainability</w:t>
      </w:r>
      <w:r w:rsidRPr="00686150">
        <w:t>, 16(6594), pp. 1–15.</w:t>
      </w:r>
    </w:p>
    <w:p w14:paraId="2DF633EF" w14:textId="77777777" w:rsidR="00374098" w:rsidRPr="001E7126" w:rsidRDefault="00374098" w:rsidP="00374098">
      <w:pPr>
        <w:contextualSpacing/>
      </w:pPr>
      <w:r w:rsidRPr="00B07A13">
        <w:t xml:space="preserve">Saunders, M., Lewis, P. and Thornhill, A. (2019) </w:t>
      </w:r>
      <w:r w:rsidRPr="00374098">
        <w:rPr>
          <w:i/>
          <w:iCs/>
        </w:rPr>
        <w:t>Research Methods for Business Students.</w:t>
      </w:r>
      <w:r w:rsidRPr="00B07A13">
        <w:t xml:space="preserve"> 8th </w:t>
      </w:r>
      <w:proofErr w:type="spellStart"/>
      <w:r w:rsidRPr="00B07A13">
        <w:t>edn</w:t>
      </w:r>
      <w:proofErr w:type="spellEnd"/>
      <w:r w:rsidRPr="00B07A13">
        <w:t>. Harlow: Pearson Education.</w:t>
      </w:r>
    </w:p>
    <w:p w14:paraId="59333183" w14:textId="77777777" w:rsidR="00374098" w:rsidRPr="00686150" w:rsidRDefault="00374098" w:rsidP="00374098">
      <w:pPr>
        <w:spacing w:after="100" w:afterAutospacing="1"/>
        <w:contextualSpacing/>
      </w:pPr>
      <w:r w:rsidRPr="00120926">
        <w:t xml:space="preserve">Singer, J. (1999) </w:t>
      </w:r>
      <w:r w:rsidRPr="00374098">
        <w:rPr>
          <w:i/>
          <w:iCs/>
        </w:rPr>
        <w:t>Why Can’t You Be Normal for Once in Your Life?</w:t>
      </w:r>
      <w:r w:rsidRPr="00120926">
        <w:t xml:space="preserve"> Sydney: University of Technology Sydney.</w:t>
      </w:r>
    </w:p>
    <w:p w14:paraId="1BFF58B1" w14:textId="77777777" w:rsidR="00374098" w:rsidRDefault="00374098" w:rsidP="00374098">
      <w:pPr>
        <w:spacing w:after="100" w:afterAutospacing="1"/>
        <w:contextualSpacing/>
      </w:pPr>
      <w:r>
        <w:t xml:space="preserve">The Burnt Chef Project (2025) </w:t>
      </w:r>
      <w:r w:rsidRPr="00374098">
        <w:rPr>
          <w:i/>
          <w:iCs/>
        </w:rPr>
        <w:t>Hospitality Mental Health Awareness</w:t>
      </w:r>
      <w:r>
        <w:t xml:space="preserve">. </w:t>
      </w:r>
      <w:r>
        <w:t>Available at:</w:t>
      </w:r>
      <w:r>
        <w:t xml:space="preserve"> </w:t>
      </w:r>
      <w:hyperlink r:id="rId15" w:history="1">
        <w:r w:rsidRPr="0009191A">
          <w:rPr>
            <w:rStyle w:val="Hyperlink"/>
          </w:rPr>
          <w:t>https://www.theburntchefproject.com/</w:t>
        </w:r>
      </w:hyperlink>
      <w:r>
        <w:t xml:space="preserve"> </w:t>
      </w:r>
      <w:r w:rsidRPr="00686150">
        <w:t>(Accessed: 1</w:t>
      </w:r>
      <w:r>
        <w:t>1</w:t>
      </w:r>
      <w:r w:rsidRPr="00686150">
        <w:t xml:space="preserve"> October 2025).</w:t>
      </w:r>
    </w:p>
    <w:p w14:paraId="2DFA3992" w14:textId="77777777" w:rsidR="00374098" w:rsidRPr="00686150" w:rsidRDefault="00374098" w:rsidP="00374098">
      <w:pPr>
        <w:spacing w:after="100" w:afterAutospacing="1"/>
        <w:contextualSpacing/>
      </w:pPr>
      <w:r>
        <w:t xml:space="preserve">United Nations (2008) </w:t>
      </w:r>
      <w:r w:rsidRPr="00374098">
        <w:rPr>
          <w:i/>
          <w:iCs/>
        </w:rPr>
        <w:t>Convention on the Rights of Persons with Disabilities and Optional Protocol</w:t>
      </w:r>
      <w:r>
        <w:t xml:space="preserve">. Available at: </w:t>
      </w:r>
      <w:hyperlink r:id="rId16" w:history="1">
        <w:r w:rsidRPr="0009191A">
          <w:rPr>
            <w:rStyle w:val="Hyperlink"/>
          </w:rPr>
          <w:t>https://www.un.org/disabilities/documents/convention/convoptprot-e.pdf</w:t>
        </w:r>
      </w:hyperlink>
      <w:r>
        <w:t xml:space="preserve"> </w:t>
      </w:r>
      <w:r w:rsidRPr="00686150">
        <w:t>(Accessed: 1</w:t>
      </w:r>
      <w:r>
        <w:t>1</w:t>
      </w:r>
      <w:r w:rsidRPr="00686150">
        <w:t xml:space="preserve"> October 2025).</w:t>
      </w:r>
    </w:p>
    <w:p w14:paraId="737F6383" w14:textId="77777777" w:rsidR="00374098" w:rsidRPr="00686150" w:rsidRDefault="00374098" w:rsidP="00374098">
      <w:pPr>
        <w:spacing w:after="100" w:afterAutospacing="1"/>
        <w:contextualSpacing/>
      </w:pPr>
      <w:r w:rsidRPr="00686150">
        <w:t>University of Wales Trinity Saint David (</w:t>
      </w:r>
      <w:proofErr w:type="spellStart"/>
      <w:r w:rsidRPr="00686150">
        <w:t>UWTSD</w:t>
      </w:r>
      <w:proofErr w:type="spellEnd"/>
      <w:r w:rsidRPr="00686150">
        <w:t xml:space="preserve">) (2023) </w:t>
      </w:r>
      <w:r w:rsidRPr="00374098">
        <w:rPr>
          <w:i/>
          <w:iCs/>
        </w:rPr>
        <w:t>Harvard Referencing Handbook.</w:t>
      </w:r>
      <w:r w:rsidRPr="00686150">
        <w:t xml:space="preserve"> Version 1.3. Lampeter: </w:t>
      </w:r>
      <w:proofErr w:type="spellStart"/>
      <w:r w:rsidRPr="00686150">
        <w:t>UWTSD</w:t>
      </w:r>
      <w:proofErr w:type="spellEnd"/>
      <w:r w:rsidRPr="00686150">
        <w:t xml:space="preserve"> Library and Learning Resources.</w:t>
      </w:r>
    </w:p>
    <w:p w14:paraId="791991BF" w14:textId="77777777" w:rsidR="00374098" w:rsidRPr="00686150" w:rsidRDefault="00374098" w:rsidP="00374098">
      <w:pPr>
        <w:spacing w:after="100" w:afterAutospacing="1"/>
        <w:contextualSpacing/>
      </w:pPr>
      <w:r w:rsidRPr="00686150">
        <w:t xml:space="preserve">Vargas-Salas, O., Alcazar-Gonzales, J.C., Fernández-Fernández, F.A., Molina-Rodríguez, F.N., Paredes-Velazco, R. and </w:t>
      </w:r>
      <w:proofErr w:type="spellStart"/>
      <w:r w:rsidRPr="00686150">
        <w:t>Carcausto</w:t>
      </w:r>
      <w:proofErr w:type="spellEnd"/>
      <w:r w:rsidRPr="00686150">
        <w:t xml:space="preserve">-Zea, </w:t>
      </w:r>
      <w:proofErr w:type="spellStart"/>
      <w:r w:rsidRPr="00686150">
        <w:t>M.L</w:t>
      </w:r>
      <w:proofErr w:type="spellEnd"/>
      <w:r w:rsidRPr="00686150">
        <w:t xml:space="preserve">. (2025) ‘Neurodivergence and the workplace: A systematic review of the literature’, </w:t>
      </w:r>
      <w:r w:rsidRPr="00374098">
        <w:rPr>
          <w:i/>
          <w:iCs/>
        </w:rPr>
        <w:t>Journal of Vocational Rehabilitation</w:t>
      </w:r>
      <w:r w:rsidRPr="00686150">
        <w:t>, 63(1), pp. 83–94.</w:t>
      </w:r>
    </w:p>
    <w:p w14:paraId="64F941A6" w14:textId="77777777" w:rsidR="00374098" w:rsidRPr="00686150" w:rsidRDefault="00374098" w:rsidP="00374098">
      <w:pPr>
        <w:spacing w:after="100" w:afterAutospacing="1"/>
        <w:contextualSpacing/>
      </w:pPr>
      <w:r w:rsidRPr="00686150">
        <w:t xml:space="preserve">Varriale, L., </w:t>
      </w:r>
      <w:proofErr w:type="spellStart"/>
      <w:r w:rsidRPr="00686150">
        <w:t>Pagliarino</w:t>
      </w:r>
      <w:proofErr w:type="spellEnd"/>
      <w:r w:rsidRPr="00686150">
        <w:t xml:space="preserve">, E. and Boccuzzi, G. (2023) ‘Digital technologies for promoting the inclusion of workers with disabilities: A brief investigation’, </w:t>
      </w:r>
      <w:r w:rsidRPr="00374098">
        <w:rPr>
          <w:i/>
          <w:iCs/>
        </w:rPr>
        <w:t>Journal of Inclusive Innovation</w:t>
      </w:r>
      <w:r w:rsidRPr="00686150">
        <w:t>, 5(2), pp. 45–58.</w:t>
      </w:r>
    </w:p>
    <w:p w14:paraId="1A0EC09A" w14:textId="722E4B10" w:rsidR="00C3790B" w:rsidRDefault="00374098" w:rsidP="00DA2FA3">
      <w:pPr>
        <w:spacing w:after="100" w:afterAutospacing="1"/>
        <w:contextualSpacing/>
      </w:pPr>
      <w:r w:rsidRPr="00686150">
        <w:lastRenderedPageBreak/>
        <w:t xml:space="preserve">Wen, B., Legault, K., Coffey, L., and Lovegrove, D. (2024) ‘Autism and neurodiversity in the workplace: A scoping review of key trends, employer roles, interventions and supports’, </w:t>
      </w:r>
      <w:r w:rsidRPr="00374098">
        <w:rPr>
          <w:i/>
          <w:iCs/>
        </w:rPr>
        <w:t>Workplace Diversity Review</w:t>
      </w:r>
      <w:r w:rsidRPr="00686150">
        <w:t>, 12(4), pp. 215–232.</w:t>
      </w:r>
    </w:p>
    <w:sectPr w:rsidR="00C3790B" w:rsidSect="004213D6">
      <w:footerReference w:type="default" r:id="rId17"/>
      <w:pgSz w:w="11906" w:h="16838"/>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8C3B7" w14:textId="77777777" w:rsidR="00EC7755" w:rsidRDefault="00EC7755" w:rsidP="00C3790B">
      <w:pPr>
        <w:spacing w:after="0" w:line="240" w:lineRule="auto"/>
      </w:pPr>
      <w:r>
        <w:separator/>
      </w:r>
    </w:p>
  </w:endnote>
  <w:endnote w:type="continuationSeparator" w:id="0">
    <w:p w14:paraId="5572E6CA" w14:textId="77777777" w:rsidR="00EC7755" w:rsidRDefault="00EC7755" w:rsidP="00C37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4467715"/>
      <w:docPartObj>
        <w:docPartGallery w:val="Page Numbers (Bottom of Page)"/>
        <w:docPartUnique/>
      </w:docPartObj>
    </w:sdtPr>
    <w:sdtEndPr>
      <w:rPr>
        <w:noProof/>
      </w:rPr>
    </w:sdtEndPr>
    <w:sdtContent>
      <w:p w14:paraId="2853227B" w14:textId="7FB095D1" w:rsidR="00C3790B" w:rsidRDefault="00C379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C0592D" w14:textId="77777777" w:rsidR="00C3790B" w:rsidRDefault="00C37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13EBF" w14:textId="77777777" w:rsidR="00EC7755" w:rsidRDefault="00EC7755" w:rsidP="00C3790B">
      <w:pPr>
        <w:spacing w:after="0" w:line="240" w:lineRule="auto"/>
      </w:pPr>
      <w:r>
        <w:separator/>
      </w:r>
    </w:p>
  </w:footnote>
  <w:footnote w:type="continuationSeparator" w:id="0">
    <w:p w14:paraId="2D08D3E6" w14:textId="77777777" w:rsidR="00EC7755" w:rsidRDefault="00EC7755" w:rsidP="00C379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532C5C"/>
    <w:multiLevelType w:val="hybridMultilevel"/>
    <w:tmpl w:val="F10E2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950D0B"/>
    <w:multiLevelType w:val="hybridMultilevel"/>
    <w:tmpl w:val="34BEB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C12799"/>
    <w:multiLevelType w:val="multilevel"/>
    <w:tmpl w:val="8806D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CD7B20"/>
    <w:multiLevelType w:val="hybridMultilevel"/>
    <w:tmpl w:val="3314E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1321446">
    <w:abstractNumId w:val="2"/>
  </w:num>
  <w:num w:numId="2" w16cid:durableId="722410467">
    <w:abstractNumId w:val="3"/>
  </w:num>
  <w:num w:numId="3" w16cid:durableId="1804927399">
    <w:abstractNumId w:val="1"/>
  </w:num>
  <w:num w:numId="4" w16cid:durableId="214700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90B"/>
    <w:rsid w:val="00026E6B"/>
    <w:rsid w:val="00034DB4"/>
    <w:rsid w:val="000375AC"/>
    <w:rsid w:val="0005656B"/>
    <w:rsid w:val="00097F95"/>
    <w:rsid w:val="00110C75"/>
    <w:rsid w:val="00120926"/>
    <w:rsid w:val="00173F2D"/>
    <w:rsid w:val="001A1218"/>
    <w:rsid w:val="001B3584"/>
    <w:rsid w:val="001C7B0F"/>
    <w:rsid w:val="001E7126"/>
    <w:rsid w:val="0022402F"/>
    <w:rsid w:val="00227BDD"/>
    <w:rsid w:val="002467EA"/>
    <w:rsid w:val="00272728"/>
    <w:rsid w:val="0028283C"/>
    <w:rsid w:val="0033572B"/>
    <w:rsid w:val="00374098"/>
    <w:rsid w:val="00394B78"/>
    <w:rsid w:val="00396162"/>
    <w:rsid w:val="00406CE3"/>
    <w:rsid w:val="004213D6"/>
    <w:rsid w:val="00430A1A"/>
    <w:rsid w:val="00465887"/>
    <w:rsid w:val="004A6F15"/>
    <w:rsid w:val="004E4864"/>
    <w:rsid w:val="00520B93"/>
    <w:rsid w:val="00527A22"/>
    <w:rsid w:val="005326F2"/>
    <w:rsid w:val="0053466E"/>
    <w:rsid w:val="00583C81"/>
    <w:rsid w:val="005F03BA"/>
    <w:rsid w:val="00605142"/>
    <w:rsid w:val="00625721"/>
    <w:rsid w:val="006371A9"/>
    <w:rsid w:val="00644800"/>
    <w:rsid w:val="006852C3"/>
    <w:rsid w:val="00686150"/>
    <w:rsid w:val="006B7E31"/>
    <w:rsid w:val="006C4BC3"/>
    <w:rsid w:val="006E055F"/>
    <w:rsid w:val="006F12B5"/>
    <w:rsid w:val="006F3843"/>
    <w:rsid w:val="007014E4"/>
    <w:rsid w:val="007419F6"/>
    <w:rsid w:val="007711B9"/>
    <w:rsid w:val="00786D3E"/>
    <w:rsid w:val="007A0173"/>
    <w:rsid w:val="007B49E4"/>
    <w:rsid w:val="007F563D"/>
    <w:rsid w:val="00851ADA"/>
    <w:rsid w:val="00866FBE"/>
    <w:rsid w:val="009D28EE"/>
    <w:rsid w:val="00A144C5"/>
    <w:rsid w:val="00A46522"/>
    <w:rsid w:val="00A85A88"/>
    <w:rsid w:val="00A931A9"/>
    <w:rsid w:val="00A96B1E"/>
    <w:rsid w:val="00AA2096"/>
    <w:rsid w:val="00B07A13"/>
    <w:rsid w:val="00B114D0"/>
    <w:rsid w:val="00B1290F"/>
    <w:rsid w:val="00B36702"/>
    <w:rsid w:val="00B36F6C"/>
    <w:rsid w:val="00B556B3"/>
    <w:rsid w:val="00B700C3"/>
    <w:rsid w:val="00BA66D4"/>
    <w:rsid w:val="00C15877"/>
    <w:rsid w:val="00C3790B"/>
    <w:rsid w:val="00C4595B"/>
    <w:rsid w:val="00D00FAC"/>
    <w:rsid w:val="00D3418A"/>
    <w:rsid w:val="00D646BD"/>
    <w:rsid w:val="00D80129"/>
    <w:rsid w:val="00D84A06"/>
    <w:rsid w:val="00D9475C"/>
    <w:rsid w:val="00DA2FA3"/>
    <w:rsid w:val="00DB71A8"/>
    <w:rsid w:val="00E17379"/>
    <w:rsid w:val="00E530DA"/>
    <w:rsid w:val="00EC7755"/>
    <w:rsid w:val="00F1154D"/>
    <w:rsid w:val="00F30115"/>
    <w:rsid w:val="00F30E32"/>
    <w:rsid w:val="00FB4FA2"/>
    <w:rsid w:val="00FD7C83"/>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D5F92"/>
  <w15:chartTrackingRefBased/>
  <w15:docId w15:val="{98E4E2E8-4CDA-42EB-9D83-3C5DABD6B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90B"/>
    <w:rPr>
      <w:rFonts w:ascii="Arial" w:hAnsi="Arial"/>
    </w:rPr>
  </w:style>
  <w:style w:type="paragraph" w:styleId="Heading1">
    <w:name w:val="heading 1"/>
    <w:basedOn w:val="Normal"/>
    <w:next w:val="Normal"/>
    <w:link w:val="Heading1Char"/>
    <w:uiPriority w:val="9"/>
    <w:qFormat/>
    <w:rsid w:val="00C3790B"/>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51ADA"/>
    <w:pPr>
      <w:keepNext/>
      <w:keepLines/>
      <w:spacing w:before="40" w:after="0"/>
      <w:jc w:val="center"/>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51ADA"/>
    <w:pPr>
      <w:keepNext/>
      <w:keepLines/>
      <w:spacing w:before="160" w:after="80"/>
      <w:jc w:val="center"/>
      <w:outlineLvl w:val="2"/>
    </w:pPr>
    <w:rPr>
      <w:rFonts w:eastAsiaTheme="majorEastAsia" w:cstheme="majorBidi"/>
      <w:sz w:val="26"/>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37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7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7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7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7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90B"/>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851ADA"/>
    <w:rPr>
      <w:rFonts w:ascii="Arial" w:eastAsiaTheme="majorEastAsia" w:hAnsi="Arial" w:cstheme="majorBidi"/>
      <w:b/>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851ADA"/>
    <w:rPr>
      <w:rFonts w:ascii="Arial" w:eastAsiaTheme="majorEastAsia" w:hAnsi="Arial" w:cstheme="majorBidi"/>
      <w:sz w:val="26"/>
      <w:szCs w:val="28"/>
    </w:rPr>
  </w:style>
  <w:style w:type="character" w:customStyle="1" w:styleId="Heading5Char">
    <w:name w:val="Heading 5 Char"/>
    <w:basedOn w:val="DefaultParagraphFont"/>
    <w:link w:val="Heading5"/>
    <w:uiPriority w:val="9"/>
    <w:semiHidden/>
    <w:rsid w:val="00C37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7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7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7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790B"/>
    <w:rPr>
      <w:rFonts w:eastAsiaTheme="majorEastAsia" w:cstheme="majorBidi"/>
      <w:color w:val="272727" w:themeColor="text1" w:themeTint="D8"/>
    </w:rPr>
  </w:style>
  <w:style w:type="paragraph" w:styleId="Title">
    <w:name w:val="Title"/>
    <w:basedOn w:val="Normal"/>
    <w:next w:val="Normal"/>
    <w:link w:val="TitleChar"/>
    <w:uiPriority w:val="10"/>
    <w:qFormat/>
    <w:rsid w:val="00C37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7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79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7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79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790B"/>
    <w:rPr>
      <w:i/>
      <w:iCs/>
      <w:color w:val="404040" w:themeColor="text1" w:themeTint="BF"/>
    </w:rPr>
  </w:style>
  <w:style w:type="character" w:styleId="IntenseEmphasis">
    <w:name w:val="Intense Emphasis"/>
    <w:basedOn w:val="DefaultParagraphFont"/>
    <w:uiPriority w:val="21"/>
    <w:qFormat/>
    <w:rsid w:val="00C3790B"/>
    <w:rPr>
      <w:i/>
      <w:iCs/>
      <w:color w:val="0F4761" w:themeColor="accent1" w:themeShade="BF"/>
    </w:rPr>
  </w:style>
  <w:style w:type="paragraph" w:styleId="IntenseQuote">
    <w:name w:val="Intense Quote"/>
    <w:basedOn w:val="Normal"/>
    <w:next w:val="Normal"/>
    <w:link w:val="IntenseQuoteChar"/>
    <w:uiPriority w:val="30"/>
    <w:qFormat/>
    <w:rsid w:val="00C37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790B"/>
    <w:rPr>
      <w:i/>
      <w:iCs/>
      <w:color w:val="0F4761" w:themeColor="accent1" w:themeShade="BF"/>
    </w:rPr>
  </w:style>
  <w:style w:type="character" w:styleId="IntenseReference">
    <w:name w:val="Intense Reference"/>
    <w:basedOn w:val="DefaultParagraphFont"/>
    <w:uiPriority w:val="32"/>
    <w:qFormat/>
    <w:rsid w:val="00C3790B"/>
    <w:rPr>
      <w:b/>
      <w:bCs/>
      <w:smallCaps/>
      <w:color w:val="0F4761" w:themeColor="accent1" w:themeShade="BF"/>
      <w:spacing w:val="5"/>
    </w:rPr>
  </w:style>
  <w:style w:type="paragraph" w:styleId="Header">
    <w:name w:val="header"/>
    <w:basedOn w:val="Normal"/>
    <w:link w:val="HeaderChar"/>
    <w:uiPriority w:val="99"/>
    <w:unhideWhenUsed/>
    <w:rsid w:val="00C37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90B"/>
    <w:rPr>
      <w:rFonts w:ascii="Arial" w:hAnsi="Arial"/>
    </w:rPr>
  </w:style>
  <w:style w:type="paragraph" w:styleId="Footer">
    <w:name w:val="footer"/>
    <w:basedOn w:val="Normal"/>
    <w:link w:val="FooterChar"/>
    <w:uiPriority w:val="99"/>
    <w:unhideWhenUsed/>
    <w:rsid w:val="00C37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90B"/>
    <w:rPr>
      <w:rFonts w:ascii="Arial" w:hAnsi="Arial"/>
    </w:rPr>
  </w:style>
  <w:style w:type="paragraph" w:customStyle="1" w:styleId="Default">
    <w:name w:val="Default"/>
    <w:rsid w:val="00C3790B"/>
    <w:pPr>
      <w:autoSpaceDE w:val="0"/>
      <w:autoSpaceDN w:val="0"/>
      <w:adjustRightInd w:val="0"/>
      <w:spacing w:after="0" w:line="240" w:lineRule="auto"/>
    </w:pPr>
    <w:rPr>
      <w:rFonts w:ascii="Arial" w:hAnsi="Arial" w:cs="Arial"/>
      <w:color w:val="000000"/>
      <w:kern w:val="0"/>
    </w:rPr>
  </w:style>
  <w:style w:type="paragraph" w:styleId="TOC1">
    <w:name w:val="toc 1"/>
    <w:basedOn w:val="Normal"/>
    <w:next w:val="Normal"/>
    <w:autoRedefine/>
    <w:uiPriority w:val="39"/>
    <w:unhideWhenUsed/>
    <w:rsid w:val="00C3790B"/>
    <w:pPr>
      <w:spacing w:after="100"/>
    </w:pPr>
  </w:style>
  <w:style w:type="character" w:styleId="Hyperlink">
    <w:name w:val="Hyperlink"/>
    <w:basedOn w:val="DefaultParagraphFont"/>
    <w:uiPriority w:val="99"/>
    <w:unhideWhenUsed/>
    <w:rsid w:val="00C3790B"/>
    <w:rPr>
      <w:color w:val="467886" w:themeColor="hyperlink"/>
      <w:u w:val="single"/>
    </w:rPr>
  </w:style>
  <w:style w:type="character" w:styleId="UnresolvedMention">
    <w:name w:val="Unresolved Mention"/>
    <w:basedOn w:val="DefaultParagraphFont"/>
    <w:uiPriority w:val="99"/>
    <w:semiHidden/>
    <w:unhideWhenUsed/>
    <w:rsid w:val="00686150"/>
    <w:rPr>
      <w:color w:val="605E5C"/>
      <w:shd w:val="clear" w:color="auto" w:fill="E1DFDD"/>
    </w:rPr>
  </w:style>
  <w:style w:type="paragraph" w:styleId="TOC2">
    <w:name w:val="toc 2"/>
    <w:basedOn w:val="Normal"/>
    <w:next w:val="Normal"/>
    <w:autoRedefine/>
    <w:uiPriority w:val="39"/>
    <w:unhideWhenUsed/>
    <w:rsid w:val="00686150"/>
    <w:pPr>
      <w:spacing w:after="100"/>
      <w:ind w:left="240"/>
    </w:pPr>
  </w:style>
  <w:style w:type="paragraph" w:styleId="TOC3">
    <w:name w:val="toc 3"/>
    <w:basedOn w:val="Normal"/>
    <w:next w:val="Normal"/>
    <w:autoRedefine/>
    <w:uiPriority w:val="39"/>
    <w:unhideWhenUsed/>
    <w:rsid w:val="0068615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erer.com/recruiter-advice/hospitality-recruitment-in-2025-navigating-diversity-technology-and-talent-expectations" TargetMode="External"/><Relationship Id="rId13" Type="http://schemas.openxmlformats.org/officeDocument/2006/relationships/hyperlink" Target="https://ideas.com/news/ideas-unveils-2025-predictions-shaping-hospitalit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ewsroom.accenture.com/news/2018/companies-leading-in-disability-inclusion-have-outperformedpeers-accenture-research-find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org/disabilities/documents/convention/convoptprot-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spitalityaction.org.uk/" TargetMode="External"/><Relationship Id="rId5" Type="http://schemas.openxmlformats.org/officeDocument/2006/relationships/webSettings" Target="webSettings.xml"/><Relationship Id="rId15" Type="http://schemas.openxmlformats.org/officeDocument/2006/relationships/hyperlink" Target="https://www.theburntchefproject.com/" TargetMode="External"/><Relationship Id="rId10" Type="http://schemas.openxmlformats.org/officeDocument/2006/relationships/hyperlink" Target="https://www.equalityhumanrights.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terer.com/recruiter-advice/hospitality-heroes-2025-a-game-changer-for-hiring-in-hospitality" TargetMode="External"/><Relationship Id="rId14"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9BCDB-0565-4C49-A301-640E2B5F4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629</TotalTime>
  <Pages>14</Pages>
  <Words>4220</Words>
  <Characters>24057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Yasmin Perez Paula</dc:creator>
  <cp:keywords/>
  <dc:description/>
  <cp:lastModifiedBy>sonia badulescu</cp:lastModifiedBy>
  <cp:revision>63</cp:revision>
  <dcterms:created xsi:type="dcterms:W3CDTF">2025-10-15T09:43:00Z</dcterms:created>
  <dcterms:modified xsi:type="dcterms:W3CDTF">2025-10-29T12:24:00Z</dcterms:modified>
</cp:coreProperties>
</file>