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84ECC" w14:textId="17E98185" w:rsidR="00A06744" w:rsidRDefault="00074915" w:rsidP="00074915">
      <w:pPr>
        <w:jc w:val="center"/>
        <w:rPr>
          <w:u w:val="single"/>
        </w:rPr>
      </w:pPr>
      <w:r w:rsidRPr="00074915">
        <w:rPr>
          <w:u w:val="single"/>
        </w:rPr>
        <w:t xml:space="preserve">Origins of World War II Article Review </w:t>
      </w:r>
    </w:p>
    <w:p w14:paraId="37D25FAB" w14:textId="1CB51C40" w:rsidR="00074915" w:rsidRDefault="000D5664" w:rsidP="00074915">
      <w:pPr>
        <w:rPr>
          <w:sz w:val="22"/>
          <w:szCs w:val="22"/>
        </w:rPr>
      </w:pPr>
      <w:r w:rsidRPr="000D5664">
        <w:rPr>
          <w:sz w:val="22"/>
          <w:szCs w:val="22"/>
        </w:rPr>
        <w:t>This</w:t>
      </w:r>
      <w:r>
        <w:rPr>
          <w:sz w:val="22"/>
          <w:szCs w:val="22"/>
        </w:rPr>
        <w:t xml:space="preserve"> article review will look at ‘The Origins of World War II in Europe: British Deterrence Failure and German Expansionism’. The article was written by Jeffrey L. Hughes, who was a senior analyst, part of the white house situation staff, and the National Security Council in the 1980s</w:t>
      </w:r>
      <w:r w:rsidR="000721A9">
        <w:rPr>
          <w:rStyle w:val="FootnoteReference"/>
          <w:sz w:val="22"/>
          <w:szCs w:val="22"/>
        </w:rPr>
        <w:footnoteReference w:id="1"/>
      </w:r>
      <w:r>
        <w:rPr>
          <w:sz w:val="22"/>
          <w:szCs w:val="22"/>
        </w:rPr>
        <w:t>. The article was also written in 1988. This review will argue for the interpretation that it was both the expansion of the Nazi state and the failure of British diplomacy was the cause of World War II</w:t>
      </w:r>
      <w:r w:rsidR="00B867DC">
        <w:rPr>
          <w:sz w:val="22"/>
          <w:szCs w:val="22"/>
        </w:rPr>
        <w:t>, and that this article is</w:t>
      </w:r>
      <w:r w:rsidR="00960F63">
        <w:rPr>
          <w:sz w:val="22"/>
          <w:szCs w:val="22"/>
        </w:rPr>
        <w:t xml:space="preserve"> well written and</w:t>
      </w:r>
      <w:r w:rsidR="00B867DC">
        <w:rPr>
          <w:sz w:val="22"/>
          <w:szCs w:val="22"/>
        </w:rPr>
        <w:t xml:space="preserve"> useful for people studying the origins of World War II</w:t>
      </w:r>
      <w:r>
        <w:rPr>
          <w:sz w:val="22"/>
          <w:szCs w:val="22"/>
        </w:rPr>
        <w:t xml:space="preserve">. </w:t>
      </w:r>
    </w:p>
    <w:p w14:paraId="3A9A4211" w14:textId="6497A56B" w:rsidR="000D5664" w:rsidRDefault="007E5A2F" w:rsidP="00074915">
      <w:pPr>
        <w:rPr>
          <w:sz w:val="22"/>
          <w:szCs w:val="22"/>
        </w:rPr>
      </w:pPr>
      <w:r>
        <w:rPr>
          <w:sz w:val="22"/>
          <w:szCs w:val="22"/>
        </w:rPr>
        <w:t>The introduction to the article gives a revisionist interpretation that it was both the diplomacy strategy of appeasement and Adolf Hitlers’ aim for violence, as well as the aspects of domestic, economic and cultural dynamics</w:t>
      </w:r>
      <w:r w:rsidR="00091A9A">
        <w:rPr>
          <w:sz w:val="22"/>
          <w:szCs w:val="22"/>
        </w:rPr>
        <w:t xml:space="preserve"> between countries</w:t>
      </w:r>
      <w:r>
        <w:rPr>
          <w:sz w:val="22"/>
          <w:szCs w:val="22"/>
        </w:rPr>
        <w:t>, were the origins of World War II</w:t>
      </w:r>
      <w:r w:rsidR="00B134EC">
        <w:rPr>
          <w:rStyle w:val="FootnoteReference"/>
          <w:sz w:val="22"/>
          <w:szCs w:val="22"/>
        </w:rPr>
        <w:footnoteReference w:id="2"/>
      </w:r>
      <w:r>
        <w:rPr>
          <w:sz w:val="22"/>
          <w:szCs w:val="22"/>
        </w:rPr>
        <w:t>. Throughout the article it shows Neville Chamberlain was focused on diplomacy</w:t>
      </w:r>
      <w:r w:rsidR="00743626">
        <w:rPr>
          <w:sz w:val="22"/>
          <w:szCs w:val="22"/>
        </w:rPr>
        <w:t>. The article stresses Neville Chamberlains desire for a large, world class air force, which would rival that of Germanies Luftwaffe</w:t>
      </w:r>
      <w:r w:rsidR="00B134EC">
        <w:rPr>
          <w:rStyle w:val="FootnoteReference"/>
          <w:sz w:val="22"/>
          <w:szCs w:val="22"/>
        </w:rPr>
        <w:footnoteReference w:id="3"/>
      </w:r>
      <w:r w:rsidR="00743626">
        <w:rPr>
          <w:sz w:val="22"/>
          <w:szCs w:val="22"/>
        </w:rPr>
        <w:t>. The article also shows Chamberlains idea and insistence for an economic deterrent against Germany</w:t>
      </w:r>
      <w:r w:rsidR="00C637C1">
        <w:rPr>
          <w:rStyle w:val="FootnoteReference"/>
          <w:sz w:val="22"/>
          <w:szCs w:val="22"/>
        </w:rPr>
        <w:footnoteReference w:id="4"/>
      </w:r>
      <w:r w:rsidR="00743626">
        <w:rPr>
          <w:sz w:val="22"/>
          <w:szCs w:val="22"/>
        </w:rPr>
        <w:t xml:space="preserve">. The text continually shows Hitlers desire for expansion into neighbouring countries, </w:t>
      </w:r>
      <w:r w:rsidR="00867646">
        <w:rPr>
          <w:sz w:val="22"/>
          <w:szCs w:val="22"/>
        </w:rPr>
        <w:t>such as entering Austria in 1938</w:t>
      </w:r>
      <w:r w:rsidR="00867646">
        <w:rPr>
          <w:rStyle w:val="FootnoteReference"/>
          <w:sz w:val="22"/>
          <w:szCs w:val="22"/>
        </w:rPr>
        <w:footnoteReference w:id="5"/>
      </w:r>
      <w:r w:rsidR="00743626">
        <w:rPr>
          <w:sz w:val="22"/>
          <w:szCs w:val="22"/>
        </w:rPr>
        <w:t>. The text gives an insight into Hitlers surprising willingness to negotiate</w:t>
      </w:r>
      <w:r w:rsidR="00F17B56">
        <w:rPr>
          <w:sz w:val="22"/>
          <w:szCs w:val="22"/>
        </w:rPr>
        <w:t xml:space="preserve"> and make agreements with Britain</w:t>
      </w:r>
      <w:r w:rsidR="0033631B">
        <w:rPr>
          <w:rStyle w:val="FootnoteReference"/>
          <w:sz w:val="22"/>
          <w:szCs w:val="22"/>
        </w:rPr>
        <w:footnoteReference w:id="6"/>
      </w:r>
      <w:r w:rsidR="00F17B56">
        <w:rPr>
          <w:sz w:val="22"/>
          <w:szCs w:val="22"/>
        </w:rPr>
        <w:t>. The article concludes that both Britains and Germanies methods of deterrence and negotiation were based upon assumptions about the other</w:t>
      </w:r>
      <w:r w:rsidR="00B72967">
        <w:rPr>
          <w:rStyle w:val="FootnoteReference"/>
          <w:sz w:val="22"/>
          <w:szCs w:val="22"/>
        </w:rPr>
        <w:footnoteReference w:id="7"/>
      </w:r>
      <w:r w:rsidR="00F17B56">
        <w:rPr>
          <w:sz w:val="22"/>
          <w:szCs w:val="22"/>
        </w:rPr>
        <w:t>. This perception of each other caused errors when making decisions. The author also concludes that there is not enough evidence to state that Britains appeasement towards Germany was the cause of World War II</w:t>
      </w:r>
      <w:r w:rsidR="0051414C">
        <w:rPr>
          <w:rStyle w:val="FootnoteReference"/>
          <w:sz w:val="22"/>
          <w:szCs w:val="22"/>
        </w:rPr>
        <w:footnoteReference w:id="8"/>
      </w:r>
      <w:r w:rsidR="00F17B56">
        <w:rPr>
          <w:sz w:val="22"/>
          <w:szCs w:val="22"/>
        </w:rPr>
        <w:t xml:space="preserve">. </w:t>
      </w:r>
      <w:r w:rsidR="00E93893">
        <w:rPr>
          <w:sz w:val="22"/>
          <w:szCs w:val="22"/>
        </w:rPr>
        <w:t>The author gives another conclusion that the aim for a world class air force was very useful in World War II and especially in the Blitz</w:t>
      </w:r>
      <w:r w:rsidR="00ED2AC6">
        <w:rPr>
          <w:rStyle w:val="FootnoteReference"/>
          <w:sz w:val="22"/>
          <w:szCs w:val="22"/>
        </w:rPr>
        <w:footnoteReference w:id="9"/>
      </w:r>
      <w:r w:rsidR="00E93893">
        <w:rPr>
          <w:sz w:val="22"/>
          <w:szCs w:val="22"/>
        </w:rPr>
        <w:t xml:space="preserve">. </w:t>
      </w:r>
    </w:p>
    <w:p w14:paraId="37A504BF" w14:textId="3EE8679D" w:rsidR="00E93893" w:rsidRDefault="00E93893" w:rsidP="00074915">
      <w:pPr>
        <w:rPr>
          <w:sz w:val="22"/>
          <w:szCs w:val="22"/>
        </w:rPr>
      </w:pPr>
      <w:r>
        <w:rPr>
          <w:sz w:val="22"/>
          <w:szCs w:val="22"/>
        </w:rPr>
        <w:t xml:space="preserve">The Key themes of this article are the strategy, conceptions and misconceptions of Prime Ministers Neville Chamberlain and Winston Churchill, and Nazi dictator Adolf Hitler. Other key themes of this article include British intelligence and diplomacy. At the time that this article was written there was shift to revisionist interpretations of World War II. The article is also structured in chronological order, starting in 1933 and ending in 1940. </w:t>
      </w:r>
      <w:r w:rsidR="00CB3A2F">
        <w:rPr>
          <w:sz w:val="22"/>
          <w:szCs w:val="22"/>
        </w:rPr>
        <w:t xml:space="preserve">Also, at the time that this article was </w:t>
      </w:r>
      <w:r w:rsidR="00CB3A2F">
        <w:rPr>
          <w:sz w:val="22"/>
          <w:szCs w:val="22"/>
        </w:rPr>
        <w:lastRenderedPageBreak/>
        <w:t xml:space="preserve">written in 1988, it was the last year of Ronald Regans presidency and there was large and widespread anti soviet rhetoric at this time. However, the article gives a balanced but negative view of the soviets, which does not mimic the anti soviet rhetoric of the time. </w:t>
      </w:r>
    </w:p>
    <w:p w14:paraId="24B1E0DB" w14:textId="7564D2D1" w:rsidR="00CB3A2F" w:rsidRDefault="00B85E89" w:rsidP="00074915">
      <w:pPr>
        <w:rPr>
          <w:sz w:val="22"/>
          <w:szCs w:val="22"/>
        </w:rPr>
      </w:pPr>
      <w:r>
        <w:rPr>
          <w:sz w:val="22"/>
          <w:szCs w:val="22"/>
        </w:rPr>
        <w:t xml:space="preserve">One of the articles main strengths is its structure. The structure of the article is in chronological order, which allows for the smooth flow of information throughout the text. The titles in the text are also clear and concise, which gives an indication as to what information will be in each section. </w:t>
      </w:r>
    </w:p>
    <w:p w14:paraId="53FB38CE" w14:textId="3E77E5F1" w:rsidR="00B85E89" w:rsidRDefault="00B85E89" w:rsidP="00074915">
      <w:pPr>
        <w:rPr>
          <w:sz w:val="22"/>
          <w:szCs w:val="22"/>
        </w:rPr>
      </w:pPr>
      <w:r>
        <w:rPr>
          <w:sz w:val="22"/>
          <w:szCs w:val="22"/>
        </w:rPr>
        <w:t xml:space="preserve">Academic language is another strength of the text as it shows that the articles purpose is for academic and educational purposes. The academic language of the article also shows </w:t>
      </w:r>
      <w:r w:rsidR="002F614A">
        <w:rPr>
          <w:sz w:val="22"/>
          <w:szCs w:val="22"/>
        </w:rPr>
        <w:t xml:space="preserve">that </w:t>
      </w:r>
      <w:r>
        <w:rPr>
          <w:sz w:val="22"/>
          <w:szCs w:val="22"/>
        </w:rPr>
        <w:t xml:space="preserve">the </w:t>
      </w:r>
      <w:r w:rsidR="002F614A">
        <w:rPr>
          <w:sz w:val="22"/>
          <w:szCs w:val="22"/>
        </w:rPr>
        <w:t>intended audience is for students and academics. Another strength of the article is that the text was published by the MIT Press</w:t>
      </w:r>
      <w:r w:rsidR="00E65F48">
        <w:rPr>
          <w:rStyle w:val="FootnoteReference"/>
          <w:sz w:val="22"/>
          <w:szCs w:val="22"/>
        </w:rPr>
        <w:footnoteReference w:id="10"/>
      </w:r>
      <w:r w:rsidR="002F614A">
        <w:rPr>
          <w:sz w:val="22"/>
          <w:szCs w:val="22"/>
        </w:rPr>
        <w:t xml:space="preserve">. This is a strength of the text as it shows that the author is a trusted and well read individual. It also shows that the article is an academic source. </w:t>
      </w:r>
    </w:p>
    <w:p w14:paraId="7D54341C" w14:textId="2D438486" w:rsidR="00B25AC1" w:rsidRDefault="00B25AC1" w:rsidP="00074915">
      <w:pPr>
        <w:rPr>
          <w:sz w:val="22"/>
          <w:szCs w:val="22"/>
        </w:rPr>
      </w:pPr>
      <w:r>
        <w:rPr>
          <w:sz w:val="22"/>
          <w:szCs w:val="22"/>
        </w:rPr>
        <w:t>The article gives in depth information related to the specific deterrence of air defence. It also does not go into specific detail about the intelligence behind Britains strategy against Germany, rather it uses the information on intelligence as context and background information</w:t>
      </w:r>
      <w:r w:rsidR="00716BF4">
        <w:rPr>
          <w:rStyle w:val="FootnoteReference"/>
          <w:sz w:val="22"/>
          <w:szCs w:val="22"/>
        </w:rPr>
        <w:footnoteReference w:id="11"/>
      </w:r>
      <w:r>
        <w:rPr>
          <w:sz w:val="22"/>
          <w:szCs w:val="22"/>
        </w:rPr>
        <w:t xml:space="preserve">. This shows that it is a good source of information as the author only includes relevant information which gives evidence </w:t>
      </w:r>
      <w:r w:rsidR="007D5132">
        <w:rPr>
          <w:sz w:val="22"/>
          <w:szCs w:val="22"/>
        </w:rPr>
        <w:t>to the title of his article and his interpretation.</w:t>
      </w:r>
      <w:r w:rsidR="00742E2F">
        <w:rPr>
          <w:sz w:val="22"/>
          <w:szCs w:val="22"/>
        </w:rPr>
        <w:t xml:space="preserve"> </w:t>
      </w:r>
    </w:p>
    <w:p w14:paraId="517B91B1" w14:textId="1B6653D4" w:rsidR="00742E2F" w:rsidRDefault="00742E2F" w:rsidP="00074915">
      <w:pPr>
        <w:rPr>
          <w:sz w:val="22"/>
          <w:szCs w:val="22"/>
        </w:rPr>
      </w:pPr>
      <w:r>
        <w:rPr>
          <w:sz w:val="22"/>
          <w:szCs w:val="22"/>
        </w:rPr>
        <w:t>Although the article gives large quantities of information on air and economic strategy, there is very little information on the domestic and cultural dynamics of the origins of World War II. Also, the small quantity of information there is on domestic and cultural dynamics lacks depth.</w:t>
      </w:r>
    </w:p>
    <w:p w14:paraId="76DDE2AD" w14:textId="4C1280E7" w:rsidR="00904943" w:rsidRDefault="00904943" w:rsidP="00074915">
      <w:pPr>
        <w:rPr>
          <w:sz w:val="22"/>
          <w:szCs w:val="22"/>
        </w:rPr>
      </w:pPr>
      <w:r>
        <w:rPr>
          <w:sz w:val="22"/>
          <w:szCs w:val="22"/>
        </w:rPr>
        <w:t>Another weakness in the text is in the introduction. The author writes in the introduction that attention to both, the choices of Adolph Hitler and his preference to violence and the strategy of appeasers such as Britain, as well as a broadened focus on the power between countries and economic, domestic and cultural dynamics were necessary to understand Britains strategy in the 1930s</w:t>
      </w:r>
      <w:r w:rsidR="00102D9E">
        <w:rPr>
          <w:rStyle w:val="FootnoteReference"/>
          <w:sz w:val="22"/>
          <w:szCs w:val="22"/>
        </w:rPr>
        <w:footnoteReference w:id="12"/>
      </w:r>
      <w:r>
        <w:rPr>
          <w:sz w:val="22"/>
          <w:szCs w:val="22"/>
        </w:rPr>
        <w:t xml:space="preserve">. However, whilst the article covers the topics of Hitlers preference to violence, Britains </w:t>
      </w:r>
      <w:r w:rsidR="001C0D92">
        <w:rPr>
          <w:sz w:val="22"/>
          <w:szCs w:val="22"/>
        </w:rPr>
        <w:t xml:space="preserve">appeasement strategy and economic dynamics to a great extent, the text only covers domestic and cultural dynamics to some extent. Therefore, it can be argued that the author does not fully discuss Britains strategy. </w:t>
      </w:r>
    </w:p>
    <w:p w14:paraId="0F1883DA" w14:textId="1926B728" w:rsidR="001C0D92" w:rsidRDefault="001C0D92" w:rsidP="00074915">
      <w:pPr>
        <w:rPr>
          <w:sz w:val="22"/>
          <w:szCs w:val="22"/>
        </w:rPr>
      </w:pPr>
      <w:r>
        <w:rPr>
          <w:sz w:val="22"/>
          <w:szCs w:val="22"/>
        </w:rPr>
        <w:t xml:space="preserve">The article gives a very balanced view of British strategy, and writes about both the strengths of British Strategy as well as the weaknesses and misconceptions of it. However, the article gives a very negative view of German strategy and focuses </w:t>
      </w:r>
      <w:r w:rsidR="00927B8A">
        <w:rPr>
          <w:sz w:val="22"/>
          <w:szCs w:val="22"/>
        </w:rPr>
        <w:t>on Germanies economic stress and strain, and their misconceptions of British strategy</w:t>
      </w:r>
      <w:r w:rsidR="00763536">
        <w:rPr>
          <w:rStyle w:val="FootnoteReference"/>
          <w:sz w:val="22"/>
          <w:szCs w:val="22"/>
        </w:rPr>
        <w:footnoteReference w:id="13"/>
      </w:r>
      <w:r w:rsidR="00927B8A">
        <w:rPr>
          <w:sz w:val="22"/>
          <w:szCs w:val="22"/>
        </w:rPr>
        <w:t xml:space="preserve">. This questions the authors ability to have a balanced argument. The text also gives some good references and sources, however, some information is unreferenced, which removes some reliability of the article. </w:t>
      </w:r>
    </w:p>
    <w:p w14:paraId="435FF280" w14:textId="3F5176EC" w:rsidR="00927B8A" w:rsidRDefault="00927B8A" w:rsidP="00074915">
      <w:pPr>
        <w:rPr>
          <w:sz w:val="22"/>
          <w:szCs w:val="22"/>
        </w:rPr>
      </w:pPr>
      <w:r>
        <w:rPr>
          <w:sz w:val="22"/>
          <w:szCs w:val="22"/>
        </w:rPr>
        <w:lastRenderedPageBreak/>
        <w:t>The text also has some omitted information. One omission from the text is that it relates no mention that the Munich Agreement, which was the agreement that allowed Nazi Germany to take control of the German speaking Sudetenland of Czechoslovakia, was agreed without any input from Czechoslovakia</w:t>
      </w:r>
      <w:r w:rsidR="003E7044">
        <w:rPr>
          <w:rStyle w:val="FootnoteReference"/>
          <w:sz w:val="22"/>
          <w:szCs w:val="22"/>
        </w:rPr>
        <w:footnoteReference w:id="14"/>
      </w:r>
      <w:r>
        <w:rPr>
          <w:sz w:val="22"/>
          <w:szCs w:val="22"/>
        </w:rPr>
        <w:t xml:space="preserve">. </w:t>
      </w:r>
    </w:p>
    <w:p w14:paraId="6C6C701B" w14:textId="466A677D" w:rsidR="0032094F" w:rsidRDefault="0032094F" w:rsidP="00074915">
      <w:pPr>
        <w:rPr>
          <w:sz w:val="22"/>
          <w:szCs w:val="22"/>
        </w:rPr>
      </w:pPr>
      <w:r>
        <w:rPr>
          <w:sz w:val="22"/>
          <w:szCs w:val="22"/>
        </w:rPr>
        <w:t xml:space="preserve">Another omission of information from the article is </w:t>
      </w:r>
      <w:r w:rsidR="00C0653B">
        <w:rPr>
          <w:sz w:val="22"/>
          <w:szCs w:val="22"/>
        </w:rPr>
        <w:t xml:space="preserve">the strategy behind </w:t>
      </w:r>
      <w:r>
        <w:rPr>
          <w:sz w:val="22"/>
          <w:szCs w:val="22"/>
        </w:rPr>
        <w:t>Hitlers retaking of the Rhineland.</w:t>
      </w:r>
      <w:r w:rsidR="00C0653B">
        <w:rPr>
          <w:sz w:val="22"/>
          <w:szCs w:val="22"/>
        </w:rPr>
        <w:t xml:space="preserve"> There is</w:t>
      </w:r>
      <w:r>
        <w:rPr>
          <w:sz w:val="22"/>
          <w:szCs w:val="22"/>
        </w:rPr>
        <w:t xml:space="preserve"> a reference to the retaking of the Rhineland on page 857, where </w:t>
      </w:r>
      <w:r w:rsidR="00ED400C">
        <w:rPr>
          <w:sz w:val="22"/>
          <w:szCs w:val="22"/>
        </w:rPr>
        <w:t>it explains how Germany broke the Treaty of Versailles limits on the number of army troops Germany was allowed</w:t>
      </w:r>
      <w:r w:rsidR="009E391C">
        <w:rPr>
          <w:rStyle w:val="FootnoteReference"/>
          <w:sz w:val="22"/>
          <w:szCs w:val="22"/>
        </w:rPr>
        <w:footnoteReference w:id="15"/>
      </w:r>
      <w:r w:rsidR="00ED400C">
        <w:rPr>
          <w:sz w:val="22"/>
          <w:szCs w:val="22"/>
        </w:rPr>
        <w:t xml:space="preserve">. </w:t>
      </w:r>
      <w:r w:rsidR="00502D98">
        <w:rPr>
          <w:sz w:val="22"/>
          <w:szCs w:val="22"/>
        </w:rPr>
        <w:t>The text</w:t>
      </w:r>
      <w:r w:rsidR="002250B0">
        <w:rPr>
          <w:sz w:val="22"/>
          <w:szCs w:val="22"/>
        </w:rPr>
        <w:t xml:space="preserve"> does</w:t>
      </w:r>
      <w:r w:rsidR="005B0E00">
        <w:rPr>
          <w:sz w:val="22"/>
          <w:szCs w:val="22"/>
        </w:rPr>
        <w:t xml:space="preserve"> </w:t>
      </w:r>
      <w:r w:rsidR="00502D98">
        <w:rPr>
          <w:sz w:val="22"/>
          <w:szCs w:val="22"/>
        </w:rPr>
        <w:t>give reference to Hitler remilitarising the Rhineland in 1936</w:t>
      </w:r>
      <w:r w:rsidR="00CC0ADC">
        <w:rPr>
          <w:sz w:val="22"/>
          <w:szCs w:val="22"/>
        </w:rPr>
        <w:t xml:space="preserve"> near the end of the article</w:t>
      </w:r>
      <w:r w:rsidR="00502D98">
        <w:rPr>
          <w:sz w:val="22"/>
          <w:szCs w:val="22"/>
        </w:rPr>
        <w:t xml:space="preserve">, however, </w:t>
      </w:r>
      <w:r w:rsidR="005B0E00">
        <w:rPr>
          <w:sz w:val="22"/>
          <w:szCs w:val="22"/>
        </w:rPr>
        <w:t>t</w:t>
      </w:r>
      <w:r w:rsidR="00ED400C">
        <w:rPr>
          <w:sz w:val="22"/>
          <w:szCs w:val="22"/>
        </w:rPr>
        <w:t>here is no reference to</w:t>
      </w:r>
      <w:r w:rsidR="00502D98">
        <w:rPr>
          <w:sz w:val="22"/>
          <w:szCs w:val="22"/>
        </w:rPr>
        <w:t xml:space="preserve"> the strategy behind this remilitarisation</w:t>
      </w:r>
      <w:r w:rsidR="004D3627">
        <w:rPr>
          <w:rStyle w:val="FootnoteReference"/>
          <w:sz w:val="22"/>
          <w:szCs w:val="22"/>
        </w:rPr>
        <w:footnoteReference w:id="16"/>
      </w:r>
      <w:r w:rsidR="00ED400C">
        <w:rPr>
          <w:sz w:val="22"/>
          <w:szCs w:val="22"/>
        </w:rPr>
        <w:t>.</w:t>
      </w:r>
      <w:r w:rsidR="00B132D8">
        <w:rPr>
          <w:sz w:val="22"/>
          <w:szCs w:val="22"/>
        </w:rPr>
        <w:t xml:space="preserve"> </w:t>
      </w:r>
    </w:p>
    <w:p w14:paraId="4AE51756" w14:textId="13913051" w:rsidR="00B132D8" w:rsidRDefault="00B132D8" w:rsidP="00074915">
      <w:pPr>
        <w:rPr>
          <w:sz w:val="22"/>
          <w:szCs w:val="22"/>
        </w:rPr>
      </w:pPr>
      <w:r>
        <w:rPr>
          <w:sz w:val="22"/>
          <w:szCs w:val="22"/>
        </w:rPr>
        <w:t>These omissions from the text have removed key information and key opportunities to understand parts of British deterrence strategy and German expansion strategy. The omissions have also missed out on key opportunities to create an argument and give a wider interpretation on the subject.</w:t>
      </w:r>
      <w:r w:rsidR="00A5386B">
        <w:rPr>
          <w:sz w:val="22"/>
          <w:szCs w:val="22"/>
        </w:rPr>
        <w:t xml:space="preserve"> </w:t>
      </w:r>
    </w:p>
    <w:p w14:paraId="02BAE2D3" w14:textId="7A037EEC" w:rsidR="00A5386B" w:rsidRDefault="00A5386B" w:rsidP="00074915">
      <w:pPr>
        <w:rPr>
          <w:sz w:val="22"/>
          <w:szCs w:val="22"/>
        </w:rPr>
      </w:pPr>
      <w:r>
        <w:rPr>
          <w:sz w:val="22"/>
          <w:szCs w:val="22"/>
        </w:rPr>
        <w:t>The article gives a very convincing in depth argument about the strategy that former Prime Minister Neville Chamberlain used to stop German expansionism and the outbreak of war. The article also convinces the reader how the military and intelligence helped to shape Chamberlains foreign policy in Europe</w:t>
      </w:r>
      <w:r w:rsidR="008F553B">
        <w:rPr>
          <w:rStyle w:val="FootnoteReference"/>
          <w:sz w:val="22"/>
          <w:szCs w:val="22"/>
        </w:rPr>
        <w:footnoteReference w:id="17"/>
      </w:r>
      <w:r w:rsidR="00F07423">
        <w:rPr>
          <w:sz w:val="22"/>
          <w:szCs w:val="22"/>
        </w:rPr>
        <w:t>. The author convinces the reader with their argument due to the authors cited works. The author cites works from scholars such as Kieth Feiling, who wrote a biography on Neville Chamberlain, titled ‘The Life of Neville Chamberlain’. Another scholar which the author has cited from is Wesley K. Wark, who wrote ‘The Ultimate Enemy: British Intelligence and Nazi Germany, 1933-1939’</w:t>
      </w:r>
      <w:r w:rsidR="00510095">
        <w:rPr>
          <w:rStyle w:val="FootnoteReference"/>
          <w:sz w:val="22"/>
          <w:szCs w:val="22"/>
        </w:rPr>
        <w:footnoteReference w:id="18"/>
      </w:r>
      <w:r w:rsidR="00F07423">
        <w:rPr>
          <w:sz w:val="22"/>
          <w:szCs w:val="22"/>
        </w:rPr>
        <w:t>. These scholars, and others, helped to provide the author with a convincing argument using a combination of their research and the authors own information. Those scholars, and others, also show that the author is well read and researched in this area of study, which could help the reader to be convinced by the authors argument and interpretation.</w:t>
      </w:r>
      <w:r w:rsidR="000B45D8">
        <w:rPr>
          <w:sz w:val="22"/>
          <w:szCs w:val="22"/>
        </w:rPr>
        <w:t xml:space="preserve"> </w:t>
      </w:r>
    </w:p>
    <w:p w14:paraId="4D82E480" w14:textId="1EFB1B77" w:rsidR="000B45D8" w:rsidRDefault="002636CD" w:rsidP="00074915">
      <w:pPr>
        <w:rPr>
          <w:sz w:val="22"/>
          <w:szCs w:val="22"/>
        </w:rPr>
      </w:pPr>
      <w:r>
        <w:rPr>
          <w:sz w:val="22"/>
          <w:szCs w:val="22"/>
        </w:rPr>
        <w:t>Other works such as ‘The Origins of the Second World War Reconsidered’ by A.J.P. Taylor and other historians give a different viewpoint on the origins of the Second World War. One argument which Taylor gives is that the rise in German Nationalism was due to the German people not accepting the terms of the Treaty of Versailles</w:t>
      </w:r>
      <w:r w:rsidR="004753E1">
        <w:rPr>
          <w:rStyle w:val="FootnoteReference"/>
          <w:sz w:val="22"/>
          <w:szCs w:val="22"/>
        </w:rPr>
        <w:footnoteReference w:id="19"/>
      </w:r>
      <w:r>
        <w:rPr>
          <w:sz w:val="22"/>
          <w:szCs w:val="22"/>
        </w:rPr>
        <w:t xml:space="preserve">. Taylor also argues that the hostility towards the Treaty of Versailles and a rise in nationalism within Germany was not solely due to </w:t>
      </w:r>
      <w:r>
        <w:rPr>
          <w:sz w:val="22"/>
          <w:szCs w:val="22"/>
        </w:rPr>
        <w:lastRenderedPageBreak/>
        <w:t>the revision and possible removal of the Treaty of Versailles, rather this hostility and rise in nationalism had violent and racial undertones</w:t>
      </w:r>
      <w:r w:rsidR="002D56B5">
        <w:rPr>
          <w:rStyle w:val="FootnoteReference"/>
          <w:sz w:val="22"/>
          <w:szCs w:val="22"/>
        </w:rPr>
        <w:footnoteReference w:id="20"/>
      </w:r>
      <w:r>
        <w:rPr>
          <w:sz w:val="22"/>
          <w:szCs w:val="22"/>
        </w:rPr>
        <w:t>.</w:t>
      </w:r>
    </w:p>
    <w:p w14:paraId="0733F293" w14:textId="0D65C169" w:rsidR="002636CD" w:rsidRDefault="007823D2" w:rsidP="00074915">
      <w:pPr>
        <w:rPr>
          <w:sz w:val="22"/>
          <w:szCs w:val="22"/>
        </w:rPr>
      </w:pPr>
      <w:r>
        <w:rPr>
          <w:sz w:val="22"/>
          <w:szCs w:val="22"/>
        </w:rPr>
        <w:t>The book also gives a wider approach to German foreign policy in the 1930s, arguing that it was more than just Hitlers decisions that decided on German foreign policy</w:t>
      </w:r>
      <w:r w:rsidR="00C47C7F">
        <w:rPr>
          <w:rStyle w:val="FootnoteReference"/>
          <w:sz w:val="22"/>
          <w:szCs w:val="22"/>
        </w:rPr>
        <w:footnoteReference w:id="21"/>
      </w:r>
      <w:r>
        <w:rPr>
          <w:sz w:val="22"/>
          <w:szCs w:val="22"/>
        </w:rPr>
        <w:t>. This gives a contradicting view on what Jeffrey L. Hughes had written on German foreign policy, as Hughes focuses on Hitlers’ thoughts and decisions without giving a detailed view on the wider picture. Taylor also gives a different view to British appeasement strategy. Taylor gives a wider view on appeasement which encompasses the reactions of the British public, whereas Hughes gives a top down view to appeasement, focusing on Chamberlain, the military and intelligence services</w:t>
      </w:r>
      <w:r w:rsidR="00DD3DAB">
        <w:rPr>
          <w:rStyle w:val="FootnoteReference"/>
          <w:sz w:val="22"/>
          <w:szCs w:val="22"/>
        </w:rPr>
        <w:footnoteReference w:id="22"/>
      </w:r>
      <w:r>
        <w:rPr>
          <w:sz w:val="22"/>
          <w:szCs w:val="22"/>
        </w:rPr>
        <w:t>.</w:t>
      </w:r>
      <w:r w:rsidR="00F13793">
        <w:rPr>
          <w:sz w:val="22"/>
          <w:szCs w:val="22"/>
        </w:rPr>
        <w:t xml:space="preserve"> </w:t>
      </w:r>
    </w:p>
    <w:p w14:paraId="7E63FCB6" w14:textId="4ECAD553" w:rsidR="00F13793" w:rsidRDefault="00F13793" w:rsidP="00074915">
      <w:pPr>
        <w:rPr>
          <w:sz w:val="22"/>
          <w:szCs w:val="22"/>
        </w:rPr>
      </w:pPr>
      <w:r>
        <w:rPr>
          <w:sz w:val="22"/>
          <w:szCs w:val="22"/>
        </w:rPr>
        <w:t xml:space="preserve">Both articles agree that Neville Chamberlain attempted to settle tensions on German expansionism peacefully. However, Taylor gives a contrasting view that the appeasers, mainly Britian and France, were willingly breaking the status quo within Europe to </w:t>
      </w:r>
      <w:r w:rsidR="0086039A">
        <w:rPr>
          <w:sz w:val="22"/>
          <w:szCs w:val="22"/>
        </w:rPr>
        <w:t>a</w:t>
      </w:r>
      <w:r>
        <w:rPr>
          <w:sz w:val="22"/>
          <w:szCs w:val="22"/>
        </w:rPr>
        <w:t>pp</w:t>
      </w:r>
      <w:r w:rsidR="0086039A">
        <w:rPr>
          <w:sz w:val="22"/>
          <w:szCs w:val="22"/>
        </w:rPr>
        <w:t>ea</w:t>
      </w:r>
      <w:r>
        <w:rPr>
          <w:sz w:val="22"/>
          <w:szCs w:val="22"/>
        </w:rPr>
        <w:t>se Hitler</w:t>
      </w:r>
      <w:r w:rsidR="00B50581">
        <w:rPr>
          <w:rStyle w:val="FootnoteReference"/>
          <w:sz w:val="22"/>
          <w:szCs w:val="22"/>
        </w:rPr>
        <w:footnoteReference w:id="23"/>
      </w:r>
      <w:r>
        <w:rPr>
          <w:sz w:val="22"/>
          <w:szCs w:val="22"/>
        </w:rPr>
        <w:t>. Whereas, Hughes gives the viewpoint that Chamberlain was using peaceful diplomacy to keep the status quo</w:t>
      </w:r>
      <w:r w:rsidR="006B3F06">
        <w:rPr>
          <w:sz w:val="22"/>
          <w:szCs w:val="22"/>
        </w:rPr>
        <w:t>, with some acceptable changes which would benefit both sides</w:t>
      </w:r>
      <w:r w:rsidR="00414312">
        <w:rPr>
          <w:rStyle w:val="FootnoteReference"/>
          <w:sz w:val="22"/>
          <w:szCs w:val="22"/>
        </w:rPr>
        <w:footnoteReference w:id="24"/>
      </w:r>
      <w:r>
        <w:rPr>
          <w:sz w:val="22"/>
          <w:szCs w:val="22"/>
        </w:rPr>
        <w:t>. Taylor is also similar to Hughes when he says that Chamberlains diplomacy in the 1930s was misconceived</w:t>
      </w:r>
      <w:r w:rsidR="00331413">
        <w:rPr>
          <w:rStyle w:val="FootnoteReference"/>
          <w:sz w:val="22"/>
          <w:szCs w:val="22"/>
        </w:rPr>
        <w:footnoteReference w:id="25"/>
      </w:r>
      <w:r>
        <w:rPr>
          <w:sz w:val="22"/>
          <w:szCs w:val="22"/>
        </w:rPr>
        <w:t xml:space="preserve">. </w:t>
      </w:r>
    </w:p>
    <w:p w14:paraId="4CFDAEC0" w14:textId="3E125D14" w:rsidR="00F13793" w:rsidRDefault="00B8266F" w:rsidP="00074915">
      <w:pPr>
        <w:rPr>
          <w:sz w:val="22"/>
          <w:szCs w:val="22"/>
        </w:rPr>
      </w:pPr>
      <w:r>
        <w:rPr>
          <w:sz w:val="22"/>
          <w:szCs w:val="22"/>
        </w:rPr>
        <w:t>Another work, also titled ‘The Origins of the Second World War’, a book which has historical interpretations from multiple historians and scholars, also has some comparable and contrasting interpretations about the origins of the Second World War. The book gives a more detailed viewpoint into the inner workings of the Nazi German economy and its shift to rearmament and autarky</w:t>
      </w:r>
      <w:r w:rsidR="00625657">
        <w:rPr>
          <w:rStyle w:val="FootnoteReference"/>
          <w:sz w:val="22"/>
          <w:szCs w:val="22"/>
        </w:rPr>
        <w:footnoteReference w:id="26"/>
      </w:r>
      <w:r>
        <w:rPr>
          <w:sz w:val="22"/>
          <w:szCs w:val="22"/>
        </w:rPr>
        <w:t>. The book seems to give the interpretation that Germanies rearmament, push for autarky, and its rapid industrialisation was both a strength and a weakness</w:t>
      </w:r>
      <w:r w:rsidR="00716FFF">
        <w:rPr>
          <w:rStyle w:val="FootnoteReference"/>
          <w:sz w:val="22"/>
          <w:szCs w:val="22"/>
        </w:rPr>
        <w:footnoteReference w:id="27"/>
      </w:r>
      <w:r>
        <w:rPr>
          <w:sz w:val="22"/>
          <w:szCs w:val="22"/>
        </w:rPr>
        <w:t xml:space="preserve">. Although this is not explicitly written in the text, </w:t>
      </w:r>
      <w:r w:rsidR="00EE6639">
        <w:rPr>
          <w:sz w:val="22"/>
          <w:szCs w:val="22"/>
        </w:rPr>
        <w:t>it does explain the challenges</w:t>
      </w:r>
      <w:r w:rsidR="00B40A22">
        <w:rPr>
          <w:sz w:val="22"/>
          <w:szCs w:val="22"/>
        </w:rPr>
        <w:t xml:space="preserve"> that were faced</w:t>
      </w:r>
      <w:r w:rsidR="00EE6639">
        <w:rPr>
          <w:sz w:val="22"/>
          <w:szCs w:val="22"/>
        </w:rPr>
        <w:t xml:space="preserve"> due to this rapid industrialization. This interpretation agrees with Hughes’ view that an economic deterrent would work against Germany.</w:t>
      </w:r>
      <w:r w:rsidR="00DE58D4">
        <w:rPr>
          <w:sz w:val="22"/>
          <w:szCs w:val="22"/>
        </w:rPr>
        <w:t xml:space="preserve"> The book also gives the interpretation that the main cause of the Second World War was due to Hitlers risk of invading Poland, whilst ignoring both British and French warnings that they would declare war with Germany if Hitler invaded Poland</w:t>
      </w:r>
      <w:r w:rsidR="00250F92">
        <w:rPr>
          <w:rStyle w:val="FootnoteReference"/>
          <w:sz w:val="22"/>
          <w:szCs w:val="22"/>
        </w:rPr>
        <w:footnoteReference w:id="28"/>
      </w:r>
      <w:r w:rsidR="00DE58D4">
        <w:rPr>
          <w:sz w:val="22"/>
          <w:szCs w:val="22"/>
        </w:rPr>
        <w:t>. Whilst Hughes interpretation does agree that Hitlers expansion was a cause of the Second World War, he also disagrees that it was the sole cause of war and there were other contributing factors such as the failure of British deterrence</w:t>
      </w:r>
      <w:r w:rsidR="00BC5031">
        <w:rPr>
          <w:sz w:val="22"/>
          <w:szCs w:val="22"/>
        </w:rPr>
        <w:t>,</w:t>
      </w:r>
      <w:r w:rsidR="006C294D">
        <w:rPr>
          <w:sz w:val="22"/>
          <w:szCs w:val="22"/>
        </w:rPr>
        <w:t xml:space="preserve"> and</w:t>
      </w:r>
      <w:r w:rsidR="00BC5031">
        <w:rPr>
          <w:sz w:val="22"/>
          <w:szCs w:val="22"/>
        </w:rPr>
        <w:t xml:space="preserve"> Chamberlains misconceptions of Hitlers diplomacy</w:t>
      </w:r>
      <w:r w:rsidR="00FD214D">
        <w:rPr>
          <w:rStyle w:val="FootnoteReference"/>
          <w:sz w:val="22"/>
          <w:szCs w:val="22"/>
        </w:rPr>
        <w:footnoteReference w:id="29"/>
      </w:r>
      <w:r w:rsidR="00DE58D4">
        <w:rPr>
          <w:sz w:val="22"/>
          <w:szCs w:val="22"/>
        </w:rPr>
        <w:t xml:space="preserve">. </w:t>
      </w:r>
    </w:p>
    <w:p w14:paraId="689BC5A0" w14:textId="200D3D46" w:rsidR="00DE58D4" w:rsidRDefault="007D46EA" w:rsidP="00074915">
      <w:pPr>
        <w:rPr>
          <w:sz w:val="22"/>
          <w:szCs w:val="22"/>
        </w:rPr>
      </w:pPr>
      <w:r>
        <w:rPr>
          <w:sz w:val="22"/>
          <w:szCs w:val="22"/>
        </w:rPr>
        <w:lastRenderedPageBreak/>
        <w:t>In conclusion, this article gives a good interpretation of the origins of the Second World War. The article gives an in depth and well researched interpretation on how the failure of British diplomacy and deterrence strategy, and German expansionism, were the causes of World War II. The articles main strengths was its delivery in chronological order, and its in depth argument on the successes and failures of an economic and air deterrence policy against Germany. However, the omission of some information, such as the German invasion of the Rhineland and that Czechoslovakia was not a part of the Munich conference, cannot be ignored or understated due to the significance of the</w:t>
      </w:r>
      <w:r w:rsidR="003141FC">
        <w:rPr>
          <w:sz w:val="22"/>
          <w:szCs w:val="22"/>
        </w:rPr>
        <w:t xml:space="preserve"> information</w:t>
      </w:r>
      <w:r>
        <w:rPr>
          <w:sz w:val="22"/>
          <w:szCs w:val="22"/>
        </w:rPr>
        <w:t>.</w:t>
      </w:r>
      <w:r w:rsidR="00780C87">
        <w:rPr>
          <w:sz w:val="22"/>
          <w:szCs w:val="22"/>
        </w:rPr>
        <w:t xml:space="preserve"> </w:t>
      </w:r>
      <w:r>
        <w:rPr>
          <w:sz w:val="22"/>
          <w:szCs w:val="22"/>
        </w:rPr>
        <w:t xml:space="preserve">The article gives an interesting contribution to this field of study as the text is a top down, revisionist interpretation, which focuses </w:t>
      </w:r>
      <w:r w:rsidR="00780C87">
        <w:rPr>
          <w:sz w:val="22"/>
          <w:szCs w:val="22"/>
        </w:rPr>
        <w:t>on Chamberlain and Hitlers thoughts and decisions on diplomacy and deterrence. The main groups of people which would benefit from reading this article would be students, scholars and historians studying the Second World War due to the articles unique interpretation.</w:t>
      </w:r>
    </w:p>
    <w:p w14:paraId="39CE8990" w14:textId="77777777" w:rsidR="00DE01C3" w:rsidRDefault="00DE01C3" w:rsidP="00074915">
      <w:pPr>
        <w:rPr>
          <w:sz w:val="22"/>
          <w:szCs w:val="22"/>
        </w:rPr>
      </w:pPr>
    </w:p>
    <w:p w14:paraId="24E4571F" w14:textId="77777777" w:rsidR="00DE01C3" w:rsidRDefault="00DE01C3" w:rsidP="00074915">
      <w:pPr>
        <w:rPr>
          <w:sz w:val="22"/>
          <w:szCs w:val="22"/>
        </w:rPr>
      </w:pPr>
    </w:p>
    <w:p w14:paraId="7C8CF757" w14:textId="77777777" w:rsidR="00DE01C3" w:rsidRDefault="00DE01C3" w:rsidP="00074915">
      <w:pPr>
        <w:rPr>
          <w:sz w:val="22"/>
          <w:szCs w:val="22"/>
        </w:rPr>
      </w:pPr>
    </w:p>
    <w:p w14:paraId="75E097E0" w14:textId="77777777" w:rsidR="00DE01C3" w:rsidRDefault="00DE01C3" w:rsidP="00074915">
      <w:pPr>
        <w:rPr>
          <w:sz w:val="22"/>
          <w:szCs w:val="22"/>
        </w:rPr>
      </w:pPr>
    </w:p>
    <w:p w14:paraId="69E3E168" w14:textId="4BB4BD65" w:rsidR="00DE01C3" w:rsidRDefault="00DE01C3" w:rsidP="00074915">
      <w:pPr>
        <w:rPr>
          <w:sz w:val="22"/>
          <w:szCs w:val="22"/>
          <w:u w:val="single"/>
        </w:rPr>
      </w:pPr>
      <w:r>
        <w:rPr>
          <w:sz w:val="22"/>
          <w:szCs w:val="22"/>
          <w:u w:val="single"/>
        </w:rPr>
        <w:t>Bibliography</w:t>
      </w:r>
    </w:p>
    <w:p w14:paraId="35B4DB3E" w14:textId="552A558C" w:rsidR="00F63FE9" w:rsidRDefault="00F63FE9" w:rsidP="00151942">
      <w:pPr>
        <w:pStyle w:val="ListParagraph"/>
        <w:numPr>
          <w:ilvl w:val="0"/>
          <w:numId w:val="1"/>
        </w:numPr>
        <w:rPr>
          <w:sz w:val="22"/>
          <w:szCs w:val="22"/>
        </w:rPr>
      </w:pPr>
      <w:r>
        <w:rPr>
          <w:sz w:val="22"/>
          <w:szCs w:val="22"/>
        </w:rPr>
        <w:t>Brittanica, ‘</w:t>
      </w:r>
      <w:r>
        <w:rPr>
          <w:i/>
          <w:iCs/>
          <w:sz w:val="22"/>
          <w:szCs w:val="22"/>
        </w:rPr>
        <w:t>Munich Agreement</w:t>
      </w:r>
      <w:r>
        <w:rPr>
          <w:sz w:val="22"/>
          <w:szCs w:val="22"/>
        </w:rPr>
        <w:t>’, 2025, &lt;</w:t>
      </w:r>
      <w:hyperlink r:id="rId8" w:history="1">
        <w:r w:rsidRPr="00EC31E9">
          <w:rPr>
            <w:rStyle w:val="Hyperlink"/>
            <w:sz w:val="22"/>
            <w:szCs w:val="22"/>
          </w:rPr>
          <w:t>https://www.britannica.com/event/Munich-Agreement</w:t>
        </w:r>
      </w:hyperlink>
      <w:r>
        <w:rPr>
          <w:sz w:val="22"/>
          <w:szCs w:val="22"/>
        </w:rPr>
        <w:t>&gt;, [Accessed: 2</w:t>
      </w:r>
      <w:r w:rsidRPr="00F63FE9">
        <w:rPr>
          <w:sz w:val="22"/>
          <w:szCs w:val="22"/>
          <w:vertAlign w:val="superscript"/>
        </w:rPr>
        <w:t>nd</w:t>
      </w:r>
      <w:r>
        <w:rPr>
          <w:sz w:val="22"/>
          <w:szCs w:val="22"/>
        </w:rPr>
        <w:t xml:space="preserve"> January 2026]</w:t>
      </w:r>
    </w:p>
    <w:p w14:paraId="53EB197D" w14:textId="6F5AD880" w:rsidR="005E6073" w:rsidRDefault="00151942" w:rsidP="00151942">
      <w:pPr>
        <w:pStyle w:val="ListParagraph"/>
        <w:numPr>
          <w:ilvl w:val="0"/>
          <w:numId w:val="1"/>
        </w:numPr>
        <w:rPr>
          <w:sz w:val="22"/>
          <w:szCs w:val="22"/>
        </w:rPr>
      </w:pPr>
      <w:r>
        <w:rPr>
          <w:sz w:val="22"/>
          <w:szCs w:val="22"/>
        </w:rPr>
        <w:t xml:space="preserve">Hughes, Jeffrey L., ‘The Origins of World War II in Europe: British Deterrence Failure and German Expansionism’, </w:t>
      </w:r>
      <w:r w:rsidRPr="00DB4599">
        <w:rPr>
          <w:i/>
          <w:iCs/>
          <w:sz w:val="22"/>
          <w:szCs w:val="22"/>
        </w:rPr>
        <w:t>The Journal of Interdisciplinary History, The Origin and Prevention of Major Wars</w:t>
      </w:r>
      <w:r>
        <w:rPr>
          <w:sz w:val="22"/>
          <w:szCs w:val="22"/>
        </w:rPr>
        <w:t>, Vol. 18 No. 4, (1988), pp. 851-891</w:t>
      </w:r>
      <w:r w:rsidR="00895588">
        <w:rPr>
          <w:sz w:val="22"/>
          <w:szCs w:val="22"/>
        </w:rPr>
        <w:t>, &lt;</w:t>
      </w:r>
      <w:hyperlink r:id="rId9" w:history="1">
        <w:r w:rsidR="00895588" w:rsidRPr="00861C8F">
          <w:rPr>
            <w:rStyle w:val="Hyperlink"/>
            <w:sz w:val="22"/>
            <w:szCs w:val="22"/>
          </w:rPr>
          <w:t>https://www.jstor.org/stable/204827?seq=1</w:t>
        </w:r>
      </w:hyperlink>
      <w:r w:rsidR="00895588">
        <w:rPr>
          <w:sz w:val="22"/>
          <w:szCs w:val="22"/>
        </w:rPr>
        <w:t>&gt;, [Accessed: 2</w:t>
      </w:r>
      <w:r w:rsidR="00895588" w:rsidRPr="00895588">
        <w:rPr>
          <w:sz w:val="22"/>
          <w:szCs w:val="22"/>
          <w:vertAlign w:val="superscript"/>
        </w:rPr>
        <w:t>nd</w:t>
      </w:r>
      <w:r w:rsidR="00895588">
        <w:rPr>
          <w:sz w:val="22"/>
          <w:szCs w:val="22"/>
        </w:rPr>
        <w:t xml:space="preserve"> January 2026]</w:t>
      </w:r>
    </w:p>
    <w:p w14:paraId="6D369CC4" w14:textId="1FD0123D" w:rsidR="00F63FE9" w:rsidRPr="00F63FE9" w:rsidRDefault="00F63FE9" w:rsidP="00F63FE9">
      <w:pPr>
        <w:pStyle w:val="ListParagraph"/>
        <w:numPr>
          <w:ilvl w:val="0"/>
          <w:numId w:val="1"/>
        </w:numPr>
        <w:rPr>
          <w:sz w:val="22"/>
          <w:szCs w:val="22"/>
        </w:rPr>
      </w:pPr>
      <w:r w:rsidRPr="00F63FE9">
        <w:rPr>
          <w:sz w:val="22"/>
          <w:szCs w:val="22"/>
        </w:rPr>
        <w:t>Robertson, E.M., ‘</w:t>
      </w:r>
      <w:r w:rsidRPr="00F63FE9">
        <w:rPr>
          <w:i/>
          <w:iCs/>
          <w:sz w:val="22"/>
          <w:szCs w:val="22"/>
        </w:rPr>
        <w:t>The Origins of the Second World War</w:t>
      </w:r>
      <w:r w:rsidRPr="00F63FE9">
        <w:rPr>
          <w:sz w:val="22"/>
          <w:szCs w:val="22"/>
        </w:rPr>
        <w:t>’, (London and Basingstoke: The Macmillan Press ltd, 1971)</w:t>
      </w:r>
    </w:p>
    <w:p w14:paraId="66784609" w14:textId="17E76106" w:rsidR="005959BB" w:rsidRDefault="005959BB" w:rsidP="00151942">
      <w:pPr>
        <w:pStyle w:val="ListParagraph"/>
        <w:numPr>
          <w:ilvl w:val="0"/>
          <w:numId w:val="1"/>
        </w:numPr>
        <w:rPr>
          <w:sz w:val="22"/>
          <w:szCs w:val="22"/>
        </w:rPr>
      </w:pPr>
      <w:r>
        <w:rPr>
          <w:sz w:val="22"/>
          <w:szCs w:val="22"/>
        </w:rPr>
        <w:t>Taylor, A.J.P.</w:t>
      </w:r>
      <w:r w:rsidR="00240837">
        <w:rPr>
          <w:sz w:val="22"/>
          <w:szCs w:val="22"/>
        </w:rPr>
        <w:t xml:space="preserve"> and others</w:t>
      </w:r>
      <w:r>
        <w:rPr>
          <w:sz w:val="22"/>
          <w:szCs w:val="22"/>
        </w:rPr>
        <w:t>, ‘</w:t>
      </w:r>
      <w:r>
        <w:rPr>
          <w:i/>
          <w:iCs/>
          <w:sz w:val="22"/>
          <w:szCs w:val="22"/>
        </w:rPr>
        <w:t>The Origins of the Second World War Reconsidered</w:t>
      </w:r>
      <w:r>
        <w:rPr>
          <w:sz w:val="22"/>
          <w:szCs w:val="22"/>
        </w:rPr>
        <w:t>’, 2</w:t>
      </w:r>
      <w:r w:rsidRPr="005959BB">
        <w:rPr>
          <w:sz w:val="22"/>
          <w:szCs w:val="22"/>
          <w:vertAlign w:val="superscript"/>
        </w:rPr>
        <w:t>nd</w:t>
      </w:r>
      <w:r>
        <w:rPr>
          <w:sz w:val="22"/>
          <w:szCs w:val="22"/>
        </w:rPr>
        <w:t xml:space="preserve"> edn. (New York: Routledge, 1999)</w:t>
      </w:r>
    </w:p>
    <w:p w14:paraId="76EB4ACF" w14:textId="77777777" w:rsidR="00F13793" w:rsidRPr="00F63FE9" w:rsidRDefault="00F13793" w:rsidP="00F63FE9">
      <w:pPr>
        <w:ind w:left="360"/>
        <w:rPr>
          <w:sz w:val="22"/>
          <w:szCs w:val="22"/>
        </w:rPr>
      </w:pPr>
    </w:p>
    <w:sectPr w:rsidR="00F13793" w:rsidRPr="00F63F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67CAB" w14:textId="77777777" w:rsidR="00A44827" w:rsidRDefault="00A44827" w:rsidP="000721A9">
      <w:pPr>
        <w:spacing w:after="0" w:line="240" w:lineRule="auto"/>
      </w:pPr>
      <w:r>
        <w:separator/>
      </w:r>
    </w:p>
  </w:endnote>
  <w:endnote w:type="continuationSeparator" w:id="0">
    <w:p w14:paraId="19CB6DD3" w14:textId="77777777" w:rsidR="00A44827" w:rsidRDefault="00A44827" w:rsidP="00072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A09A0" w14:textId="77777777" w:rsidR="00A44827" w:rsidRDefault="00A44827" w:rsidP="000721A9">
      <w:pPr>
        <w:spacing w:after="0" w:line="240" w:lineRule="auto"/>
      </w:pPr>
      <w:r>
        <w:separator/>
      </w:r>
    </w:p>
  </w:footnote>
  <w:footnote w:type="continuationSeparator" w:id="0">
    <w:p w14:paraId="7E5705A4" w14:textId="77777777" w:rsidR="00A44827" w:rsidRDefault="00A44827" w:rsidP="000721A9">
      <w:pPr>
        <w:spacing w:after="0" w:line="240" w:lineRule="auto"/>
      </w:pPr>
      <w:r>
        <w:continuationSeparator/>
      </w:r>
    </w:p>
  </w:footnote>
  <w:footnote w:id="1">
    <w:p w14:paraId="68D79665" w14:textId="5E446700" w:rsidR="000721A9" w:rsidRPr="000721A9" w:rsidRDefault="000721A9">
      <w:pPr>
        <w:pStyle w:val="FootnoteText"/>
      </w:pPr>
      <w:r>
        <w:rPr>
          <w:rStyle w:val="FootnoteReference"/>
        </w:rPr>
        <w:footnoteRef/>
      </w:r>
      <w:r>
        <w:t xml:space="preserve"> Jeffrey L. Hughes, ‘The Origins of World War II: British Deterrence Failure and German Expansionism’, </w:t>
      </w:r>
      <w:r>
        <w:rPr>
          <w:i/>
          <w:iCs/>
        </w:rPr>
        <w:t>The Journal of Interdisciplinary History, The Origin and Prevention of Major Wars</w:t>
      </w:r>
      <w:r>
        <w:t>, Vol. 18 No. 4, (1988), pp. 851-891, (p851)</w:t>
      </w:r>
      <w:r w:rsidR="001142DB">
        <w:t>, &lt;</w:t>
      </w:r>
      <w:hyperlink r:id="rId1" w:history="1">
        <w:r w:rsidR="001142DB" w:rsidRPr="00861C8F">
          <w:rPr>
            <w:rStyle w:val="Hyperlink"/>
          </w:rPr>
          <w:t>https://www.jstor.org/stable/204827?seq=1</w:t>
        </w:r>
      </w:hyperlink>
      <w:r w:rsidR="001142DB">
        <w:t>&gt;, [Accessed: 2</w:t>
      </w:r>
      <w:r w:rsidR="001142DB" w:rsidRPr="001142DB">
        <w:rPr>
          <w:vertAlign w:val="superscript"/>
        </w:rPr>
        <w:t>nd</w:t>
      </w:r>
      <w:r w:rsidR="001142DB">
        <w:t xml:space="preserve"> January 2026]</w:t>
      </w:r>
    </w:p>
  </w:footnote>
  <w:footnote w:id="2">
    <w:p w14:paraId="391F9812" w14:textId="642D9864" w:rsidR="00B134EC" w:rsidRPr="00B134EC" w:rsidRDefault="00B134EC">
      <w:pPr>
        <w:pStyle w:val="FootnoteText"/>
      </w:pPr>
      <w:r>
        <w:rPr>
          <w:rStyle w:val="FootnoteReference"/>
        </w:rPr>
        <w:footnoteRef/>
      </w:r>
      <w:r>
        <w:t xml:space="preserve"> Ibid: Hughes, ‘</w:t>
      </w:r>
      <w:r>
        <w:rPr>
          <w:i/>
          <w:iCs/>
        </w:rPr>
        <w:t>The Origins of World War II: British Deterrence Failure and German Expansionism</w:t>
      </w:r>
      <w:r>
        <w:t>’, p851</w:t>
      </w:r>
      <w:r w:rsidR="00EC3AD5">
        <w:t xml:space="preserve">, </w:t>
      </w:r>
      <w:r w:rsidR="00EC3AD5">
        <w:t>[Accessed: 2</w:t>
      </w:r>
      <w:r w:rsidR="00EC3AD5" w:rsidRPr="001142DB">
        <w:rPr>
          <w:vertAlign w:val="superscript"/>
        </w:rPr>
        <w:t>nd</w:t>
      </w:r>
      <w:r w:rsidR="00EC3AD5">
        <w:t xml:space="preserve"> January 2026]</w:t>
      </w:r>
    </w:p>
  </w:footnote>
  <w:footnote w:id="3">
    <w:p w14:paraId="2C02F3A9" w14:textId="58EC7CFB" w:rsidR="00B134EC" w:rsidRDefault="00B134EC">
      <w:pPr>
        <w:pStyle w:val="FootnoteText"/>
      </w:pPr>
      <w:r>
        <w:rPr>
          <w:rStyle w:val="FootnoteReference"/>
        </w:rPr>
        <w:footnoteRef/>
      </w:r>
      <w:r>
        <w:t xml:space="preserve"> Ibid: Hughes, ‘</w:t>
      </w:r>
      <w:r>
        <w:rPr>
          <w:i/>
          <w:iCs/>
        </w:rPr>
        <w:t>The Origins of World War II: British Deterrence Failure and German Expansionism</w:t>
      </w:r>
      <w:r>
        <w:t>’, p854</w:t>
      </w:r>
      <w:r w:rsidR="00EC3AD5">
        <w:t xml:space="preserve">, </w:t>
      </w:r>
      <w:r w:rsidR="00EC3AD5">
        <w:t>[Accessed: 2</w:t>
      </w:r>
      <w:r w:rsidR="00EC3AD5" w:rsidRPr="001142DB">
        <w:rPr>
          <w:vertAlign w:val="superscript"/>
        </w:rPr>
        <w:t>nd</w:t>
      </w:r>
      <w:r w:rsidR="00EC3AD5">
        <w:t xml:space="preserve"> January 2026]</w:t>
      </w:r>
    </w:p>
  </w:footnote>
  <w:footnote w:id="4">
    <w:p w14:paraId="543A2E26" w14:textId="0958F42F" w:rsidR="00C637C1" w:rsidRDefault="00C637C1">
      <w:pPr>
        <w:pStyle w:val="FootnoteText"/>
      </w:pPr>
      <w:r>
        <w:rPr>
          <w:rStyle w:val="FootnoteReference"/>
        </w:rPr>
        <w:footnoteRef/>
      </w:r>
      <w:r>
        <w:t xml:space="preserve"> Ibid: Hughes, ‘</w:t>
      </w:r>
      <w:r>
        <w:rPr>
          <w:i/>
          <w:iCs/>
        </w:rPr>
        <w:t>The Origins of World War II: British Deterrence Failure and German Expansionism</w:t>
      </w:r>
      <w:r>
        <w:t>’, p863, 869</w:t>
      </w:r>
      <w:r w:rsidR="00EC3AD5">
        <w:t xml:space="preserve">, </w:t>
      </w:r>
      <w:r w:rsidR="00EC3AD5">
        <w:t>[Accessed: 2</w:t>
      </w:r>
      <w:r w:rsidR="00EC3AD5" w:rsidRPr="001142DB">
        <w:rPr>
          <w:vertAlign w:val="superscript"/>
        </w:rPr>
        <w:t>nd</w:t>
      </w:r>
      <w:r w:rsidR="00EC3AD5">
        <w:t xml:space="preserve"> January 2026]</w:t>
      </w:r>
    </w:p>
  </w:footnote>
  <w:footnote w:id="5">
    <w:p w14:paraId="28B1F44E" w14:textId="7F32697F" w:rsidR="00867646" w:rsidRDefault="00867646">
      <w:pPr>
        <w:pStyle w:val="FootnoteText"/>
      </w:pPr>
      <w:r>
        <w:rPr>
          <w:rStyle w:val="FootnoteReference"/>
        </w:rPr>
        <w:footnoteRef/>
      </w:r>
      <w:r>
        <w:t xml:space="preserve"> Ibid: Hughes, ‘</w:t>
      </w:r>
      <w:r>
        <w:rPr>
          <w:i/>
          <w:iCs/>
        </w:rPr>
        <w:t>The Origins of World War II: British Deterrence Failure and German Expansionism</w:t>
      </w:r>
      <w:r>
        <w:t>’, p866</w:t>
      </w:r>
      <w:r w:rsidR="00EC3AD5">
        <w:t xml:space="preserve">, </w:t>
      </w:r>
      <w:r w:rsidR="00EC3AD5">
        <w:t>[Accessed: 2</w:t>
      </w:r>
      <w:r w:rsidR="00EC3AD5" w:rsidRPr="001142DB">
        <w:rPr>
          <w:vertAlign w:val="superscript"/>
        </w:rPr>
        <w:t>nd</w:t>
      </w:r>
      <w:r w:rsidR="00EC3AD5">
        <w:t xml:space="preserve"> January 2026]</w:t>
      </w:r>
    </w:p>
  </w:footnote>
  <w:footnote w:id="6">
    <w:p w14:paraId="0E491209" w14:textId="7961DA9E" w:rsidR="0033631B" w:rsidRDefault="0033631B">
      <w:pPr>
        <w:pStyle w:val="FootnoteText"/>
      </w:pPr>
      <w:r>
        <w:rPr>
          <w:rStyle w:val="FootnoteReference"/>
        </w:rPr>
        <w:footnoteRef/>
      </w:r>
      <w:r>
        <w:t xml:space="preserve"> Ibid: Hughes, ‘</w:t>
      </w:r>
      <w:r>
        <w:rPr>
          <w:i/>
          <w:iCs/>
        </w:rPr>
        <w:t>The Origins of World War II: British Deterrence Failure and German Expansionism</w:t>
      </w:r>
      <w:r>
        <w:t>’, p860</w:t>
      </w:r>
      <w:r w:rsidR="00EC3AD5">
        <w:t xml:space="preserve">, </w:t>
      </w:r>
      <w:r w:rsidR="00EC3AD5">
        <w:t>[Accessed: 2</w:t>
      </w:r>
      <w:r w:rsidR="00EC3AD5" w:rsidRPr="001142DB">
        <w:rPr>
          <w:vertAlign w:val="superscript"/>
        </w:rPr>
        <w:t>nd</w:t>
      </w:r>
      <w:r w:rsidR="00EC3AD5">
        <w:t xml:space="preserve"> January 2026]</w:t>
      </w:r>
    </w:p>
  </w:footnote>
  <w:footnote w:id="7">
    <w:p w14:paraId="36C921EA" w14:textId="0BE00971" w:rsidR="00B72967" w:rsidRDefault="00B72967">
      <w:pPr>
        <w:pStyle w:val="FootnoteText"/>
      </w:pPr>
      <w:r>
        <w:rPr>
          <w:rStyle w:val="FootnoteReference"/>
        </w:rPr>
        <w:footnoteRef/>
      </w:r>
      <w:r>
        <w:t xml:space="preserve"> Ibid: Hughes, ‘</w:t>
      </w:r>
      <w:r>
        <w:rPr>
          <w:i/>
          <w:iCs/>
        </w:rPr>
        <w:t>The Origins of World War II: British Deterrence Failure and German Expansionism</w:t>
      </w:r>
      <w:r>
        <w:t>’, p889</w:t>
      </w:r>
      <w:r w:rsidR="00EC3AD5">
        <w:t xml:space="preserve">, </w:t>
      </w:r>
      <w:r w:rsidR="00EC3AD5">
        <w:t>[Accessed: 2</w:t>
      </w:r>
      <w:r w:rsidR="00EC3AD5" w:rsidRPr="001142DB">
        <w:rPr>
          <w:vertAlign w:val="superscript"/>
        </w:rPr>
        <w:t>nd</w:t>
      </w:r>
      <w:r w:rsidR="00EC3AD5">
        <w:t xml:space="preserve"> January 2026]</w:t>
      </w:r>
    </w:p>
  </w:footnote>
  <w:footnote w:id="8">
    <w:p w14:paraId="14604733" w14:textId="2204B1BF" w:rsidR="0051414C" w:rsidRDefault="0051414C">
      <w:pPr>
        <w:pStyle w:val="FootnoteText"/>
      </w:pPr>
      <w:r>
        <w:rPr>
          <w:rStyle w:val="FootnoteReference"/>
        </w:rPr>
        <w:footnoteRef/>
      </w:r>
      <w:r>
        <w:t xml:space="preserve"> Ibid: Hughes, ‘</w:t>
      </w:r>
      <w:r>
        <w:rPr>
          <w:i/>
          <w:iCs/>
        </w:rPr>
        <w:t>The Origins of World War II: British Deterrence Failure and German Expansionism</w:t>
      </w:r>
      <w:r>
        <w:t>’, p887</w:t>
      </w:r>
      <w:r w:rsidR="00EC3AD5">
        <w:t xml:space="preserve">, </w:t>
      </w:r>
      <w:r w:rsidR="00EC3AD5">
        <w:t>[Accessed: 2</w:t>
      </w:r>
      <w:r w:rsidR="00EC3AD5" w:rsidRPr="001142DB">
        <w:rPr>
          <w:vertAlign w:val="superscript"/>
        </w:rPr>
        <w:t>nd</w:t>
      </w:r>
      <w:r w:rsidR="00EC3AD5">
        <w:t xml:space="preserve"> January 2026]</w:t>
      </w:r>
    </w:p>
  </w:footnote>
  <w:footnote w:id="9">
    <w:p w14:paraId="2903CD5A" w14:textId="13E759BD" w:rsidR="00ED2AC6" w:rsidRDefault="00ED2AC6">
      <w:pPr>
        <w:pStyle w:val="FootnoteText"/>
      </w:pPr>
      <w:r>
        <w:rPr>
          <w:rStyle w:val="FootnoteReference"/>
        </w:rPr>
        <w:footnoteRef/>
      </w:r>
      <w:r>
        <w:t xml:space="preserve"> Ibid: Hughes, ‘</w:t>
      </w:r>
      <w:r>
        <w:rPr>
          <w:i/>
          <w:iCs/>
        </w:rPr>
        <w:t>The Origins of World War II: British Deterrence Failure and German Expansionism</w:t>
      </w:r>
      <w:r>
        <w:t>’, p888</w:t>
      </w:r>
      <w:r w:rsidR="00EC3AD5">
        <w:t xml:space="preserve">, </w:t>
      </w:r>
      <w:r w:rsidR="00EC3AD5">
        <w:t>[Accessed: 2</w:t>
      </w:r>
      <w:r w:rsidR="00EC3AD5" w:rsidRPr="001142DB">
        <w:rPr>
          <w:vertAlign w:val="superscript"/>
        </w:rPr>
        <w:t>nd</w:t>
      </w:r>
      <w:r w:rsidR="00EC3AD5">
        <w:t xml:space="preserve"> January 2026]</w:t>
      </w:r>
    </w:p>
  </w:footnote>
  <w:footnote w:id="10">
    <w:p w14:paraId="18BD2732" w14:textId="2BE0D62C" w:rsidR="00E65F48" w:rsidRDefault="00E65F48">
      <w:pPr>
        <w:pStyle w:val="FootnoteText"/>
      </w:pPr>
      <w:r>
        <w:rPr>
          <w:rStyle w:val="FootnoteReference"/>
        </w:rPr>
        <w:footnoteRef/>
      </w:r>
      <w:r>
        <w:t xml:space="preserve"> Ibid: Hughes, ‘</w:t>
      </w:r>
      <w:r>
        <w:rPr>
          <w:i/>
          <w:iCs/>
        </w:rPr>
        <w:t>The Origins of World War II: British Deterrence Failure and German Expansionism</w:t>
      </w:r>
      <w:r>
        <w:t>’, Title Page</w:t>
      </w:r>
      <w:r w:rsidR="005E18FC">
        <w:t xml:space="preserve">, </w:t>
      </w:r>
      <w:r w:rsidR="005E18FC">
        <w:t>[Accessed: 2</w:t>
      </w:r>
      <w:r w:rsidR="005E18FC" w:rsidRPr="001142DB">
        <w:rPr>
          <w:vertAlign w:val="superscript"/>
        </w:rPr>
        <w:t>nd</w:t>
      </w:r>
      <w:r w:rsidR="005E18FC">
        <w:t xml:space="preserve"> January 2026]</w:t>
      </w:r>
    </w:p>
  </w:footnote>
  <w:footnote w:id="11">
    <w:p w14:paraId="123FC959" w14:textId="6D9E3DDD" w:rsidR="00716BF4" w:rsidRDefault="00716BF4">
      <w:pPr>
        <w:pStyle w:val="FootnoteText"/>
      </w:pPr>
      <w:r>
        <w:rPr>
          <w:rStyle w:val="FootnoteReference"/>
        </w:rPr>
        <w:footnoteRef/>
      </w:r>
      <w:r>
        <w:t xml:space="preserve"> Ibid: Hughes, ‘</w:t>
      </w:r>
      <w:r>
        <w:rPr>
          <w:i/>
          <w:iCs/>
        </w:rPr>
        <w:t>The Origins of World War II: British Deterrence Failure and German Expansionism</w:t>
      </w:r>
      <w:r>
        <w:t>’, p</w:t>
      </w:r>
      <w:r w:rsidR="007379CF">
        <w:t>869-871</w:t>
      </w:r>
      <w:r w:rsidR="008F553B">
        <w:t>, 876</w:t>
      </w:r>
      <w:r w:rsidR="005E18FC">
        <w:t xml:space="preserve">, </w:t>
      </w:r>
      <w:r w:rsidR="005E18FC">
        <w:t>[Accessed: 2</w:t>
      </w:r>
      <w:r w:rsidR="005E18FC" w:rsidRPr="001142DB">
        <w:rPr>
          <w:vertAlign w:val="superscript"/>
        </w:rPr>
        <w:t>nd</w:t>
      </w:r>
      <w:r w:rsidR="005E18FC">
        <w:t xml:space="preserve"> January 2026]</w:t>
      </w:r>
    </w:p>
  </w:footnote>
  <w:footnote w:id="12">
    <w:p w14:paraId="7CE7E8B1" w14:textId="18433D53" w:rsidR="00102D9E" w:rsidRDefault="00102D9E">
      <w:pPr>
        <w:pStyle w:val="FootnoteText"/>
      </w:pPr>
      <w:r>
        <w:rPr>
          <w:rStyle w:val="FootnoteReference"/>
        </w:rPr>
        <w:footnoteRef/>
      </w:r>
      <w:r>
        <w:t xml:space="preserve"> Ibid: Hughes, ‘</w:t>
      </w:r>
      <w:r>
        <w:rPr>
          <w:i/>
          <w:iCs/>
        </w:rPr>
        <w:t>The Origins of World War II: British Deterrence Failure and German Expansionism</w:t>
      </w:r>
      <w:r>
        <w:t>’, p851</w:t>
      </w:r>
      <w:r w:rsidR="005E18FC">
        <w:t xml:space="preserve">, </w:t>
      </w:r>
      <w:r w:rsidR="005E18FC">
        <w:t>[Accessed: 2</w:t>
      </w:r>
      <w:r w:rsidR="005E18FC" w:rsidRPr="001142DB">
        <w:rPr>
          <w:vertAlign w:val="superscript"/>
        </w:rPr>
        <w:t>nd</w:t>
      </w:r>
      <w:r w:rsidR="005E18FC">
        <w:t xml:space="preserve"> January 2026]</w:t>
      </w:r>
    </w:p>
  </w:footnote>
  <w:footnote w:id="13">
    <w:p w14:paraId="7D4D33F9" w14:textId="04524773" w:rsidR="00763536" w:rsidRDefault="00763536">
      <w:pPr>
        <w:pStyle w:val="FootnoteText"/>
      </w:pPr>
      <w:r>
        <w:rPr>
          <w:rStyle w:val="FootnoteReference"/>
        </w:rPr>
        <w:footnoteRef/>
      </w:r>
      <w:r>
        <w:t xml:space="preserve"> Ibid: Hughes, ‘</w:t>
      </w:r>
      <w:r>
        <w:rPr>
          <w:i/>
          <w:iCs/>
        </w:rPr>
        <w:t>The Origins of World War II: British Deterrence Failure and German Expansionism</w:t>
      </w:r>
      <w:r>
        <w:t>’, p863-864</w:t>
      </w:r>
      <w:r w:rsidR="005E18FC">
        <w:t xml:space="preserve">, </w:t>
      </w:r>
      <w:r w:rsidR="005E18FC">
        <w:t>[Accessed: 2</w:t>
      </w:r>
      <w:r w:rsidR="005E18FC" w:rsidRPr="001142DB">
        <w:rPr>
          <w:vertAlign w:val="superscript"/>
        </w:rPr>
        <w:t>nd</w:t>
      </w:r>
      <w:r w:rsidR="005E18FC">
        <w:t xml:space="preserve"> January 2026]</w:t>
      </w:r>
    </w:p>
  </w:footnote>
  <w:footnote w:id="14">
    <w:p w14:paraId="334BFF19" w14:textId="34FC7474" w:rsidR="003E7044" w:rsidRPr="003E7044" w:rsidRDefault="003E7044">
      <w:pPr>
        <w:pStyle w:val="FootnoteText"/>
      </w:pPr>
      <w:r>
        <w:rPr>
          <w:rStyle w:val="FootnoteReference"/>
        </w:rPr>
        <w:footnoteRef/>
      </w:r>
      <w:r>
        <w:t xml:space="preserve"> Brittanica, ‘</w:t>
      </w:r>
      <w:r>
        <w:rPr>
          <w:i/>
          <w:iCs/>
        </w:rPr>
        <w:t>Munich Agreement</w:t>
      </w:r>
      <w:r>
        <w:t>’, 2025, &lt;</w:t>
      </w:r>
      <w:hyperlink r:id="rId2" w:history="1">
        <w:r w:rsidRPr="00EC31E9">
          <w:rPr>
            <w:rStyle w:val="Hyperlink"/>
          </w:rPr>
          <w:t>https://www.britannica.com/event/Munich-Agreement</w:t>
        </w:r>
      </w:hyperlink>
      <w:r>
        <w:t>&gt;, [Accessed: 2</w:t>
      </w:r>
      <w:r w:rsidRPr="003E7044">
        <w:rPr>
          <w:vertAlign w:val="superscript"/>
        </w:rPr>
        <w:t>nd</w:t>
      </w:r>
      <w:r>
        <w:t xml:space="preserve"> January 2026]</w:t>
      </w:r>
    </w:p>
  </w:footnote>
  <w:footnote w:id="15">
    <w:p w14:paraId="71942AE9" w14:textId="7E1FE8FE" w:rsidR="009E391C" w:rsidRDefault="009E391C">
      <w:pPr>
        <w:pStyle w:val="FootnoteText"/>
      </w:pPr>
      <w:r>
        <w:rPr>
          <w:rStyle w:val="FootnoteReference"/>
        </w:rPr>
        <w:footnoteRef/>
      </w:r>
      <w:r>
        <w:t xml:space="preserve"> Ibid: Hughes, ‘</w:t>
      </w:r>
      <w:r>
        <w:rPr>
          <w:i/>
          <w:iCs/>
        </w:rPr>
        <w:t>The Origins of World War II: British Deterrence Failure and German Expansionism</w:t>
      </w:r>
      <w:r>
        <w:t>’, p857</w:t>
      </w:r>
      <w:r w:rsidR="005107B4">
        <w:t xml:space="preserve">, </w:t>
      </w:r>
      <w:r w:rsidR="005107B4">
        <w:t>[Accessed: 2</w:t>
      </w:r>
      <w:r w:rsidR="005107B4" w:rsidRPr="001142DB">
        <w:rPr>
          <w:vertAlign w:val="superscript"/>
        </w:rPr>
        <w:t>nd</w:t>
      </w:r>
      <w:r w:rsidR="005107B4">
        <w:t xml:space="preserve"> January 2026]</w:t>
      </w:r>
    </w:p>
  </w:footnote>
  <w:footnote w:id="16">
    <w:p w14:paraId="7B110F9B" w14:textId="3516FB38" w:rsidR="004D3627" w:rsidRDefault="004D3627">
      <w:pPr>
        <w:pStyle w:val="FootnoteText"/>
      </w:pPr>
      <w:r>
        <w:rPr>
          <w:rStyle w:val="FootnoteReference"/>
        </w:rPr>
        <w:footnoteRef/>
      </w:r>
      <w:r>
        <w:t xml:space="preserve"> Ibid: Hughes, ‘</w:t>
      </w:r>
      <w:r>
        <w:rPr>
          <w:i/>
          <w:iCs/>
        </w:rPr>
        <w:t>The Origins of World War II: British Deterrence Failure and German Expansionism</w:t>
      </w:r>
      <w:r>
        <w:t>’, p881</w:t>
      </w:r>
      <w:r w:rsidR="005107B4">
        <w:t xml:space="preserve">, </w:t>
      </w:r>
      <w:r w:rsidR="005107B4">
        <w:t>[Accessed: 2</w:t>
      </w:r>
      <w:r w:rsidR="005107B4" w:rsidRPr="001142DB">
        <w:rPr>
          <w:vertAlign w:val="superscript"/>
        </w:rPr>
        <w:t>nd</w:t>
      </w:r>
      <w:r w:rsidR="005107B4">
        <w:t xml:space="preserve"> January 2026]</w:t>
      </w:r>
    </w:p>
  </w:footnote>
  <w:footnote w:id="17">
    <w:p w14:paraId="2142A9F1" w14:textId="368FFC2C" w:rsidR="008F553B" w:rsidRDefault="008F553B">
      <w:pPr>
        <w:pStyle w:val="FootnoteText"/>
      </w:pPr>
      <w:r>
        <w:rPr>
          <w:rStyle w:val="FootnoteReference"/>
        </w:rPr>
        <w:footnoteRef/>
      </w:r>
      <w:r>
        <w:t xml:space="preserve"> Ibid: Hughes, ‘</w:t>
      </w:r>
      <w:r>
        <w:rPr>
          <w:i/>
          <w:iCs/>
        </w:rPr>
        <w:t>The Origins of World War II: British Deterrence Failure and German Expansionism</w:t>
      </w:r>
      <w:r>
        <w:t>’, p8</w:t>
      </w:r>
      <w:r w:rsidR="00046B9E">
        <w:t>62</w:t>
      </w:r>
      <w:r w:rsidR="005107B4">
        <w:t xml:space="preserve">, </w:t>
      </w:r>
      <w:r w:rsidR="005107B4">
        <w:t>[Accessed: 2</w:t>
      </w:r>
      <w:r w:rsidR="005107B4" w:rsidRPr="001142DB">
        <w:rPr>
          <w:vertAlign w:val="superscript"/>
        </w:rPr>
        <w:t>nd</w:t>
      </w:r>
      <w:r w:rsidR="005107B4">
        <w:t xml:space="preserve"> January 2026]</w:t>
      </w:r>
    </w:p>
  </w:footnote>
  <w:footnote w:id="18">
    <w:p w14:paraId="7329127A" w14:textId="617CB1BD" w:rsidR="00510095" w:rsidRDefault="00510095">
      <w:pPr>
        <w:pStyle w:val="FootnoteText"/>
      </w:pPr>
      <w:r>
        <w:rPr>
          <w:rStyle w:val="FootnoteReference"/>
        </w:rPr>
        <w:footnoteRef/>
      </w:r>
      <w:r>
        <w:t xml:space="preserve"> Ibid: Hughes, ‘</w:t>
      </w:r>
      <w:r>
        <w:rPr>
          <w:i/>
          <w:iCs/>
        </w:rPr>
        <w:t>The Origins of World War II: British Deterrence Failure and German Expansionism</w:t>
      </w:r>
      <w:r>
        <w:t>’, p856, 859</w:t>
      </w:r>
      <w:r w:rsidR="005107B4">
        <w:t xml:space="preserve">, </w:t>
      </w:r>
      <w:r w:rsidR="005107B4">
        <w:t>[Accessed: 2</w:t>
      </w:r>
      <w:r w:rsidR="005107B4" w:rsidRPr="001142DB">
        <w:rPr>
          <w:vertAlign w:val="superscript"/>
        </w:rPr>
        <w:t>nd</w:t>
      </w:r>
      <w:r w:rsidR="005107B4">
        <w:t xml:space="preserve"> January 2026]</w:t>
      </w:r>
    </w:p>
  </w:footnote>
  <w:footnote w:id="19">
    <w:p w14:paraId="64731F99" w14:textId="75A894BD" w:rsidR="004753E1" w:rsidRPr="004753E1" w:rsidRDefault="004753E1">
      <w:pPr>
        <w:pStyle w:val="FootnoteText"/>
      </w:pPr>
      <w:r>
        <w:rPr>
          <w:rStyle w:val="FootnoteReference"/>
        </w:rPr>
        <w:footnoteRef/>
      </w:r>
      <w:r>
        <w:t xml:space="preserve"> A.J.P.Taylor</w:t>
      </w:r>
      <w:r w:rsidR="00713718">
        <w:t xml:space="preserve"> and others</w:t>
      </w:r>
      <w:r>
        <w:t>, ‘</w:t>
      </w:r>
      <w:r>
        <w:rPr>
          <w:i/>
          <w:iCs/>
        </w:rPr>
        <w:t>The Origins of the Second World War Reconsidered</w:t>
      </w:r>
      <w:r>
        <w:t>’, 2</w:t>
      </w:r>
      <w:r w:rsidRPr="004753E1">
        <w:rPr>
          <w:vertAlign w:val="superscript"/>
        </w:rPr>
        <w:t>nd</w:t>
      </w:r>
      <w:r>
        <w:t xml:space="preserve"> edn., (New York: Routledge, 1999), p94</w:t>
      </w:r>
    </w:p>
  </w:footnote>
  <w:footnote w:id="20">
    <w:p w14:paraId="2259668B" w14:textId="002144F7" w:rsidR="002D56B5" w:rsidRPr="00435B07" w:rsidRDefault="002D56B5">
      <w:pPr>
        <w:pStyle w:val="FootnoteText"/>
      </w:pPr>
      <w:r>
        <w:rPr>
          <w:rStyle w:val="FootnoteReference"/>
        </w:rPr>
        <w:footnoteRef/>
      </w:r>
      <w:r>
        <w:t xml:space="preserve"> </w:t>
      </w:r>
      <w:r w:rsidR="00435B07">
        <w:t xml:space="preserve">Ibid: </w:t>
      </w:r>
      <w:r>
        <w:t>Taylor and others,</w:t>
      </w:r>
      <w:r w:rsidR="00435B07">
        <w:t xml:space="preserve"> ‘</w:t>
      </w:r>
      <w:r w:rsidR="00435B07">
        <w:rPr>
          <w:i/>
          <w:iCs/>
        </w:rPr>
        <w:t>The Origins of the Second World War Reconsidered</w:t>
      </w:r>
      <w:r w:rsidR="00435B07">
        <w:t>’, p94</w:t>
      </w:r>
    </w:p>
  </w:footnote>
  <w:footnote w:id="21">
    <w:p w14:paraId="1EA57D0F" w14:textId="3F34A2BC" w:rsidR="00C47C7F" w:rsidRDefault="00C47C7F">
      <w:pPr>
        <w:pStyle w:val="FootnoteText"/>
      </w:pPr>
      <w:r>
        <w:rPr>
          <w:rStyle w:val="FootnoteReference"/>
        </w:rPr>
        <w:footnoteRef/>
      </w:r>
      <w:r>
        <w:t xml:space="preserve"> Ibid: Taylor and others, ‘</w:t>
      </w:r>
      <w:r>
        <w:rPr>
          <w:i/>
          <w:iCs/>
        </w:rPr>
        <w:t>The Origins of the Second World War Reconsidered</w:t>
      </w:r>
      <w:r>
        <w:t>’, p96</w:t>
      </w:r>
    </w:p>
  </w:footnote>
  <w:footnote w:id="22">
    <w:p w14:paraId="13B9A161" w14:textId="59F219E5" w:rsidR="00DD3DAB" w:rsidRDefault="00DD3DAB">
      <w:pPr>
        <w:pStyle w:val="FootnoteText"/>
      </w:pPr>
      <w:r>
        <w:rPr>
          <w:rStyle w:val="FootnoteReference"/>
        </w:rPr>
        <w:footnoteRef/>
      </w:r>
      <w:r>
        <w:t xml:space="preserve"> Ibid: Taylor and others, ‘</w:t>
      </w:r>
      <w:r>
        <w:rPr>
          <w:i/>
          <w:iCs/>
        </w:rPr>
        <w:t>The Origins of the Second World War Reconsidered</w:t>
      </w:r>
      <w:r>
        <w:t>’, p118</w:t>
      </w:r>
    </w:p>
  </w:footnote>
  <w:footnote w:id="23">
    <w:p w14:paraId="3BA32FF9" w14:textId="12BC281D" w:rsidR="00B50581" w:rsidRDefault="00B50581">
      <w:pPr>
        <w:pStyle w:val="FootnoteText"/>
      </w:pPr>
      <w:r>
        <w:rPr>
          <w:rStyle w:val="FootnoteReference"/>
        </w:rPr>
        <w:footnoteRef/>
      </w:r>
      <w:r>
        <w:t xml:space="preserve"> Ibid: Taylor and others, ‘</w:t>
      </w:r>
      <w:r>
        <w:rPr>
          <w:i/>
          <w:iCs/>
        </w:rPr>
        <w:t>The Origins of the Second World War Reconsidered</w:t>
      </w:r>
      <w:r>
        <w:t>’, p118</w:t>
      </w:r>
    </w:p>
  </w:footnote>
  <w:footnote w:id="24">
    <w:p w14:paraId="24770E0D" w14:textId="5C0EFA1F" w:rsidR="00414312" w:rsidRDefault="00414312">
      <w:pPr>
        <w:pStyle w:val="FootnoteText"/>
      </w:pPr>
      <w:r>
        <w:rPr>
          <w:rStyle w:val="FootnoteReference"/>
        </w:rPr>
        <w:footnoteRef/>
      </w:r>
      <w:r>
        <w:t xml:space="preserve"> </w:t>
      </w:r>
      <w:r>
        <w:t>Ibid: Hughes, ‘</w:t>
      </w:r>
      <w:r>
        <w:rPr>
          <w:i/>
          <w:iCs/>
        </w:rPr>
        <w:t>The Origins of World War II: British Deterrence Failure and German Expansionism</w:t>
      </w:r>
      <w:r>
        <w:t>’, p86</w:t>
      </w:r>
      <w:r>
        <w:t>1</w:t>
      </w:r>
      <w:r>
        <w:t>, [Accessed: 2</w:t>
      </w:r>
      <w:r w:rsidRPr="001142DB">
        <w:rPr>
          <w:vertAlign w:val="superscript"/>
        </w:rPr>
        <w:t>nd</w:t>
      </w:r>
      <w:r>
        <w:t xml:space="preserve"> January 2026]</w:t>
      </w:r>
    </w:p>
  </w:footnote>
  <w:footnote w:id="25">
    <w:p w14:paraId="5666C18B" w14:textId="25F21DBE" w:rsidR="00331413" w:rsidRDefault="00331413">
      <w:pPr>
        <w:pStyle w:val="FootnoteText"/>
      </w:pPr>
      <w:r>
        <w:rPr>
          <w:rStyle w:val="FootnoteReference"/>
        </w:rPr>
        <w:footnoteRef/>
      </w:r>
      <w:r>
        <w:t xml:space="preserve"> </w:t>
      </w:r>
      <w:r>
        <w:t>Ibid: Taylor and others, ‘</w:t>
      </w:r>
      <w:r>
        <w:rPr>
          <w:i/>
          <w:iCs/>
        </w:rPr>
        <w:t>The Origins of the Second World War Reconsidered</w:t>
      </w:r>
      <w:r>
        <w:t>’, p11</w:t>
      </w:r>
      <w:r>
        <w:t>7</w:t>
      </w:r>
    </w:p>
  </w:footnote>
  <w:footnote w:id="26">
    <w:p w14:paraId="4D74C7F3" w14:textId="60817CC8" w:rsidR="00625657" w:rsidRPr="00625657" w:rsidRDefault="00625657">
      <w:pPr>
        <w:pStyle w:val="FootnoteText"/>
      </w:pPr>
      <w:r>
        <w:rPr>
          <w:rStyle w:val="FootnoteReference"/>
        </w:rPr>
        <w:footnoteRef/>
      </w:r>
      <w:r>
        <w:t xml:space="preserve"> E.M.Robertson, ‘</w:t>
      </w:r>
      <w:r>
        <w:rPr>
          <w:i/>
          <w:iCs/>
        </w:rPr>
        <w:t>The Origins of the Second World War</w:t>
      </w:r>
      <w:r>
        <w:t xml:space="preserve">’, </w:t>
      </w:r>
      <w:r w:rsidR="00B40A22">
        <w:t>(London and Basingstoke: The Macmillan Press ltd, 1971), p</w:t>
      </w:r>
      <w:r w:rsidR="00C06BCA">
        <w:t>120-124</w:t>
      </w:r>
    </w:p>
  </w:footnote>
  <w:footnote w:id="27">
    <w:p w14:paraId="7012FDA1" w14:textId="13289055" w:rsidR="00716FFF" w:rsidRPr="00716FFF" w:rsidRDefault="00716FFF">
      <w:pPr>
        <w:pStyle w:val="FootnoteText"/>
      </w:pPr>
      <w:r>
        <w:rPr>
          <w:rStyle w:val="FootnoteReference"/>
        </w:rPr>
        <w:footnoteRef/>
      </w:r>
      <w:r>
        <w:t xml:space="preserve"> </w:t>
      </w:r>
      <w:r w:rsidR="001055CF">
        <w:t xml:space="preserve">Ibid: </w:t>
      </w:r>
      <w:r>
        <w:t>Robertson, ‘</w:t>
      </w:r>
      <w:r>
        <w:rPr>
          <w:i/>
          <w:iCs/>
        </w:rPr>
        <w:t>The Origins of the Second World War</w:t>
      </w:r>
      <w:r>
        <w:t>’, p120-124</w:t>
      </w:r>
    </w:p>
  </w:footnote>
  <w:footnote w:id="28">
    <w:p w14:paraId="495BE128" w14:textId="7F0734C8" w:rsidR="00250F92" w:rsidRDefault="00250F92">
      <w:pPr>
        <w:pStyle w:val="FootnoteText"/>
      </w:pPr>
      <w:r>
        <w:rPr>
          <w:rStyle w:val="FootnoteReference"/>
        </w:rPr>
        <w:footnoteRef/>
      </w:r>
      <w:r>
        <w:t xml:space="preserve"> Ibid: Robertson, ‘</w:t>
      </w:r>
      <w:r>
        <w:rPr>
          <w:i/>
          <w:iCs/>
        </w:rPr>
        <w:t>The Origins of the Second World War</w:t>
      </w:r>
      <w:r>
        <w:t>’, p111</w:t>
      </w:r>
    </w:p>
  </w:footnote>
  <w:footnote w:id="29">
    <w:p w14:paraId="618996CA" w14:textId="3F6830FC" w:rsidR="00FD214D" w:rsidRDefault="00FD214D">
      <w:pPr>
        <w:pStyle w:val="FootnoteText"/>
      </w:pPr>
      <w:r>
        <w:rPr>
          <w:rStyle w:val="FootnoteReference"/>
        </w:rPr>
        <w:footnoteRef/>
      </w:r>
      <w:r>
        <w:t xml:space="preserve"> </w:t>
      </w:r>
      <w:r>
        <w:t>Ibid: Hughes, ‘</w:t>
      </w:r>
      <w:r>
        <w:rPr>
          <w:i/>
          <w:iCs/>
        </w:rPr>
        <w:t>The Origins of World War II: British Deterrence Failure and German Expansionism</w:t>
      </w:r>
      <w:r>
        <w:t>’, p8</w:t>
      </w:r>
      <w:r>
        <w:t>89</w:t>
      </w:r>
      <w:r>
        <w:t>, [Accessed: 2</w:t>
      </w:r>
      <w:r w:rsidRPr="001142DB">
        <w:rPr>
          <w:vertAlign w:val="superscript"/>
        </w:rPr>
        <w:t>nd</w:t>
      </w:r>
      <w:r>
        <w:t xml:space="preserve"> January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82C9B"/>
    <w:multiLevelType w:val="hybridMultilevel"/>
    <w:tmpl w:val="9842A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9439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915"/>
    <w:rsid w:val="00046B9E"/>
    <w:rsid w:val="000721A9"/>
    <w:rsid w:val="00074915"/>
    <w:rsid w:val="00091A9A"/>
    <w:rsid w:val="000B45D8"/>
    <w:rsid w:val="000D5664"/>
    <w:rsid w:val="000E6079"/>
    <w:rsid w:val="00102D9E"/>
    <w:rsid w:val="001055CF"/>
    <w:rsid w:val="001142DB"/>
    <w:rsid w:val="0013416C"/>
    <w:rsid w:val="00137DAE"/>
    <w:rsid w:val="00151942"/>
    <w:rsid w:val="001C0D92"/>
    <w:rsid w:val="001D7705"/>
    <w:rsid w:val="001D7B14"/>
    <w:rsid w:val="002250B0"/>
    <w:rsid w:val="00240837"/>
    <w:rsid w:val="0024701B"/>
    <w:rsid w:val="00250F92"/>
    <w:rsid w:val="002636CD"/>
    <w:rsid w:val="002D56B5"/>
    <w:rsid w:val="002F614A"/>
    <w:rsid w:val="003141FC"/>
    <w:rsid w:val="0032094F"/>
    <w:rsid w:val="00331413"/>
    <w:rsid w:val="0033631B"/>
    <w:rsid w:val="003B0097"/>
    <w:rsid w:val="003E7044"/>
    <w:rsid w:val="00414312"/>
    <w:rsid w:val="004146BE"/>
    <w:rsid w:val="00435B07"/>
    <w:rsid w:val="004753E1"/>
    <w:rsid w:val="00497E6B"/>
    <w:rsid w:val="004D3627"/>
    <w:rsid w:val="00502D98"/>
    <w:rsid w:val="00507598"/>
    <w:rsid w:val="00510095"/>
    <w:rsid w:val="005107B4"/>
    <w:rsid w:val="0051414C"/>
    <w:rsid w:val="005959BB"/>
    <w:rsid w:val="005B0E00"/>
    <w:rsid w:val="005B52B4"/>
    <w:rsid w:val="005E18FC"/>
    <w:rsid w:val="005E6073"/>
    <w:rsid w:val="00625657"/>
    <w:rsid w:val="00642896"/>
    <w:rsid w:val="0064505E"/>
    <w:rsid w:val="006A0F5E"/>
    <w:rsid w:val="006B3F06"/>
    <w:rsid w:val="006C294D"/>
    <w:rsid w:val="006E3A08"/>
    <w:rsid w:val="006F52D3"/>
    <w:rsid w:val="00700C4F"/>
    <w:rsid w:val="00713718"/>
    <w:rsid w:val="00716BF4"/>
    <w:rsid w:val="00716FFF"/>
    <w:rsid w:val="00734813"/>
    <w:rsid w:val="007379CF"/>
    <w:rsid w:val="00742E2F"/>
    <w:rsid w:val="00743626"/>
    <w:rsid w:val="00763536"/>
    <w:rsid w:val="00780C87"/>
    <w:rsid w:val="007823D2"/>
    <w:rsid w:val="007D46EA"/>
    <w:rsid w:val="007D5132"/>
    <w:rsid w:val="007E4C56"/>
    <w:rsid w:val="007E5A2F"/>
    <w:rsid w:val="007E5C0F"/>
    <w:rsid w:val="0086039A"/>
    <w:rsid w:val="0086710C"/>
    <w:rsid w:val="00867646"/>
    <w:rsid w:val="00885BD0"/>
    <w:rsid w:val="00895588"/>
    <w:rsid w:val="008A4AE8"/>
    <w:rsid w:val="008F553B"/>
    <w:rsid w:val="00904943"/>
    <w:rsid w:val="00927B8A"/>
    <w:rsid w:val="00960F63"/>
    <w:rsid w:val="009E391C"/>
    <w:rsid w:val="00A06604"/>
    <w:rsid w:val="00A06744"/>
    <w:rsid w:val="00A44827"/>
    <w:rsid w:val="00A5386B"/>
    <w:rsid w:val="00B132D8"/>
    <w:rsid w:val="00B134EC"/>
    <w:rsid w:val="00B25AC1"/>
    <w:rsid w:val="00B40A22"/>
    <w:rsid w:val="00B50581"/>
    <w:rsid w:val="00B72967"/>
    <w:rsid w:val="00B8266F"/>
    <w:rsid w:val="00B85E89"/>
    <w:rsid w:val="00B867DC"/>
    <w:rsid w:val="00BC5031"/>
    <w:rsid w:val="00BE6D73"/>
    <w:rsid w:val="00C0653B"/>
    <w:rsid w:val="00C06BCA"/>
    <w:rsid w:val="00C47C7F"/>
    <w:rsid w:val="00C637C1"/>
    <w:rsid w:val="00CB3A2F"/>
    <w:rsid w:val="00CC0ADC"/>
    <w:rsid w:val="00D51D9F"/>
    <w:rsid w:val="00DB4599"/>
    <w:rsid w:val="00DD3DAB"/>
    <w:rsid w:val="00DE01C3"/>
    <w:rsid w:val="00DE58D4"/>
    <w:rsid w:val="00E65F48"/>
    <w:rsid w:val="00E93893"/>
    <w:rsid w:val="00EC3AD5"/>
    <w:rsid w:val="00ED2AC6"/>
    <w:rsid w:val="00ED400C"/>
    <w:rsid w:val="00EE6639"/>
    <w:rsid w:val="00F07423"/>
    <w:rsid w:val="00F13793"/>
    <w:rsid w:val="00F1450D"/>
    <w:rsid w:val="00F17B56"/>
    <w:rsid w:val="00F63FE9"/>
    <w:rsid w:val="00F95F37"/>
    <w:rsid w:val="00FD21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CA97"/>
  <w15:chartTrackingRefBased/>
  <w15:docId w15:val="{70E3EF1F-5AB9-48CA-8E5C-427D42F8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9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9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9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9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9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9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9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9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9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9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9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9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9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9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915"/>
    <w:rPr>
      <w:rFonts w:eastAsiaTheme="majorEastAsia" w:cstheme="majorBidi"/>
      <w:color w:val="272727" w:themeColor="text1" w:themeTint="D8"/>
    </w:rPr>
  </w:style>
  <w:style w:type="paragraph" w:styleId="Title">
    <w:name w:val="Title"/>
    <w:basedOn w:val="Normal"/>
    <w:next w:val="Normal"/>
    <w:link w:val="TitleChar"/>
    <w:uiPriority w:val="10"/>
    <w:qFormat/>
    <w:rsid w:val="000749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9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915"/>
    <w:pPr>
      <w:spacing w:before="160"/>
      <w:jc w:val="center"/>
    </w:pPr>
    <w:rPr>
      <w:i/>
      <w:iCs/>
      <w:color w:val="404040" w:themeColor="text1" w:themeTint="BF"/>
    </w:rPr>
  </w:style>
  <w:style w:type="character" w:customStyle="1" w:styleId="QuoteChar">
    <w:name w:val="Quote Char"/>
    <w:basedOn w:val="DefaultParagraphFont"/>
    <w:link w:val="Quote"/>
    <w:uiPriority w:val="29"/>
    <w:rsid w:val="00074915"/>
    <w:rPr>
      <w:i/>
      <w:iCs/>
      <w:color w:val="404040" w:themeColor="text1" w:themeTint="BF"/>
    </w:rPr>
  </w:style>
  <w:style w:type="paragraph" w:styleId="ListParagraph">
    <w:name w:val="List Paragraph"/>
    <w:basedOn w:val="Normal"/>
    <w:uiPriority w:val="34"/>
    <w:qFormat/>
    <w:rsid w:val="00074915"/>
    <w:pPr>
      <w:ind w:left="720"/>
      <w:contextualSpacing/>
    </w:pPr>
  </w:style>
  <w:style w:type="character" w:styleId="IntenseEmphasis">
    <w:name w:val="Intense Emphasis"/>
    <w:basedOn w:val="DefaultParagraphFont"/>
    <w:uiPriority w:val="21"/>
    <w:qFormat/>
    <w:rsid w:val="00074915"/>
    <w:rPr>
      <w:i/>
      <w:iCs/>
      <w:color w:val="0F4761" w:themeColor="accent1" w:themeShade="BF"/>
    </w:rPr>
  </w:style>
  <w:style w:type="paragraph" w:styleId="IntenseQuote">
    <w:name w:val="Intense Quote"/>
    <w:basedOn w:val="Normal"/>
    <w:next w:val="Normal"/>
    <w:link w:val="IntenseQuoteChar"/>
    <w:uiPriority w:val="30"/>
    <w:qFormat/>
    <w:rsid w:val="00074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915"/>
    <w:rPr>
      <w:i/>
      <w:iCs/>
      <w:color w:val="0F4761" w:themeColor="accent1" w:themeShade="BF"/>
    </w:rPr>
  </w:style>
  <w:style w:type="character" w:styleId="IntenseReference">
    <w:name w:val="Intense Reference"/>
    <w:basedOn w:val="DefaultParagraphFont"/>
    <w:uiPriority w:val="32"/>
    <w:qFormat/>
    <w:rsid w:val="00074915"/>
    <w:rPr>
      <w:b/>
      <w:bCs/>
      <w:smallCaps/>
      <w:color w:val="0F4761" w:themeColor="accent1" w:themeShade="BF"/>
      <w:spacing w:val="5"/>
    </w:rPr>
  </w:style>
  <w:style w:type="paragraph" w:styleId="FootnoteText">
    <w:name w:val="footnote text"/>
    <w:basedOn w:val="Normal"/>
    <w:link w:val="FootnoteTextChar"/>
    <w:uiPriority w:val="99"/>
    <w:semiHidden/>
    <w:unhideWhenUsed/>
    <w:rsid w:val="000721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1A9"/>
    <w:rPr>
      <w:sz w:val="20"/>
      <w:szCs w:val="20"/>
    </w:rPr>
  </w:style>
  <w:style w:type="character" w:styleId="FootnoteReference">
    <w:name w:val="footnote reference"/>
    <w:basedOn w:val="DefaultParagraphFont"/>
    <w:uiPriority w:val="99"/>
    <w:semiHidden/>
    <w:unhideWhenUsed/>
    <w:rsid w:val="000721A9"/>
    <w:rPr>
      <w:vertAlign w:val="superscript"/>
    </w:rPr>
  </w:style>
  <w:style w:type="character" w:styleId="Hyperlink">
    <w:name w:val="Hyperlink"/>
    <w:basedOn w:val="DefaultParagraphFont"/>
    <w:uiPriority w:val="99"/>
    <w:unhideWhenUsed/>
    <w:rsid w:val="00F63FE9"/>
    <w:rPr>
      <w:color w:val="467886" w:themeColor="hyperlink"/>
      <w:u w:val="single"/>
    </w:rPr>
  </w:style>
  <w:style w:type="character" w:styleId="UnresolvedMention">
    <w:name w:val="Unresolved Mention"/>
    <w:basedOn w:val="DefaultParagraphFont"/>
    <w:uiPriority w:val="99"/>
    <w:semiHidden/>
    <w:unhideWhenUsed/>
    <w:rsid w:val="00F63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event/Munich-Agre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stor.org/stable/204827?seq=1"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britannica.com/event/Munich-Agreement" TargetMode="External"/><Relationship Id="rId1" Type="http://schemas.openxmlformats.org/officeDocument/2006/relationships/hyperlink" Target="https://www.jstor.org/stable/204827?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D968A-0A07-4C0F-844F-9BC9ED7A6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Pages>
  <Words>1876</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83</cp:revision>
  <dcterms:created xsi:type="dcterms:W3CDTF">2025-12-30T15:41:00Z</dcterms:created>
  <dcterms:modified xsi:type="dcterms:W3CDTF">2026-01-04T11:25:00Z</dcterms:modified>
</cp:coreProperties>
</file>