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08190540"/>
        <w:docPartObj>
          <w:docPartGallery w:val="Cover Pages"/>
          <w:docPartUnique/>
        </w:docPartObj>
      </w:sdtPr>
      <w:sdtEndPr>
        <w:rPr>
          <w:rFonts w:ascii="Arial" w:hAnsi="Arial" w:cs="Arial"/>
          <w:b/>
          <w:bCs/>
        </w:rPr>
      </w:sdtEndPr>
      <w:sdtContent>
        <w:p w14:paraId="5619F341" w14:textId="6F30E0C5" w:rsidR="00E4181D" w:rsidRDefault="00E4181D"/>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E4181D" w14:paraId="5CBD5739" w14:textId="77777777" w:rsidTr="00B623AF">
            <w:tc>
              <w:tcPr>
                <w:tcW w:w="7209" w:type="dxa"/>
                <w:tcMar>
                  <w:top w:w="216" w:type="dxa"/>
                  <w:left w:w="115" w:type="dxa"/>
                  <w:bottom w:w="216" w:type="dxa"/>
                  <w:right w:w="115" w:type="dxa"/>
                </w:tcMar>
              </w:tcPr>
              <w:p w14:paraId="3C95DFF4" w14:textId="2123C3A9" w:rsidR="00E4181D" w:rsidRDefault="00E4181D">
                <w:pPr>
                  <w:pStyle w:val="NoSpacing"/>
                  <w:rPr>
                    <w:color w:val="0F4761" w:themeColor="accent1" w:themeShade="BF"/>
                    <w:sz w:val="24"/>
                  </w:rPr>
                </w:pPr>
              </w:p>
            </w:tc>
          </w:tr>
          <w:tr w:rsidR="00E4181D" w14:paraId="267777EC" w14:textId="77777777" w:rsidTr="00B623AF">
            <w:tc>
              <w:tcPr>
                <w:tcW w:w="7209" w:type="dxa"/>
              </w:tcPr>
              <w:sdt>
                <w:sdtPr>
                  <w:rPr>
                    <w:rFonts w:ascii="Arial Black" w:eastAsiaTheme="majorEastAsia" w:hAnsi="Arial Black" w:cstheme="majorBidi"/>
                    <w:color w:val="156082" w:themeColor="accent1"/>
                    <w:sz w:val="72"/>
                    <w:szCs w:val="72"/>
                    <w:u w:val="thick"/>
                  </w:rPr>
                  <w:alias w:val="Title"/>
                  <w:id w:val="13406919"/>
                  <w:placeholder>
                    <w:docPart w:val="380B044A55C14DCEAC15EF151E768124"/>
                  </w:placeholder>
                  <w:dataBinding w:prefixMappings="xmlns:ns0='http://schemas.openxmlformats.org/package/2006/metadata/core-properties' xmlns:ns1='http://purl.org/dc/elements/1.1/'" w:xpath="/ns0:coreProperties[1]/ns1:title[1]" w:storeItemID="{6C3C8BC8-F283-45AE-878A-BAB7291924A1}"/>
                  <w:text/>
                </w:sdtPr>
                <w:sdtContent>
                  <w:p w14:paraId="66C81FC3" w14:textId="53620DF1" w:rsidR="00E4181D" w:rsidRPr="00B623AF" w:rsidRDefault="00B623AF">
                    <w:pPr>
                      <w:pStyle w:val="NoSpacing"/>
                      <w:spacing w:line="216" w:lineRule="auto"/>
                      <w:rPr>
                        <w:rFonts w:ascii="Arial Black" w:eastAsiaTheme="majorEastAsia" w:hAnsi="Arial Black" w:cstheme="majorBidi"/>
                        <w:color w:val="156082" w:themeColor="accent1"/>
                        <w:sz w:val="72"/>
                        <w:szCs w:val="72"/>
                        <w:u w:val="thick"/>
                      </w:rPr>
                    </w:pPr>
                    <w:r w:rsidRPr="00B623AF">
                      <w:rPr>
                        <w:rFonts w:ascii="Arial Black" w:eastAsiaTheme="majorEastAsia" w:hAnsi="Arial Black" w:cstheme="majorBidi"/>
                        <w:color w:val="156082" w:themeColor="accent1"/>
                        <w:sz w:val="72"/>
                        <w:szCs w:val="72"/>
                        <w:u w:val="thick"/>
                      </w:rPr>
                      <w:t>Financial Ratio Analysis of Amazon.com, Inc. (2024–2025)</w:t>
                    </w:r>
                  </w:p>
                </w:sdtContent>
              </w:sdt>
            </w:tc>
          </w:tr>
          <w:tr w:rsidR="00E4181D" w14:paraId="524D5086" w14:textId="77777777" w:rsidTr="00B623AF">
            <w:tc>
              <w:tcPr>
                <w:tcW w:w="7209" w:type="dxa"/>
                <w:tcMar>
                  <w:top w:w="216" w:type="dxa"/>
                  <w:left w:w="115" w:type="dxa"/>
                  <w:bottom w:w="216" w:type="dxa"/>
                  <w:right w:w="115" w:type="dxa"/>
                </w:tcMar>
              </w:tcPr>
              <w:p w14:paraId="50406AC8" w14:textId="75A45C8D" w:rsidR="00E4181D" w:rsidRDefault="00E4181D">
                <w:pPr>
                  <w:pStyle w:val="NoSpacing"/>
                  <w:rPr>
                    <w:color w:val="0F4761" w:themeColor="accent1" w:themeShade="BF"/>
                    <w:sz w:val="24"/>
                  </w:rPr>
                </w:pPr>
              </w:p>
            </w:tc>
          </w:tr>
        </w:tbl>
        <w:p w14:paraId="3AB53E0B" w14:textId="4DA933B1" w:rsidR="00E4181D" w:rsidRDefault="00E4181D">
          <w:pPr>
            <w:rPr>
              <w:rFonts w:ascii="Arial" w:hAnsi="Arial" w:cs="Arial"/>
              <w:b/>
              <w:bCs/>
            </w:rPr>
          </w:pPr>
          <w:r>
            <w:rPr>
              <w:rFonts w:ascii="Arial" w:hAnsi="Arial" w:cs="Arial"/>
              <w:b/>
              <w:bCs/>
            </w:rPr>
            <w:br w:type="page"/>
          </w:r>
        </w:p>
      </w:sdtContent>
    </w:sdt>
    <w:p w14:paraId="5F8FC287" w14:textId="0096F803" w:rsidR="00FC1443" w:rsidRDefault="00FC1443" w:rsidP="00FC1443">
      <w:pPr>
        <w:spacing w:line="480" w:lineRule="auto"/>
        <w:jc w:val="center"/>
        <w:rPr>
          <w:rFonts w:ascii="Arial" w:hAnsi="Arial" w:cs="Arial"/>
          <w:b/>
          <w:bCs/>
        </w:rPr>
      </w:pPr>
      <w:r w:rsidRPr="00FC1443">
        <w:rPr>
          <w:rFonts w:ascii="Arial" w:hAnsi="Arial" w:cs="Arial"/>
          <w:b/>
          <w:bCs/>
        </w:rPr>
        <w:lastRenderedPageBreak/>
        <w:t>Introduction</w:t>
      </w:r>
    </w:p>
    <w:p w14:paraId="1C66CFE6" w14:textId="77777777" w:rsidR="00FC1443" w:rsidRPr="00FC1443" w:rsidRDefault="00FC1443" w:rsidP="00FC1443">
      <w:pPr>
        <w:spacing w:line="480" w:lineRule="auto"/>
        <w:jc w:val="center"/>
        <w:rPr>
          <w:rFonts w:ascii="Arial" w:hAnsi="Arial" w:cs="Arial"/>
          <w:b/>
          <w:bCs/>
        </w:rPr>
      </w:pPr>
    </w:p>
    <w:p w14:paraId="2926B0C0" w14:textId="267F2F17" w:rsidR="00FC1443" w:rsidRPr="00FC1443" w:rsidRDefault="00FC1443" w:rsidP="00FC1443">
      <w:pPr>
        <w:spacing w:line="480" w:lineRule="auto"/>
        <w:rPr>
          <w:rFonts w:ascii="Arial" w:hAnsi="Arial" w:cs="Arial"/>
        </w:rPr>
      </w:pPr>
      <w:r w:rsidRPr="00FC1443">
        <w:rPr>
          <w:rFonts w:ascii="Arial" w:hAnsi="Arial" w:cs="Arial"/>
        </w:rPr>
        <w:t xml:space="preserve">The following analyses are made from the financial statements for the years 2024 and 2025 of Amazon.com, Inc. and compared against both of those periods. Ratio Analysis is an excellent way to convert large figures in financial statements into simple ratios that represent profitability, liquidity, efficiency, and solvency for more accessible use in decision-making (Olayinka 2022; Rashid 2021). As a result of this, Amazon.com, Inc. is perfect for conducting this comprehensive analysis because they provide each </w:t>
      </w:r>
      <w:r>
        <w:rPr>
          <w:rFonts w:ascii="Arial" w:hAnsi="Arial" w:cs="Arial"/>
        </w:rPr>
        <w:t>year-end</w:t>
      </w:r>
      <w:r w:rsidRPr="00FC1443">
        <w:rPr>
          <w:rFonts w:ascii="Arial" w:hAnsi="Arial" w:cs="Arial"/>
        </w:rPr>
        <w:t xml:space="preserve"> financial </w:t>
      </w:r>
      <w:r>
        <w:rPr>
          <w:rFonts w:ascii="Arial" w:hAnsi="Arial" w:cs="Arial"/>
        </w:rPr>
        <w:t>statement</w:t>
      </w:r>
      <w:r w:rsidRPr="00FC1443">
        <w:rPr>
          <w:rFonts w:ascii="Arial" w:hAnsi="Arial" w:cs="Arial"/>
        </w:rPr>
        <w:t xml:space="preserve"> and </w:t>
      </w:r>
      <w:r w:rsidR="004B4353">
        <w:rPr>
          <w:rFonts w:ascii="Arial" w:hAnsi="Arial" w:cs="Arial"/>
        </w:rPr>
        <w:t>is</w:t>
      </w:r>
      <w:r w:rsidR="004B4353" w:rsidRPr="00FC1443">
        <w:rPr>
          <w:rFonts w:ascii="Arial" w:hAnsi="Arial" w:cs="Arial"/>
        </w:rPr>
        <w:t xml:space="preserve"> in</w:t>
      </w:r>
      <w:r w:rsidRPr="00FC1443">
        <w:rPr>
          <w:rFonts w:ascii="Arial" w:hAnsi="Arial" w:cs="Arial"/>
        </w:rPr>
        <w:t xml:space="preserve"> a fast-paced, developing e-commerce and technology environment. It should be noted that Amazon had annual sales of $637.96 billion in 2024 and $716.92 billion in 2025, and a net profit of $59.25 billion for 2024 and $77.67 billion for 2025. During this period, total assets increased significantly from $624.89 billion in 2024 to $818.04 billion in 2025</w:t>
      </w:r>
      <w:r>
        <w:rPr>
          <w:rFonts w:ascii="Arial" w:hAnsi="Arial" w:cs="Arial"/>
        </w:rPr>
        <w:t>,</w:t>
      </w:r>
      <w:r w:rsidRPr="00FC1443">
        <w:rPr>
          <w:rFonts w:ascii="Arial" w:hAnsi="Arial" w:cs="Arial"/>
        </w:rPr>
        <w:t xml:space="preserve"> reflecting </w:t>
      </w:r>
      <w:r>
        <w:rPr>
          <w:rFonts w:ascii="Arial" w:hAnsi="Arial" w:cs="Arial"/>
        </w:rPr>
        <w:t xml:space="preserve">the </w:t>
      </w:r>
      <w:r w:rsidRPr="00FC1443">
        <w:rPr>
          <w:rFonts w:ascii="Arial" w:hAnsi="Arial" w:cs="Arial"/>
        </w:rPr>
        <w:t>continued growth of both physical infrastructure and AI investment.</w:t>
      </w:r>
    </w:p>
    <w:p w14:paraId="55888CE6" w14:textId="77777777" w:rsidR="00FC1443" w:rsidRPr="00FC1443" w:rsidRDefault="00FC1443" w:rsidP="00FC1443">
      <w:pPr>
        <w:spacing w:line="480" w:lineRule="auto"/>
        <w:rPr>
          <w:rFonts w:ascii="Arial" w:hAnsi="Arial" w:cs="Arial"/>
          <w:b/>
          <w:bCs/>
        </w:rPr>
      </w:pPr>
      <w:r w:rsidRPr="00FC1443">
        <w:rPr>
          <w:rFonts w:ascii="Arial" w:hAnsi="Arial" w:cs="Arial"/>
          <w:b/>
          <w:bCs/>
        </w:rPr>
        <w:t>Ratios</w:t>
      </w:r>
    </w:p>
    <w:p w14:paraId="729231A9" w14:textId="0F5D52D5" w:rsidR="00FC1443" w:rsidRPr="00FC1443" w:rsidRDefault="00FC1443" w:rsidP="00FC1443">
      <w:pPr>
        <w:pStyle w:val="ListParagraph"/>
        <w:numPr>
          <w:ilvl w:val="0"/>
          <w:numId w:val="1"/>
        </w:numPr>
        <w:spacing w:line="480" w:lineRule="auto"/>
        <w:rPr>
          <w:rFonts w:ascii="Arial" w:hAnsi="Arial" w:cs="Arial"/>
          <w:b/>
          <w:bCs/>
        </w:rPr>
      </w:pPr>
      <w:r w:rsidRPr="00FC1443">
        <w:rPr>
          <w:rFonts w:ascii="Arial" w:hAnsi="Arial" w:cs="Arial"/>
          <w:b/>
          <w:bCs/>
        </w:rPr>
        <w:t>Current Ratio</w:t>
      </w:r>
    </w:p>
    <w:p w14:paraId="6D8825FD" w14:textId="77777777" w:rsidR="00FC1443" w:rsidRPr="00FC1443" w:rsidRDefault="00FC1443" w:rsidP="00FC1443">
      <w:pPr>
        <w:spacing w:line="480" w:lineRule="auto"/>
        <w:rPr>
          <w:rFonts w:ascii="Arial" w:hAnsi="Arial" w:cs="Arial"/>
        </w:rPr>
      </w:pPr>
      <w:r w:rsidRPr="00FC1443">
        <w:rPr>
          <w:rFonts w:ascii="Arial" w:hAnsi="Arial" w:cs="Arial"/>
        </w:rPr>
        <w:t>2024 = Current assets / Current liabilities = 190,867 / 179,431 = 1.06 to 1</w:t>
      </w:r>
    </w:p>
    <w:p w14:paraId="1B265605" w14:textId="77777777" w:rsidR="00FC1443" w:rsidRPr="00FC1443" w:rsidRDefault="00FC1443" w:rsidP="00FC1443">
      <w:pPr>
        <w:spacing w:line="480" w:lineRule="auto"/>
        <w:rPr>
          <w:rFonts w:ascii="Arial" w:hAnsi="Arial" w:cs="Arial"/>
        </w:rPr>
      </w:pPr>
      <w:r w:rsidRPr="00FC1443">
        <w:rPr>
          <w:rFonts w:ascii="Arial" w:hAnsi="Arial" w:cs="Arial"/>
        </w:rPr>
        <w:t>2025 = 229,083 / 218,005 = 1.05 to 1</w:t>
      </w:r>
    </w:p>
    <w:p w14:paraId="28BEC214" w14:textId="7273D942" w:rsidR="00FC1443" w:rsidRPr="00FC1443" w:rsidRDefault="00FC1443" w:rsidP="00FC1443">
      <w:pPr>
        <w:pStyle w:val="ListParagraph"/>
        <w:numPr>
          <w:ilvl w:val="0"/>
          <w:numId w:val="1"/>
        </w:numPr>
        <w:spacing w:line="480" w:lineRule="auto"/>
        <w:rPr>
          <w:rFonts w:ascii="Arial" w:hAnsi="Arial" w:cs="Arial"/>
        </w:rPr>
      </w:pPr>
      <w:r w:rsidRPr="00FC1443">
        <w:rPr>
          <w:rFonts w:ascii="Arial" w:hAnsi="Arial" w:cs="Arial"/>
          <w:b/>
          <w:bCs/>
        </w:rPr>
        <w:t>Quick Ratio</w:t>
      </w:r>
      <w:r w:rsidRPr="00FC1443">
        <w:rPr>
          <w:rFonts w:ascii="Arial" w:hAnsi="Arial" w:cs="Arial"/>
        </w:rPr>
        <w:t xml:space="preserve"> (that is, cash + short term market instruments + receivables)</w:t>
      </w:r>
    </w:p>
    <w:p w14:paraId="39283EF3" w14:textId="77777777" w:rsidR="00FC1443" w:rsidRPr="00FC1443" w:rsidRDefault="00FC1443" w:rsidP="00FC1443">
      <w:pPr>
        <w:spacing w:line="480" w:lineRule="auto"/>
        <w:rPr>
          <w:rFonts w:ascii="Arial" w:hAnsi="Arial" w:cs="Arial"/>
        </w:rPr>
      </w:pPr>
      <w:r w:rsidRPr="00FC1443">
        <w:rPr>
          <w:rFonts w:ascii="Arial" w:hAnsi="Arial" w:cs="Arial"/>
        </w:rPr>
        <w:t>2024 = (Current Assets – Inventory) / Current Liabilities = (190,867 – 34,214) / 179,431 = 0.87 to 1</w:t>
      </w:r>
    </w:p>
    <w:p w14:paraId="5803C745" w14:textId="77777777" w:rsidR="00FC1443" w:rsidRPr="00FC1443" w:rsidRDefault="00FC1443" w:rsidP="00FC1443">
      <w:pPr>
        <w:spacing w:line="480" w:lineRule="auto"/>
        <w:rPr>
          <w:rFonts w:ascii="Arial" w:hAnsi="Arial" w:cs="Arial"/>
        </w:rPr>
      </w:pPr>
      <w:r w:rsidRPr="00FC1443">
        <w:rPr>
          <w:rFonts w:ascii="Arial" w:hAnsi="Arial" w:cs="Arial"/>
        </w:rPr>
        <w:t>2025 = (Current Assets – Inventory) / Current Liabilities = (229,084 – 38,325) / 218,005 = 0.88 to 1</w:t>
      </w:r>
    </w:p>
    <w:p w14:paraId="2400777D" w14:textId="01D34F5C" w:rsidR="00FC1443" w:rsidRPr="00FC1443" w:rsidRDefault="00FC1443" w:rsidP="00FC1443">
      <w:pPr>
        <w:pStyle w:val="ListParagraph"/>
        <w:numPr>
          <w:ilvl w:val="0"/>
          <w:numId w:val="1"/>
        </w:numPr>
        <w:spacing w:line="480" w:lineRule="auto"/>
        <w:rPr>
          <w:rFonts w:ascii="Arial" w:hAnsi="Arial" w:cs="Arial"/>
          <w:b/>
          <w:bCs/>
        </w:rPr>
      </w:pPr>
      <w:r w:rsidRPr="00FC1443">
        <w:rPr>
          <w:rFonts w:ascii="Arial" w:hAnsi="Arial" w:cs="Arial"/>
          <w:b/>
          <w:bCs/>
        </w:rPr>
        <w:lastRenderedPageBreak/>
        <w:t>Operating Income as a Percentage of Sales (Operating Profit Margin)</w:t>
      </w:r>
    </w:p>
    <w:p w14:paraId="40F4AC95" w14:textId="77777777" w:rsidR="00FC1443" w:rsidRPr="00FC1443" w:rsidRDefault="00FC1443" w:rsidP="00FC1443">
      <w:pPr>
        <w:spacing w:line="480" w:lineRule="auto"/>
        <w:rPr>
          <w:rFonts w:ascii="Arial" w:hAnsi="Arial" w:cs="Arial"/>
        </w:rPr>
      </w:pPr>
      <w:r w:rsidRPr="00FC1443">
        <w:rPr>
          <w:rFonts w:ascii="Arial" w:hAnsi="Arial" w:cs="Arial"/>
        </w:rPr>
        <w:t>2024 = Operating Income/Sales = 68,593 / 637,959 = 10.75</w:t>
      </w:r>
    </w:p>
    <w:p w14:paraId="058DB67C" w14:textId="77777777" w:rsidR="00FC1443" w:rsidRPr="00FC1443" w:rsidRDefault="00FC1443" w:rsidP="00FC1443">
      <w:pPr>
        <w:spacing w:line="480" w:lineRule="auto"/>
        <w:rPr>
          <w:rFonts w:ascii="Arial" w:hAnsi="Arial" w:cs="Arial"/>
        </w:rPr>
      </w:pPr>
      <w:r w:rsidRPr="00FC1443">
        <w:rPr>
          <w:rFonts w:ascii="Arial" w:hAnsi="Arial" w:cs="Arial"/>
        </w:rPr>
        <w:t>2025 = Operating Income/Sales = 79,975 / 716,924 = 11.16</w:t>
      </w:r>
    </w:p>
    <w:p w14:paraId="289E6B2C" w14:textId="17144EA8" w:rsidR="00FC1443" w:rsidRPr="00FC1443" w:rsidRDefault="00FC1443" w:rsidP="00FC1443">
      <w:pPr>
        <w:pStyle w:val="ListParagraph"/>
        <w:numPr>
          <w:ilvl w:val="0"/>
          <w:numId w:val="1"/>
        </w:numPr>
        <w:spacing w:line="480" w:lineRule="auto"/>
        <w:rPr>
          <w:rFonts w:ascii="Arial" w:hAnsi="Arial" w:cs="Arial"/>
          <w:b/>
          <w:bCs/>
        </w:rPr>
      </w:pPr>
      <w:r w:rsidRPr="00FC1443">
        <w:rPr>
          <w:rFonts w:ascii="Arial" w:hAnsi="Arial" w:cs="Arial"/>
          <w:b/>
          <w:bCs/>
        </w:rPr>
        <w:t>Net Income as a Percentage of Sales (Net Profit Margin)</w:t>
      </w:r>
    </w:p>
    <w:p w14:paraId="60822C55" w14:textId="77777777" w:rsidR="00FC1443" w:rsidRPr="00FC1443" w:rsidRDefault="00FC1443" w:rsidP="00FC1443">
      <w:pPr>
        <w:spacing w:line="480" w:lineRule="auto"/>
        <w:rPr>
          <w:rFonts w:ascii="Arial" w:hAnsi="Arial" w:cs="Arial"/>
        </w:rPr>
      </w:pPr>
      <w:r w:rsidRPr="00FC1443">
        <w:rPr>
          <w:rFonts w:ascii="Arial" w:hAnsi="Arial" w:cs="Arial"/>
        </w:rPr>
        <w:t>2024 = Net Income/Sales = 59,248 / 637,959 = 9.29</w:t>
      </w:r>
    </w:p>
    <w:p w14:paraId="38CB88D3" w14:textId="429AFB66" w:rsidR="00E4181D" w:rsidRPr="00E4181D" w:rsidRDefault="00E4181D" w:rsidP="00E4181D">
      <w:pPr>
        <w:pStyle w:val="ListParagraph"/>
        <w:numPr>
          <w:ilvl w:val="0"/>
          <w:numId w:val="1"/>
        </w:numPr>
        <w:spacing w:line="480" w:lineRule="auto"/>
        <w:rPr>
          <w:rFonts w:ascii="Arial" w:hAnsi="Arial" w:cs="Arial"/>
          <w:b/>
          <w:bCs/>
        </w:rPr>
      </w:pPr>
      <w:r w:rsidRPr="00E4181D">
        <w:rPr>
          <w:rFonts w:ascii="Arial" w:hAnsi="Arial" w:cs="Arial"/>
          <w:b/>
          <w:bCs/>
        </w:rPr>
        <w:t>Return on assets (ROA)</w:t>
      </w:r>
    </w:p>
    <w:p w14:paraId="734CE223" w14:textId="77777777" w:rsidR="00E4181D" w:rsidRPr="00E4181D" w:rsidRDefault="00E4181D" w:rsidP="00E4181D">
      <w:pPr>
        <w:spacing w:line="480" w:lineRule="auto"/>
        <w:rPr>
          <w:rFonts w:ascii="Arial" w:hAnsi="Arial" w:cs="Arial"/>
        </w:rPr>
      </w:pPr>
      <w:r w:rsidRPr="00E4181D">
        <w:rPr>
          <w:rFonts w:ascii="Arial" w:hAnsi="Arial" w:cs="Arial"/>
        </w:rPr>
        <w:t>2024 = 59,248 / ((527,854 + 624,894) / 2) × 100 = 10.28%</w:t>
      </w:r>
    </w:p>
    <w:p w14:paraId="678C5099" w14:textId="77777777" w:rsidR="00E4181D" w:rsidRPr="00E4181D" w:rsidRDefault="00E4181D" w:rsidP="00E4181D">
      <w:pPr>
        <w:spacing w:line="480" w:lineRule="auto"/>
        <w:rPr>
          <w:rFonts w:ascii="Arial" w:hAnsi="Arial" w:cs="Arial"/>
        </w:rPr>
      </w:pPr>
      <w:r w:rsidRPr="00E4181D">
        <w:rPr>
          <w:rFonts w:ascii="Arial" w:hAnsi="Arial" w:cs="Arial"/>
        </w:rPr>
        <w:t>2025 = 77,670 / ((624,894 + 818,042) / 2) × 100 = 10.77%</w:t>
      </w:r>
    </w:p>
    <w:p w14:paraId="5E78F285" w14:textId="6CB0BD9D" w:rsidR="00E4181D" w:rsidRPr="00E4181D" w:rsidRDefault="00E4181D" w:rsidP="00E4181D">
      <w:pPr>
        <w:pStyle w:val="ListParagraph"/>
        <w:numPr>
          <w:ilvl w:val="0"/>
          <w:numId w:val="1"/>
        </w:numPr>
        <w:spacing w:line="480" w:lineRule="auto"/>
        <w:rPr>
          <w:rFonts w:ascii="Arial" w:hAnsi="Arial" w:cs="Arial"/>
          <w:b/>
          <w:bCs/>
        </w:rPr>
      </w:pPr>
      <w:r w:rsidRPr="00E4181D">
        <w:rPr>
          <w:rFonts w:ascii="Arial" w:hAnsi="Arial" w:cs="Arial"/>
          <w:b/>
          <w:bCs/>
        </w:rPr>
        <w:t>Return on equity (ROE)</w:t>
      </w:r>
    </w:p>
    <w:p w14:paraId="60FCC9AE" w14:textId="77777777" w:rsidR="00E4181D" w:rsidRPr="00E4181D" w:rsidRDefault="00E4181D" w:rsidP="00E4181D">
      <w:pPr>
        <w:spacing w:line="480" w:lineRule="auto"/>
        <w:rPr>
          <w:rFonts w:ascii="Arial" w:hAnsi="Arial" w:cs="Arial"/>
        </w:rPr>
      </w:pPr>
      <w:r w:rsidRPr="00E4181D">
        <w:rPr>
          <w:rFonts w:ascii="Arial" w:hAnsi="Arial" w:cs="Arial"/>
        </w:rPr>
        <w:t>2024 = 59,248 / ((201,875 + 285,970) / 2) × 100 = 24.29%</w:t>
      </w:r>
    </w:p>
    <w:p w14:paraId="5CD21198" w14:textId="77777777" w:rsidR="00E4181D" w:rsidRPr="00E4181D" w:rsidRDefault="00E4181D" w:rsidP="00E4181D">
      <w:pPr>
        <w:spacing w:line="480" w:lineRule="auto"/>
        <w:rPr>
          <w:rFonts w:ascii="Arial" w:hAnsi="Arial" w:cs="Arial"/>
        </w:rPr>
      </w:pPr>
      <w:r w:rsidRPr="00E4181D">
        <w:rPr>
          <w:rFonts w:ascii="Arial" w:hAnsi="Arial" w:cs="Arial"/>
        </w:rPr>
        <w:t>2025 = 77,670 / ((285,970 + 411,065) / 2) × 100 = 22.29%</w:t>
      </w:r>
    </w:p>
    <w:p w14:paraId="68DE560C" w14:textId="12E8E035" w:rsidR="00E4181D" w:rsidRPr="00E4181D" w:rsidRDefault="00E4181D" w:rsidP="00E4181D">
      <w:pPr>
        <w:pStyle w:val="ListParagraph"/>
        <w:numPr>
          <w:ilvl w:val="0"/>
          <w:numId w:val="1"/>
        </w:numPr>
        <w:spacing w:line="480" w:lineRule="auto"/>
        <w:rPr>
          <w:rFonts w:ascii="Arial" w:hAnsi="Arial" w:cs="Arial"/>
          <w:b/>
          <w:bCs/>
        </w:rPr>
      </w:pPr>
      <w:r w:rsidRPr="00E4181D">
        <w:rPr>
          <w:rFonts w:ascii="Arial" w:hAnsi="Arial" w:cs="Arial"/>
          <w:b/>
          <w:bCs/>
        </w:rPr>
        <w:t>Inventory turnover</w:t>
      </w:r>
    </w:p>
    <w:p w14:paraId="34980339" w14:textId="77777777" w:rsidR="00E4181D" w:rsidRPr="00E4181D" w:rsidRDefault="00E4181D" w:rsidP="00E4181D">
      <w:pPr>
        <w:spacing w:line="480" w:lineRule="auto"/>
        <w:rPr>
          <w:rFonts w:ascii="Arial" w:hAnsi="Arial" w:cs="Arial"/>
        </w:rPr>
      </w:pPr>
      <w:r w:rsidRPr="00E4181D">
        <w:rPr>
          <w:rFonts w:ascii="Arial" w:hAnsi="Arial" w:cs="Arial"/>
        </w:rPr>
        <w:t>2024 = Cost of Sales / Average Inventory</w:t>
      </w:r>
    </w:p>
    <w:p w14:paraId="46C06BA9" w14:textId="77777777" w:rsidR="00E4181D" w:rsidRPr="00E4181D" w:rsidRDefault="00E4181D" w:rsidP="00E4181D">
      <w:pPr>
        <w:spacing w:line="480" w:lineRule="auto"/>
        <w:rPr>
          <w:rFonts w:ascii="Arial" w:hAnsi="Arial" w:cs="Arial"/>
        </w:rPr>
      </w:pPr>
      <w:r w:rsidRPr="00E4181D">
        <w:rPr>
          <w:rFonts w:ascii="Arial" w:hAnsi="Arial" w:cs="Arial"/>
        </w:rPr>
        <w:t>= 326,288 / ((33,318 + 34,214) / 2) = 9.66 times</w:t>
      </w:r>
    </w:p>
    <w:p w14:paraId="5EEF16F2" w14:textId="77777777" w:rsidR="00E4181D" w:rsidRPr="00E4181D" w:rsidRDefault="00E4181D" w:rsidP="00E4181D">
      <w:pPr>
        <w:spacing w:line="480" w:lineRule="auto"/>
        <w:rPr>
          <w:rFonts w:ascii="Arial" w:hAnsi="Arial" w:cs="Arial"/>
        </w:rPr>
      </w:pPr>
      <w:r w:rsidRPr="00E4181D">
        <w:rPr>
          <w:rFonts w:ascii="Arial" w:hAnsi="Arial" w:cs="Arial"/>
        </w:rPr>
        <w:t>2025 = 356,414 / ((34,214 + 38,325) / 2) = 9.83 times</w:t>
      </w:r>
    </w:p>
    <w:p w14:paraId="41A69A59" w14:textId="515CC4D5" w:rsidR="00E4181D" w:rsidRPr="00E4181D" w:rsidRDefault="00E4181D" w:rsidP="00E4181D">
      <w:pPr>
        <w:pStyle w:val="ListParagraph"/>
        <w:numPr>
          <w:ilvl w:val="0"/>
          <w:numId w:val="1"/>
        </w:numPr>
        <w:spacing w:line="480" w:lineRule="auto"/>
        <w:rPr>
          <w:rFonts w:ascii="Arial" w:hAnsi="Arial" w:cs="Arial"/>
          <w:b/>
          <w:bCs/>
        </w:rPr>
      </w:pPr>
      <w:r w:rsidRPr="00E4181D">
        <w:rPr>
          <w:rFonts w:ascii="Arial" w:hAnsi="Arial" w:cs="Arial"/>
          <w:b/>
          <w:bCs/>
        </w:rPr>
        <w:t>Debt-to-equity ratio</w:t>
      </w:r>
    </w:p>
    <w:p w14:paraId="48C1BD73" w14:textId="3726CB1D" w:rsidR="00E4181D" w:rsidRPr="00E4181D" w:rsidRDefault="00E4181D" w:rsidP="00E4181D">
      <w:pPr>
        <w:spacing w:line="480" w:lineRule="auto"/>
        <w:rPr>
          <w:rFonts w:ascii="Arial" w:hAnsi="Arial" w:cs="Arial"/>
        </w:rPr>
      </w:pPr>
      <w:r w:rsidRPr="00E4181D">
        <w:rPr>
          <w:rFonts w:ascii="Arial" w:hAnsi="Arial" w:cs="Arial"/>
        </w:rPr>
        <w:t>2024 = Total Liabilities / Equity</w:t>
      </w:r>
      <w:r>
        <w:rPr>
          <w:rFonts w:ascii="Arial" w:hAnsi="Arial" w:cs="Arial"/>
        </w:rPr>
        <w:t xml:space="preserve"> </w:t>
      </w:r>
      <w:r w:rsidRPr="00E4181D">
        <w:rPr>
          <w:rFonts w:ascii="Arial" w:hAnsi="Arial" w:cs="Arial"/>
        </w:rPr>
        <w:t>= (624,894 – 285,970) / 285,970 = 1.19</w:t>
      </w:r>
    </w:p>
    <w:p w14:paraId="0CD46D03" w14:textId="4B8DB82C" w:rsidR="00FC1443" w:rsidRDefault="00E4181D" w:rsidP="00E4181D">
      <w:pPr>
        <w:spacing w:line="480" w:lineRule="auto"/>
        <w:rPr>
          <w:rFonts w:ascii="Arial" w:hAnsi="Arial" w:cs="Arial"/>
        </w:rPr>
      </w:pPr>
      <w:r w:rsidRPr="00E4181D">
        <w:rPr>
          <w:rFonts w:ascii="Arial" w:hAnsi="Arial" w:cs="Arial"/>
        </w:rPr>
        <w:t>2025 = (818,042 – 411,065) / 411,065 = 0.99</w:t>
      </w:r>
      <w:r w:rsidR="00FC1443" w:rsidRPr="00FC1443">
        <w:rPr>
          <w:rFonts w:ascii="Arial" w:hAnsi="Arial" w:cs="Arial"/>
        </w:rPr>
        <w:t xml:space="preserve">025 = Net Income/Sales = 77,670 / 716,924 = </w:t>
      </w:r>
      <w:r w:rsidR="00FC1443">
        <w:rPr>
          <w:rFonts w:ascii="Arial" w:hAnsi="Arial" w:cs="Arial"/>
        </w:rPr>
        <w:t xml:space="preserve">10.83. </w:t>
      </w:r>
    </w:p>
    <w:p w14:paraId="7E42EAD3" w14:textId="77777777" w:rsidR="00E4181D" w:rsidRDefault="00E4181D" w:rsidP="00FC1443">
      <w:pPr>
        <w:spacing w:line="480" w:lineRule="auto"/>
        <w:rPr>
          <w:rFonts w:ascii="Arial" w:hAnsi="Arial" w:cs="Arial"/>
        </w:rPr>
      </w:pPr>
    </w:p>
    <w:p w14:paraId="2E867E0C" w14:textId="6E4CC518" w:rsidR="00E4181D" w:rsidRDefault="00E4181D" w:rsidP="00E4181D">
      <w:pPr>
        <w:spacing w:line="480" w:lineRule="auto"/>
        <w:jc w:val="center"/>
        <w:rPr>
          <w:rFonts w:ascii="Arial" w:hAnsi="Arial" w:cs="Arial"/>
          <w:b/>
          <w:bCs/>
        </w:rPr>
      </w:pPr>
      <w:r w:rsidRPr="00E4181D">
        <w:rPr>
          <w:rFonts w:ascii="Arial" w:hAnsi="Arial" w:cs="Arial"/>
          <w:b/>
          <w:bCs/>
        </w:rPr>
        <w:lastRenderedPageBreak/>
        <w:t>Analysis of Performance</w:t>
      </w:r>
    </w:p>
    <w:p w14:paraId="2914B958" w14:textId="77777777" w:rsidR="00E4181D" w:rsidRPr="00E4181D" w:rsidRDefault="00E4181D" w:rsidP="00FC1443">
      <w:pPr>
        <w:spacing w:line="480" w:lineRule="auto"/>
        <w:rPr>
          <w:rFonts w:ascii="Arial" w:hAnsi="Arial" w:cs="Arial"/>
          <w:b/>
          <w:bCs/>
        </w:rPr>
      </w:pPr>
    </w:p>
    <w:p w14:paraId="439A1520" w14:textId="643A601F" w:rsidR="00FC1443" w:rsidRPr="00FC1443" w:rsidRDefault="00FC1443" w:rsidP="00FC1443">
      <w:pPr>
        <w:spacing w:line="480" w:lineRule="auto"/>
        <w:rPr>
          <w:rFonts w:ascii="Arial" w:hAnsi="Arial" w:cs="Arial"/>
        </w:rPr>
      </w:pPr>
      <w:r w:rsidRPr="00FC1443">
        <w:rPr>
          <w:rFonts w:ascii="Arial" w:hAnsi="Arial" w:cs="Arial"/>
        </w:rPr>
        <w:t>Clearly, improvements in all the measures above illustrate that performance for Amazon increased in 2025 relative to 2024. Operational Margins rose from 10.75% in 2024 to 11.16% in 2025</w:t>
      </w:r>
      <w:r>
        <w:rPr>
          <w:rFonts w:ascii="Arial" w:hAnsi="Arial" w:cs="Arial"/>
        </w:rPr>
        <w:t>,</w:t>
      </w:r>
      <w:r w:rsidRPr="00FC1443">
        <w:rPr>
          <w:rFonts w:ascii="Arial" w:hAnsi="Arial" w:cs="Arial"/>
        </w:rPr>
        <w:t xml:space="preserve"> and Net Profit Margins also changed in the same direction from 9.29% in 2024 to 10.83%, thus converting higher proportions of sales dollars into each dollar of profit in 2025. The increases in revenue were attributed to increases in the units sold, the increase in services sold to third-party sellers, the growth in our sortation </w:t>
      </w:r>
      <w:r>
        <w:rPr>
          <w:rFonts w:ascii="Arial" w:hAnsi="Arial" w:cs="Arial"/>
        </w:rPr>
        <w:t>centres</w:t>
      </w:r>
      <w:r w:rsidRPr="00FC1443">
        <w:rPr>
          <w:rFonts w:ascii="Arial" w:hAnsi="Arial" w:cs="Arial"/>
        </w:rPr>
        <w:t>, and advertising. Most importantly</w:t>
      </w:r>
      <w:r>
        <w:rPr>
          <w:rFonts w:ascii="Arial" w:hAnsi="Arial" w:cs="Arial"/>
        </w:rPr>
        <w:t>,</w:t>
      </w:r>
      <w:r w:rsidRPr="00FC1443">
        <w:rPr>
          <w:rFonts w:ascii="Arial" w:hAnsi="Arial" w:cs="Arial"/>
        </w:rPr>
        <w:t xml:space="preserve"> the rapid growth and improvement of AWS revenue, which increased from $107.56 billion (2024) to $128.73 billion (2025), as well as improved Operating Income from $39.83 billion in 2024 to equal to $45.61 billion in 2025.</w:t>
      </w:r>
    </w:p>
    <w:p w14:paraId="0DCC2890" w14:textId="318B8967" w:rsidR="00FC1443" w:rsidRPr="00FC1443" w:rsidRDefault="00FC1443" w:rsidP="00FC1443">
      <w:pPr>
        <w:spacing w:line="480" w:lineRule="auto"/>
        <w:rPr>
          <w:rFonts w:ascii="Arial" w:hAnsi="Arial" w:cs="Arial"/>
        </w:rPr>
      </w:pPr>
      <w:r w:rsidRPr="00FC1443">
        <w:rPr>
          <w:rFonts w:ascii="Arial" w:hAnsi="Arial" w:cs="Arial"/>
        </w:rPr>
        <w:t xml:space="preserve">This improvement is supported by prior research completed on our business model by Charles and Uford, indicating that the superior performance exhibited by Amazon is attributed to its Scale, Diversification, and Operational </w:t>
      </w:r>
      <w:r w:rsidRPr="00FC1443">
        <w:rPr>
          <w:rFonts w:ascii="Arial" w:hAnsi="Arial" w:cs="Arial"/>
        </w:rPr>
        <w:t>Discipline. According</w:t>
      </w:r>
      <w:r w:rsidRPr="00FC1443">
        <w:rPr>
          <w:rFonts w:ascii="Arial" w:hAnsi="Arial" w:cs="Arial"/>
        </w:rPr>
        <w:t xml:space="preserve"> to Akdemir and Şimşek (2023), Amazon’s financial stability is supported through profitability drivers that are stronger than </w:t>
      </w:r>
      <w:r>
        <w:rPr>
          <w:rFonts w:ascii="Arial" w:hAnsi="Arial" w:cs="Arial"/>
        </w:rPr>
        <w:t xml:space="preserve">those of </w:t>
      </w:r>
      <w:r w:rsidRPr="00FC1443">
        <w:rPr>
          <w:rFonts w:ascii="Arial" w:hAnsi="Arial" w:cs="Arial"/>
        </w:rPr>
        <w:t>many other companies. Pu et al. (2025) state that online shopping reviews influence clicks and purchases, which affirms that the seller marketplace and trust in the platform ecosystem of Amazon continue to be supportive of transaction growth.</w:t>
      </w:r>
    </w:p>
    <w:p w14:paraId="75CDF51A" w14:textId="3845EDFF" w:rsidR="00FC1443" w:rsidRPr="00FC1443" w:rsidRDefault="00FC1443" w:rsidP="00FC1443">
      <w:pPr>
        <w:spacing w:line="480" w:lineRule="auto"/>
        <w:rPr>
          <w:rFonts w:ascii="Arial" w:hAnsi="Arial" w:cs="Arial"/>
        </w:rPr>
      </w:pPr>
      <w:r w:rsidRPr="00FC1443">
        <w:rPr>
          <w:rFonts w:ascii="Arial" w:hAnsi="Arial" w:cs="Arial"/>
        </w:rPr>
        <w:t>Liquidity levels remained stable</w:t>
      </w:r>
      <w:r>
        <w:rPr>
          <w:rFonts w:ascii="Arial" w:hAnsi="Arial" w:cs="Arial"/>
        </w:rPr>
        <w:t>;</w:t>
      </w:r>
      <w:r w:rsidRPr="00FC1443">
        <w:rPr>
          <w:rFonts w:ascii="Arial" w:hAnsi="Arial" w:cs="Arial"/>
        </w:rPr>
        <w:t xml:space="preserve"> however, they were not considered strong. The current ratio declined slightly from 1.06 to 1.05 while the quick ratio increased slightly from 0.87 to 0.88, which indicates that Amazon </w:t>
      </w:r>
      <w:r>
        <w:rPr>
          <w:rFonts w:ascii="Arial" w:hAnsi="Arial" w:cs="Arial"/>
        </w:rPr>
        <w:t>can</w:t>
      </w:r>
      <w:r w:rsidRPr="00FC1443">
        <w:rPr>
          <w:rFonts w:ascii="Arial" w:hAnsi="Arial" w:cs="Arial"/>
        </w:rPr>
        <w:t xml:space="preserve"> cover its current liabilities through short-term financial means</w:t>
      </w:r>
      <w:r>
        <w:rPr>
          <w:rFonts w:ascii="Arial" w:hAnsi="Arial" w:cs="Arial"/>
        </w:rPr>
        <w:t>,</w:t>
      </w:r>
      <w:r w:rsidRPr="00FC1443">
        <w:rPr>
          <w:rFonts w:ascii="Arial" w:hAnsi="Arial" w:cs="Arial"/>
        </w:rPr>
        <w:t xml:space="preserve"> but the amount of headroom available to make </w:t>
      </w:r>
      <w:r w:rsidRPr="00FC1443">
        <w:rPr>
          <w:rFonts w:ascii="Arial" w:hAnsi="Arial" w:cs="Arial"/>
        </w:rPr>
        <w:lastRenderedPageBreak/>
        <w:t xml:space="preserve">short-term payment obligations is less than </w:t>
      </w:r>
      <w:r>
        <w:rPr>
          <w:rFonts w:ascii="Arial" w:hAnsi="Arial" w:cs="Arial"/>
        </w:rPr>
        <w:t>that of</w:t>
      </w:r>
      <w:r w:rsidRPr="00FC1443">
        <w:rPr>
          <w:rFonts w:ascii="Arial" w:hAnsi="Arial" w:cs="Arial"/>
        </w:rPr>
        <w:t xml:space="preserve"> companies with a large amount of cash readily available. In Amazon’s case, having a small amount of liquidity is not viewed negatively because large retailers and platform businesses </w:t>
      </w:r>
      <w:r w:rsidRPr="00FC1443">
        <w:rPr>
          <w:rFonts w:ascii="Arial" w:hAnsi="Arial" w:cs="Arial"/>
        </w:rPr>
        <w:t>can operate</w:t>
      </w:r>
      <w:r w:rsidRPr="00FC1443">
        <w:rPr>
          <w:rFonts w:ascii="Arial" w:hAnsi="Arial" w:cs="Arial"/>
        </w:rPr>
        <w:t xml:space="preserve"> at a high level of efficiency with a limited amount of working capital. Liquidity ratios should always be considered within the unique context of the business model and industry structure (Rashid, 2018; </w:t>
      </w:r>
      <w:proofErr w:type="spellStart"/>
      <w:r w:rsidRPr="00FC1443">
        <w:rPr>
          <w:rFonts w:ascii="Arial" w:hAnsi="Arial" w:cs="Arial"/>
        </w:rPr>
        <w:t>Hasidi</w:t>
      </w:r>
      <w:proofErr w:type="spellEnd"/>
      <w:r w:rsidRPr="00FC1443">
        <w:rPr>
          <w:rFonts w:ascii="Arial" w:hAnsi="Arial" w:cs="Arial"/>
        </w:rPr>
        <w:t xml:space="preserve">, </w:t>
      </w:r>
      <w:proofErr w:type="spellStart"/>
      <w:r w:rsidRPr="00FC1443">
        <w:rPr>
          <w:rFonts w:ascii="Arial" w:hAnsi="Arial" w:cs="Arial"/>
        </w:rPr>
        <w:t>Baheri</w:t>
      </w:r>
      <w:proofErr w:type="spellEnd"/>
      <w:r w:rsidRPr="00FC1443">
        <w:rPr>
          <w:rFonts w:ascii="Arial" w:hAnsi="Arial" w:cs="Arial"/>
        </w:rPr>
        <w:t>, &amp; Hajar, 2024). Amazon’s fast stock turnover</w:t>
      </w:r>
      <w:r>
        <w:rPr>
          <w:rFonts w:ascii="Arial" w:hAnsi="Arial" w:cs="Arial"/>
        </w:rPr>
        <w:t>,</w:t>
      </w:r>
      <w:r w:rsidRPr="00FC1443">
        <w:rPr>
          <w:rFonts w:ascii="Arial" w:hAnsi="Arial" w:cs="Arial"/>
        </w:rPr>
        <w:t xml:space="preserve"> in addition to its operating cash flow</w:t>
      </w:r>
      <w:r>
        <w:rPr>
          <w:rFonts w:ascii="Arial" w:hAnsi="Arial" w:cs="Arial"/>
        </w:rPr>
        <w:t>,</w:t>
      </w:r>
      <w:r w:rsidRPr="00FC1443">
        <w:rPr>
          <w:rFonts w:ascii="Arial" w:hAnsi="Arial" w:cs="Arial"/>
        </w:rPr>
        <w:t xml:space="preserve"> can help offset its low liquidity ratios.</w:t>
      </w:r>
    </w:p>
    <w:p w14:paraId="477BDB78" w14:textId="7E00E354" w:rsidR="00FC1443" w:rsidRPr="00FC1443" w:rsidRDefault="00FC1443" w:rsidP="00FC1443">
      <w:pPr>
        <w:spacing w:line="480" w:lineRule="auto"/>
        <w:rPr>
          <w:rFonts w:ascii="Arial" w:hAnsi="Arial" w:cs="Arial"/>
        </w:rPr>
      </w:pPr>
      <w:r w:rsidRPr="00FC1443">
        <w:rPr>
          <w:rFonts w:ascii="Arial" w:hAnsi="Arial" w:cs="Arial"/>
        </w:rPr>
        <w:t xml:space="preserve">Efficiency ratios showed slight improvements as well from 2025. Rapid increases in inventory turnover increased from 9.66x in 2025 to 9.83x in 2025, showing that in 2025, Amazon was able to sell its inventory volume more quickly. Increased efficiency in inventory turnover is critical as it reduces total holding costs and increases cash conversion rates. </w:t>
      </w:r>
      <w:proofErr w:type="spellStart"/>
      <w:r w:rsidRPr="00FC1443">
        <w:rPr>
          <w:rFonts w:ascii="Arial" w:hAnsi="Arial" w:cs="Arial"/>
        </w:rPr>
        <w:t>Alalade</w:t>
      </w:r>
      <w:proofErr w:type="spellEnd"/>
      <w:r w:rsidRPr="00FC1443">
        <w:rPr>
          <w:rFonts w:ascii="Arial" w:hAnsi="Arial" w:cs="Arial"/>
        </w:rPr>
        <w:t xml:space="preserve"> (2025) links the digital transformation and increased efficiency of its supply chain with improvements in operational </w:t>
      </w:r>
      <w:r w:rsidRPr="00FC1443">
        <w:rPr>
          <w:rFonts w:ascii="Arial" w:hAnsi="Arial" w:cs="Arial"/>
        </w:rPr>
        <w:t>performance,</w:t>
      </w:r>
      <w:r w:rsidRPr="00FC1443">
        <w:rPr>
          <w:rFonts w:ascii="Arial" w:hAnsi="Arial" w:cs="Arial"/>
        </w:rPr>
        <w:t xml:space="preserve"> and this is evidenced in the company’s annual reports through ongoing efficiencies in the </w:t>
      </w:r>
      <w:r>
        <w:rPr>
          <w:rFonts w:ascii="Arial" w:hAnsi="Arial" w:cs="Arial"/>
        </w:rPr>
        <w:t>fulfilment</w:t>
      </w:r>
      <w:r w:rsidRPr="00FC1443">
        <w:rPr>
          <w:rFonts w:ascii="Arial" w:hAnsi="Arial" w:cs="Arial"/>
        </w:rPr>
        <w:t xml:space="preserve"> process, increased use of robotics, and continued improvements to the infrastructure of </w:t>
      </w:r>
      <w:r>
        <w:rPr>
          <w:rFonts w:ascii="Arial" w:hAnsi="Arial" w:cs="Arial"/>
        </w:rPr>
        <w:t>its</w:t>
      </w:r>
      <w:r w:rsidRPr="00FC1443">
        <w:rPr>
          <w:rFonts w:ascii="Arial" w:hAnsi="Arial" w:cs="Arial"/>
        </w:rPr>
        <w:t xml:space="preserve"> delivery network.</w:t>
      </w:r>
    </w:p>
    <w:p w14:paraId="7E8C4B9D" w14:textId="59E26057" w:rsidR="00FC1443" w:rsidRPr="00FC1443" w:rsidRDefault="00FC1443" w:rsidP="00FC1443">
      <w:pPr>
        <w:spacing w:line="480" w:lineRule="auto"/>
        <w:rPr>
          <w:rFonts w:ascii="Arial" w:hAnsi="Arial" w:cs="Arial"/>
        </w:rPr>
      </w:pPr>
      <w:r w:rsidRPr="00FC1443">
        <w:rPr>
          <w:rFonts w:ascii="Arial" w:hAnsi="Arial" w:cs="Arial"/>
        </w:rPr>
        <w:t xml:space="preserve">In addition, solvency ratios increased in 2025. The debt-to-equity ratio improved from 1.19 in 2024 to 0.99 in 2025, or simply stated, Amazon relied less on liabilities and increased its use of shareholder equity in 2025 relative to its total </w:t>
      </w:r>
      <w:r w:rsidR="004B4353" w:rsidRPr="00FC1443">
        <w:rPr>
          <w:rFonts w:ascii="Arial" w:hAnsi="Arial" w:cs="Arial"/>
        </w:rPr>
        <w:t>liabilities. The</w:t>
      </w:r>
      <w:r w:rsidRPr="00FC1443">
        <w:rPr>
          <w:rFonts w:ascii="Arial" w:hAnsi="Arial" w:cs="Arial"/>
        </w:rPr>
        <w:t xml:space="preserve"> improved balance sheet indicates Amazon is less leveraged and more resilient, as Bajpai and Sharma found that strong cash flow management and balanced financing create resilience in global enterprises - both of which are particularly true for Amazon with its substantial equity position and low relative leverage. Yet, although the ROE fell from 24.29% to 22.29%, that did not mean the performance deteriorated, because retained earnings</w:t>
      </w:r>
      <w:r w:rsidR="004B4353">
        <w:rPr>
          <w:rFonts w:ascii="Arial" w:hAnsi="Arial" w:cs="Arial"/>
        </w:rPr>
        <w:t>,</w:t>
      </w:r>
      <w:r w:rsidRPr="00FC1443">
        <w:rPr>
          <w:rFonts w:ascii="Arial" w:hAnsi="Arial" w:cs="Arial"/>
        </w:rPr>
        <w:t xml:space="preserve"> along with comprehensive income</w:t>
      </w:r>
      <w:r w:rsidR="004B4353">
        <w:rPr>
          <w:rFonts w:ascii="Arial" w:hAnsi="Arial" w:cs="Arial"/>
        </w:rPr>
        <w:t>,</w:t>
      </w:r>
      <w:r w:rsidRPr="00FC1443">
        <w:rPr>
          <w:rFonts w:ascii="Arial" w:hAnsi="Arial" w:cs="Arial"/>
        </w:rPr>
        <w:t xml:space="preserve"> increased more </w:t>
      </w:r>
      <w:r w:rsidRPr="00FC1443">
        <w:rPr>
          <w:rFonts w:ascii="Arial" w:hAnsi="Arial" w:cs="Arial"/>
        </w:rPr>
        <w:lastRenderedPageBreak/>
        <w:t>rapidly than net earnings over this period, contributing to the increase in the value of Amazon's total equity, although the increase in equity decreased the percentage return on equity.</w:t>
      </w:r>
    </w:p>
    <w:p w14:paraId="47EAE3E8" w14:textId="34368277" w:rsidR="00FC1443" w:rsidRPr="00FC1443" w:rsidRDefault="00FC1443" w:rsidP="00FC1443">
      <w:pPr>
        <w:spacing w:line="480" w:lineRule="auto"/>
        <w:rPr>
          <w:rFonts w:ascii="Arial" w:hAnsi="Arial" w:cs="Arial"/>
        </w:rPr>
      </w:pPr>
      <w:r w:rsidRPr="00FC1443">
        <w:rPr>
          <w:rFonts w:ascii="Arial" w:hAnsi="Arial" w:cs="Arial"/>
        </w:rPr>
        <w:t xml:space="preserve">There are three primary factors behind Amazon's improved performance in 2025. First, Amazon's revenues increased by 12%, driven by increased strength in North America, International, and AWS. Second, Amazon effectively managed its core cost ratios with </w:t>
      </w:r>
      <w:r w:rsidR="004B4353">
        <w:rPr>
          <w:rFonts w:ascii="Arial" w:hAnsi="Arial" w:cs="Arial"/>
        </w:rPr>
        <w:t xml:space="preserve">the </w:t>
      </w:r>
      <w:r w:rsidRPr="00FC1443">
        <w:rPr>
          <w:rFonts w:ascii="Arial" w:hAnsi="Arial" w:cs="Arial"/>
        </w:rPr>
        <w:t xml:space="preserve">cost of sales as a percentage of revenue decreasing from 51.1% to 49.7%, and </w:t>
      </w:r>
      <w:r w:rsidR="004B4353">
        <w:rPr>
          <w:rFonts w:ascii="Arial" w:hAnsi="Arial" w:cs="Arial"/>
        </w:rPr>
        <w:t>fulfilment</w:t>
      </w:r>
      <w:r w:rsidRPr="00FC1443">
        <w:rPr>
          <w:rFonts w:ascii="Arial" w:hAnsi="Arial" w:cs="Arial"/>
        </w:rPr>
        <w:t xml:space="preserve"> costs as a percentage of sales going from 15.4% to 15.2%. Third, Amazon continued to leverage the strong ecosystem it has created through its advertising, subscription and cloud services, to capture additional sales from these channels.</w:t>
      </w:r>
    </w:p>
    <w:p w14:paraId="4BCF2CAF" w14:textId="0053D9D7" w:rsidR="00FC1443" w:rsidRPr="00FC1443" w:rsidRDefault="00FC1443" w:rsidP="00FC1443">
      <w:pPr>
        <w:spacing w:line="480" w:lineRule="auto"/>
        <w:rPr>
          <w:rFonts w:ascii="Arial" w:hAnsi="Arial" w:cs="Arial"/>
        </w:rPr>
      </w:pPr>
      <w:r w:rsidRPr="00FC1443">
        <w:rPr>
          <w:rFonts w:ascii="Arial" w:hAnsi="Arial" w:cs="Arial"/>
        </w:rPr>
        <w:t>However, not all the key performance indicators experienced improvement. FCF decreased from $38.2 billion to $11.2 billion due to significant increases in property, plant and equipment purchases ($77.7 billion to $128.3 billion)</w:t>
      </w:r>
      <w:r w:rsidR="004B4353">
        <w:rPr>
          <w:rFonts w:ascii="Arial" w:hAnsi="Arial" w:cs="Arial"/>
        </w:rPr>
        <w:t>,</w:t>
      </w:r>
      <w:r w:rsidRPr="00FC1443">
        <w:rPr>
          <w:rFonts w:ascii="Arial" w:hAnsi="Arial" w:cs="Arial"/>
        </w:rPr>
        <w:t xml:space="preserve"> resulting primarily from AI investments and infrastructure. As a result, while Amazon improved profitability on an accounting basis, it has weakened substantially in terms of cash generation post capital expenditures in the short term.</w:t>
      </w:r>
      <w:r w:rsidR="004B4353">
        <w:rPr>
          <w:rFonts w:ascii="Arial" w:hAnsi="Arial" w:cs="Arial"/>
        </w:rPr>
        <w:t xml:space="preserve"> </w:t>
      </w:r>
      <w:r w:rsidRPr="00FC1443">
        <w:rPr>
          <w:rFonts w:ascii="Arial" w:hAnsi="Arial" w:cs="Arial"/>
        </w:rPr>
        <w:t xml:space="preserve">According to Qin, </w:t>
      </w:r>
      <w:proofErr w:type="spellStart"/>
      <w:r w:rsidRPr="00FC1443">
        <w:rPr>
          <w:rFonts w:ascii="Arial" w:hAnsi="Arial" w:cs="Arial"/>
        </w:rPr>
        <w:t>Adhikariparajuli</w:t>
      </w:r>
      <w:proofErr w:type="spellEnd"/>
      <w:r w:rsidRPr="00FC1443">
        <w:rPr>
          <w:rFonts w:ascii="Arial" w:hAnsi="Arial" w:cs="Arial"/>
        </w:rPr>
        <w:t xml:space="preserve"> and Hassan (2022), Amazon's financial position will be positively influenced by external shocks and strategic responses</w:t>
      </w:r>
      <w:r w:rsidR="004B4353">
        <w:rPr>
          <w:rFonts w:ascii="Arial" w:hAnsi="Arial" w:cs="Arial"/>
        </w:rPr>
        <w:t>,</w:t>
      </w:r>
      <w:r w:rsidRPr="00FC1443">
        <w:rPr>
          <w:rFonts w:ascii="Arial" w:hAnsi="Arial" w:cs="Arial"/>
        </w:rPr>
        <w:t xml:space="preserve"> with major issues primarily focused on significant investments, not weak demand. Dimovski, Mitic and Veselinovic (2025) concurred when they stated that e-commerce firms have low to no financial ability to adapt to a changing environment due to the high amount of investment required to grow.</w:t>
      </w:r>
    </w:p>
    <w:p w14:paraId="10381ED9" w14:textId="1D6FAFBA" w:rsidR="00FC1443" w:rsidRDefault="00FC1443" w:rsidP="00FC1443">
      <w:pPr>
        <w:spacing w:line="480" w:lineRule="auto"/>
        <w:rPr>
          <w:rFonts w:ascii="Arial" w:hAnsi="Arial" w:cs="Arial"/>
        </w:rPr>
      </w:pPr>
      <w:r w:rsidRPr="00FC1443">
        <w:rPr>
          <w:rFonts w:ascii="Arial" w:hAnsi="Arial" w:cs="Arial"/>
        </w:rPr>
        <w:lastRenderedPageBreak/>
        <w:t xml:space="preserve">Sustainability is critical to supporting future performance as ESG (environmental, social and governance) performance has </w:t>
      </w:r>
      <w:r w:rsidR="004B4353">
        <w:rPr>
          <w:rFonts w:ascii="Arial" w:hAnsi="Arial" w:cs="Arial"/>
        </w:rPr>
        <w:t xml:space="preserve">been </w:t>
      </w:r>
      <w:r w:rsidRPr="00FC1443">
        <w:rPr>
          <w:rFonts w:ascii="Arial" w:hAnsi="Arial" w:cs="Arial"/>
        </w:rPr>
        <w:t xml:space="preserve">shown to have a greater influence on </w:t>
      </w:r>
      <w:r w:rsidR="004B4353">
        <w:rPr>
          <w:rFonts w:ascii="Arial" w:hAnsi="Arial" w:cs="Arial"/>
        </w:rPr>
        <w:t>businesses'</w:t>
      </w:r>
      <w:r w:rsidRPr="00FC1443">
        <w:rPr>
          <w:rFonts w:ascii="Arial" w:hAnsi="Arial" w:cs="Arial"/>
        </w:rPr>
        <w:t xml:space="preserve"> financial results and business model innovation (Bruna, A. et al., 2022; Shmelev &amp; Gilardi, 2025). Yang and Kuang (2025) stated that businesses reporting their ESG performance </w:t>
      </w:r>
      <w:r w:rsidR="004B4353">
        <w:rPr>
          <w:rFonts w:ascii="Arial" w:hAnsi="Arial" w:cs="Arial"/>
        </w:rPr>
        <w:t>have</w:t>
      </w:r>
      <w:r w:rsidRPr="00FC1443">
        <w:rPr>
          <w:rFonts w:ascii="Arial" w:hAnsi="Arial" w:cs="Arial"/>
        </w:rPr>
        <w:t xml:space="preserve"> shown lower financial risk </w:t>
      </w:r>
      <w:r w:rsidR="004B4353">
        <w:rPr>
          <w:rFonts w:ascii="Arial" w:hAnsi="Arial" w:cs="Arial"/>
        </w:rPr>
        <w:t>than</w:t>
      </w:r>
      <w:r w:rsidRPr="00FC1443">
        <w:rPr>
          <w:rFonts w:ascii="Arial" w:hAnsi="Arial" w:cs="Arial"/>
        </w:rPr>
        <w:t xml:space="preserve"> e-commerce firms engaged in cross-border operations. Many opportunities have developed for Amazon as a direct result of the tremendous growth of technologies associated with AI, logistics and global retail operations. However, these growth opportunities have created an expectation for Amazon to perform better </w:t>
      </w:r>
      <w:r w:rsidR="004B4353" w:rsidRPr="00FC1443">
        <w:rPr>
          <w:rFonts w:ascii="Arial" w:hAnsi="Arial" w:cs="Arial"/>
        </w:rPr>
        <w:t>in</w:t>
      </w:r>
      <w:r w:rsidRPr="00FC1443">
        <w:rPr>
          <w:rFonts w:ascii="Arial" w:hAnsi="Arial" w:cs="Arial"/>
        </w:rPr>
        <w:t xml:space="preserve"> environmental, governance and operational practices.</w:t>
      </w:r>
    </w:p>
    <w:p w14:paraId="5C68FE59" w14:textId="77777777" w:rsidR="004B4353" w:rsidRPr="00FC1443" w:rsidRDefault="004B4353" w:rsidP="00FC1443">
      <w:pPr>
        <w:spacing w:line="480" w:lineRule="auto"/>
        <w:rPr>
          <w:rFonts w:ascii="Arial" w:hAnsi="Arial" w:cs="Arial"/>
        </w:rPr>
      </w:pPr>
    </w:p>
    <w:p w14:paraId="241662C7" w14:textId="783E3C0D" w:rsidR="004B4353" w:rsidRDefault="004B4353" w:rsidP="004B4353">
      <w:pPr>
        <w:spacing w:line="480" w:lineRule="auto"/>
        <w:jc w:val="center"/>
        <w:rPr>
          <w:rFonts w:ascii="Arial" w:hAnsi="Arial" w:cs="Arial"/>
          <w:b/>
          <w:bCs/>
        </w:rPr>
      </w:pPr>
      <w:r w:rsidRPr="004B4353">
        <w:rPr>
          <w:rFonts w:ascii="Arial" w:hAnsi="Arial" w:cs="Arial"/>
          <w:b/>
          <w:bCs/>
        </w:rPr>
        <w:t>Why Performance Changed</w:t>
      </w:r>
      <w:r>
        <w:rPr>
          <w:rFonts w:ascii="Arial" w:hAnsi="Arial" w:cs="Arial"/>
          <w:b/>
          <w:bCs/>
        </w:rPr>
        <w:t xml:space="preserve"> and Conclusion</w:t>
      </w:r>
    </w:p>
    <w:p w14:paraId="4463367C" w14:textId="77777777" w:rsidR="004B4353" w:rsidRPr="004B4353" w:rsidRDefault="004B4353" w:rsidP="004B4353">
      <w:pPr>
        <w:spacing w:line="480" w:lineRule="auto"/>
        <w:jc w:val="center"/>
        <w:rPr>
          <w:rFonts w:ascii="Arial" w:hAnsi="Arial" w:cs="Arial"/>
          <w:b/>
          <w:bCs/>
        </w:rPr>
      </w:pPr>
    </w:p>
    <w:p w14:paraId="40C30391" w14:textId="32F57A90" w:rsidR="00FC1443" w:rsidRPr="00FC1443" w:rsidRDefault="00FC1443" w:rsidP="00FC1443">
      <w:pPr>
        <w:spacing w:line="480" w:lineRule="auto"/>
        <w:rPr>
          <w:rFonts w:ascii="Arial" w:hAnsi="Arial" w:cs="Arial"/>
        </w:rPr>
      </w:pPr>
      <w:r w:rsidRPr="00FC1443">
        <w:rPr>
          <w:rFonts w:ascii="Arial" w:hAnsi="Arial" w:cs="Arial"/>
        </w:rPr>
        <w:t xml:space="preserve">Amazon should implement three improvements: </w:t>
      </w:r>
      <w:proofErr w:type="spellStart"/>
      <w:r w:rsidRPr="00FC1443">
        <w:rPr>
          <w:rFonts w:ascii="Arial" w:hAnsi="Arial" w:cs="Arial"/>
        </w:rPr>
        <w:t>i</w:t>
      </w:r>
      <w:proofErr w:type="spellEnd"/>
      <w:r w:rsidRPr="00FC1443">
        <w:rPr>
          <w:rFonts w:ascii="Arial" w:hAnsi="Arial" w:cs="Arial"/>
        </w:rPr>
        <w:t xml:space="preserve">) to reduce capital expenditures and phase these projects more thoughtfully while prioritising AI and infrastructure projects with the potential </w:t>
      </w:r>
      <w:r w:rsidR="004B4353" w:rsidRPr="00FC1443">
        <w:rPr>
          <w:rFonts w:ascii="Arial" w:hAnsi="Arial" w:cs="Arial"/>
        </w:rPr>
        <w:t>counter match</w:t>
      </w:r>
      <w:r w:rsidRPr="00FC1443">
        <w:rPr>
          <w:rFonts w:ascii="Arial" w:hAnsi="Arial" w:cs="Arial"/>
        </w:rPr>
        <w:t xml:space="preserve"> or exceed the risk associated with the capital, ii) continue to effectively use data analytics, automation and forecasting to improve working capital through increased inventory efficiencies; and iii) deepen their investment in sustainable logistics operations, packaging, energy efficiencies and ESG disclosure to develop long-term risk profiles and increase trust from their stakeholders (Deng et al., 2024; Yang and Kuang, 2025). Increased effectiveness in these areas will support both Amazon's profitability and resilience.</w:t>
      </w:r>
    </w:p>
    <w:p w14:paraId="7E5A4ACB" w14:textId="743A3EE1" w:rsidR="00FC1443" w:rsidRDefault="00FC1443" w:rsidP="00FC1443">
      <w:pPr>
        <w:spacing w:line="480" w:lineRule="auto"/>
        <w:rPr>
          <w:rFonts w:ascii="Arial" w:hAnsi="Arial" w:cs="Arial"/>
        </w:rPr>
      </w:pPr>
      <w:r w:rsidRPr="00FC1443">
        <w:rPr>
          <w:rFonts w:ascii="Arial" w:hAnsi="Arial" w:cs="Arial"/>
        </w:rPr>
        <w:t xml:space="preserve">Overall, the ratio analysis has proved to be an extremely helpful tool in understanding and analysing Amazon's financial condition because it converts a </w:t>
      </w:r>
      <w:r w:rsidRPr="00FC1443">
        <w:rPr>
          <w:rFonts w:ascii="Arial" w:hAnsi="Arial" w:cs="Arial"/>
        </w:rPr>
        <w:lastRenderedPageBreak/>
        <w:t xml:space="preserve">complex group of accounts into essential indicators of the health of a company. Amazon's financial performance in 2025 as compared to 2024's financial performance improved in terms of profitability, return on assets, inventory efficiency and solvency ratios. The three most notable findings from this analysis were that Amazon improved their margins, reduced </w:t>
      </w:r>
      <w:r w:rsidR="004B4353">
        <w:rPr>
          <w:rFonts w:ascii="Arial" w:hAnsi="Arial" w:cs="Arial"/>
        </w:rPr>
        <w:t>its</w:t>
      </w:r>
      <w:r w:rsidRPr="00FC1443">
        <w:rPr>
          <w:rFonts w:ascii="Arial" w:hAnsi="Arial" w:cs="Arial"/>
        </w:rPr>
        <w:t xml:space="preserve"> leverage and maintained a strong rate of growth in revenue, with AWS and revenue being the primary contributors to revenue growth. The greatest decline observed was a substantial decline in free cash flows caused by a large degree of capital expenditures. Therefore, </w:t>
      </w:r>
      <w:r w:rsidR="004B4353">
        <w:rPr>
          <w:rFonts w:ascii="Arial" w:hAnsi="Arial" w:cs="Arial"/>
        </w:rPr>
        <w:t>even though</w:t>
      </w:r>
      <w:r w:rsidRPr="00FC1443">
        <w:rPr>
          <w:rFonts w:ascii="Arial" w:hAnsi="Arial" w:cs="Arial"/>
        </w:rPr>
        <w:t xml:space="preserve"> Amazon is financially safe and strategically positioned to succeed, both moving forward and improving will depend upon </w:t>
      </w:r>
      <w:r w:rsidR="004B4353">
        <w:rPr>
          <w:rFonts w:ascii="Arial" w:hAnsi="Arial" w:cs="Arial"/>
        </w:rPr>
        <w:t>its</w:t>
      </w:r>
      <w:r w:rsidRPr="00FC1443">
        <w:rPr>
          <w:rFonts w:ascii="Arial" w:hAnsi="Arial" w:cs="Arial"/>
        </w:rPr>
        <w:t xml:space="preserve"> ability to balance growth with cash discipline and sustainability</w:t>
      </w:r>
      <w:r w:rsidR="004B4353">
        <w:rPr>
          <w:rFonts w:ascii="Arial" w:hAnsi="Arial" w:cs="Arial"/>
        </w:rPr>
        <w:t>.</w:t>
      </w:r>
    </w:p>
    <w:p w14:paraId="6C24EBB2" w14:textId="77777777" w:rsidR="004B4353" w:rsidRDefault="004B4353" w:rsidP="00FC1443">
      <w:pPr>
        <w:spacing w:line="480" w:lineRule="auto"/>
        <w:rPr>
          <w:rFonts w:ascii="Arial" w:hAnsi="Arial" w:cs="Arial"/>
        </w:rPr>
      </w:pPr>
    </w:p>
    <w:p w14:paraId="577F04BA" w14:textId="77777777" w:rsidR="004B4353" w:rsidRDefault="004B4353" w:rsidP="00FC1443">
      <w:pPr>
        <w:spacing w:line="480" w:lineRule="auto"/>
        <w:rPr>
          <w:rFonts w:ascii="Arial" w:hAnsi="Arial" w:cs="Arial"/>
        </w:rPr>
      </w:pPr>
    </w:p>
    <w:p w14:paraId="7BD7A69C" w14:textId="77777777" w:rsidR="004B4353" w:rsidRDefault="004B4353" w:rsidP="00FC1443">
      <w:pPr>
        <w:spacing w:line="480" w:lineRule="auto"/>
        <w:rPr>
          <w:rFonts w:ascii="Arial" w:hAnsi="Arial" w:cs="Arial"/>
        </w:rPr>
      </w:pPr>
    </w:p>
    <w:p w14:paraId="2AE6294B" w14:textId="77777777" w:rsidR="004B4353" w:rsidRDefault="004B4353" w:rsidP="00FC1443">
      <w:pPr>
        <w:spacing w:line="480" w:lineRule="auto"/>
        <w:rPr>
          <w:rFonts w:ascii="Arial" w:hAnsi="Arial" w:cs="Arial"/>
        </w:rPr>
      </w:pPr>
    </w:p>
    <w:p w14:paraId="334202B3" w14:textId="77777777" w:rsidR="004B4353" w:rsidRDefault="004B4353" w:rsidP="00FC1443">
      <w:pPr>
        <w:spacing w:line="480" w:lineRule="auto"/>
        <w:rPr>
          <w:rFonts w:ascii="Arial" w:hAnsi="Arial" w:cs="Arial"/>
        </w:rPr>
      </w:pPr>
    </w:p>
    <w:p w14:paraId="50C12E9C" w14:textId="77777777" w:rsidR="004B4353" w:rsidRDefault="004B4353" w:rsidP="00FC1443">
      <w:pPr>
        <w:spacing w:line="480" w:lineRule="auto"/>
        <w:rPr>
          <w:rFonts w:ascii="Arial" w:hAnsi="Arial" w:cs="Arial"/>
        </w:rPr>
      </w:pPr>
    </w:p>
    <w:p w14:paraId="31323BA2" w14:textId="77777777" w:rsidR="004B4353" w:rsidRDefault="004B4353" w:rsidP="00FC1443">
      <w:pPr>
        <w:spacing w:line="480" w:lineRule="auto"/>
        <w:rPr>
          <w:rFonts w:ascii="Arial" w:hAnsi="Arial" w:cs="Arial"/>
        </w:rPr>
      </w:pPr>
    </w:p>
    <w:p w14:paraId="3360C220" w14:textId="77777777" w:rsidR="004B4353" w:rsidRDefault="004B4353" w:rsidP="00FC1443">
      <w:pPr>
        <w:spacing w:line="480" w:lineRule="auto"/>
        <w:rPr>
          <w:rFonts w:ascii="Arial" w:hAnsi="Arial" w:cs="Arial"/>
        </w:rPr>
      </w:pPr>
    </w:p>
    <w:p w14:paraId="0EBA1DA3" w14:textId="77777777" w:rsidR="004B4353" w:rsidRDefault="004B4353" w:rsidP="00FC1443">
      <w:pPr>
        <w:spacing w:line="480" w:lineRule="auto"/>
        <w:rPr>
          <w:rFonts w:ascii="Arial" w:hAnsi="Arial" w:cs="Arial"/>
        </w:rPr>
      </w:pPr>
    </w:p>
    <w:p w14:paraId="14AE7FD2" w14:textId="77777777" w:rsidR="004B4353" w:rsidRDefault="004B4353" w:rsidP="00FC1443">
      <w:pPr>
        <w:spacing w:line="480" w:lineRule="auto"/>
        <w:rPr>
          <w:rFonts w:ascii="Arial" w:hAnsi="Arial" w:cs="Arial"/>
        </w:rPr>
      </w:pPr>
    </w:p>
    <w:p w14:paraId="61F1A97D" w14:textId="77777777" w:rsidR="00E4181D" w:rsidRDefault="00E4181D" w:rsidP="00FC1443">
      <w:pPr>
        <w:spacing w:line="480" w:lineRule="auto"/>
        <w:rPr>
          <w:rFonts w:ascii="Arial" w:hAnsi="Arial" w:cs="Arial"/>
        </w:rPr>
      </w:pPr>
    </w:p>
    <w:p w14:paraId="2E8D92D0" w14:textId="1B1724F6" w:rsidR="004B4353" w:rsidRPr="00E4181D" w:rsidRDefault="004B4353" w:rsidP="00FC1443">
      <w:pPr>
        <w:spacing w:line="480" w:lineRule="auto"/>
        <w:rPr>
          <w:rFonts w:ascii="Arial" w:hAnsi="Arial" w:cs="Arial"/>
          <w:b/>
          <w:bCs/>
        </w:rPr>
      </w:pPr>
      <w:r w:rsidRPr="00E4181D">
        <w:rPr>
          <w:rFonts w:ascii="Arial" w:hAnsi="Arial" w:cs="Arial"/>
          <w:b/>
          <w:bCs/>
        </w:rPr>
        <w:lastRenderedPageBreak/>
        <w:t xml:space="preserve">References </w:t>
      </w:r>
    </w:p>
    <w:p w14:paraId="62864C72" w14:textId="77777777" w:rsidR="00E4181D" w:rsidRPr="00E4181D" w:rsidRDefault="00E4181D" w:rsidP="00E4181D">
      <w:pPr>
        <w:spacing w:line="480" w:lineRule="auto"/>
        <w:rPr>
          <w:rFonts w:ascii="Arial" w:hAnsi="Arial" w:cs="Arial"/>
        </w:rPr>
      </w:pPr>
      <w:r w:rsidRPr="00E4181D">
        <w:rPr>
          <w:rFonts w:ascii="Arial" w:hAnsi="Arial" w:cs="Arial"/>
        </w:rPr>
        <w:t xml:space="preserve">Akdemir, D. M., &amp; Şimşek, O. (2023). A financial performance evaluation via hybrid </w:t>
      </w:r>
      <w:r w:rsidRPr="00E4181D">
        <w:rPr>
          <w:rFonts w:ascii="Arial" w:hAnsi="Arial" w:cs="Arial"/>
          <w:i/>
          <w:iCs/>
        </w:rPr>
        <w:t>MCDM methods: A case of Amazon.com Inc. Istanbul Business Research, 52</w:t>
      </w:r>
      <w:r w:rsidRPr="00E4181D">
        <w:rPr>
          <w:rFonts w:ascii="Arial" w:hAnsi="Arial" w:cs="Arial"/>
        </w:rPr>
        <w:t>(1), 199–232.</w:t>
      </w:r>
    </w:p>
    <w:p w14:paraId="1E87B10F" w14:textId="77777777" w:rsidR="00E4181D" w:rsidRPr="00E4181D" w:rsidRDefault="00E4181D" w:rsidP="00E4181D">
      <w:pPr>
        <w:spacing w:line="480" w:lineRule="auto"/>
        <w:rPr>
          <w:rFonts w:ascii="Arial" w:hAnsi="Arial" w:cs="Arial"/>
        </w:rPr>
      </w:pPr>
      <w:proofErr w:type="spellStart"/>
      <w:r w:rsidRPr="00E4181D">
        <w:rPr>
          <w:rFonts w:ascii="Arial" w:hAnsi="Arial" w:cs="Arial"/>
        </w:rPr>
        <w:t>Alalade</w:t>
      </w:r>
      <w:proofErr w:type="spellEnd"/>
      <w:r w:rsidRPr="00E4181D">
        <w:rPr>
          <w:rFonts w:ascii="Arial" w:hAnsi="Arial" w:cs="Arial"/>
        </w:rPr>
        <w:t xml:space="preserve">, E. O. (2025). Digital transformation and supply chain efficiency: A case of Amazon Inc. </w:t>
      </w:r>
      <w:r w:rsidRPr="00E4181D">
        <w:rPr>
          <w:rFonts w:ascii="Arial" w:hAnsi="Arial" w:cs="Arial"/>
          <w:i/>
          <w:iCs/>
        </w:rPr>
        <w:t>International Journal of Research and Innovation in Social Science (IJRISS), 8,</w:t>
      </w:r>
      <w:r w:rsidRPr="00E4181D">
        <w:rPr>
          <w:rFonts w:ascii="Arial" w:hAnsi="Arial" w:cs="Arial"/>
        </w:rPr>
        <w:t xml:space="preserve"> 3931–3944.</w:t>
      </w:r>
    </w:p>
    <w:p w14:paraId="60D789B1" w14:textId="6AAA8792" w:rsidR="00E4181D" w:rsidRPr="00E4181D" w:rsidRDefault="00E4181D" w:rsidP="00E4181D">
      <w:pPr>
        <w:spacing w:line="480" w:lineRule="auto"/>
        <w:rPr>
          <w:rFonts w:ascii="Arial" w:hAnsi="Arial" w:cs="Arial"/>
        </w:rPr>
      </w:pPr>
      <w:proofErr w:type="spellStart"/>
      <w:r w:rsidRPr="00E4181D">
        <w:rPr>
          <w:rFonts w:ascii="Arial" w:hAnsi="Arial" w:cs="Arial"/>
        </w:rPr>
        <w:t>Anggoro</w:t>
      </w:r>
      <w:proofErr w:type="spellEnd"/>
      <w:r w:rsidRPr="00E4181D">
        <w:rPr>
          <w:rFonts w:ascii="Arial" w:hAnsi="Arial" w:cs="Arial"/>
        </w:rPr>
        <w:t xml:space="preserve">, R. W., &amp; </w:t>
      </w:r>
      <w:proofErr w:type="spellStart"/>
      <w:r w:rsidRPr="00E4181D">
        <w:rPr>
          <w:rFonts w:ascii="Arial" w:hAnsi="Arial" w:cs="Arial"/>
        </w:rPr>
        <w:t>Kusumasari</w:t>
      </w:r>
      <w:proofErr w:type="spellEnd"/>
      <w:r w:rsidRPr="00E4181D">
        <w:rPr>
          <w:rFonts w:ascii="Arial" w:hAnsi="Arial" w:cs="Arial"/>
        </w:rPr>
        <w:t xml:space="preserve">, L. (2020). The effectiveness of financial ratio to mitigate information complexity of financial </w:t>
      </w:r>
      <w:r>
        <w:rPr>
          <w:rFonts w:ascii="Arial" w:hAnsi="Arial" w:cs="Arial"/>
        </w:rPr>
        <w:t>statements</w:t>
      </w:r>
      <w:r w:rsidRPr="00E4181D">
        <w:rPr>
          <w:rFonts w:ascii="Arial" w:hAnsi="Arial" w:cs="Arial"/>
        </w:rPr>
        <w:t xml:space="preserve"> for performance evaluation. </w:t>
      </w:r>
      <w:r w:rsidRPr="00E4181D">
        <w:rPr>
          <w:rFonts w:ascii="Arial" w:hAnsi="Arial" w:cs="Arial"/>
          <w:i/>
          <w:iCs/>
        </w:rPr>
        <w:t>International Journal of Advanced Science and Technology (IJAST), 29</w:t>
      </w:r>
      <w:r w:rsidRPr="00E4181D">
        <w:rPr>
          <w:rFonts w:ascii="Arial" w:hAnsi="Arial" w:cs="Arial"/>
        </w:rPr>
        <w:t>(10S), 3257–3267.</w:t>
      </w:r>
    </w:p>
    <w:p w14:paraId="3618AD09" w14:textId="77777777" w:rsidR="00E4181D" w:rsidRPr="00E4181D" w:rsidRDefault="00E4181D" w:rsidP="00E4181D">
      <w:pPr>
        <w:spacing w:line="480" w:lineRule="auto"/>
        <w:rPr>
          <w:rFonts w:ascii="Arial" w:hAnsi="Arial" w:cs="Arial"/>
        </w:rPr>
      </w:pPr>
      <w:r w:rsidRPr="00E4181D">
        <w:rPr>
          <w:rFonts w:ascii="Arial" w:hAnsi="Arial" w:cs="Arial"/>
        </w:rPr>
        <w:t xml:space="preserve">Bajpai, U., &amp; Sharma, S. (n.d.). Strategic cash flow management: A comprehensive analysis of operational liquidity, solvency, and financial resilience in modern global enterprises. </w:t>
      </w:r>
      <w:r w:rsidRPr="00E4181D">
        <w:rPr>
          <w:rFonts w:ascii="Arial" w:hAnsi="Arial" w:cs="Arial"/>
          <w:i/>
          <w:iCs/>
        </w:rPr>
        <w:t>Technology, 2</w:t>
      </w:r>
      <w:r w:rsidRPr="00E4181D">
        <w:rPr>
          <w:rFonts w:ascii="Arial" w:hAnsi="Arial" w:cs="Arial"/>
        </w:rPr>
        <w:t>, 3–10.</w:t>
      </w:r>
    </w:p>
    <w:p w14:paraId="5026515C" w14:textId="77777777" w:rsidR="00E4181D" w:rsidRPr="00E4181D" w:rsidRDefault="00E4181D" w:rsidP="00E4181D">
      <w:pPr>
        <w:spacing w:line="480" w:lineRule="auto"/>
        <w:rPr>
          <w:rFonts w:ascii="Arial" w:hAnsi="Arial" w:cs="Arial"/>
        </w:rPr>
      </w:pPr>
      <w:r w:rsidRPr="00E4181D">
        <w:rPr>
          <w:rFonts w:ascii="Arial" w:hAnsi="Arial" w:cs="Arial"/>
        </w:rPr>
        <w:t xml:space="preserve">Bruna, M. G., </w:t>
      </w:r>
      <w:proofErr w:type="spellStart"/>
      <w:r w:rsidRPr="00E4181D">
        <w:rPr>
          <w:rFonts w:ascii="Arial" w:hAnsi="Arial" w:cs="Arial"/>
        </w:rPr>
        <w:t>Loprevite</w:t>
      </w:r>
      <w:proofErr w:type="spellEnd"/>
      <w:r w:rsidRPr="00E4181D">
        <w:rPr>
          <w:rFonts w:ascii="Arial" w:hAnsi="Arial" w:cs="Arial"/>
        </w:rPr>
        <w:t xml:space="preserve">, S., Raucci, D., Ricca, B., &amp; </w:t>
      </w:r>
      <w:proofErr w:type="spellStart"/>
      <w:r w:rsidRPr="00E4181D">
        <w:rPr>
          <w:rFonts w:ascii="Arial" w:hAnsi="Arial" w:cs="Arial"/>
        </w:rPr>
        <w:t>Rupo</w:t>
      </w:r>
      <w:proofErr w:type="spellEnd"/>
      <w:r w:rsidRPr="00E4181D">
        <w:rPr>
          <w:rFonts w:ascii="Arial" w:hAnsi="Arial" w:cs="Arial"/>
        </w:rPr>
        <w:t xml:space="preserve">, D. (2022). Investigating the marginal impact of ESG results on corporate financial performance. </w:t>
      </w:r>
      <w:r w:rsidRPr="00E4181D">
        <w:rPr>
          <w:rFonts w:ascii="Arial" w:hAnsi="Arial" w:cs="Arial"/>
          <w:i/>
          <w:iCs/>
        </w:rPr>
        <w:t>Finance Research Letters, 47</w:t>
      </w:r>
      <w:r w:rsidRPr="00E4181D">
        <w:rPr>
          <w:rFonts w:ascii="Arial" w:hAnsi="Arial" w:cs="Arial"/>
        </w:rPr>
        <w:t>, 102828.</w:t>
      </w:r>
    </w:p>
    <w:p w14:paraId="3D128764" w14:textId="77777777" w:rsidR="00E4181D" w:rsidRDefault="00E4181D" w:rsidP="00E4181D">
      <w:pPr>
        <w:spacing w:line="480" w:lineRule="auto"/>
        <w:rPr>
          <w:rFonts w:ascii="Arial" w:hAnsi="Arial" w:cs="Arial"/>
        </w:rPr>
      </w:pPr>
      <w:r w:rsidRPr="00E4181D">
        <w:rPr>
          <w:rFonts w:ascii="Arial" w:hAnsi="Arial" w:cs="Arial"/>
        </w:rPr>
        <w:t xml:space="preserve">Charles, I. I., &amp; Uford, I. C. (2023). Comparative analysis and evaluation of </w:t>
      </w:r>
      <w:r>
        <w:rPr>
          <w:rFonts w:ascii="Arial" w:hAnsi="Arial" w:cs="Arial"/>
        </w:rPr>
        <w:t xml:space="preserve">the </w:t>
      </w:r>
      <w:r w:rsidRPr="00E4181D">
        <w:rPr>
          <w:rFonts w:ascii="Arial" w:hAnsi="Arial" w:cs="Arial"/>
        </w:rPr>
        <w:t xml:space="preserve">business and financial performance of Amazon.com: </w:t>
      </w:r>
      <w:r>
        <w:rPr>
          <w:rFonts w:ascii="Arial" w:hAnsi="Arial" w:cs="Arial"/>
        </w:rPr>
        <w:t>Three years</w:t>
      </w:r>
      <w:r w:rsidRPr="00E4181D">
        <w:rPr>
          <w:rFonts w:ascii="Arial" w:hAnsi="Arial" w:cs="Arial"/>
        </w:rPr>
        <w:t xml:space="preserve"> critical review of exceptional success. </w:t>
      </w:r>
      <w:r w:rsidRPr="00E4181D">
        <w:rPr>
          <w:rFonts w:ascii="Arial" w:hAnsi="Arial" w:cs="Arial"/>
          <w:i/>
          <w:iCs/>
        </w:rPr>
        <w:t>European Journal of Business, Economics and Accountancy, 11</w:t>
      </w:r>
      <w:r w:rsidRPr="00E4181D">
        <w:rPr>
          <w:rFonts w:ascii="Arial" w:hAnsi="Arial" w:cs="Arial"/>
        </w:rPr>
        <w:t>(2), 69–92.</w:t>
      </w:r>
    </w:p>
    <w:p w14:paraId="1960A0DB" w14:textId="1E22EE09" w:rsidR="00E4181D" w:rsidRPr="00E4181D" w:rsidRDefault="00E4181D" w:rsidP="00E4181D">
      <w:pPr>
        <w:spacing w:line="480" w:lineRule="auto"/>
        <w:rPr>
          <w:rFonts w:ascii="Arial" w:hAnsi="Arial" w:cs="Arial"/>
        </w:rPr>
      </w:pPr>
      <w:r w:rsidRPr="00E4181D">
        <w:rPr>
          <w:rFonts w:ascii="Arial" w:hAnsi="Arial" w:cs="Arial"/>
        </w:rPr>
        <w:lastRenderedPageBreak/>
        <w:t xml:space="preserve">Deng, S., Luo, Q., Zhu, Y., Ning, H., &amp; Shimada, T. (2024). Financial risk forewarning with an interpretable ensemble learning approach: An empirical analysis based on Chinese listed companies. </w:t>
      </w:r>
      <w:r w:rsidRPr="00E4181D">
        <w:rPr>
          <w:rFonts w:ascii="Arial" w:hAnsi="Arial" w:cs="Arial"/>
          <w:i/>
          <w:iCs/>
        </w:rPr>
        <w:t>Pacific-Basin Finance Journal, 85</w:t>
      </w:r>
      <w:r w:rsidRPr="00E4181D">
        <w:rPr>
          <w:rFonts w:ascii="Arial" w:hAnsi="Arial" w:cs="Arial"/>
        </w:rPr>
        <w:t>, 102393.</w:t>
      </w:r>
    </w:p>
    <w:p w14:paraId="6204FCE7" w14:textId="0AE0E30B" w:rsidR="00E4181D" w:rsidRPr="00E4181D" w:rsidRDefault="00E4181D" w:rsidP="00E4181D">
      <w:pPr>
        <w:spacing w:line="480" w:lineRule="auto"/>
        <w:rPr>
          <w:rFonts w:ascii="Arial" w:hAnsi="Arial" w:cs="Arial"/>
        </w:rPr>
      </w:pPr>
      <w:r w:rsidRPr="00E4181D">
        <w:rPr>
          <w:rFonts w:ascii="Arial" w:hAnsi="Arial" w:cs="Arial"/>
        </w:rPr>
        <w:t xml:space="preserve">Dimovski, J., Mitic, G., &amp; Veselinovic, M. (2025). Assessing the financial vulnerability in a changing business environment: The case of </w:t>
      </w:r>
      <w:r>
        <w:rPr>
          <w:rFonts w:ascii="Arial" w:hAnsi="Arial" w:cs="Arial"/>
        </w:rPr>
        <w:t xml:space="preserve">the </w:t>
      </w:r>
      <w:r w:rsidRPr="00E4181D">
        <w:rPr>
          <w:rFonts w:ascii="Arial" w:hAnsi="Arial" w:cs="Arial"/>
        </w:rPr>
        <w:t xml:space="preserve">e-commerce industry. </w:t>
      </w:r>
      <w:r w:rsidRPr="00E4181D">
        <w:rPr>
          <w:rFonts w:ascii="Arial" w:hAnsi="Arial" w:cs="Arial"/>
          <w:i/>
          <w:iCs/>
        </w:rPr>
        <w:t>Economic Alternatives, 1</w:t>
      </w:r>
      <w:r w:rsidRPr="00E4181D">
        <w:rPr>
          <w:rFonts w:ascii="Arial" w:hAnsi="Arial" w:cs="Arial"/>
        </w:rPr>
        <w:t>, 50–63.</w:t>
      </w:r>
    </w:p>
    <w:p w14:paraId="3038AD71" w14:textId="77777777" w:rsidR="00E4181D" w:rsidRPr="00E4181D" w:rsidRDefault="00E4181D" w:rsidP="00E4181D">
      <w:pPr>
        <w:spacing w:line="480" w:lineRule="auto"/>
        <w:rPr>
          <w:rFonts w:ascii="Arial" w:hAnsi="Arial" w:cs="Arial"/>
        </w:rPr>
      </w:pPr>
      <w:proofErr w:type="spellStart"/>
      <w:r w:rsidRPr="00E4181D">
        <w:rPr>
          <w:rFonts w:ascii="Arial" w:hAnsi="Arial" w:cs="Arial"/>
        </w:rPr>
        <w:t>Hasidi</w:t>
      </w:r>
      <w:proofErr w:type="spellEnd"/>
      <w:r w:rsidRPr="00E4181D">
        <w:rPr>
          <w:rFonts w:ascii="Arial" w:hAnsi="Arial" w:cs="Arial"/>
        </w:rPr>
        <w:t xml:space="preserve">, M. H., </w:t>
      </w:r>
      <w:proofErr w:type="spellStart"/>
      <w:r w:rsidRPr="00E4181D">
        <w:rPr>
          <w:rFonts w:ascii="Arial" w:hAnsi="Arial" w:cs="Arial"/>
        </w:rPr>
        <w:t>Baheri</w:t>
      </w:r>
      <w:proofErr w:type="spellEnd"/>
      <w:r w:rsidRPr="00E4181D">
        <w:rPr>
          <w:rFonts w:ascii="Arial" w:hAnsi="Arial" w:cs="Arial"/>
        </w:rPr>
        <w:t>, J., &amp; Hajar, K. I. (2024). Financial performance evaluation using profitability and liquidity ratio analysis</w:t>
      </w:r>
      <w:r w:rsidRPr="00E4181D">
        <w:rPr>
          <w:rFonts w:ascii="Arial" w:hAnsi="Arial" w:cs="Arial"/>
          <w:i/>
          <w:iCs/>
        </w:rPr>
        <w:t xml:space="preserve">. </w:t>
      </w:r>
      <w:proofErr w:type="spellStart"/>
      <w:r w:rsidRPr="00E4181D">
        <w:rPr>
          <w:rFonts w:ascii="Arial" w:hAnsi="Arial" w:cs="Arial"/>
          <w:i/>
          <w:iCs/>
        </w:rPr>
        <w:t>Jurnal</w:t>
      </w:r>
      <w:proofErr w:type="spellEnd"/>
      <w:r w:rsidRPr="00E4181D">
        <w:rPr>
          <w:rFonts w:ascii="Arial" w:hAnsi="Arial" w:cs="Arial"/>
          <w:i/>
          <w:iCs/>
        </w:rPr>
        <w:t xml:space="preserve"> </w:t>
      </w:r>
      <w:proofErr w:type="spellStart"/>
      <w:r w:rsidRPr="00E4181D">
        <w:rPr>
          <w:rFonts w:ascii="Arial" w:hAnsi="Arial" w:cs="Arial"/>
          <w:i/>
          <w:iCs/>
        </w:rPr>
        <w:t>Ilmiah</w:t>
      </w:r>
      <w:proofErr w:type="spellEnd"/>
      <w:r w:rsidRPr="00E4181D">
        <w:rPr>
          <w:rFonts w:ascii="Arial" w:hAnsi="Arial" w:cs="Arial"/>
          <w:i/>
          <w:iCs/>
        </w:rPr>
        <w:t xml:space="preserve"> </w:t>
      </w:r>
      <w:proofErr w:type="spellStart"/>
      <w:r w:rsidRPr="00E4181D">
        <w:rPr>
          <w:rFonts w:ascii="Arial" w:hAnsi="Arial" w:cs="Arial"/>
          <w:i/>
          <w:iCs/>
        </w:rPr>
        <w:t>Manajemen</w:t>
      </w:r>
      <w:proofErr w:type="spellEnd"/>
      <w:r w:rsidRPr="00E4181D">
        <w:rPr>
          <w:rFonts w:ascii="Arial" w:hAnsi="Arial" w:cs="Arial"/>
          <w:i/>
          <w:iCs/>
        </w:rPr>
        <w:t xml:space="preserve"> Kesatuan, 12</w:t>
      </w:r>
      <w:r w:rsidRPr="00E4181D">
        <w:rPr>
          <w:rFonts w:ascii="Arial" w:hAnsi="Arial" w:cs="Arial"/>
        </w:rPr>
        <w:t>(4), 1347–1358.</w:t>
      </w:r>
    </w:p>
    <w:p w14:paraId="259F13E2" w14:textId="77777777" w:rsidR="00E4181D" w:rsidRPr="00E4181D" w:rsidRDefault="00E4181D" w:rsidP="00E4181D">
      <w:pPr>
        <w:spacing w:line="480" w:lineRule="auto"/>
        <w:rPr>
          <w:rFonts w:ascii="Arial" w:hAnsi="Arial" w:cs="Arial"/>
        </w:rPr>
      </w:pPr>
      <w:r w:rsidRPr="00E4181D">
        <w:rPr>
          <w:rFonts w:ascii="Arial" w:hAnsi="Arial" w:cs="Arial"/>
        </w:rPr>
        <w:t xml:space="preserve">Ivanov, O., &amp; Kobets, V. (2025). Future financial impact analysis from sentiment and indicators analysis. </w:t>
      </w:r>
      <w:r w:rsidRPr="00E4181D">
        <w:rPr>
          <w:rFonts w:ascii="Arial" w:hAnsi="Arial" w:cs="Arial"/>
          <w:i/>
          <w:iCs/>
        </w:rPr>
        <w:t>Computational Economics</w:t>
      </w:r>
      <w:r w:rsidRPr="00E4181D">
        <w:rPr>
          <w:rFonts w:ascii="Arial" w:hAnsi="Arial" w:cs="Arial"/>
        </w:rPr>
        <w:t>, 1–27.</w:t>
      </w:r>
    </w:p>
    <w:p w14:paraId="11B09BB1" w14:textId="77777777" w:rsidR="00E4181D" w:rsidRPr="00E4181D" w:rsidRDefault="00E4181D" w:rsidP="00E4181D">
      <w:pPr>
        <w:spacing w:line="480" w:lineRule="auto"/>
        <w:rPr>
          <w:rFonts w:ascii="Arial" w:hAnsi="Arial" w:cs="Arial"/>
        </w:rPr>
      </w:pPr>
      <w:r w:rsidRPr="00E4181D">
        <w:rPr>
          <w:rFonts w:ascii="Arial" w:hAnsi="Arial" w:cs="Arial"/>
        </w:rPr>
        <w:t xml:space="preserve">Olayinka, A. A. (2022). Financial statement analysis as a tool for investment decisions and assessment of companies’ performance. </w:t>
      </w:r>
      <w:r w:rsidRPr="00E4181D">
        <w:rPr>
          <w:rFonts w:ascii="Arial" w:hAnsi="Arial" w:cs="Arial"/>
          <w:i/>
          <w:iCs/>
        </w:rPr>
        <w:t>International Journal of Financial, Accounting, and Management, 4</w:t>
      </w:r>
      <w:r w:rsidRPr="00E4181D">
        <w:rPr>
          <w:rFonts w:ascii="Arial" w:hAnsi="Arial" w:cs="Arial"/>
        </w:rPr>
        <w:t>(1), 49–66.</w:t>
      </w:r>
    </w:p>
    <w:p w14:paraId="3809F42B" w14:textId="2ECFA0ED" w:rsidR="00E4181D" w:rsidRPr="00E4181D" w:rsidRDefault="00E4181D" w:rsidP="00E4181D">
      <w:pPr>
        <w:spacing w:line="480" w:lineRule="auto"/>
        <w:rPr>
          <w:rFonts w:ascii="Arial" w:hAnsi="Arial" w:cs="Arial"/>
        </w:rPr>
      </w:pPr>
      <w:r w:rsidRPr="00E4181D">
        <w:rPr>
          <w:rFonts w:ascii="Arial" w:hAnsi="Arial" w:cs="Arial"/>
        </w:rPr>
        <w:t xml:space="preserve">Pu, F., Ma, S., Liu, Q., &amp; Xiao, Z. (2025). The effect of e-commerce reviews on consumer </w:t>
      </w:r>
      <w:r w:rsidRPr="00E4181D">
        <w:rPr>
          <w:rFonts w:ascii="Arial" w:hAnsi="Arial" w:cs="Arial"/>
        </w:rPr>
        <w:t>clicks</w:t>
      </w:r>
      <w:r w:rsidRPr="00E4181D">
        <w:rPr>
          <w:rFonts w:ascii="Arial" w:hAnsi="Arial" w:cs="Arial"/>
        </w:rPr>
        <w:t xml:space="preserve"> and purchase </w:t>
      </w:r>
      <w:r>
        <w:rPr>
          <w:rFonts w:ascii="Arial" w:hAnsi="Arial" w:cs="Arial"/>
        </w:rPr>
        <w:t>behaviours</w:t>
      </w:r>
      <w:r w:rsidRPr="00E4181D">
        <w:rPr>
          <w:rFonts w:ascii="Arial" w:hAnsi="Arial" w:cs="Arial"/>
        </w:rPr>
        <w:t xml:space="preserve">: Evidence from Amazon sellers. </w:t>
      </w:r>
      <w:r w:rsidRPr="00E4181D">
        <w:rPr>
          <w:rFonts w:ascii="Arial" w:hAnsi="Arial" w:cs="Arial"/>
          <w:i/>
          <w:iCs/>
        </w:rPr>
        <w:t>Emerging Markets Finance and Trade,</w:t>
      </w:r>
      <w:r w:rsidRPr="00E4181D">
        <w:rPr>
          <w:rFonts w:ascii="Arial" w:hAnsi="Arial" w:cs="Arial"/>
        </w:rPr>
        <w:t xml:space="preserve"> 1–18.</w:t>
      </w:r>
    </w:p>
    <w:p w14:paraId="347F04CC" w14:textId="77777777" w:rsidR="00E4181D" w:rsidRPr="00E4181D" w:rsidRDefault="00E4181D" w:rsidP="00E4181D">
      <w:pPr>
        <w:spacing w:line="480" w:lineRule="auto"/>
        <w:rPr>
          <w:rFonts w:ascii="Arial" w:hAnsi="Arial" w:cs="Arial"/>
        </w:rPr>
      </w:pPr>
      <w:r w:rsidRPr="00E4181D">
        <w:rPr>
          <w:rFonts w:ascii="Arial" w:hAnsi="Arial" w:cs="Arial"/>
        </w:rPr>
        <w:t xml:space="preserve">Qin, Z., Hassan, A., &amp; </w:t>
      </w:r>
      <w:proofErr w:type="spellStart"/>
      <w:r w:rsidRPr="00E4181D">
        <w:rPr>
          <w:rFonts w:ascii="Arial" w:hAnsi="Arial" w:cs="Arial"/>
        </w:rPr>
        <w:t>Adhikariparajuli</w:t>
      </w:r>
      <w:proofErr w:type="spellEnd"/>
      <w:r w:rsidRPr="00E4181D">
        <w:rPr>
          <w:rFonts w:ascii="Arial" w:hAnsi="Arial" w:cs="Arial"/>
        </w:rPr>
        <w:t xml:space="preserve">, M. (2022). Direct and indirect implications of the COVID-19 pandemic on Amazon’s financial situation. </w:t>
      </w:r>
      <w:r w:rsidRPr="00E4181D">
        <w:rPr>
          <w:rFonts w:ascii="Arial" w:hAnsi="Arial" w:cs="Arial"/>
          <w:i/>
          <w:iCs/>
        </w:rPr>
        <w:t>Journal of Risk and Financial Management, 15</w:t>
      </w:r>
      <w:r w:rsidRPr="00E4181D">
        <w:rPr>
          <w:rFonts w:ascii="Arial" w:hAnsi="Arial" w:cs="Arial"/>
        </w:rPr>
        <w:t>(9), 414.</w:t>
      </w:r>
    </w:p>
    <w:p w14:paraId="640BD005" w14:textId="77777777" w:rsidR="00E4181D" w:rsidRPr="00E4181D" w:rsidRDefault="00E4181D" w:rsidP="00E4181D">
      <w:pPr>
        <w:spacing w:line="480" w:lineRule="auto"/>
        <w:rPr>
          <w:rFonts w:ascii="Arial" w:hAnsi="Arial" w:cs="Arial"/>
        </w:rPr>
      </w:pPr>
      <w:r w:rsidRPr="00E4181D">
        <w:rPr>
          <w:rFonts w:ascii="Arial" w:hAnsi="Arial" w:cs="Arial"/>
        </w:rPr>
        <w:t xml:space="preserve">Rashid, C. A. (2018). Efficiency of financial ratios analysis for evaluating companies’ liquidity. </w:t>
      </w:r>
      <w:r w:rsidRPr="00E4181D">
        <w:rPr>
          <w:rFonts w:ascii="Arial" w:hAnsi="Arial" w:cs="Arial"/>
          <w:i/>
          <w:iCs/>
        </w:rPr>
        <w:t>International Journal of Social Sciences &amp; Educational Studies, 4</w:t>
      </w:r>
      <w:r w:rsidRPr="00E4181D">
        <w:rPr>
          <w:rFonts w:ascii="Arial" w:hAnsi="Arial" w:cs="Arial"/>
        </w:rPr>
        <w:t>(4), 110–123.</w:t>
      </w:r>
    </w:p>
    <w:p w14:paraId="6A9A1894" w14:textId="3728811A" w:rsidR="00E4181D" w:rsidRPr="00E4181D" w:rsidRDefault="00E4181D" w:rsidP="00E4181D">
      <w:pPr>
        <w:spacing w:line="480" w:lineRule="auto"/>
        <w:rPr>
          <w:rFonts w:ascii="Arial" w:hAnsi="Arial" w:cs="Arial"/>
        </w:rPr>
      </w:pPr>
      <w:r w:rsidRPr="00E4181D">
        <w:rPr>
          <w:rFonts w:ascii="Arial" w:hAnsi="Arial" w:cs="Arial"/>
        </w:rPr>
        <w:lastRenderedPageBreak/>
        <w:t xml:space="preserve">Rashid, C. A. (2021). The efficiency of financial ratios analysis </w:t>
      </w:r>
      <w:r>
        <w:rPr>
          <w:rFonts w:ascii="Arial" w:hAnsi="Arial" w:cs="Arial"/>
        </w:rPr>
        <w:t>in evaluating</w:t>
      </w:r>
      <w:r w:rsidRPr="00E4181D">
        <w:rPr>
          <w:rFonts w:ascii="Arial" w:hAnsi="Arial" w:cs="Arial"/>
        </w:rPr>
        <w:t xml:space="preserve"> </w:t>
      </w:r>
      <w:r>
        <w:rPr>
          <w:rFonts w:ascii="Arial" w:hAnsi="Arial" w:cs="Arial"/>
        </w:rPr>
        <w:t xml:space="preserve">a </w:t>
      </w:r>
      <w:r w:rsidRPr="00E4181D">
        <w:rPr>
          <w:rFonts w:ascii="Arial" w:hAnsi="Arial" w:cs="Arial"/>
        </w:rPr>
        <w:t xml:space="preserve">company’s profitability. </w:t>
      </w:r>
      <w:r w:rsidRPr="00E4181D">
        <w:rPr>
          <w:rFonts w:ascii="Arial" w:hAnsi="Arial" w:cs="Arial"/>
          <w:i/>
          <w:iCs/>
        </w:rPr>
        <w:t>Journal of Global Economics and Business, 2</w:t>
      </w:r>
      <w:r w:rsidRPr="00E4181D">
        <w:rPr>
          <w:rFonts w:ascii="Arial" w:hAnsi="Arial" w:cs="Arial"/>
        </w:rPr>
        <w:t>(4), 119–132.</w:t>
      </w:r>
    </w:p>
    <w:p w14:paraId="0CEC3D53" w14:textId="77777777" w:rsidR="00E4181D" w:rsidRPr="00E4181D" w:rsidRDefault="00E4181D" w:rsidP="00E4181D">
      <w:pPr>
        <w:spacing w:line="480" w:lineRule="auto"/>
        <w:rPr>
          <w:rFonts w:ascii="Arial" w:hAnsi="Arial" w:cs="Arial"/>
        </w:rPr>
      </w:pPr>
      <w:r w:rsidRPr="00E4181D">
        <w:rPr>
          <w:rFonts w:ascii="Arial" w:hAnsi="Arial" w:cs="Arial"/>
        </w:rPr>
        <w:t xml:space="preserve">Shmelev, S. E., &amp; Gilardi, E. (2025). Corporate environmental, social, and governance performance: The impacts on financial returns, business model innovation, and social transformation. </w:t>
      </w:r>
      <w:r w:rsidRPr="00E4181D">
        <w:rPr>
          <w:rFonts w:ascii="Arial" w:hAnsi="Arial" w:cs="Arial"/>
          <w:i/>
          <w:iCs/>
        </w:rPr>
        <w:t>Sustainability, 17</w:t>
      </w:r>
      <w:r w:rsidRPr="00E4181D">
        <w:rPr>
          <w:rFonts w:ascii="Arial" w:hAnsi="Arial" w:cs="Arial"/>
        </w:rPr>
        <w:t>(3), 1286.</w:t>
      </w:r>
    </w:p>
    <w:p w14:paraId="0D7817B1" w14:textId="3E7C5F7D" w:rsidR="00E4181D" w:rsidRDefault="00E4181D" w:rsidP="00E4181D">
      <w:pPr>
        <w:spacing w:line="480" w:lineRule="auto"/>
        <w:rPr>
          <w:rFonts w:ascii="Arial" w:hAnsi="Arial" w:cs="Arial"/>
        </w:rPr>
      </w:pPr>
      <w:r w:rsidRPr="00E4181D">
        <w:rPr>
          <w:rFonts w:ascii="Arial" w:hAnsi="Arial" w:cs="Arial"/>
        </w:rPr>
        <w:t xml:space="preserve">Yang, S., &amp; Kuang, J. (2025). Research on the financial risks of cross-border e-commerce enterprises under ESG information disclosure. </w:t>
      </w:r>
      <w:r w:rsidRPr="00E4181D">
        <w:rPr>
          <w:rFonts w:ascii="Arial" w:hAnsi="Arial" w:cs="Arial"/>
          <w:i/>
          <w:iCs/>
        </w:rPr>
        <w:t>International Journal of Computing and Information Technology, 1</w:t>
      </w:r>
      <w:r w:rsidRPr="00E4181D">
        <w:rPr>
          <w:rFonts w:ascii="Arial" w:hAnsi="Arial" w:cs="Arial"/>
        </w:rPr>
        <w:t>(3), 7–7.</w:t>
      </w:r>
    </w:p>
    <w:p w14:paraId="3975509A" w14:textId="77777777" w:rsidR="004B4353" w:rsidRPr="00FC1443" w:rsidRDefault="004B4353" w:rsidP="00FC1443">
      <w:pPr>
        <w:spacing w:line="480" w:lineRule="auto"/>
        <w:rPr>
          <w:rFonts w:ascii="Arial" w:hAnsi="Arial" w:cs="Arial"/>
        </w:rPr>
      </w:pPr>
    </w:p>
    <w:sectPr w:rsidR="004B4353" w:rsidRPr="00FC1443" w:rsidSect="00E4181D">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EFAB57" w14:textId="77777777" w:rsidR="00747CBB" w:rsidRDefault="00747CBB" w:rsidP="00E4181D">
      <w:pPr>
        <w:spacing w:after="0" w:line="240" w:lineRule="auto"/>
      </w:pPr>
      <w:r>
        <w:separator/>
      </w:r>
    </w:p>
  </w:endnote>
  <w:endnote w:type="continuationSeparator" w:id="0">
    <w:p w14:paraId="03345FAF" w14:textId="77777777" w:rsidR="00747CBB" w:rsidRDefault="00747CBB" w:rsidP="00E418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E12F79" w14:textId="77777777" w:rsidR="00747CBB" w:rsidRDefault="00747CBB" w:rsidP="00E4181D">
      <w:pPr>
        <w:spacing w:after="0" w:line="240" w:lineRule="auto"/>
      </w:pPr>
      <w:r>
        <w:separator/>
      </w:r>
    </w:p>
  </w:footnote>
  <w:footnote w:type="continuationSeparator" w:id="0">
    <w:p w14:paraId="2C0C4D4B" w14:textId="77777777" w:rsidR="00747CBB" w:rsidRDefault="00747CBB" w:rsidP="00E418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9956224"/>
      <w:docPartObj>
        <w:docPartGallery w:val="Page Numbers (Top of Page)"/>
        <w:docPartUnique/>
      </w:docPartObj>
    </w:sdtPr>
    <w:sdtEndPr>
      <w:rPr>
        <w:noProof/>
      </w:rPr>
    </w:sdtEndPr>
    <w:sdtContent>
      <w:p w14:paraId="6B9A740B" w14:textId="5EC45D05" w:rsidR="00E4181D" w:rsidRDefault="00E4181D">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338DF42" w14:textId="77777777" w:rsidR="00E4181D" w:rsidRDefault="00E418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F3D72"/>
    <w:multiLevelType w:val="hybridMultilevel"/>
    <w:tmpl w:val="C82604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04421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443"/>
    <w:rsid w:val="004B4353"/>
    <w:rsid w:val="00747CBB"/>
    <w:rsid w:val="00972E8F"/>
    <w:rsid w:val="00B623AF"/>
    <w:rsid w:val="00E4181D"/>
    <w:rsid w:val="00FC14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B7B47"/>
  <w15:chartTrackingRefBased/>
  <w15:docId w15:val="{25F3395D-16E5-41B5-B201-BED5A705A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14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14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14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14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14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14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14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14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14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14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14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14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14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14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14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14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14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1443"/>
    <w:rPr>
      <w:rFonts w:eastAsiaTheme="majorEastAsia" w:cstheme="majorBidi"/>
      <w:color w:val="272727" w:themeColor="text1" w:themeTint="D8"/>
    </w:rPr>
  </w:style>
  <w:style w:type="paragraph" w:styleId="Title">
    <w:name w:val="Title"/>
    <w:basedOn w:val="Normal"/>
    <w:next w:val="Normal"/>
    <w:link w:val="TitleChar"/>
    <w:uiPriority w:val="10"/>
    <w:qFormat/>
    <w:rsid w:val="00FC14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14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14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14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1443"/>
    <w:pPr>
      <w:spacing w:before="160"/>
      <w:jc w:val="center"/>
    </w:pPr>
    <w:rPr>
      <w:i/>
      <w:iCs/>
      <w:color w:val="404040" w:themeColor="text1" w:themeTint="BF"/>
    </w:rPr>
  </w:style>
  <w:style w:type="character" w:customStyle="1" w:styleId="QuoteChar">
    <w:name w:val="Quote Char"/>
    <w:basedOn w:val="DefaultParagraphFont"/>
    <w:link w:val="Quote"/>
    <w:uiPriority w:val="29"/>
    <w:rsid w:val="00FC1443"/>
    <w:rPr>
      <w:i/>
      <w:iCs/>
      <w:color w:val="404040" w:themeColor="text1" w:themeTint="BF"/>
    </w:rPr>
  </w:style>
  <w:style w:type="paragraph" w:styleId="ListParagraph">
    <w:name w:val="List Paragraph"/>
    <w:basedOn w:val="Normal"/>
    <w:uiPriority w:val="34"/>
    <w:qFormat/>
    <w:rsid w:val="00FC1443"/>
    <w:pPr>
      <w:ind w:left="720"/>
      <w:contextualSpacing/>
    </w:pPr>
  </w:style>
  <w:style w:type="character" w:styleId="IntenseEmphasis">
    <w:name w:val="Intense Emphasis"/>
    <w:basedOn w:val="DefaultParagraphFont"/>
    <w:uiPriority w:val="21"/>
    <w:qFormat/>
    <w:rsid w:val="00FC1443"/>
    <w:rPr>
      <w:i/>
      <w:iCs/>
      <w:color w:val="0F4761" w:themeColor="accent1" w:themeShade="BF"/>
    </w:rPr>
  </w:style>
  <w:style w:type="paragraph" w:styleId="IntenseQuote">
    <w:name w:val="Intense Quote"/>
    <w:basedOn w:val="Normal"/>
    <w:next w:val="Normal"/>
    <w:link w:val="IntenseQuoteChar"/>
    <w:uiPriority w:val="30"/>
    <w:qFormat/>
    <w:rsid w:val="00FC14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1443"/>
    <w:rPr>
      <w:i/>
      <w:iCs/>
      <w:color w:val="0F4761" w:themeColor="accent1" w:themeShade="BF"/>
    </w:rPr>
  </w:style>
  <w:style w:type="character" w:styleId="IntenseReference">
    <w:name w:val="Intense Reference"/>
    <w:basedOn w:val="DefaultParagraphFont"/>
    <w:uiPriority w:val="32"/>
    <w:qFormat/>
    <w:rsid w:val="00FC1443"/>
    <w:rPr>
      <w:b/>
      <w:bCs/>
      <w:smallCaps/>
      <w:color w:val="0F4761" w:themeColor="accent1" w:themeShade="BF"/>
      <w:spacing w:val="5"/>
    </w:rPr>
  </w:style>
  <w:style w:type="paragraph" w:styleId="Header">
    <w:name w:val="header"/>
    <w:basedOn w:val="Normal"/>
    <w:link w:val="HeaderChar"/>
    <w:uiPriority w:val="99"/>
    <w:unhideWhenUsed/>
    <w:rsid w:val="00E418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181D"/>
  </w:style>
  <w:style w:type="paragraph" w:styleId="Footer">
    <w:name w:val="footer"/>
    <w:basedOn w:val="Normal"/>
    <w:link w:val="FooterChar"/>
    <w:uiPriority w:val="99"/>
    <w:unhideWhenUsed/>
    <w:rsid w:val="00E418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181D"/>
  </w:style>
  <w:style w:type="paragraph" w:styleId="NoSpacing">
    <w:name w:val="No Spacing"/>
    <w:link w:val="NoSpacingChar"/>
    <w:uiPriority w:val="1"/>
    <w:qFormat/>
    <w:rsid w:val="00E4181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4181D"/>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80B044A55C14DCEAC15EF151E768124"/>
        <w:category>
          <w:name w:val="General"/>
          <w:gallery w:val="placeholder"/>
        </w:category>
        <w:types>
          <w:type w:val="bbPlcHdr"/>
        </w:types>
        <w:behaviors>
          <w:behavior w:val="content"/>
        </w:behaviors>
        <w:guid w:val="{66CE4454-0FCA-426F-B5AC-441BC8A188DD}"/>
      </w:docPartPr>
      <w:docPartBody>
        <w:p w:rsidR="00000000" w:rsidRDefault="00BC2D62" w:rsidP="00BC2D62">
          <w:pPr>
            <w:pStyle w:val="380B044A55C14DCEAC15EF151E768124"/>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D62"/>
    <w:rsid w:val="004A423A"/>
    <w:rsid w:val="00972E8F"/>
    <w:rsid w:val="00BC2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0F13E84D8841A4847C102185747EAA">
    <w:name w:val="530F13E84D8841A4847C102185747EAA"/>
    <w:rsid w:val="00BC2D62"/>
  </w:style>
  <w:style w:type="paragraph" w:customStyle="1" w:styleId="380B044A55C14DCEAC15EF151E768124">
    <w:name w:val="380B044A55C14DCEAC15EF151E768124"/>
    <w:rsid w:val="00BC2D62"/>
  </w:style>
  <w:style w:type="paragraph" w:customStyle="1" w:styleId="1CEE6E321EF049D696A29ABBC553EFBB">
    <w:name w:val="1CEE6E321EF049D696A29ABBC553EFBB"/>
    <w:rsid w:val="00BC2D62"/>
  </w:style>
  <w:style w:type="paragraph" w:customStyle="1" w:styleId="DBCCDB5E8DE248969BBE18213B4424BD">
    <w:name w:val="DBCCDB5E8DE248969BBE18213B4424BD"/>
    <w:rsid w:val="00BC2D62"/>
  </w:style>
  <w:style w:type="paragraph" w:customStyle="1" w:styleId="3185F159E21E4D5A8FA255DA05DCF13E">
    <w:name w:val="3185F159E21E4D5A8FA255DA05DCF13E"/>
    <w:rsid w:val="00BC2D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TotalTime>
  <Pages>11</Pages>
  <Words>2060</Words>
  <Characters>11747</Characters>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Ratio Analysis of Amazon.com, Inc. (2024–2025)</dc:title>
  <dc:subject/>
  <cp:keywords/>
  <dc:description/>
  <dcterms:created xsi:type="dcterms:W3CDTF">2026-04-22T12:14:00Z</dcterms:created>
  <dcterms:modified xsi:type="dcterms:W3CDTF">2026-04-22T12:51:00Z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997351f8-b95b-47d7-a888-5f8a090a4f65</vt:lpwstr>
  </property>
</Properties>
</file>